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6"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2"/>
          <w:szCs w:val="12"/>
          <w:b w:val="1"/>
          <w:bCs w:val="1"/>
          <w:color w:val="auto"/>
        </w:rPr>
        <w:t>As filed with the Securities and Exchange Commission on August 8, 2025</w:t>
      </w:r>
    </w:p>
    <w:p>
      <w:pPr>
        <w:spacing w:after="0" w:line="1" w:lineRule="exact"/>
        <w:rPr>
          <w:sz w:val="24"/>
          <w:szCs w:val="24"/>
          <w:color w:val="auto"/>
        </w:rPr>
      </w:pPr>
    </w:p>
    <w:p>
      <w:pPr>
        <w:ind w:left="8460"/>
        <w:spacing w:after="0"/>
        <w:rPr>
          <w:sz w:val="20"/>
          <w:szCs w:val="20"/>
          <w:color w:val="auto"/>
        </w:rPr>
      </w:pPr>
      <w:r>
        <w:rPr>
          <w:rFonts w:ascii="Times New Roman" w:cs="Times New Roman" w:eastAsia="Times New Roman" w:hAnsi="Times New Roman"/>
          <w:sz w:val="12"/>
          <w:szCs w:val="12"/>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893445</wp:posOffset>
            </wp:positionH>
            <wp:positionV relativeFrom="paragraph">
              <wp:posOffset>45085</wp:posOffset>
            </wp:positionV>
            <wp:extent cx="538797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87975" cy="635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78105</wp:posOffset>
            </wp:positionV>
            <wp:extent cx="538797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87975" cy="6350"/>
                    </a:xfrm>
                    <a:prstGeom prst="rect">
                      <a:avLst/>
                    </a:prstGeom>
                    <a:noFill/>
                  </pic:spPr>
                </pic:pic>
              </a:graphicData>
            </a:graphic>
          </wp:anchor>
        </w:drawing>
      </w:r>
    </w:p>
    <w:p>
      <w:pPr>
        <w:spacing w:after="0" w:line="1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3019425</wp:posOffset>
            </wp:positionH>
            <wp:positionV relativeFrom="paragraph">
              <wp:posOffset>74930</wp:posOffset>
            </wp:positionV>
            <wp:extent cx="112903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1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i w:val="1"/>
          <w:iCs w:val="1"/>
          <w:color w:val="auto"/>
        </w:rPr>
        <w:t>UNDER</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3019425</wp:posOffset>
            </wp:positionH>
            <wp:positionV relativeFrom="paragraph">
              <wp:posOffset>78740</wp:posOffset>
            </wp:positionV>
            <wp:extent cx="112903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10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Tempus AI, Inc.</w:t>
      </w:r>
    </w:p>
    <w:p>
      <w:pPr>
        <w:spacing w:after="0" w:line="36"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3019425</wp:posOffset>
            </wp:positionH>
            <wp:positionV relativeFrom="paragraph">
              <wp:posOffset>64770</wp:posOffset>
            </wp:positionV>
            <wp:extent cx="112903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123" w:lineRule="exact"/>
        <w:rPr>
          <w:sz w:val="24"/>
          <w:szCs w:val="24"/>
          <w:color w:val="auto"/>
        </w:rPr>
      </w:pPr>
    </w:p>
    <w:tbl>
      <w:tblPr>
        <w:tblLayout w:type="fixed"/>
        <w:tblInd w:w="2820" w:type="dxa"/>
        <w:tblCellMar>
          <w:top w:w="0" w:type="dxa"/>
          <w:left w:w="0" w:type="dxa"/>
          <w:bottom w:w="0" w:type="dxa"/>
          <w:right w:w="0" w:type="dxa"/>
        </w:tblCellMar>
      </w:tblPr>
      <w:tr>
        <w:trPr>
          <w:trHeight w:val="138"/>
        </w:trPr>
        <w:tc>
          <w:tcPr>
            <w:tcW w:w="2960" w:type="dxa"/>
            <w:vAlign w:val="bottom"/>
          </w:tcPr>
          <w:p>
            <w:pPr>
              <w:jc w:val="center"/>
              <w:ind w:right="1443"/>
              <w:spacing w:after="0"/>
              <w:rPr>
                <w:sz w:val="20"/>
                <w:szCs w:val="20"/>
                <w:color w:val="auto"/>
              </w:rPr>
            </w:pPr>
            <w:r>
              <w:rPr>
                <w:rFonts w:ascii="Times New Roman" w:cs="Times New Roman" w:eastAsia="Times New Roman" w:hAnsi="Times New Roman"/>
                <w:sz w:val="12"/>
                <w:szCs w:val="12"/>
                <w:b w:val="1"/>
                <w:bCs w:val="1"/>
                <w:color w:val="auto"/>
                <w:w w:val="98"/>
              </w:rPr>
              <w:t>Nevada</w:t>
            </w:r>
          </w:p>
        </w:tc>
        <w:tc>
          <w:tcPr>
            <w:tcW w:w="2600" w:type="dxa"/>
            <w:vAlign w:val="bottom"/>
          </w:tcPr>
          <w:p>
            <w:pPr>
              <w:jc w:val="center"/>
              <w:ind w:left="1443"/>
              <w:spacing w:after="0"/>
              <w:rPr>
                <w:sz w:val="20"/>
                <w:szCs w:val="20"/>
                <w:color w:val="auto"/>
              </w:rPr>
            </w:pPr>
            <w:r>
              <w:rPr>
                <w:rFonts w:ascii="Times New Roman" w:cs="Times New Roman" w:eastAsia="Times New Roman" w:hAnsi="Times New Roman"/>
                <w:sz w:val="12"/>
                <w:szCs w:val="12"/>
                <w:b w:val="1"/>
                <w:bCs w:val="1"/>
                <w:color w:val="auto"/>
                <w:w w:val="99"/>
              </w:rPr>
              <w:t>47-4903308</w:t>
            </w:r>
          </w:p>
        </w:tc>
      </w:tr>
      <w:tr>
        <w:trPr>
          <w:trHeight w:val="114"/>
        </w:trPr>
        <w:tc>
          <w:tcPr>
            <w:tcW w:w="2960" w:type="dxa"/>
            <w:vAlign w:val="bottom"/>
          </w:tcPr>
          <w:p>
            <w:pPr>
              <w:jc w:val="center"/>
              <w:ind w:right="1443"/>
              <w:spacing w:after="0" w:line="115"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2600" w:type="dxa"/>
            <w:vAlign w:val="bottom"/>
          </w:tcPr>
          <w:p>
            <w:pPr>
              <w:jc w:val="center"/>
              <w:ind w:left="1423"/>
              <w:spacing w:after="0" w:line="115"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5"/>
        </w:trPr>
        <w:tc>
          <w:tcPr>
            <w:tcW w:w="2960" w:type="dxa"/>
            <w:vAlign w:val="bottom"/>
          </w:tcPr>
          <w:p>
            <w:pPr>
              <w:jc w:val="center"/>
              <w:ind w:right="1463"/>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2600" w:type="dxa"/>
            <w:vAlign w:val="bottom"/>
          </w:tcPr>
          <w:p>
            <w:pPr>
              <w:jc w:val="center"/>
              <w:ind w:left="1443"/>
              <w:spacing w:after="0"/>
              <w:rPr>
                <w:sz w:val="20"/>
                <w:szCs w:val="20"/>
                <w:color w:val="auto"/>
              </w:rPr>
            </w:pPr>
            <w:r>
              <w:rPr>
                <w:rFonts w:ascii="Times New Roman" w:cs="Times New Roman" w:eastAsia="Times New Roman" w:hAnsi="Times New Roman"/>
                <w:sz w:val="11"/>
                <w:szCs w:val="11"/>
                <w:b w:val="1"/>
                <w:bCs w:val="1"/>
                <w:color w:val="auto"/>
              </w:rPr>
              <w:t>Identification Number)</w:t>
            </w:r>
          </w:p>
        </w:tc>
      </w:tr>
    </w:tbl>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600 West Chicago Avenue, Suite 510</w:t>
      </w:r>
    </w:p>
    <w:p>
      <w:pPr>
        <w:jc w:val="center"/>
        <w:ind w:right="-1120"/>
        <w:spacing w:after="0" w:line="218" w:lineRule="auto"/>
        <w:rPr>
          <w:sz w:val="20"/>
          <w:szCs w:val="20"/>
          <w:color w:val="auto"/>
        </w:rPr>
      </w:pPr>
      <w:r>
        <w:rPr>
          <w:rFonts w:ascii="Times New Roman" w:cs="Times New Roman" w:eastAsia="Times New Roman" w:hAnsi="Times New Roman"/>
          <w:sz w:val="12"/>
          <w:szCs w:val="12"/>
          <w:b w:val="1"/>
          <w:bCs w:val="1"/>
          <w:color w:val="auto"/>
        </w:rPr>
        <w:t>Chicago, Illinois 60654</w:t>
      </w:r>
    </w:p>
    <w:p>
      <w:pPr>
        <w:jc w:val="center"/>
        <w:ind w:right="-1120"/>
        <w:spacing w:after="0" w:line="210" w:lineRule="auto"/>
        <w:rPr>
          <w:sz w:val="20"/>
          <w:szCs w:val="20"/>
          <w:color w:val="auto"/>
        </w:rPr>
      </w:pPr>
      <w:r>
        <w:rPr>
          <w:rFonts w:ascii="Times New Roman" w:cs="Times New Roman" w:eastAsia="Times New Roman" w:hAnsi="Times New Roman"/>
          <w:sz w:val="12"/>
          <w:szCs w:val="12"/>
          <w:b w:val="1"/>
          <w:bCs w:val="1"/>
          <w:color w:val="auto"/>
        </w:rPr>
        <w:t>(800) 976-5448</w:t>
      </w:r>
    </w:p>
    <w:p>
      <w:pPr>
        <w:jc w:val="center"/>
        <w:ind w:right="-1120"/>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3019425</wp:posOffset>
            </wp:positionH>
            <wp:positionV relativeFrom="paragraph">
              <wp:posOffset>67945</wp:posOffset>
            </wp:positionV>
            <wp:extent cx="112903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11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Eric Lefkofsky</w:t>
      </w:r>
    </w:p>
    <w:p>
      <w:pPr>
        <w:jc w:val="center"/>
        <w:ind w:right="-1120"/>
        <w:spacing w:after="0" w:line="218" w:lineRule="auto"/>
        <w:rPr>
          <w:sz w:val="20"/>
          <w:szCs w:val="20"/>
          <w:color w:val="auto"/>
        </w:rPr>
      </w:pPr>
      <w:r>
        <w:rPr>
          <w:rFonts w:ascii="Times New Roman" w:cs="Times New Roman" w:eastAsia="Times New Roman" w:hAnsi="Times New Roman"/>
          <w:sz w:val="12"/>
          <w:szCs w:val="12"/>
          <w:b w:val="1"/>
          <w:bCs w:val="1"/>
          <w:color w:val="auto"/>
        </w:rPr>
        <w:t>Chief Executive Officer, Founder and Chairman</w:t>
      </w:r>
    </w:p>
    <w:p>
      <w:pPr>
        <w:jc w:val="center"/>
        <w:ind w:right="-1120"/>
        <w:spacing w:after="0" w:line="217" w:lineRule="auto"/>
        <w:rPr>
          <w:sz w:val="20"/>
          <w:szCs w:val="20"/>
          <w:color w:val="auto"/>
        </w:rPr>
      </w:pPr>
      <w:r>
        <w:rPr>
          <w:rFonts w:ascii="Times New Roman" w:cs="Times New Roman" w:eastAsia="Times New Roman" w:hAnsi="Times New Roman"/>
          <w:sz w:val="12"/>
          <w:szCs w:val="12"/>
          <w:b w:val="1"/>
          <w:bCs w:val="1"/>
          <w:color w:val="auto"/>
        </w:rPr>
        <w:t>Tempus AI, Inc.</w:t>
      </w:r>
    </w:p>
    <w:p>
      <w:pPr>
        <w:jc w:val="center"/>
        <w:ind w:right="-1120"/>
        <w:spacing w:after="0" w:line="217" w:lineRule="auto"/>
        <w:rPr>
          <w:sz w:val="20"/>
          <w:szCs w:val="20"/>
          <w:color w:val="auto"/>
        </w:rPr>
      </w:pPr>
      <w:r>
        <w:rPr>
          <w:rFonts w:ascii="Times New Roman" w:cs="Times New Roman" w:eastAsia="Times New Roman" w:hAnsi="Times New Roman"/>
          <w:sz w:val="12"/>
          <w:szCs w:val="12"/>
          <w:b w:val="1"/>
          <w:bCs w:val="1"/>
          <w:color w:val="auto"/>
        </w:rPr>
        <w:t>600 West Chicago Avenue, Suite 510</w:t>
      </w:r>
    </w:p>
    <w:p>
      <w:pPr>
        <w:jc w:val="center"/>
        <w:ind w:right="-1120"/>
        <w:spacing w:after="0" w:line="217" w:lineRule="auto"/>
        <w:rPr>
          <w:sz w:val="20"/>
          <w:szCs w:val="20"/>
          <w:color w:val="auto"/>
        </w:rPr>
      </w:pPr>
      <w:r>
        <w:rPr>
          <w:rFonts w:ascii="Times New Roman" w:cs="Times New Roman" w:eastAsia="Times New Roman" w:hAnsi="Times New Roman"/>
          <w:sz w:val="12"/>
          <w:szCs w:val="12"/>
          <w:b w:val="1"/>
          <w:bCs w:val="1"/>
          <w:color w:val="auto"/>
        </w:rPr>
        <w:t>Chicago, Illinois 60654</w:t>
      </w:r>
    </w:p>
    <w:p>
      <w:pPr>
        <w:jc w:val="center"/>
        <w:ind w:right="-1120"/>
        <w:spacing w:after="0" w:line="210" w:lineRule="auto"/>
        <w:rPr>
          <w:sz w:val="20"/>
          <w:szCs w:val="20"/>
          <w:color w:val="auto"/>
        </w:rPr>
      </w:pPr>
      <w:r>
        <w:rPr>
          <w:rFonts w:ascii="Times New Roman" w:cs="Times New Roman" w:eastAsia="Times New Roman" w:hAnsi="Times New Roman"/>
          <w:sz w:val="12"/>
          <w:szCs w:val="12"/>
          <w:b w:val="1"/>
          <w:bCs w:val="1"/>
          <w:color w:val="auto"/>
        </w:rPr>
        <w:t>(800) 976-5448</w:t>
      </w:r>
    </w:p>
    <w:p>
      <w:pPr>
        <w:jc w:val="center"/>
        <w:ind w:right="-1120"/>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3019425</wp:posOffset>
            </wp:positionH>
            <wp:positionV relativeFrom="paragraph">
              <wp:posOffset>67945</wp:posOffset>
            </wp:positionV>
            <wp:extent cx="112903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1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i w:val="1"/>
          <w:iCs w:val="1"/>
          <w:color w:val="auto"/>
        </w:rPr>
        <w:t>Copies to:</w:t>
      </w:r>
    </w:p>
    <w:p>
      <w:pPr>
        <w:jc w:val="center"/>
        <w:ind w:right="-1120"/>
        <w:spacing w:after="0" w:line="221" w:lineRule="auto"/>
        <w:rPr>
          <w:sz w:val="20"/>
          <w:szCs w:val="20"/>
          <w:color w:val="auto"/>
        </w:rPr>
      </w:pPr>
      <w:r>
        <w:rPr>
          <w:rFonts w:ascii="Times New Roman" w:cs="Times New Roman" w:eastAsia="Times New Roman" w:hAnsi="Times New Roman"/>
          <w:sz w:val="12"/>
          <w:szCs w:val="12"/>
          <w:b w:val="1"/>
          <w:bCs w:val="1"/>
          <w:color w:val="auto"/>
        </w:rPr>
        <w:t>Christina T. Roupas</w:t>
      </w:r>
    </w:p>
    <w:p>
      <w:pPr>
        <w:jc w:val="center"/>
        <w:ind w:right="-1120"/>
        <w:spacing w:after="0" w:line="217" w:lineRule="auto"/>
        <w:rPr>
          <w:sz w:val="20"/>
          <w:szCs w:val="20"/>
          <w:color w:val="auto"/>
        </w:rPr>
      </w:pPr>
      <w:r>
        <w:rPr>
          <w:rFonts w:ascii="Times New Roman" w:cs="Times New Roman" w:eastAsia="Times New Roman" w:hAnsi="Times New Roman"/>
          <w:sz w:val="12"/>
          <w:szCs w:val="12"/>
          <w:b w:val="1"/>
          <w:bCs w:val="1"/>
          <w:color w:val="auto"/>
        </w:rPr>
        <w:t>Courtney M.W. Tygesson</w:t>
      </w:r>
    </w:p>
    <w:p>
      <w:pPr>
        <w:jc w:val="center"/>
        <w:ind w:right="-1120"/>
        <w:spacing w:after="0" w:line="217" w:lineRule="auto"/>
        <w:rPr>
          <w:sz w:val="20"/>
          <w:szCs w:val="20"/>
          <w:color w:val="auto"/>
        </w:rPr>
      </w:pPr>
      <w:r>
        <w:rPr>
          <w:rFonts w:ascii="Times New Roman" w:cs="Times New Roman" w:eastAsia="Times New Roman" w:hAnsi="Times New Roman"/>
          <w:sz w:val="12"/>
          <w:szCs w:val="12"/>
          <w:b w:val="1"/>
          <w:bCs w:val="1"/>
          <w:color w:val="auto"/>
        </w:rPr>
        <w:t>Cooley LLP</w:t>
      </w:r>
    </w:p>
    <w:p>
      <w:pPr>
        <w:jc w:val="center"/>
        <w:ind w:right="-1120"/>
        <w:spacing w:after="0" w:line="217" w:lineRule="auto"/>
        <w:rPr>
          <w:sz w:val="20"/>
          <w:szCs w:val="20"/>
          <w:color w:val="auto"/>
        </w:rPr>
      </w:pPr>
      <w:r>
        <w:rPr>
          <w:rFonts w:ascii="Times New Roman" w:cs="Times New Roman" w:eastAsia="Times New Roman" w:hAnsi="Times New Roman"/>
          <w:sz w:val="12"/>
          <w:szCs w:val="12"/>
          <w:b w:val="1"/>
          <w:bCs w:val="1"/>
          <w:color w:val="auto"/>
        </w:rPr>
        <w:t>110 N. Wacker Drive, Suite 4200</w:t>
      </w:r>
    </w:p>
    <w:p>
      <w:pPr>
        <w:jc w:val="center"/>
        <w:ind w:right="-1120"/>
        <w:spacing w:after="0" w:line="217" w:lineRule="auto"/>
        <w:rPr>
          <w:sz w:val="20"/>
          <w:szCs w:val="20"/>
          <w:color w:val="auto"/>
        </w:rPr>
      </w:pPr>
      <w:r>
        <w:rPr>
          <w:rFonts w:ascii="Times New Roman" w:cs="Times New Roman" w:eastAsia="Times New Roman" w:hAnsi="Times New Roman"/>
          <w:sz w:val="12"/>
          <w:szCs w:val="12"/>
          <w:b w:val="1"/>
          <w:bCs w:val="1"/>
          <w:color w:val="auto"/>
        </w:rPr>
        <w:t>Chicago, Illinois 60606</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(312) 881-6500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3019425</wp:posOffset>
            </wp:positionH>
            <wp:positionV relativeFrom="paragraph">
              <wp:posOffset>64770</wp:posOffset>
            </wp:positionV>
            <wp:extent cx="112903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98"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2"/>
          <w:szCs w:val="12"/>
          <w:b w:val="1"/>
          <w:bCs w:val="1"/>
          <w:color w:val="auto"/>
        </w:rPr>
        <w:t xml:space="preserve">Approximate date of commencement of proposed sale to the public: </w:t>
      </w:r>
      <w:r>
        <w:rPr>
          <w:rFonts w:ascii="Times New Roman" w:cs="Times New Roman" w:eastAsia="Times New Roman" w:hAnsi="Times New Roman"/>
          <w:sz w:val="12"/>
          <w:szCs w:val="12"/>
          <w:color w:val="auto"/>
        </w:rPr>
        <w:t>From time to time after the effective date of this Registration Statement.</w:t>
      </w:r>
    </w:p>
    <w:p>
      <w:pPr>
        <w:spacing w:after="0" w:line="17" w:lineRule="exact"/>
        <w:rPr>
          <w:sz w:val="24"/>
          <w:szCs w:val="24"/>
          <w:color w:val="auto"/>
        </w:rPr>
      </w:pPr>
    </w:p>
    <w:p>
      <w:pPr>
        <w:ind w:left="1400"/>
        <w:spacing w:after="0" w:line="138" w:lineRule="exact"/>
        <w:rPr>
          <w:sz w:val="20"/>
          <w:szCs w:val="20"/>
          <w:color w:val="auto"/>
        </w:rPr>
      </w:pPr>
      <w:r>
        <w:rPr>
          <w:rFonts w:ascii="Times New Roman" w:cs="Times New Roman" w:eastAsia="Times New Roman" w:hAnsi="Times New Roman"/>
          <w:sz w:val="12"/>
          <w:szCs w:val="12"/>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2"/>
          <w:szCs w:val="12"/>
          <w:color w:val="auto"/>
        </w:rPr>
        <w:t>☐</w:t>
      </w:r>
    </w:p>
    <w:p>
      <w:pPr>
        <w:spacing w:after="0" w:line="52" w:lineRule="exact"/>
        <w:rPr>
          <w:sz w:val="24"/>
          <w:szCs w:val="24"/>
          <w:color w:val="auto"/>
        </w:rPr>
      </w:pPr>
    </w:p>
    <w:p>
      <w:pPr>
        <w:ind w:left="1400" w:right="439"/>
        <w:spacing w:after="0" w:line="152" w:lineRule="exact"/>
        <w:rPr>
          <w:sz w:val="20"/>
          <w:szCs w:val="20"/>
          <w:color w:val="auto"/>
        </w:rPr>
      </w:pPr>
      <w:r>
        <w:rPr>
          <w:rFonts w:ascii="Times New Roman" w:cs="Times New Roman" w:eastAsia="Times New Roman" w:hAnsi="Times New Roman"/>
          <w:sz w:val="12"/>
          <w:szCs w:val="12"/>
          <w:color w:val="auto"/>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w:t>
      </w:r>
      <w:r>
        <w:rPr>
          <w:rFonts w:ascii="MS PGothic" w:cs="MS PGothic" w:eastAsia="MS PGothic" w:hAnsi="MS PGothic"/>
          <w:sz w:val="12"/>
          <w:szCs w:val="12"/>
          <w:color w:val="auto"/>
        </w:rPr>
        <w:t>☒</w:t>
      </w:r>
    </w:p>
    <w:p>
      <w:pPr>
        <w:spacing w:after="0" w:line="1" w:lineRule="exact"/>
        <w:rPr>
          <w:sz w:val="24"/>
          <w:szCs w:val="24"/>
          <w:color w:val="auto"/>
        </w:rPr>
      </w:pPr>
    </w:p>
    <w:p>
      <w:pPr>
        <w:ind w:left="1400" w:right="559"/>
        <w:spacing w:after="0" w:line="147" w:lineRule="exact"/>
        <w:rPr>
          <w:sz w:val="20"/>
          <w:szCs w:val="20"/>
          <w:color w:val="auto"/>
        </w:rPr>
      </w:pPr>
      <w:r>
        <w:rPr>
          <w:rFonts w:ascii="Times New Roman" w:cs="Times New Roman" w:eastAsia="Times New Roman" w:hAnsi="Times New Roman"/>
          <w:sz w:val="12"/>
          <w:szCs w:val="1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 w:lineRule="exact"/>
        <w:rPr>
          <w:sz w:val="24"/>
          <w:szCs w:val="24"/>
          <w:color w:val="auto"/>
        </w:rPr>
      </w:pPr>
    </w:p>
    <w:p>
      <w:pPr>
        <w:ind w:left="1400" w:right="319"/>
        <w:spacing w:after="0" w:line="151"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ind w:left="1400" w:right="539"/>
        <w:spacing w:after="0" w:line="149" w:lineRule="exact"/>
        <w:rPr>
          <w:sz w:val="20"/>
          <w:szCs w:val="20"/>
          <w:color w:val="auto"/>
        </w:rPr>
      </w:pPr>
      <w:r>
        <w:rPr>
          <w:rFonts w:ascii="Times New Roman" w:cs="Times New Roman" w:eastAsia="Times New Roman" w:hAnsi="Times New Roman"/>
          <w:sz w:val="12"/>
          <w:szCs w:val="12"/>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2"/>
          <w:szCs w:val="12"/>
          <w:color w:val="auto"/>
        </w:rPr>
        <w:t>☒</w:t>
      </w:r>
    </w:p>
    <w:p>
      <w:pPr>
        <w:spacing w:after="0" w:line="1" w:lineRule="exact"/>
        <w:rPr>
          <w:sz w:val="24"/>
          <w:szCs w:val="24"/>
          <w:color w:val="auto"/>
        </w:rPr>
      </w:pPr>
    </w:p>
    <w:p>
      <w:pPr>
        <w:ind w:left="1400" w:right="719"/>
        <w:spacing w:after="0" w:line="147"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2"/>
          <w:szCs w:val="12"/>
          <w:color w:val="auto"/>
        </w:rPr>
        <w:t>☐</w:t>
      </w:r>
    </w:p>
    <w:p>
      <w:pPr>
        <w:spacing w:after="0" w:line="1"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w:t>
      </w:r>
    </w:p>
    <w:p>
      <w:pPr>
        <w:spacing w:after="0" w:line="6"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2"/>
          <w:szCs w:val="12"/>
          <w:color w:val="auto"/>
        </w:rPr>
        <w:t>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1400" w:type="dxa"/>
        <w:tblCellMar>
          <w:top w:w="0" w:type="dxa"/>
          <w:left w:w="0" w:type="dxa"/>
          <w:bottom w:w="0" w:type="dxa"/>
          <w:right w:w="0" w:type="dxa"/>
        </w:tblCellMar>
      </w:tblPr>
      <w:tr>
        <w:trPr>
          <w:trHeight w:val="197"/>
        </w:trPr>
        <w:tc>
          <w:tcPr>
            <w:tcW w:w="130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2800" w:type="dxa"/>
            <w:vAlign w:val="bottom"/>
          </w:tcPr>
          <w:p>
            <w:pPr>
              <w:ind w:left="240"/>
              <w:spacing w:after="0" w:line="121" w:lineRule="exact"/>
              <w:rPr>
                <w:sz w:val="20"/>
                <w:szCs w:val="20"/>
                <w:color w:val="auto"/>
              </w:rPr>
            </w:pPr>
            <w:r>
              <w:rPr>
                <w:rFonts w:ascii="MS PGothic" w:cs="MS PGothic" w:eastAsia="MS PGothic" w:hAnsi="MS PGothic"/>
                <w:sz w:val="12"/>
                <w:szCs w:val="12"/>
                <w:color w:val="auto"/>
              </w:rPr>
              <w:t>☐</w:t>
            </w:r>
          </w:p>
        </w:tc>
        <w:tc>
          <w:tcPr>
            <w:tcW w:w="3980" w:type="dxa"/>
            <w:vAlign w:val="bottom"/>
          </w:tcPr>
          <w:p>
            <w:pPr>
              <w:ind w:left="2440"/>
              <w:spacing w:after="0"/>
              <w:rPr>
                <w:sz w:val="20"/>
                <w:szCs w:val="20"/>
                <w:color w:val="auto"/>
              </w:rPr>
            </w:pPr>
            <w:r>
              <w:rPr>
                <w:rFonts w:ascii="Times New Roman" w:cs="Times New Roman" w:eastAsia="Times New Roman" w:hAnsi="Times New Roman"/>
                <w:sz w:val="12"/>
                <w:szCs w:val="12"/>
                <w:color w:val="auto"/>
              </w:rPr>
              <w:t>Accelerated filer</w:t>
            </w:r>
          </w:p>
        </w:tc>
        <w:tc>
          <w:tcPr>
            <w:tcW w:w="340" w:type="dxa"/>
            <w:vAlign w:val="bottom"/>
          </w:tcPr>
          <w:p>
            <w:pPr>
              <w:ind w:left="2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2800" w:type="dxa"/>
            <w:vAlign w:val="bottom"/>
          </w:tcPr>
          <w:p>
            <w:pPr>
              <w:ind w:left="240"/>
              <w:spacing w:after="0" w:line="121" w:lineRule="exact"/>
              <w:rPr>
                <w:sz w:val="20"/>
                <w:szCs w:val="20"/>
                <w:color w:val="auto"/>
              </w:rPr>
            </w:pPr>
            <w:r>
              <w:rPr>
                <w:rFonts w:ascii="MS PGothic" w:cs="MS PGothic" w:eastAsia="MS PGothic" w:hAnsi="MS PGothic"/>
                <w:sz w:val="12"/>
                <w:szCs w:val="12"/>
                <w:color w:val="auto"/>
              </w:rPr>
              <w:t>☒</w:t>
            </w:r>
          </w:p>
        </w:tc>
        <w:tc>
          <w:tcPr>
            <w:tcW w:w="3980" w:type="dxa"/>
            <w:vAlign w:val="bottom"/>
          </w:tcPr>
          <w:p>
            <w:pPr>
              <w:ind w:left="244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340" w:type="dxa"/>
            <w:vAlign w:val="bottom"/>
          </w:tcPr>
          <w:p>
            <w:pPr>
              <w:ind w:left="2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29"/>
        </w:trPr>
        <w:tc>
          <w:tcPr>
            <w:tcW w:w="13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980" w:type="dxa"/>
            <w:vAlign w:val="bottom"/>
          </w:tcPr>
          <w:p>
            <w:pPr>
              <w:ind w:left="2440"/>
              <w:spacing w:after="0"/>
              <w:rPr>
                <w:sz w:val="20"/>
                <w:szCs w:val="20"/>
                <w:color w:val="auto"/>
              </w:rPr>
            </w:pPr>
            <w:r>
              <w:rPr>
                <w:rFonts w:ascii="Times New Roman" w:cs="Times New Roman" w:eastAsia="Times New Roman" w:hAnsi="Times New Roman"/>
                <w:sz w:val="12"/>
                <w:szCs w:val="12"/>
                <w:color w:val="auto"/>
              </w:rPr>
              <w:t>Emerging growth company</w:t>
            </w:r>
          </w:p>
        </w:tc>
        <w:tc>
          <w:tcPr>
            <w:tcW w:w="340" w:type="dxa"/>
            <w:vAlign w:val="bottom"/>
          </w:tcPr>
          <w:p>
            <w:pPr>
              <w:ind w:left="240"/>
              <w:spacing w:after="0" w:line="111" w:lineRule="exact"/>
              <w:rPr>
                <w:sz w:val="20"/>
                <w:szCs w:val="20"/>
                <w:color w:val="auto"/>
              </w:rPr>
            </w:pPr>
            <w:r>
              <w:rPr>
                <w:rFonts w:ascii="MS PGothic" w:cs="MS PGothic" w:eastAsia="MS PGothic" w:hAnsi="MS PGothic"/>
                <w:sz w:val="11"/>
                <w:szCs w:val="11"/>
                <w:color w:val="auto"/>
                <w:w w:val="72"/>
              </w:rPr>
              <w:t>☒</w:t>
            </w:r>
          </w:p>
        </w:tc>
      </w:tr>
    </w:tbl>
    <w:p>
      <w:pPr>
        <w:ind w:left="1400" w:right="579"/>
        <w:spacing w:after="0" w:line="151"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893445</wp:posOffset>
            </wp:positionH>
            <wp:positionV relativeFrom="paragraph">
              <wp:posOffset>12065</wp:posOffset>
            </wp:positionV>
            <wp:extent cx="538797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87975" cy="635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45085</wp:posOffset>
            </wp:positionV>
            <wp:extent cx="538797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87975" cy="6350"/>
                    </a:xfrm>
                    <a:prstGeom prst="rect">
                      <a:avLst/>
                    </a:prstGeom>
                    <a:noFill/>
                  </pic:spPr>
                </pic:pic>
              </a:graphicData>
            </a:graphic>
          </wp:anchor>
        </w:drawing>
      </w:r>
    </w:p>
    <w:p>
      <w:pPr>
        <w:sectPr>
          <w:pgSz w:w="11900" w:h="16838" w:orient="portrait"/>
          <w:cols w:equalWidth="0" w:num="1">
            <w:col w:w="10159"/>
          </w:cols>
          <w:pgMar w:left="300" w:top="20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7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This registration statement contains three prospectuses:</w:t>
      </w:r>
    </w:p>
    <w:p>
      <w:pPr>
        <w:spacing w:after="0" w:line="99" w:lineRule="exact"/>
        <w:rPr>
          <w:sz w:val="20"/>
          <w:szCs w:val="20"/>
          <w:color w:val="auto"/>
        </w:rPr>
      </w:pPr>
    </w:p>
    <w:p>
      <w:pPr>
        <w:ind w:left="2160" w:right="479" w:hanging="342"/>
        <w:spacing w:after="0" w:line="278" w:lineRule="auto"/>
        <w:tabs>
          <w:tab w:leader="none" w:pos="21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base prospectus that covers the offering, sale and issuance by us of the securities identified in the base prospectus from time to time in one or more offerings (the “Base Prospectus”);</w:t>
      </w:r>
    </w:p>
    <w:p>
      <w:pPr>
        <w:spacing w:after="0" w:line="53" w:lineRule="exact"/>
        <w:rPr>
          <w:rFonts w:ascii="Times New Roman" w:cs="Times New Roman" w:eastAsia="Times New Roman" w:hAnsi="Times New Roman"/>
          <w:sz w:val="14"/>
          <w:szCs w:val="14"/>
          <w:color w:val="auto"/>
        </w:rPr>
      </w:pPr>
    </w:p>
    <w:p>
      <w:pPr>
        <w:ind w:left="2160" w:right="299" w:hanging="342"/>
        <w:spacing w:after="0" w:line="278" w:lineRule="auto"/>
        <w:tabs>
          <w:tab w:leader="none" w:pos="21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prospectus that covers the offering and sale by selling stockholders of Class A common stock from time to time (the “Selling Stockholder Prospectus”); and</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sales agreement prospectus, which covers the offering, sale and issuance by us of up to a maximum aggregate offering price of</w:t>
      </w:r>
    </w:p>
    <w:p>
      <w:pPr>
        <w:spacing w:after="0" w:line="20" w:lineRule="exact"/>
        <w:rPr>
          <w:rFonts w:ascii="Times New Roman" w:cs="Times New Roman" w:eastAsia="Times New Roman" w:hAnsi="Times New Roman"/>
          <w:sz w:val="14"/>
          <w:szCs w:val="14"/>
          <w:color w:val="auto"/>
        </w:rPr>
      </w:pPr>
    </w:p>
    <w:p>
      <w:pPr>
        <w:ind w:left="2160" w:right="379"/>
        <w:spacing w:after="0" w:line="21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$500,000,000 of our Class A common stock that may be issued and sold from time to time under a Controlled Equity Offering</w:t>
      </w:r>
      <w:r>
        <w:rPr>
          <w:rFonts w:ascii="Times New Roman" w:cs="Times New Roman" w:eastAsia="Times New Roman" w:hAnsi="Times New Roman"/>
          <w:sz w:val="20"/>
          <w:szCs w:val="20"/>
          <w:color w:val="auto"/>
          <w:vertAlign w:val="superscript"/>
        </w:rPr>
        <w:t>SM</w:t>
      </w:r>
      <w:r>
        <w:rPr>
          <w:rFonts w:ascii="Times New Roman" w:cs="Times New Roman" w:eastAsia="Times New Roman" w:hAnsi="Times New Roman"/>
          <w:sz w:val="14"/>
          <w:szCs w:val="14"/>
          <w:color w:val="auto"/>
        </w:rPr>
        <w:t xml:space="preserve"> sales agreement with Morgan Stanley &amp; Co. LLC, Cantor Fitzgerald &amp; Co., TD Securities (USA) LLC and Allen &amp; Company LLC (the “ATM Prospectus”).</w:t>
      </w:r>
    </w:p>
    <w:p>
      <w:pPr>
        <w:spacing w:after="0" w:line="151" w:lineRule="exact"/>
        <w:rPr>
          <w:sz w:val="20"/>
          <w:szCs w:val="20"/>
          <w:color w:val="auto"/>
        </w:rPr>
      </w:pPr>
    </w:p>
    <w:p>
      <w:pPr>
        <w:ind w:left="1400" w:right="319" w:firstLine="339"/>
        <w:spacing w:after="0" w:line="263" w:lineRule="auto"/>
        <w:rPr>
          <w:sz w:val="20"/>
          <w:szCs w:val="20"/>
          <w:color w:val="auto"/>
        </w:rPr>
      </w:pPr>
      <w:r>
        <w:rPr>
          <w:rFonts w:ascii="Times New Roman" w:cs="Times New Roman" w:eastAsia="Times New Roman" w:hAnsi="Times New Roman"/>
          <w:sz w:val="14"/>
          <w:szCs w:val="14"/>
          <w:color w:val="auto"/>
        </w:rPr>
        <w:t>The Base Prospectus immediately follows this explanatory note. The specific terms of any securities to be offered pursuant to the Base Prospectus will be specified in one or more prospectus supplements to the Base Prospectus. The Selling Stockholder Prospectus immediately follows the Base Prospectus.</w:t>
      </w:r>
    </w:p>
    <w:p>
      <w:pPr>
        <w:sectPr>
          <w:pgSz w:w="11900" w:h="16838" w:orient="portrait"/>
          <w:cols w:equalWidth="0" w:num="1">
            <w:col w:w="10159"/>
          </w:cols>
          <w:pgMar w:left="300" w:top="383"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2682875</wp:posOffset>
            </wp:positionH>
            <wp:positionV relativeFrom="paragraph">
              <wp:posOffset>73660</wp:posOffset>
            </wp:positionV>
            <wp:extent cx="1802765" cy="647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2765" cy="647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Class A Common Stock</w:t>
      </w:r>
    </w:p>
    <w:p>
      <w:pPr>
        <w:spacing w:after="0" w:line="3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Preferred Stock</w:t>
      </w:r>
    </w:p>
    <w:p>
      <w:pPr>
        <w:spacing w:after="0" w:line="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Debt Securities</w:t>
      </w:r>
    </w:p>
    <w:p>
      <w:pPr>
        <w:spacing w:after="0" w:line="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3019425</wp:posOffset>
            </wp:positionH>
            <wp:positionV relativeFrom="paragraph">
              <wp:posOffset>116205</wp:posOffset>
            </wp:positionV>
            <wp:extent cx="112903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242" w:lineRule="exact"/>
        <w:rPr>
          <w:sz w:val="20"/>
          <w:szCs w:val="20"/>
          <w:color w:val="auto"/>
        </w:rPr>
      </w:pPr>
    </w:p>
    <w:p>
      <w:pPr>
        <w:ind w:left="1400" w:right="319" w:firstLine="339"/>
        <w:spacing w:after="0" w:line="263" w:lineRule="auto"/>
        <w:rPr>
          <w:sz w:val="20"/>
          <w:szCs w:val="20"/>
          <w:color w:val="auto"/>
        </w:rPr>
      </w:pPr>
      <w:r>
        <w:rPr>
          <w:rFonts w:ascii="Times New Roman" w:cs="Times New Roman" w:eastAsia="Times New Roman" w:hAnsi="Times New Roman"/>
          <w:sz w:val="14"/>
          <w:szCs w:val="14"/>
          <w:color w:val="auto"/>
        </w:rPr>
        <w:t>From time to time, we may offer and sell any combination of the securities described in this prospectus, either individually or in combination with other securities. We may also offer common stock or preferred stock upon conversion of debt securities, common stock upon conversion of preferred stock, or common stock, preferred stock or debt securities upon the exercise of warrants.</w:t>
      </w:r>
    </w:p>
    <w:p>
      <w:pPr>
        <w:spacing w:after="0" w:line="53" w:lineRule="exact"/>
        <w:rPr>
          <w:sz w:val="20"/>
          <w:szCs w:val="20"/>
          <w:color w:val="auto"/>
        </w:rPr>
      </w:pPr>
    </w:p>
    <w:p>
      <w:pPr>
        <w:ind w:left="1400" w:right="339" w:firstLine="339"/>
        <w:spacing w:after="0" w:line="279" w:lineRule="auto"/>
        <w:rPr>
          <w:sz w:val="20"/>
          <w:szCs w:val="20"/>
          <w:color w:val="auto"/>
        </w:rPr>
      </w:pPr>
      <w:r>
        <w:rPr>
          <w:rFonts w:ascii="Times New Roman" w:cs="Times New Roman" w:eastAsia="Times New Roman" w:hAnsi="Times New Roman"/>
          <w:sz w:val="13"/>
          <w:szCs w:val="13"/>
          <w:color w:val="auto"/>
        </w:rPr>
        <w:t>Each time we sell securities pursuant to this prospectus, we will provide the specific terms of these offerings and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or in the documents that we have incorporated by reference into this prospectus. You should carefully read this prospectus, the applicable prospectus supplement and any related free writing prospectus, as well as the documents incorporated by reference, before buying any of the securities being offered.</w:t>
      </w:r>
    </w:p>
    <w:p>
      <w:pPr>
        <w:spacing w:after="0" w:line="46" w:lineRule="exact"/>
        <w:rPr>
          <w:sz w:val="20"/>
          <w:szCs w:val="20"/>
          <w:color w:val="auto"/>
        </w:rPr>
      </w:pPr>
    </w:p>
    <w:p>
      <w:pPr>
        <w:ind w:left="1400" w:right="419" w:firstLine="339"/>
        <w:spacing w:after="0" w:line="258" w:lineRule="auto"/>
        <w:rPr>
          <w:sz w:val="20"/>
          <w:szCs w:val="20"/>
          <w:color w:val="auto"/>
        </w:rPr>
      </w:pPr>
      <w:r>
        <w:rPr>
          <w:rFonts w:ascii="Times New Roman" w:cs="Times New Roman" w:eastAsia="Times New Roman" w:hAnsi="Times New Roman"/>
          <w:sz w:val="14"/>
          <w:szCs w:val="14"/>
          <w:color w:val="auto"/>
        </w:rPr>
        <w:t>Our Class A common stock is listed on the Nasdaq Global Select Market under the trading symbol “TEM.” On August 7, 2025, the last reported sale price of our Class A common stock was $58.74 per share. The applicable prospectus supplement will contain information, where applicable, as to other listings, if any, on the Nasdaq Global Select Market or any other securities exchange of the securities covered by the applicable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3019425</wp:posOffset>
            </wp:positionH>
            <wp:positionV relativeFrom="paragraph">
              <wp:posOffset>111125</wp:posOffset>
            </wp:positionV>
            <wp:extent cx="112903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232" w:lineRule="exact"/>
        <w:rPr>
          <w:sz w:val="20"/>
          <w:szCs w:val="20"/>
          <w:color w:val="auto"/>
        </w:rPr>
      </w:pPr>
    </w:p>
    <w:p>
      <w:pPr>
        <w:ind w:left="1400" w:right="339" w:firstLine="33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Investing in our securities involves a high degree of risk. You should review carefully the risks and uncertainties described in the section titled “</w:t>
      </w:r>
      <w:r>
        <w:rPr>
          <w:rFonts w:ascii="Times New Roman" w:cs="Times New Roman" w:eastAsia="Times New Roman" w:hAnsi="Times New Roman"/>
          <w:sz w:val="14"/>
          <w:szCs w:val="14"/>
          <w:b w:val="1"/>
          <w:bCs w:val="1"/>
          <w:i w:val="1"/>
          <w:iCs w:val="1"/>
          <w:u w:val="single" w:color="auto"/>
          <w:color w:val="0000EE"/>
        </w:rPr>
        <w:t>Risk Factors</w:t>
      </w:r>
      <w:r>
        <w:rPr>
          <w:rFonts w:ascii="Times New Roman" w:cs="Times New Roman" w:eastAsia="Times New Roman" w:hAnsi="Times New Roman"/>
          <w:sz w:val="14"/>
          <w:szCs w:val="14"/>
          <w:b w:val="1"/>
          <w:bCs w:val="1"/>
          <w:i w:val="1"/>
          <w:iCs w:val="1"/>
          <w:color w:val="auto"/>
        </w:rPr>
        <w:t>” on page 6 of this prospectus and contained in the applicable prospectus supplement and in any free writing prospectuses we have authorized for use in connection with a specific offering, and under similar headings in the documents that are incorporated by reference into this prospectus.</w:t>
      </w:r>
    </w:p>
    <w:p>
      <w:pPr>
        <w:spacing w:after="0" w:line="5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This prospectus may not be used to consummate a sale of securities unless accompanied by a prospectus supplement.</w:t>
      </w:r>
    </w:p>
    <w:p>
      <w:pPr>
        <w:spacing w:after="0" w:line="89" w:lineRule="exact"/>
        <w:rPr>
          <w:sz w:val="20"/>
          <w:szCs w:val="20"/>
          <w:color w:val="auto"/>
        </w:rPr>
      </w:pPr>
    </w:p>
    <w:p>
      <w:pPr>
        <w:ind w:left="1400" w:right="419" w:firstLine="339"/>
        <w:spacing w:after="0" w:line="254" w:lineRule="auto"/>
        <w:rPr>
          <w:sz w:val="20"/>
          <w:szCs w:val="20"/>
          <w:color w:val="auto"/>
        </w:rPr>
      </w:pPr>
      <w:r>
        <w:rPr>
          <w:rFonts w:ascii="Times New Roman" w:cs="Times New Roman" w:eastAsia="Times New Roman" w:hAnsi="Times New Roman"/>
          <w:sz w:val="14"/>
          <w:szCs w:val="14"/>
          <w:color w:val="auto"/>
        </w:rPr>
        <w:t>The securities may be sold directly to investors, through agents designated from time to time or to or through underwriters or dealers, on a continuous or delayed basis. For additional information on the methods of sale, you should refer to the section entitled “Plan of Distribution” in this prospectus. If any agents, underwriters or dealers are involved in the sale of any securities with respect to which this prospectus is being delivered, the names of such agents, underwriters or dealers and any applicable fees, commissions, discounts and over-allotment options will be set forth in a prospectus supplement. The price to the public of such securities and the net proceeds we expect to receive from such sale will also be set forth in a prospectus supplement.</w:t>
      </w:r>
    </w:p>
    <w:p>
      <w:pPr>
        <w:spacing w:after="0" w:line="57" w:lineRule="exact"/>
        <w:rPr>
          <w:sz w:val="20"/>
          <w:szCs w:val="20"/>
          <w:color w:val="auto"/>
        </w:rPr>
      </w:pPr>
    </w:p>
    <w:p>
      <w:pPr>
        <w:ind w:left="1400" w:right="379" w:firstLine="339"/>
        <w:spacing w:after="0" w:line="281"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3019425</wp:posOffset>
            </wp:positionH>
            <wp:positionV relativeFrom="paragraph">
              <wp:posOffset>94615</wp:posOffset>
            </wp:positionV>
            <wp:extent cx="112903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20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The date of this prospectus is August 8, 2025.</w:t>
      </w:r>
    </w:p>
    <w:p>
      <w:pPr>
        <w:sectPr>
          <w:pgSz w:w="11900" w:h="16838" w:orient="portrait"/>
          <w:cols w:equalWidth="0" w:num="1">
            <w:col w:w="10159"/>
          </w:cols>
          <w:pgMar w:left="300" w:top="383"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90" w:lineRule="exact"/>
        <w:rPr>
          <w:sz w:val="20"/>
          <w:szCs w:val="20"/>
          <w:color w:val="auto"/>
        </w:rPr>
      </w:pPr>
    </w:p>
    <w:tbl>
      <w:tblPr>
        <w:tblLayout w:type="fixed"/>
        <w:tblInd w:w="1400" w:type="dxa"/>
        <w:tblCellMar>
          <w:top w:w="0" w:type="dxa"/>
          <w:left w:w="0" w:type="dxa"/>
          <w:bottom w:w="0" w:type="dxa"/>
          <w:right w:w="0" w:type="dxa"/>
        </w:tblCellMar>
      </w:tblPr>
      <w:tr>
        <w:trPr>
          <w:trHeight w:val="145"/>
        </w:trPr>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207"/>
        </w:trPr>
        <w:tc>
          <w:tcPr>
            <w:tcW w:w="17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4"/>
                <w:szCs w:val="14"/>
                <w:color w:val="0000EE"/>
                <w:w w:val="97"/>
              </w:rPr>
              <w:t>ABOUT THIS PROSPECTUS</w:t>
            </w:r>
          </w:p>
        </w:tc>
        <w:tc>
          <w:tcPr>
            <w:tcW w:w="4440" w:type="dxa"/>
            <w:vAlign w:val="bottom"/>
            <w:gridSpan w:val="8"/>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w:t>
            </w:r>
          </w:p>
        </w:tc>
      </w:tr>
      <w:tr>
        <w:trPr>
          <w:trHeight w:val="146"/>
        </w:trPr>
        <w:tc>
          <w:tcPr>
            <w:tcW w:w="6160" w:type="dxa"/>
            <w:vAlign w:val="bottom"/>
            <w:gridSpan w:val="15"/>
          </w:tcPr>
          <w:p>
            <w:pPr>
              <w:spacing w:after="0" w:line="147" w:lineRule="exact"/>
              <w:rPr>
                <w:sz w:val="20"/>
                <w:szCs w:val="20"/>
                <w:color w:val="auto"/>
              </w:rPr>
            </w:pPr>
            <w:r>
              <w:rPr>
                <w:rFonts w:ascii="Times New Roman" w:cs="Times New Roman" w:eastAsia="Times New Roman" w:hAnsi="Times New Roman"/>
                <w:sz w:val="14"/>
                <w:szCs w:val="14"/>
                <w:color w:val="0000EE"/>
              </w:rPr>
              <w:t>SPECIAL NOTE REGARDING FORWARD-LOOKING STATEMENTS</w:t>
            </w: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iii</w:t>
            </w:r>
          </w:p>
        </w:tc>
      </w:tr>
      <w:tr>
        <w:trPr>
          <w:trHeight w:val="146"/>
        </w:trPr>
        <w:tc>
          <w:tcPr>
            <w:tcW w:w="4100" w:type="dxa"/>
            <w:vAlign w:val="bottom"/>
            <w:tcBorders>
              <w:top w:val="single" w:sz="8" w:color="0000EE"/>
            </w:tcBorders>
            <w:gridSpan w:val="14"/>
          </w:tcPr>
          <w:p>
            <w:pPr>
              <w:spacing w:after="0" w:line="147" w:lineRule="exact"/>
              <w:rPr>
                <w:sz w:val="20"/>
                <w:szCs w:val="20"/>
                <w:color w:val="auto"/>
              </w:rPr>
            </w:pPr>
            <w:r>
              <w:rPr>
                <w:rFonts w:ascii="Times New Roman" w:cs="Times New Roman" w:eastAsia="Times New Roman" w:hAnsi="Times New Roman"/>
                <w:sz w:val="14"/>
                <w:szCs w:val="14"/>
                <w:color w:val="0000EE"/>
              </w:rPr>
              <w:t>PROSPECTUS SUMMARY</w:t>
            </w:r>
          </w:p>
        </w:tc>
        <w:tc>
          <w:tcPr>
            <w:tcW w:w="2060" w:type="dxa"/>
            <w:vAlign w:val="bottom"/>
          </w:tcPr>
          <w:p>
            <w:pPr>
              <w:spacing w:after="0"/>
              <w:rPr>
                <w:sz w:val="12"/>
                <w:szCs w:val="12"/>
                <w:color w:val="auto"/>
              </w:rPr>
            </w:pP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w:t>
            </w:r>
          </w:p>
        </w:tc>
      </w:tr>
      <w:tr>
        <w:trPr>
          <w:trHeight w:val="146"/>
        </w:trPr>
        <w:tc>
          <w:tcPr>
            <w:tcW w:w="1600" w:type="dxa"/>
            <w:vAlign w:val="bottom"/>
            <w:tcBorders>
              <w:top w:val="single" w:sz="8" w:color="0000EE"/>
            </w:tcBorders>
            <w:gridSpan w:val="6"/>
          </w:tcPr>
          <w:p>
            <w:pPr>
              <w:spacing w:after="0" w:line="147" w:lineRule="exact"/>
              <w:rPr>
                <w:sz w:val="20"/>
                <w:szCs w:val="20"/>
                <w:color w:val="auto"/>
              </w:rPr>
            </w:pPr>
            <w:r>
              <w:rPr>
                <w:rFonts w:ascii="Times New Roman" w:cs="Times New Roman" w:eastAsia="Times New Roman" w:hAnsi="Times New Roman"/>
                <w:sz w:val="14"/>
                <w:szCs w:val="14"/>
                <w:color w:val="0000EE"/>
              </w:rPr>
              <w:t>RISK FACTORS</w:t>
            </w:r>
          </w:p>
        </w:tc>
        <w:tc>
          <w:tcPr>
            <w:tcW w:w="4560" w:type="dxa"/>
            <w:vAlign w:val="bottom"/>
            <w:gridSpan w:val="9"/>
          </w:tcPr>
          <w:p>
            <w:pPr>
              <w:spacing w:after="0"/>
              <w:rPr>
                <w:sz w:val="12"/>
                <w:szCs w:val="12"/>
                <w:color w:val="auto"/>
              </w:rPr>
            </w:pP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w:t>
            </w:r>
          </w:p>
        </w:tc>
      </w:tr>
      <w:tr>
        <w:trPr>
          <w:trHeight w:val="20"/>
        </w:trPr>
        <w:tc>
          <w:tcPr>
            <w:tcW w:w="6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46"/>
        </w:trPr>
        <w:tc>
          <w:tcPr>
            <w:tcW w:w="1220" w:type="dxa"/>
            <w:vAlign w:val="bottom"/>
            <w:tcBorders>
              <w:bottom w:val="single" w:sz="8" w:color="0000EE"/>
            </w:tcBorders>
            <w:gridSpan w:val="4"/>
          </w:tcPr>
          <w:p>
            <w:pPr>
              <w:spacing w:after="0" w:line="147" w:lineRule="exact"/>
              <w:rPr>
                <w:sz w:val="20"/>
                <w:szCs w:val="20"/>
                <w:color w:val="auto"/>
              </w:rPr>
            </w:pPr>
            <w:r>
              <w:rPr>
                <w:rFonts w:ascii="Times New Roman" w:cs="Times New Roman" w:eastAsia="Times New Roman" w:hAnsi="Times New Roman"/>
                <w:sz w:val="14"/>
                <w:szCs w:val="14"/>
                <w:color w:val="0000EE"/>
                <w:w w:val="97"/>
              </w:rPr>
              <w:t>USE OF PROCEEDS</w:t>
            </w:r>
          </w:p>
        </w:tc>
        <w:tc>
          <w:tcPr>
            <w:tcW w:w="4940" w:type="dxa"/>
            <w:vAlign w:val="bottom"/>
            <w:gridSpan w:val="11"/>
          </w:tcPr>
          <w:p>
            <w:pPr>
              <w:spacing w:after="0"/>
              <w:rPr>
                <w:sz w:val="12"/>
                <w:szCs w:val="12"/>
                <w:color w:val="auto"/>
              </w:rPr>
            </w:pP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w:t>
            </w:r>
          </w:p>
        </w:tc>
      </w:tr>
      <w:tr>
        <w:trPr>
          <w:trHeight w:val="146"/>
        </w:trPr>
        <w:tc>
          <w:tcPr>
            <w:tcW w:w="6160" w:type="dxa"/>
            <w:vAlign w:val="bottom"/>
            <w:gridSpan w:val="15"/>
          </w:tcPr>
          <w:p>
            <w:pPr>
              <w:spacing w:after="0" w:line="147" w:lineRule="exact"/>
              <w:rPr>
                <w:sz w:val="20"/>
                <w:szCs w:val="20"/>
                <w:color w:val="auto"/>
              </w:rPr>
            </w:pPr>
            <w:r>
              <w:rPr>
                <w:rFonts w:ascii="Times New Roman" w:cs="Times New Roman" w:eastAsia="Times New Roman" w:hAnsi="Times New Roman"/>
                <w:sz w:val="14"/>
                <w:szCs w:val="14"/>
                <w:color w:val="0000EE"/>
              </w:rPr>
              <w:t>DESCRIPTION OF CAPITAL STOCK</w:t>
            </w: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8</w:t>
            </w:r>
          </w:p>
        </w:tc>
      </w:tr>
      <w:tr>
        <w:trPr>
          <w:trHeight w:val="20"/>
        </w:trPr>
        <w:tc>
          <w:tcPr>
            <w:tcW w:w="6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46"/>
        </w:trPr>
        <w:tc>
          <w:tcPr>
            <w:tcW w:w="2360" w:type="dxa"/>
            <w:vAlign w:val="bottom"/>
            <w:tcBorders>
              <w:bottom w:val="single" w:sz="8" w:color="0000EE"/>
            </w:tcBorders>
            <w:gridSpan w:val="11"/>
          </w:tcPr>
          <w:p>
            <w:pPr>
              <w:spacing w:after="0" w:line="147" w:lineRule="exact"/>
              <w:rPr>
                <w:sz w:val="20"/>
                <w:szCs w:val="20"/>
                <w:color w:val="auto"/>
              </w:rPr>
            </w:pPr>
            <w:r>
              <w:rPr>
                <w:rFonts w:ascii="Times New Roman" w:cs="Times New Roman" w:eastAsia="Times New Roman" w:hAnsi="Times New Roman"/>
                <w:sz w:val="14"/>
                <w:szCs w:val="14"/>
                <w:color w:val="0000EE"/>
                <w:w w:val="99"/>
              </w:rPr>
              <w:t>DESCRIPTION OF DEBT SECURITIES</w:t>
            </w:r>
          </w:p>
        </w:tc>
        <w:tc>
          <w:tcPr>
            <w:tcW w:w="3800" w:type="dxa"/>
            <w:vAlign w:val="bottom"/>
            <w:gridSpan w:val="4"/>
          </w:tcPr>
          <w:p>
            <w:pPr>
              <w:spacing w:after="0"/>
              <w:rPr>
                <w:sz w:val="12"/>
                <w:szCs w:val="12"/>
                <w:color w:val="auto"/>
              </w:rPr>
            </w:pP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14</w:t>
            </w:r>
          </w:p>
        </w:tc>
      </w:tr>
      <w:tr>
        <w:trPr>
          <w:trHeight w:val="146"/>
        </w:trPr>
        <w:tc>
          <w:tcPr>
            <w:tcW w:w="1920" w:type="dxa"/>
            <w:vAlign w:val="bottom"/>
            <w:tcBorders>
              <w:bottom w:val="single" w:sz="8" w:color="0000EE"/>
            </w:tcBorders>
            <w:gridSpan w:val="8"/>
          </w:tcPr>
          <w:p>
            <w:pPr>
              <w:spacing w:after="0" w:line="147" w:lineRule="exact"/>
              <w:rPr>
                <w:sz w:val="20"/>
                <w:szCs w:val="20"/>
                <w:color w:val="auto"/>
              </w:rPr>
            </w:pPr>
            <w:r>
              <w:rPr>
                <w:rFonts w:ascii="Times New Roman" w:cs="Times New Roman" w:eastAsia="Times New Roman" w:hAnsi="Times New Roman"/>
                <w:sz w:val="14"/>
                <w:szCs w:val="14"/>
                <w:color w:val="0000EE"/>
                <w:w w:val="97"/>
              </w:rPr>
              <w:t>DESCRIPTION OF WARRANTS</w:t>
            </w:r>
          </w:p>
        </w:tc>
        <w:tc>
          <w:tcPr>
            <w:tcW w:w="4240" w:type="dxa"/>
            <w:vAlign w:val="bottom"/>
            <w:gridSpan w:val="7"/>
          </w:tcPr>
          <w:p>
            <w:pPr>
              <w:spacing w:after="0"/>
              <w:rPr>
                <w:sz w:val="12"/>
                <w:szCs w:val="12"/>
                <w:color w:val="auto"/>
              </w:rPr>
            </w:pP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21</w:t>
            </w:r>
          </w:p>
        </w:tc>
      </w:tr>
      <w:tr>
        <w:trPr>
          <w:trHeight w:val="146"/>
        </w:trPr>
        <w:tc>
          <w:tcPr>
            <w:tcW w:w="2340" w:type="dxa"/>
            <w:vAlign w:val="bottom"/>
            <w:tcBorders>
              <w:bottom w:val="single" w:sz="8" w:color="0000EE"/>
            </w:tcBorders>
            <w:gridSpan w:val="10"/>
          </w:tcPr>
          <w:p>
            <w:pPr>
              <w:spacing w:after="0" w:line="147" w:lineRule="exact"/>
              <w:rPr>
                <w:sz w:val="20"/>
                <w:szCs w:val="20"/>
                <w:color w:val="auto"/>
              </w:rPr>
            </w:pPr>
            <w:r>
              <w:rPr>
                <w:rFonts w:ascii="Times New Roman" w:cs="Times New Roman" w:eastAsia="Times New Roman" w:hAnsi="Times New Roman"/>
                <w:sz w:val="14"/>
                <w:szCs w:val="14"/>
                <w:color w:val="0000EE"/>
                <w:w w:val="98"/>
              </w:rPr>
              <w:t>LEGAL OWNERSHIP OF SECURITIES</w:t>
            </w:r>
          </w:p>
        </w:tc>
        <w:tc>
          <w:tcPr>
            <w:tcW w:w="3820" w:type="dxa"/>
            <w:vAlign w:val="bottom"/>
            <w:gridSpan w:val="5"/>
          </w:tcPr>
          <w:p>
            <w:pPr>
              <w:spacing w:after="0"/>
              <w:rPr>
                <w:sz w:val="12"/>
                <w:szCs w:val="12"/>
                <w:color w:val="auto"/>
              </w:rPr>
            </w:pP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23</w:t>
            </w:r>
          </w:p>
        </w:tc>
      </w:tr>
      <w:tr>
        <w:trPr>
          <w:trHeight w:val="146"/>
        </w:trPr>
        <w:tc>
          <w:tcPr>
            <w:tcW w:w="1580" w:type="dxa"/>
            <w:vAlign w:val="bottom"/>
            <w:tcBorders>
              <w:bottom w:val="single" w:sz="8" w:color="0000EE"/>
            </w:tcBorders>
            <w:gridSpan w:val="5"/>
          </w:tcPr>
          <w:p>
            <w:pPr>
              <w:spacing w:after="0" w:line="147" w:lineRule="exact"/>
              <w:rPr>
                <w:sz w:val="20"/>
                <w:szCs w:val="20"/>
                <w:color w:val="auto"/>
              </w:rPr>
            </w:pPr>
            <w:r>
              <w:rPr>
                <w:rFonts w:ascii="Times New Roman" w:cs="Times New Roman" w:eastAsia="Times New Roman" w:hAnsi="Times New Roman"/>
                <w:sz w:val="14"/>
                <w:szCs w:val="14"/>
                <w:color w:val="0000EE"/>
                <w:w w:val="97"/>
              </w:rPr>
              <w:t>PLAN OF DISTRIBUTION</w:t>
            </w:r>
          </w:p>
        </w:tc>
        <w:tc>
          <w:tcPr>
            <w:tcW w:w="4580" w:type="dxa"/>
            <w:vAlign w:val="bottom"/>
            <w:gridSpan w:val="10"/>
          </w:tcPr>
          <w:p>
            <w:pPr>
              <w:spacing w:after="0"/>
              <w:rPr>
                <w:sz w:val="12"/>
                <w:szCs w:val="12"/>
                <w:color w:val="auto"/>
              </w:rPr>
            </w:pP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27</w:t>
            </w:r>
          </w:p>
        </w:tc>
      </w:tr>
      <w:tr>
        <w:trPr>
          <w:trHeight w:val="146"/>
        </w:trPr>
        <w:tc>
          <w:tcPr>
            <w:tcW w:w="6160" w:type="dxa"/>
            <w:vAlign w:val="bottom"/>
            <w:gridSpan w:val="15"/>
          </w:tcPr>
          <w:p>
            <w:pPr>
              <w:spacing w:after="0" w:line="147" w:lineRule="exact"/>
              <w:rPr>
                <w:sz w:val="20"/>
                <w:szCs w:val="20"/>
                <w:color w:val="auto"/>
              </w:rPr>
            </w:pPr>
            <w:r>
              <w:rPr>
                <w:rFonts w:ascii="Times New Roman" w:cs="Times New Roman" w:eastAsia="Times New Roman" w:hAnsi="Times New Roman"/>
                <w:sz w:val="14"/>
                <w:szCs w:val="14"/>
                <w:color w:val="0000EE"/>
              </w:rPr>
              <w:t>LEGAL MATTERS</w:t>
            </w: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29</w:t>
            </w:r>
          </w:p>
        </w:tc>
      </w:tr>
      <w:tr>
        <w:trPr>
          <w:trHeight w:val="146"/>
        </w:trPr>
        <w:tc>
          <w:tcPr>
            <w:tcW w:w="600" w:type="dxa"/>
            <w:vAlign w:val="bottom"/>
            <w:tcBorders>
              <w:top w:val="single" w:sz="8" w:color="0000EE"/>
              <w:bottom w:val="single" w:sz="8" w:color="0000EE"/>
            </w:tcBorders>
          </w:tcPr>
          <w:p>
            <w:pPr>
              <w:spacing w:after="0" w:line="147" w:lineRule="exact"/>
              <w:rPr>
                <w:sz w:val="20"/>
                <w:szCs w:val="20"/>
                <w:color w:val="auto"/>
              </w:rPr>
            </w:pPr>
            <w:r>
              <w:rPr>
                <w:rFonts w:ascii="Times New Roman" w:cs="Times New Roman" w:eastAsia="Times New Roman" w:hAnsi="Times New Roman"/>
                <w:sz w:val="14"/>
                <w:szCs w:val="14"/>
                <w:color w:val="0000EE"/>
                <w:w w:val="95"/>
              </w:rPr>
              <w:t>EXPERTS</w:t>
            </w:r>
          </w:p>
        </w:tc>
        <w:tc>
          <w:tcPr>
            <w:tcW w:w="520" w:type="dxa"/>
            <w:vAlign w:val="bottom"/>
            <w:tcBorders>
              <w:top w:val="single" w:sz="8" w:color="0000EE"/>
            </w:tcBorders>
            <w:gridSpan w:val="2"/>
          </w:tcPr>
          <w:p>
            <w:pPr>
              <w:spacing w:after="0"/>
              <w:rPr>
                <w:sz w:val="12"/>
                <w:szCs w:val="12"/>
                <w:color w:val="auto"/>
              </w:rPr>
            </w:pPr>
          </w:p>
        </w:tc>
        <w:tc>
          <w:tcPr>
            <w:tcW w:w="5040" w:type="dxa"/>
            <w:vAlign w:val="bottom"/>
            <w:gridSpan w:val="12"/>
          </w:tcPr>
          <w:p>
            <w:pPr>
              <w:spacing w:after="0"/>
              <w:rPr>
                <w:sz w:val="12"/>
                <w:szCs w:val="12"/>
                <w:color w:val="auto"/>
              </w:rPr>
            </w:pP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29</w:t>
            </w:r>
          </w:p>
        </w:tc>
      </w:tr>
      <w:tr>
        <w:trPr>
          <w:trHeight w:val="146"/>
        </w:trPr>
        <w:tc>
          <w:tcPr>
            <w:tcW w:w="2940" w:type="dxa"/>
            <w:vAlign w:val="bottom"/>
            <w:tcBorders>
              <w:bottom w:val="single" w:sz="8" w:color="0000EE"/>
            </w:tcBorders>
            <w:gridSpan w:val="12"/>
          </w:tcPr>
          <w:p>
            <w:pPr>
              <w:spacing w:after="0" w:line="147" w:lineRule="exact"/>
              <w:rPr>
                <w:sz w:val="20"/>
                <w:szCs w:val="20"/>
                <w:color w:val="auto"/>
              </w:rPr>
            </w:pPr>
            <w:r>
              <w:rPr>
                <w:rFonts w:ascii="Times New Roman" w:cs="Times New Roman" w:eastAsia="Times New Roman" w:hAnsi="Times New Roman"/>
                <w:sz w:val="14"/>
                <w:szCs w:val="14"/>
                <w:color w:val="0000EE"/>
                <w:w w:val="97"/>
              </w:rPr>
              <w:t>WHERE YOU CAN FIND MORE INFORMATION</w:t>
            </w:r>
          </w:p>
        </w:tc>
        <w:tc>
          <w:tcPr>
            <w:tcW w:w="3220" w:type="dxa"/>
            <w:vAlign w:val="bottom"/>
            <w:gridSpan w:val="3"/>
          </w:tcPr>
          <w:p>
            <w:pPr>
              <w:spacing w:after="0"/>
              <w:rPr>
                <w:sz w:val="12"/>
                <w:szCs w:val="12"/>
                <w:color w:val="auto"/>
              </w:rPr>
            </w:pP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29</w:t>
            </w:r>
          </w:p>
        </w:tc>
      </w:tr>
      <w:tr>
        <w:trPr>
          <w:trHeight w:val="146"/>
        </w:trPr>
        <w:tc>
          <w:tcPr>
            <w:tcW w:w="4000" w:type="dxa"/>
            <w:vAlign w:val="bottom"/>
            <w:tcBorders>
              <w:bottom w:val="single" w:sz="8" w:color="0000EE"/>
            </w:tcBorders>
            <w:gridSpan w:val="13"/>
          </w:tcPr>
          <w:p>
            <w:pPr>
              <w:spacing w:after="0" w:line="147" w:lineRule="exact"/>
              <w:rPr>
                <w:sz w:val="20"/>
                <w:szCs w:val="20"/>
                <w:color w:val="auto"/>
              </w:rPr>
            </w:pPr>
            <w:r>
              <w:rPr>
                <w:rFonts w:ascii="Times New Roman" w:cs="Times New Roman" w:eastAsia="Times New Roman" w:hAnsi="Times New Roman"/>
                <w:sz w:val="14"/>
                <w:szCs w:val="14"/>
                <w:color w:val="0000EE"/>
                <w:w w:val="97"/>
              </w:rPr>
              <w:t>INCORPORATION OF CERTAIN INFORMATION BY REFERENCE</w:t>
            </w:r>
          </w:p>
        </w:tc>
        <w:tc>
          <w:tcPr>
            <w:tcW w:w="2160" w:type="dxa"/>
            <w:vAlign w:val="bottom"/>
            <w:gridSpan w:val="2"/>
          </w:tcPr>
          <w:p>
            <w:pPr>
              <w:spacing w:after="0"/>
              <w:rPr>
                <w:sz w:val="12"/>
                <w:szCs w:val="12"/>
                <w:color w:val="auto"/>
              </w:rPr>
            </w:pP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30</w:t>
            </w:r>
          </w:p>
        </w:tc>
      </w:tr>
    </w:tbl>
    <w:p>
      <w:pPr>
        <w:sectPr>
          <w:pgSz w:w="11900" w:h="16838" w:orient="portrait"/>
          <w:cols w:equalWidth="0" w:num="1">
            <w:col w:w="10159"/>
          </w:cols>
          <w:pgMar w:left="300" w:top="383"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4" w:lineRule="exact"/>
        <w:rPr>
          <w:sz w:val="20"/>
          <w:szCs w:val="20"/>
          <w:color w:val="auto"/>
        </w:rPr>
      </w:pPr>
    </w:p>
    <w:p>
      <w:pPr>
        <w:ind w:left="1400" w:right="299" w:firstLine="339"/>
        <w:spacing w:after="0" w:line="254" w:lineRule="auto"/>
        <w:rPr>
          <w:sz w:val="20"/>
          <w:szCs w:val="20"/>
          <w:color w:val="auto"/>
        </w:rPr>
      </w:pPr>
      <w:r>
        <w:rPr>
          <w:rFonts w:ascii="Times New Roman" w:cs="Times New Roman" w:eastAsia="Times New Roman" w:hAnsi="Times New Roman"/>
          <w:sz w:val="14"/>
          <w:szCs w:val="14"/>
          <w:color w:val="auto"/>
        </w:rPr>
        <w:t>This prospectus is part of a registration statement on Form S-3 that we filed with the Securities and Exchange Commission (the “SEC”) utilizing a “shelf” registration process as a “well-known seasoned issuer” as defined in Rule 405 under the Securities Act of 1933, as amended (the “Securities Act”). Under this shelf registration process, we may offer and sell shares of our common stock and preferred stock, various series of debt securities and/or warrants to purchase any of such securities, either individually or in combination with other securities, in one or more offerings. There is no limit on the aggregate amount of the securities that we may offer pursuant to the registration statement of which this prospectus is a part. This prospectus provides you with a general description of the securities we may offer.</w:t>
      </w:r>
    </w:p>
    <w:p>
      <w:pPr>
        <w:spacing w:after="0" w:line="142" w:lineRule="exact"/>
        <w:rPr>
          <w:sz w:val="20"/>
          <w:szCs w:val="20"/>
          <w:color w:val="auto"/>
        </w:rPr>
      </w:pPr>
    </w:p>
    <w:p>
      <w:pPr>
        <w:ind w:left="1400" w:right="299" w:firstLine="339"/>
        <w:spacing w:after="0" w:line="253" w:lineRule="auto"/>
        <w:rPr>
          <w:sz w:val="20"/>
          <w:szCs w:val="20"/>
          <w:color w:val="auto"/>
        </w:rPr>
      </w:pPr>
      <w:r>
        <w:rPr>
          <w:rFonts w:ascii="Times New Roman" w:cs="Times New Roman" w:eastAsia="Times New Roman" w:hAnsi="Times New Roman"/>
          <w:sz w:val="14"/>
          <w:szCs w:val="14"/>
          <w:color w:val="auto"/>
        </w:rPr>
        <w:t>Each time we offer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We urge you to read carefully this prospectus, any applicable prospectus supplement and any free writing prospectuses we have authorized for use in connection with a specific offering, together with the information incorporated herein by reference as described in the section titled “Incorporation of Certain Information by Reference,” before buying any of the securities being offered.</w:t>
      </w:r>
    </w:p>
    <w:p>
      <w:pPr>
        <w:spacing w:after="0" w:line="14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color w:val="auto"/>
        </w:rPr>
        <w:t>This prospectus may not be used to consummate a sale of securities unless it is accompanied by a prospectus supplement.</w:t>
      </w:r>
    </w:p>
    <w:p>
      <w:pPr>
        <w:spacing w:after="0" w:line="174" w:lineRule="exact"/>
        <w:rPr>
          <w:sz w:val="20"/>
          <w:szCs w:val="20"/>
          <w:color w:val="auto"/>
        </w:rPr>
      </w:pPr>
    </w:p>
    <w:p>
      <w:pPr>
        <w:ind w:left="1400" w:right="299" w:firstLine="339"/>
        <w:spacing w:after="0" w:line="258" w:lineRule="auto"/>
        <w:rPr>
          <w:sz w:val="20"/>
          <w:szCs w:val="20"/>
          <w:color w:val="auto"/>
        </w:rPr>
      </w:pPr>
      <w:r>
        <w:rPr>
          <w:rFonts w:ascii="Times New Roman" w:cs="Times New Roman" w:eastAsia="Times New Roman" w:hAnsi="Times New Roman"/>
          <w:sz w:val="14"/>
          <w:szCs w:val="14"/>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This prospectus is an offer to sell only the securities offered hereby, but only under circumstances and in jurisdictions where it is lawful to do so.</w:t>
      </w:r>
    </w:p>
    <w:p>
      <w:pPr>
        <w:spacing w:after="0" w:line="140" w:lineRule="exact"/>
        <w:rPr>
          <w:sz w:val="20"/>
          <w:szCs w:val="20"/>
          <w:color w:val="auto"/>
        </w:rPr>
      </w:pPr>
    </w:p>
    <w:p>
      <w:pPr>
        <w:ind w:left="1400" w:right="359" w:firstLine="339"/>
        <w:spacing w:after="0" w:line="258" w:lineRule="auto"/>
        <w:rPr>
          <w:sz w:val="20"/>
          <w:szCs w:val="20"/>
          <w:color w:val="auto"/>
        </w:rPr>
      </w:pPr>
      <w:r>
        <w:rPr>
          <w:rFonts w:ascii="Times New Roman" w:cs="Times New Roman" w:eastAsia="Times New Roman" w:hAnsi="Times New Roman"/>
          <w:sz w:val="14"/>
          <w:szCs w:val="14"/>
          <w:color w:val="auto"/>
        </w:rPr>
        <w:t>The information appearing in this prospectus, any applicable prospectus supplement and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the applicable prospectus supplement or any related free writing prospectus, or any sale of a security. Our business, financial condition, results of operations and prospects may have changed since those dates.</w:t>
      </w:r>
    </w:p>
    <w:p>
      <w:pPr>
        <w:spacing w:after="0" w:line="140" w:lineRule="exact"/>
        <w:rPr>
          <w:sz w:val="20"/>
          <w:szCs w:val="20"/>
          <w:color w:val="auto"/>
        </w:rPr>
      </w:pPr>
    </w:p>
    <w:p>
      <w:pPr>
        <w:ind w:left="1400" w:right="279" w:firstLine="339"/>
        <w:spacing w:after="0" w:line="251" w:lineRule="auto"/>
        <w:rPr>
          <w:sz w:val="20"/>
          <w:szCs w:val="20"/>
          <w:color w:val="auto"/>
        </w:rPr>
      </w:pPr>
      <w:r>
        <w:rPr>
          <w:rFonts w:ascii="Times New Roman" w:cs="Times New Roman" w:eastAsia="Times New Roman" w:hAnsi="Times New Roman"/>
          <w:sz w:val="14"/>
          <w:szCs w:val="14"/>
          <w:color w:val="auto"/>
        </w:rPr>
        <w:t>This prospectus contains and incorporates by reference industry, market and competitive position data from our own internal estimates and research, as well as from independent market research, industry and general publications and surveys, governmental agencies and publicly available information in addition to research, surveys and studies conducted by third parties. The content of these third-party sources, except to the extent specifically set forth in this prospectus and the documents incorporated by reference in this prospectus, does not constitute a portion of this prospectus or the documents incorporated by reference in this prospectus and is not incorporated herein or therein. Internal estimates are derived from publicly available information released by industry analysts and third-party sources, our internal research and our industry experience, and are based on assumptions made by us based on such data and our knowledge of our industry and market, which we believe to be reasonable.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83"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firstLine="339"/>
        <w:spacing w:after="0" w:line="253" w:lineRule="auto"/>
        <w:rPr>
          <w:sz w:val="20"/>
          <w:szCs w:val="20"/>
          <w:color w:val="auto"/>
        </w:rPr>
      </w:pPr>
      <w:r>
        <w:rPr>
          <w:rFonts w:ascii="Times New Roman" w:cs="Times New Roman" w:eastAsia="Times New Roman" w:hAnsi="Times New Roman"/>
          <w:sz w:val="14"/>
          <w:szCs w:val="14"/>
          <w:color w:val="auto"/>
        </w:rPr>
        <w:t>In addition, while we are responsible for all of the disclosure contained in this prospectus and the documents incorporated by reference in this prospectus and we believe the industry, market and competitive position data included in this prospectus and the documents incorporated by reference in this prospectus is reliable and based on reasonable assumptions, such data involve risks and uncertainties and are subject to change based on various factors, including those discussed in the section titled “Special Note Regarding Forward-Looking Statements” in this prospectus and in the section titled “Risk Factors” incorporated by reference in this prospectus from our most recent Annual Report on Form 10-K and subsequent Quarterly Reports on Form 10-Q. These and other factors could cause results to differ materially from those expressed in the estimates made by the independent parties or by us. Accordingly, investors should not place undue reliance on this information.</w:t>
      </w:r>
    </w:p>
    <w:p>
      <w:pPr>
        <w:spacing w:after="0" w:line="143" w:lineRule="exact"/>
        <w:rPr>
          <w:sz w:val="20"/>
          <w:szCs w:val="20"/>
          <w:color w:val="auto"/>
        </w:rPr>
      </w:pPr>
    </w:p>
    <w:p>
      <w:pPr>
        <w:ind w:left="1400" w:right="299" w:firstLine="339"/>
        <w:spacing w:after="0" w:line="284" w:lineRule="auto"/>
        <w:rPr>
          <w:sz w:val="20"/>
          <w:szCs w:val="20"/>
          <w:color w:val="auto"/>
        </w:rPr>
      </w:pPr>
      <w:r>
        <w:rPr>
          <w:rFonts w:ascii="Times New Roman" w:cs="Times New Roman" w:eastAsia="Times New Roman" w:hAnsi="Times New Roman"/>
          <w:sz w:val="13"/>
          <w:szCs w:val="13"/>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entitled “Where You Can Find More Information.”</w:t>
      </w:r>
    </w:p>
    <w:p>
      <w:pPr>
        <w:spacing w:after="0" w:line="124" w:lineRule="exact"/>
        <w:rPr>
          <w:sz w:val="20"/>
          <w:szCs w:val="20"/>
          <w:color w:val="auto"/>
        </w:rPr>
      </w:pPr>
    </w:p>
    <w:p>
      <w:pPr>
        <w:ind w:left="1400" w:right="699" w:firstLine="339"/>
        <w:spacing w:after="0" w:line="278" w:lineRule="auto"/>
        <w:rPr>
          <w:sz w:val="20"/>
          <w:szCs w:val="20"/>
          <w:color w:val="auto"/>
        </w:rPr>
      </w:pPr>
      <w:r>
        <w:rPr>
          <w:rFonts w:ascii="Times New Roman" w:cs="Times New Roman" w:eastAsia="Times New Roman" w:hAnsi="Times New Roman"/>
          <w:sz w:val="14"/>
          <w:szCs w:val="14"/>
          <w:color w:val="auto"/>
        </w:rPr>
        <w:t>Unless the context indicates otherwise, as used in this prospectus, all references to “Tempus,” the “Company,” “we,” “us,” “our,” or similar references refer to Tempus AI, Inc. and its consolidated subsidiaries.</w:t>
      </w:r>
    </w:p>
    <w:p>
      <w:pPr>
        <w:spacing w:after="0" w:line="7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10159"/>
          </w:cols>
          <w:pgMar w:left="300" w:top="383"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74" w:lineRule="exact"/>
        <w:rPr>
          <w:sz w:val="20"/>
          <w:szCs w:val="20"/>
          <w:color w:val="auto"/>
        </w:rPr>
      </w:pPr>
    </w:p>
    <w:p>
      <w:pPr>
        <w:ind w:left="1400" w:right="399" w:firstLine="339"/>
        <w:spacing w:after="0" w:line="274" w:lineRule="auto"/>
        <w:rPr>
          <w:sz w:val="20"/>
          <w:szCs w:val="20"/>
          <w:color w:val="auto"/>
        </w:rPr>
      </w:pPr>
      <w:r>
        <w:rPr>
          <w:rFonts w:ascii="Times New Roman" w:cs="Times New Roman" w:eastAsia="Times New Roman" w:hAnsi="Times New Roman"/>
          <w:sz w:val="13"/>
          <w:szCs w:val="13"/>
          <w:color w:val="auto"/>
        </w:rPr>
        <w:t>This prospectus, each prospectus supplement and the documents incorporated by reference in this prospectus and each prospectus supplement contain forward-looking statements about us and our industry that involve substantial risks and uncertainties. All statements other than statements of historical facts contained or incorporated in this prospectus and any related prospectus supplement,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Within the meaning of Section 27A of the Securities Act, and Section 21E of the Securities Exchange Act of 1934, as amended (the “Exchange Act”), these forward-looking statements include, but are not limited to, statements concerning the following:</w:t>
      </w:r>
    </w:p>
    <w:p>
      <w:pPr>
        <w:spacing w:after="0" w:line="59" w:lineRule="exact"/>
        <w:rPr>
          <w:sz w:val="20"/>
          <w:szCs w:val="20"/>
          <w:color w:val="auto"/>
        </w:rPr>
      </w:pPr>
    </w:p>
    <w:p>
      <w:pPr>
        <w:ind w:left="2160" w:right="299" w:hanging="342"/>
        <w:spacing w:after="0" w:line="278" w:lineRule="auto"/>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evolving treatment paradigm for cancer, including physicians’ use of molecular data and targeted oncology therapeutics and the market size for our current and future products;</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expand our business beyond oncology into new disease areas;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estimates of our addressable market and our expectations regarding our revenue, expenses, capital requirements and operating results;</w:t>
      </w:r>
    </w:p>
    <w:p>
      <w:pPr>
        <w:spacing w:after="0" w:line="98" w:lineRule="exact"/>
        <w:rPr>
          <w:rFonts w:ascii="Times New Roman" w:cs="Times New Roman" w:eastAsia="Times New Roman" w:hAnsi="Times New Roman"/>
          <w:sz w:val="14"/>
          <w:szCs w:val="14"/>
          <w:color w:val="auto"/>
        </w:rPr>
      </w:pPr>
    </w:p>
    <w:p>
      <w:pPr>
        <w:ind w:left="2160" w:right="319" w:hanging="342"/>
        <w:spacing w:after="0" w:line="278" w:lineRule="auto"/>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new products and services, including our goals and strategy regarding development and commercialization of our AI Applications product line;</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and grow our datasets, including in new disease areas and geographies;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expectation that the growth of our datasets will improve the quality of our products and services and accelerate their adoption;</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capture, aggregate, analyze or otherwise utilize genomic data in new ways and in additional diagnostic modalities;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expectation that we will continue to commercialize de-identified records and license them to multiple customers;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acceptance of our publications in peer-reviewed journals or of our presentations at scientific and medical conference presentations;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implementation of our business model and strategic plans for our products, technologies and businesses;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competitive companies and technologies and our industry;</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of intelligent diagnostics to be disruptive across a broad set of disease areas and the clinical trial process;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manage and grow our business by expanding our sales to existing customers or introducing our products to new customers;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macroeconomic conditions, including new and potential tariffs, on us and our customers;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third-party payer reimbursement and coverage decisions, including our strategy to increase reimbursement;</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and maintain intellectual property protection for our products or avoid claims of infringement;</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effects of evolving and/or extensive government regulation;</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or likelihood of regulatory filings and approvals;</w:t>
      </w:r>
    </w:p>
    <w:p>
      <w:pPr>
        <w:spacing w:after="0" w:line="1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iii</w:t>
      </w:r>
    </w:p>
    <w:p>
      <w:pPr>
        <w:sectPr>
          <w:pgSz w:w="11900" w:h="16838" w:orient="portrait"/>
          <w:cols w:equalWidth="0" w:num="1">
            <w:col w:w="10159"/>
          </w:cols>
          <w:pgMar w:left="300" w:top="383"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hanging="342"/>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hire and retain key personnel;</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expand internationally, including through our joint venture, SB Tempus Corp. in Japan;</w:t>
      </w:r>
    </w:p>
    <w:p>
      <w:pPr>
        <w:spacing w:after="0" w:line="98" w:lineRule="exact"/>
        <w:rPr>
          <w:rFonts w:ascii="Times New Roman" w:cs="Times New Roman" w:eastAsia="Times New Roman" w:hAnsi="Times New Roman"/>
          <w:sz w:val="14"/>
          <w:szCs w:val="14"/>
          <w:color w:val="auto"/>
        </w:rPr>
      </w:pPr>
    </w:p>
    <w:p>
      <w:pPr>
        <w:ind w:left="2160" w:right="359" w:hanging="342"/>
        <w:spacing w:after="0" w:line="278" w:lineRule="auto"/>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acquire businesses, form joint ventures or make investments in companies or technologies, including our ability to realize the expected benefits of our acquisitions of Ambry Genetics Corporation and Deep 6 AI, Inc.;</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protect and enforce our intellectual property rights, including our trade secret protected proprietary rights in our platform;</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service or pay down existing or future debt obligations;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pending or threatened litigation;</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anticipated cash needs and our needs for additional financing; and</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trends and challenges in our business and the markets in which we operate.</w:t>
      </w:r>
    </w:p>
    <w:p>
      <w:pPr>
        <w:spacing w:after="0" w:line="172" w:lineRule="exact"/>
        <w:rPr>
          <w:sz w:val="20"/>
          <w:szCs w:val="20"/>
          <w:color w:val="auto"/>
        </w:rPr>
      </w:pPr>
    </w:p>
    <w:p>
      <w:pPr>
        <w:ind w:left="1400" w:right="279" w:firstLine="339"/>
        <w:spacing w:after="0" w:line="251" w:lineRule="auto"/>
        <w:rPr>
          <w:sz w:val="20"/>
          <w:szCs w:val="20"/>
          <w:color w:val="auto"/>
        </w:rPr>
      </w:pPr>
      <w:r>
        <w:rPr>
          <w:rFonts w:ascii="Times New Roman" w:cs="Times New Roman" w:eastAsia="Times New Roman" w:hAnsi="Times New Roman"/>
          <w:sz w:val="14"/>
          <w:szCs w:val="14"/>
          <w:color w:val="auto"/>
        </w:rPr>
        <w:t>You should not rely on forward-looking statements as predictions of future events. We have based the forward-looking statements contained in, or incorporated by reference into, this prospectus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or incorporated by reference into, the sections titled “Risk Factors” in this prospectus and any applicable prospectus supplement and the sections titled “Risk Factors” and “Management’s Discussion and Analysis of Financial Condition and Results of Operations” in our most recent Annual Report on Form 10-K and any subsequent Quarterly Reports on Form 10-Q, as well as any amendments thereto reflected in subsequent filings with the SEC, which are incorporated into this prospectus and any applicable prospectus supplement. Moreover, we operate in a very competitive and rapidly changing environment. New risks and uncertainties emerge from time to time, and it is not possible for us to predict all risks and uncertainties that could have an impact on the forward-looking statements contained in, or incorporated by reference into,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44" w:lineRule="exact"/>
        <w:rPr>
          <w:sz w:val="20"/>
          <w:szCs w:val="20"/>
          <w:color w:val="auto"/>
        </w:rPr>
      </w:pPr>
    </w:p>
    <w:p>
      <w:pPr>
        <w:ind w:left="1400" w:right="299" w:firstLine="339"/>
        <w:spacing w:after="0" w:line="284" w:lineRule="auto"/>
        <w:rPr>
          <w:sz w:val="20"/>
          <w:szCs w:val="20"/>
          <w:color w:val="auto"/>
        </w:rPr>
      </w:pPr>
      <w:r>
        <w:rPr>
          <w:rFonts w:ascii="Times New Roman" w:cs="Times New Roman" w:eastAsia="Times New Roman" w:hAnsi="Times New Roman"/>
          <w:sz w:val="13"/>
          <w:szCs w:val="13"/>
          <w:color w:val="auto"/>
        </w:rPr>
        <w:t>In addition, statements that “we believe” and similar statements reflect our beliefs and opinions on the relevant subject. These statements are based on information available to us as of the date of this prospectus.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24" w:lineRule="exact"/>
        <w:rPr>
          <w:sz w:val="20"/>
          <w:szCs w:val="20"/>
          <w:color w:val="auto"/>
        </w:rPr>
      </w:pPr>
    </w:p>
    <w:p>
      <w:pPr>
        <w:ind w:left="1400" w:right="379" w:firstLine="339"/>
        <w:spacing w:after="0" w:line="254" w:lineRule="auto"/>
        <w:rPr>
          <w:sz w:val="20"/>
          <w:szCs w:val="20"/>
          <w:color w:val="auto"/>
        </w:rPr>
      </w:pPr>
      <w:r>
        <w:rPr>
          <w:rFonts w:ascii="Times New Roman" w:cs="Times New Roman" w:eastAsia="Times New Roman" w:hAnsi="Times New Roman"/>
          <w:sz w:val="14"/>
          <w:szCs w:val="14"/>
          <w:color w:val="auto"/>
        </w:rPr>
        <w:t>The forward-looking statements made in, or incorporated by reference into, this prospectus and any related prospectus supplement relate only to events as of the date on which the statements are made. We undertake no obligation to update any forward-looking statements made or incorporated by reference in this prospectus and any related prospectus supplement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9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iv</w:t>
      </w:r>
    </w:p>
    <w:p>
      <w:pPr>
        <w:sectPr>
          <w:pgSz w:w="11900" w:h="16838" w:orient="portrait"/>
          <w:cols w:equalWidth="0" w:num="1">
            <w:col w:w="10159"/>
          </w:cols>
          <w:pgMar w:left="300" w:top="383"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5154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93690" cy="4515485"/>
                    </a:xfrm>
                    <a:prstGeom prst="rect">
                      <a:avLst/>
                    </a:prstGeom>
                    <a:noFill/>
                  </pic:spPr>
                </pic:pic>
              </a:graphicData>
            </a:graphic>
          </wp:anchor>
        </w:drawing>
      </w:r>
    </w:p>
    <w:p>
      <w:pPr>
        <w:spacing w:after="0" w:line="3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72" w:lineRule="exact"/>
        <w:rPr>
          <w:sz w:val="20"/>
          <w:szCs w:val="20"/>
          <w:color w:val="auto"/>
        </w:rPr>
      </w:pPr>
    </w:p>
    <w:p>
      <w:pPr>
        <w:ind w:left="1540" w:right="659" w:firstLine="328"/>
        <w:spacing w:after="0" w:line="253"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contained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in the section titled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22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1" w:lineRule="exact"/>
        <w:rPr>
          <w:sz w:val="20"/>
          <w:szCs w:val="20"/>
          <w:color w:val="auto"/>
        </w:rPr>
      </w:pPr>
    </w:p>
    <w:p>
      <w:pPr>
        <w:ind w:left="1540" w:right="419" w:firstLine="328"/>
        <w:spacing w:after="0" w:line="251" w:lineRule="auto"/>
        <w:rPr>
          <w:sz w:val="20"/>
          <w:szCs w:val="20"/>
          <w:color w:val="auto"/>
        </w:rPr>
      </w:pPr>
      <w:r>
        <w:rPr>
          <w:rFonts w:ascii="Times New Roman" w:cs="Times New Roman" w:eastAsia="Times New Roman" w:hAnsi="Times New Roman"/>
          <w:sz w:val="14"/>
          <w:szCs w:val="14"/>
          <w:color w:val="auto"/>
        </w:rPr>
        <w:t>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personalize medicine. We endeavor to unlock the true power of precision medicine by creating Intelligent Diagnostics through the practical application of artificial intelligence (“AI”) in healthcare. Intelligent Diagnostics use AI, including generative AI, to make laboratory tests more accurate, tailored, and personal. Unlike traditional diagnostic labs, we can incorporate unique patient information, such as clinical, molecular, and imaging data, with the goal of making our tests more intelligent and our results more insightful. Unlike other technology companies, we are deeply rooted in clinical care delivery as one of the largest sequencers of cancer patients, and patients with other diseases, in the United States. Straddling both worlds is advantageous as we believe Intelligent Diagnostics represent the future of precision medicine, informing more personalized and data-driven therapy selection and development. We believe their adoption could empower physicians to deliver better care and researchers to develop more precise therapies, with the potential to save millions of lives.</w:t>
      </w:r>
    </w:p>
    <w:p>
      <w:pPr>
        <w:spacing w:after="0" w:line="146" w:lineRule="exact"/>
        <w:rPr>
          <w:sz w:val="20"/>
          <w:szCs w:val="20"/>
          <w:color w:val="auto"/>
        </w:rPr>
      </w:pPr>
    </w:p>
    <w:p>
      <w:pPr>
        <w:ind w:left="1540" w:right="419" w:firstLine="328"/>
        <w:spacing w:after="0" w:line="273" w:lineRule="auto"/>
        <w:rPr>
          <w:sz w:val="20"/>
          <w:szCs w:val="20"/>
          <w:color w:val="auto"/>
        </w:rPr>
      </w:pPr>
      <w:r>
        <w:rPr>
          <w:rFonts w:ascii="Times New Roman" w:cs="Times New Roman" w:eastAsia="Times New Roman" w:hAnsi="Times New Roman"/>
          <w:sz w:val="13"/>
          <w:szCs w:val="13"/>
          <w:color w:val="auto"/>
        </w:rPr>
        <w:t>In order to bring AI to healthcare at scale, we believe the foundation of how data flows throughout the ecosystem needs to be rebuilt. We established new data pipes, going to and from providers, to allow for the free exchange of data between physicians, who interpret data, and diagnostic and life science companies, who provide data, integrating relevant clinical data, such as outcomes, or adverse events, which are essential for many clinical decisions. Without this capability, we believe that data would continue to accumulate without impacting patient care. To accomplish this, we built both a technology platform to free healthcare data from silos and an operating system to make this data useful, the combination of which we refer to as our Platform. Our Platform connects multiple stakeholders within the larger healthcare ecosystem, often in real time, to assemble and integrate the data we collect, thereby providing an opportunity for physicians to make data-driven decisions in the clinic and for researchers to discover and develop therapeutics. We aim to help physicians find the best therapies for their patients, help pharmaceutical and biotechnology companies make the best drugs possible, and enable patients to access emerging therapies and clinical trials when appropriate.</w:t>
      </w:r>
    </w:p>
    <w:p>
      <w:pPr>
        <w:spacing w:after="0" w:line="133" w:lineRule="exact"/>
        <w:rPr>
          <w:sz w:val="20"/>
          <w:szCs w:val="20"/>
          <w:color w:val="auto"/>
        </w:rPr>
      </w:pPr>
    </w:p>
    <w:p>
      <w:pPr>
        <w:ind w:left="1540" w:right="439" w:firstLine="328"/>
        <w:spacing w:after="0" w:line="252" w:lineRule="auto"/>
        <w:rPr>
          <w:sz w:val="20"/>
          <w:szCs w:val="20"/>
          <w:color w:val="auto"/>
        </w:rPr>
      </w:pPr>
      <w:r>
        <w:rPr>
          <w:rFonts w:ascii="Times New Roman" w:cs="Times New Roman" w:eastAsia="Times New Roman" w:hAnsi="Times New Roman"/>
          <w:sz w:val="14"/>
          <w:szCs w:val="14"/>
          <w:color w:val="auto"/>
        </w:rPr>
        <w:t>We currently offer three product lines: Genomics, Data and AI Applications. Each product line is designed to enable and enhance the others, thereby creating network effects in each of the markets in which we operate. We are able to commercialize records multiple times, both at the time a test is run and thereafter. Our Genomics product line leverages our state-of-the-art laboratories to provide next generation sequencing diagnostics, polymerase chain reaction profiling, molecular genotyping and other anatomic and molecular pathology testing to healthcare providers, pharmaceutical companies, biotechnology companies, researchers, and other third parties. The data generated in our lab or ingested into our platform as part of the Genomics product line is structured and de-identified, prior to commercialization. This de-identified database is then commercialized to our pharmaceutical and biotechnology partners to facilitate drug discovery and development through two primary Data and Services products, Insights and Trials. Our third product line, AI Applications, is focused on developing</w:t>
      </w:r>
    </w:p>
    <w:p>
      <w:pPr>
        <w:spacing w:after="0" w:line="23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3"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832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93690" cy="4832350"/>
                    </a:xfrm>
                    <a:prstGeom prst="rect">
                      <a:avLst/>
                    </a:prstGeom>
                    <a:noFill/>
                  </pic:spPr>
                </pic:pic>
              </a:graphicData>
            </a:graphic>
          </wp:anchor>
        </w:drawing>
      </w:r>
    </w:p>
    <w:p>
      <w:pPr>
        <w:spacing w:after="0" w:line="362" w:lineRule="exact"/>
        <w:rPr>
          <w:sz w:val="20"/>
          <w:szCs w:val="20"/>
          <w:color w:val="auto"/>
        </w:rPr>
      </w:pPr>
    </w:p>
    <w:p>
      <w:pPr>
        <w:ind w:left="1540" w:right="779"/>
        <w:spacing w:after="0" w:line="278" w:lineRule="auto"/>
        <w:rPr>
          <w:sz w:val="20"/>
          <w:szCs w:val="20"/>
          <w:color w:val="auto"/>
        </w:rPr>
      </w:pPr>
      <w:r>
        <w:rPr>
          <w:rFonts w:ascii="Times New Roman" w:cs="Times New Roman" w:eastAsia="Times New Roman" w:hAnsi="Times New Roman"/>
          <w:sz w:val="14"/>
          <w:szCs w:val="14"/>
          <w:color w:val="auto"/>
        </w:rPr>
        <w:t>and providing diagnostics that are algorithmic in nature, implementing new software as a medical device, and building and deploying clinical decision support tools.</w:t>
      </w:r>
    </w:p>
    <w:p>
      <w:pPr>
        <w:spacing w:after="0" w:line="20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1" w:lineRule="exact"/>
        <w:rPr>
          <w:sz w:val="20"/>
          <w:szCs w:val="20"/>
          <w:color w:val="auto"/>
        </w:rPr>
      </w:pPr>
    </w:p>
    <w:p>
      <w:pPr>
        <w:ind w:left="1540" w:right="499" w:firstLine="328"/>
        <w:spacing w:after="0" w:line="273" w:lineRule="auto"/>
        <w:rPr>
          <w:sz w:val="20"/>
          <w:szCs w:val="20"/>
          <w:color w:val="auto"/>
        </w:rPr>
      </w:pPr>
      <w:r>
        <w:rPr>
          <w:rFonts w:ascii="Times New Roman" w:cs="Times New Roman" w:eastAsia="Times New Roman" w:hAnsi="Times New Roman"/>
          <w:sz w:val="13"/>
          <w:szCs w:val="13"/>
          <w:color w:val="auto"/>
        </w:rPr>
        <w:t>We were founded by Eric Lefkofsky under the name Bioin, LLC in Delaware in August 2015. We converted to a Delaware corporation in September 2015 under the name Bioin, Inc., and later changed our name to Tempus Health, Inc. in 2015, to Tempus Labs, Inc. in 2016, and to Tempus AI, Inc. in 2023. Effective as of August 7, 2025, we reincorporated, by conversion, from a Delaware corporation to a Nevada corporation. Our principal executive offices are located at 600 West Chicago Avenue, Suite 510 Chicago, Illinois 60654, and our telephone number is (800)</w:t>
      </w:r>
    </w:p>
    <w:p>
      <w:pPr>
        <w:ind w:left="1540" w:right="499"/>
        <w:spacing w:after="0" w:line="250" w:lineRule="auto"/>
        <w:rPr>
          <w:sz w:val="20"/>
          <w:szCs w:val="20"/>
          <w:color w:val="auto"/>
        </w:rPr>
      </w:pPr>
      <w:r>
        <w:rPr>
          <w:rFonts w:ascii="Times New Roman" w:cs="Times New Roman" w:eastAsia="Times New Roman" w:hAnsi="Times New Roman"/>
          <w:sz w:val="14"/>
          <w:szCs w:val="14"/>
          <w:color w:val="auto"/>
        </w:rPr>
        <w:t>976-5448. Our website address is www.tempus.com. Information contained on, or that can be accessed through, our website is not incorporated by reference into this prospectus, and you should not consider information on, or that can be accessed through, our website to be part hereof. We completed our initial public offering in June 2024, and our Class A common stock is listed on the Nasdaq Global Select Market under the symbol “TEM.”</w:t>
      </w:r>
    </w:p>
    <w:p>
      <w:pPr>
        <w:spacing w:after="0" w:line="146" w:lineRule="exact"/>
        <w:rPr>
          <w:sz w:val="20"/>
          <w:szCs w:val="20"/>
          <w:color w:val="auto"/>
        </w:rPr>
      </w:pPr>
    </w:p>
    <w:p>
      <w:pPr>
        <w:ind w:left="1540" w:right="759" w:firstLine="328"/>
        <w:spacing w:after="0" w:line="318" w:lineRule="auto"/>
        <w:rPr>
          <w:sz w:val="20"/>
          <w:szCs w:val="20"/>
          <w:color w:val="auto"/>
        </w:rPr>
      </w:pPr>
      <w:r>
        <w:rPr>
          <w:rFonts w:ascii="Times New Roman" w:cs="Times New Roman" w:eastAsia="Times New Roman" w:hAnsi="Times New Roman"/>
          <w:sz w:val="13"/>
          <w:szCs w:val="13"/>
          <w:color w:val="auto"/>
        </w:rPr>
        <w:t>The Tempus logo, “Tempus” and our other registered and common law trade names, trademarks and service marks are the property of Tempus AI, Inc. or our subsidiaries. Other trade names, trademarks and service marks used herein are the property of their respective owners.</w:t>
      </w:r>
    </w:p>
    <w:p>
      <w:pPr>
        <w:spacing w:after="0" w:line="18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Implications of Being an Emerging Growth Company</w:t>
      </w:r>
    </w:p>
    <w:p>
      <w:pPr>
        <w:spacing w:after="0" w:line="91" w:lineRule="exact"/>
        <w:rPr>
          <w:sz w:val="20"/>
          <w:szCs w:val="20"/>
          <w:color w:val="auto"/>
        </w:rPr>
      </w:pPr>
    </w:p>
    <w:p>
      <w:pPr>
        <w:ind w:left="1540" w:right="459" w:firstLine="328"/>
        <w:spacing w:after="0" w:line="253" w:lineRule="auto"/>
        <w:rPr>
          <w:sz w:val="20"/>
          <w:szCs w:val="20"/>
          <w:color w:val="auto"/>
        </w:rPr>
      </w:pPr>
      <w:r>
        <w:rPr>
          <w:rFonts w:ascii="Times New Roman" w:cs="Times New Roman" w:eastAsia="Times New Roman" w:hAnsi="Times New Roman"/>
          <w:sz w:val="14"/>
          <w:szCs w:val="14"/>
          <w:color w:val="auto"/>
        </w:rPr>
        <w:t>We are an emerging growth company, as defined in the Jumpstart Our Business Startups Act of 2012 (the “JOBS Act”). For so long as we remain an emerging growth company, we are permitted and intend to rely on certain exemptions from various public company reporting requirements that are applicable to other public companies that are not emerging growth companies, including not being required to have our internal control over financial reporting audited by our independent registered public accounting firm pursuant to Section 404 of the Sarbanes-Oxley Act of 2002, reduced disclosure obligations regarding executive compensation in our periodic reports and proxy statements, and exemptions from the requirements of holding a nonbinding advisory vote on executive compensation and any golden parachute payments not previously approved.</w:t>
      </w:r>
    </w:p>
    <w:p>
      <w:pPr>
        <w:spacing w:after="0" w:line="143" w:lineRule="exact"/>
        <w:rPr>
          <w:sz w:val="20"/>
          <w:szCs w:val="20"/>
          <w:color w:val="auto"/>
        </w:rPr>
      </w:pPr>
    </w:p>
    <w:p>
      <w:pPr>
        <w:ind w:left="1540" w:right="419" w:firstLine="328"/>
        <w:spacing w:after="0" w:line="254" w:lineRule="auto"/>
        <w:rPr>
          <w:sz w:val="20"/>
          <w:szCs w:val="20"/>
          <w:color w:val="auto"/>
        </w:rPr>
      </w:pPr>
      <w:r>
        <w:rPr>
          <w:rFonts w:ascii="Times New Roman" w:cs="Times New Roman" w:eastAsia="Times New Roman" w:hAnsi="Times New Roman"/>
          <w:sz w:val="14"/>
          <w:szCs w:val="14"/>
          <w:color w:val="auto"/>
        </w:rPr>
        <w:t>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certain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142" w:lineRule="exact"/>
        <w:rPr>
          <w:sz w:val="20"/>
          <w:szCs w:val="20"/>
          <w:color w:val="auto"/>
        </w:rPr>
      </w:pPr>
    </w:p>
    <w:p>
      <w:pPr>
        <w:ind w:left="1540" w:right="639" w:firstLine="328"/>
        <w:spacing w:after="0" w:line="279" w:lineRule="auto"/>
        <w:rPr>
          <w:sz w:val="20"/>
          <w:szCs w:val="20"/>
          <w:color w:val="auto"/>
        </w:rPr>
      </w:pPr>
      <w:r>
        <w:rPr>
          <w:rFonts w:ascii="Times New Roman" w:cs="Times New Roman" w:eastAsia="Times New Roman" w:hAnsi="Times New Roman"/>
          <w:sz w:val="13"/>
          <w:szCs w:val="13"/>
          <w:color w:val="auto"/>
        </w:rPr>
        <w:t>We will remain an emerging growth company until the earliest to occur of: (i) the last day of the fiscal year in which we have at least $1.235 billion in annual revenue; (ii) the date upon which we are deemed to be a “large accelerated filer,” as defined in Rule 12b-2 under the Exchange Act; (iii) the date on which we have issued more than $1.0 billion in nonconvertible debt securities during the prior three-year period; and (iv) December 31, 2029. Based on the aggregate market value of shares of our Class A common stock held by non-affiliates as of June 30, 2025, we expect to become a “large accelerated filer” and no longer qualify as an emerging growth company as of December 31, 2025.</w:t>
      </w:r>
    </w:p>
    <w:p>
      <w:pPr>
        <w:spacing w:after="0" w:line="21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Description of Securities</w:t>
      </w:r>
    </w:p>
    <w:p>
      <w:pPr>
        <w:spacing w:after="0" w:line="91" w:lineRule="exact"/>
        <w:rPr>
          <w:sz w:val="20"/>
          <w:szCs w:val="20"/>
          <w:color w:val="auto"/>
        </w:rPr>
      </w:pPr>
    </w:p>
    <w:p>
      <w:pPr>
        <w:ind w:left="1540" w:right="779" w:firstLine="328"/>
        <w:spacing w:after="0" w:line="278" w:lineRule="auto"/>
        <w:rPr>
          <w:sz w:val="20"/>
          <w:szCs w:val="20"/>
          <w:color w:val="auto"/>
        </w:rPr>
      </w:pPr>
      <w:r>
        <w:rPr>
          <w:rFonts w:ascii="Times New Roman" w:cs="Times New Roman" w:eastAsia="Times New Roman" w:hAnsi="Times New Roman"/>
          <w:sz w:val="14"/>
          <w:szCs w:val="14"/>
          <w:color w:val="auto"/>
        </w:rPr>
        <w:t>We may offer shares of our common stock and preferred stock, various series of debt securities and/or warrants to purchase any of such securities, either individually or in combination with other securities, from time</w:t>
      </w:r>
    </w:p>
    <w:p>
      <w:pPr>
        <w:spacing w:after="0" w:line="22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83"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9847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93690" cy="4984750"/>
                    </a:xfrm>
                    <a:prstGeom prst="rect">
                      <a:avLst/>
                    </a:prstGeom>
                    <a:noFill/>
                  </pic:spPr>
                </pic:pic>
              </a:graphicData>
            </a:graphic>
          </wp:anchor>
        </w:drawing>
      </w:r>
    </w:p>
    <w:p>
      <w:pPr>
        <w:spacing w:after="0" w:line="362" w:lineRule="exact"/>
        <w:rPr>
          <w:sz w:val="20"/>
          <w:szCs w:val="20"/>
          <w:color w:val="auto"/>
        </w:rPr>
      </w:pPr>
    </w:p>
    <w:p>
      <w:pPr>
        <w:ind w:left="1540" w:right="439"/>
        <w:spacing w:after="0" w:line="258" w:lineRule="auto"/>
        <w:rPr>
          <w:sz w:val="20"/>
          <w:szCs w:val="20"/>
          <w:color w:val="auto"/>
        </w:rPr>
      </w:pPr>
      <w:r>
        <w:rPr>
          <w:rFonts w:ascii="Times New Roman" w:cs="Times New Roman" w:eastAsia="Times New Roman" w:hAnsi="Times New Roman"/>
          <w:sz w:val="14"/>
          <w:szCs w:val="14"/>
          <w:color w:val="auto"/>
        </w:rPr>
        <w:t>to time under this prospectus, together with the applicable prospectus supplement and any related free writing prospectus, at prices and on terms to be determined by market conditions at the time of any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67" w:lineRule="exact"/>
        <w:rPr>
          <w:sz w:val="20"/>
          <w:szCs w:val="20"/>
          <w:color w:val="auto"/>
        </w:rPr>
      </w:pPr>
    </w:p>
    <w:p>
      <w:pPr>
        <w:ind w:left="2260" w:hanging="312"/>
        <w:spacing w:after="0"/>
        <w:tabs>
          <w:tab w:leader="none" w:pos="2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designation or classification;</w:t>
      </w:r>
    </w:p>
    <w:p>
      <w:pPr>
        <w:spacing w:after="0" w:line="98"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principal amount or aggregate offering price;</w:t>
      </w:r>
    </w:p>
    <w:p>
      <w:pPr>
        <w:spacing w:after="0" w:line="98"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maturity date, if applicable;</w:t>
      </w:r>
    </w:p>
    <w:p>
      <w:pPr>
        <w:spacing w:after="0" w:line="98"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original issue discount, if any;</w:t>
      </w:r>
    </w:p>
    <w:p>
      <w:pPr>
        <w:spacing w:after="0" w:line="98"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rates and times of payment of interest or dividends, if any;</w:t>
      </w:r>
    </w:p>
    <w:p>
      <w:pPr>
        <w:spacing w:after="0" w:line="98"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conversion, exercise, exchange or sinking fund terms, if any;</w:t>
      </w:r>
    </w:p>
    <w:p>
      <w:pPr>
        <w:spacing w:after="0" w:line="98"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ranking;</w:t>
      </w:r>
    </w:p>
    <w:p>
      <w:pPr>
        <w:spacing w:after="0" w:line="98"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restrictive covenants, if any;</w:t>
      </w:r>
    </w:p>
    <w:p>
      <w:pPr>
        <w:spacing w:after="0" w:line="98"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or other rights, if any;</w:t>
      </w:r>
    </w:p>
    <w:p>
      <w:pPr>
        <w:spacing w:after="0" w:line="98" w:lineRule="exact"/>
        <w:rPr>
          <w:rFonts w:ascii="Times New Roman" w:cs="Times New Roman" w:eastAsia="Times New Roman" w:hAnsi="Times New Roman"/>
          <w:sz w:val="14"/>
          <w:szCs w:val="14"/>
          <w:color w:val="auto"/>
        </w:rPr>
      </w:pPr>
    </w:p>
    <w:p>
      <w:pPr>
        <w:ind w:left="2260" w:right="679" w:hanging="312"/>
        <w:spacing w:after="0" w:line="278" w:lineRule="auto"/>
        <w:tabs>
          <w:tab w:leader="none" w:pos="2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conversion or exchange prices or rates, if any, and, if applicable, any provisions for changes to or adjustments in the conversion or exchange prices or rates and in the securities or other property receivable upon conversion or exchange; and</w:t>
      </w:r>
    </w:p>
    <w:p>
      <w:pPr>
        <w:spacing w:after="0" w:line="53"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 or special U.S. federal income tax considerations, if any.</w:t>
      </w:r>
    </w:p>
    <w:p>
      <w:pPr>
        <w:spacing w:after="0" w:line="172" w:lineRule="exact"/>
        <w:rPr>
          <w:sz w:val="20"/>
          <w:szCs w:val="20"/>
          <w:color w:val="auto"/>
        </w:rPr>
      </w:pPr>
    </w:p>
    <w:p>
      <w:pPr>
        <w:ind w:left="1540" w:right="699" w:firstLine="328"/>
        <w:spacing w:after="0" w:line="278" w:lineRule="auto"/>
        <w:rPr>
          <w:sz w:val="20"/>
          <w:szCs w:val="20"/>
          <w:color w:val="auto"/>
        </w:rPr>
      </w:pPr>
      <w:r>
        <w:rPr>
          <w:rFonts w:ascii="Times New Roman" w:cs="Times New Roman" w:eastAsia="Times New Roman" w:hAnsi="Times New Roman"/>
          <w:sz w:val="14"/>
          <w:szCs w:val="14"/>
          <w:color w:val="auto"/>
        </w:rPr>
        <w:t>The applicable prospectus supplement and any related free writing prospectus that we may authorize to be provided to you may also add, update or change any of the information contained in this prospectus or in the documents we have incorporated by reference.</w:t>
      </w:r>
    </w:p>
    <w:p>
      <w:pPr>
        <w:spacing w:after="0" w:line="124" w:lineRule="exact"/>
        <w:rPr>
          <w:sz w:val="20"/>
          <w:szCs w:val="20"/>
          <w:color w:val="auto"/>
        </w:rPr>
      </w:pPr>
    </w:p>
    <w:p>
      <w:pPr>
        <w:ind w:left="1540" w:right="539" w:firstLine="328"/>
        <w:spacing w:after="0" w:line="281" w:lineRule="auto"/>
        <w:rPr>
          <w:sz w:val="20"/>
          <w:szCs w:val="20"/>
          <w:color w:val="auto"/>
        </w:rPr>
      </w:pPr>
      <w:r>
        <w:rPr>
          <w:rFonts w:ascii="Times New Roman" w:cs="Times New Roman" w:eastAsia="Times New Roman" w:hAnsi="Times New Roman"/>
          <w:sz w:val="14"/>
          <w:szCs w:val="14"/>
          <w:b w:val="1"/>
          <w:bCs w:val="1"/>
          <w:color w:val="auto"/>
        </w:rPr>
        <w:t>THIS PROSPECTUS MAY NOT BE USED TO CONSUMMATE A SALE OF SECURITIES UNLESS IT IS ACCOMPANIED BY A PROSPECTUS SUPPLEMENT.</w:t>
      </w:r>
    </w:p>
    <w:p>
      <w:pPr>
        <w:spacing w:after="0" w:line="124" w:lineRule="exact"/>
        <w:rPr>
          <w:sz w:val="20"/>
          <w:szCs w:val="20"/>
          <w:color w:val="auto"/>
        </w:rPr>
      </w:pPr>
    </w:p>
    <w:p>
      <w:pPr>
        <w:ind w:left="1540" w:right="519" w:firstLine="328"/>
        <w:spacing w:after="0" w:line="278" w:lineRule="auto"/>
        <w:rPr>
          <w:sz w:val="20"/>
          <w:szCs w:val="20"/>
          <w:color w:val="auto"/>
        </w:rPr>
      </w:pPr>
      <w:r>
        <w:rPr>
          <w:rFonts w:ascii="Times New Roman" w:cs="Times New Roman" w:eastAsia="Times New Roman" w:hAnsi="Times New Roman"/>
          <w:sz w:val="14"/>
          <w:szCs w:val="14"/>
          <w:color w:val="auto"/>
        </w:rPr>
        <w:t>We may sell the securities directly to investors or to or through agents, underwriters or dealers. If we do offer securities to or through agents or underwriters, we will include in the applicable prospectus supplement:</w:t>
      </w:r>
    </w:p>
    <w:p>
      <w:pPr>
        <w:spacing w:after="0" w:line="53" w:lineRule="exact"/>
        <w:rPr>
          <w:sz w:val="20"/>
          <w:szCs w:val="20"/>
          <w:color w:val="auto"/>
        </w:rPr>
      </w:pPr>
    </w:p>
    <w:p>
      <w:pPr>
        <w:ind w:left="2260" w:hanging="312"/>
        <w:spacing w:after="0"/>
        <w:tabs>
          <w:tab w:leader="none" w:pos="2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of those agents or underwriters;</w:t>
      </w:r>
    </w:p>
    <w:p>
      <w:pPr>
        <w:spacing w:after="0" w:line="98"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fees, discounts and commissions to be paid to them;</w:t>
      </w:r>
    </w:p>
    <w:p>
      <w:pPr>
        <w:spacing w:after="0" w:line="98"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details regarding over-allotment or other options, if any; and</w:t>
      </w:r>
    </w:p>
    <w:p>
      <w:pPr>
        <w:spacing w:after="0" w:line="98"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proceeds to us, if any.</w:t>
      </w:r>
    </w:p>
    <w:p>
      <w:pPr>
        <w:spacing w:after="0" w:line="170" w:lineRule="exact"/>
        <w:rPr>
          <w:sz w:val="20"/>
          <w:szCs w:val="20"/>
          <w:color w:val="auto"/>
        </w:rPr>
      </w:pPr>
    </w:p>
    <w:p>
      <w:pPr>
        <w:ind w:left="1540" w:right="419" w:firstLine="328"/>
        <w:spacing w:after="0" w:line="253" w:lineRule="auto"/>
        <w:rPr>
          <w:sz w:val="20"/>
          <w:szCs w:val="20"/>
          <w:color w:val="auto"/>
        </w:rPr>
      </w:pPr>
      <w:r>
        <w:rPr>
          <w:rFonts w:ascii="Times New Roman" w:cs="Times New Roman" w:eastAsia="Times New Roman" w:hAnsi="Times New Roman"/>
          <w:sz w:val="14"/>
          <w:szCs w:val="14"/>
          <w:i w:val="1"/>
          <w:iCs w:val="1"/>
          <w:color w:val="auto"/>
        </w:rPr>
        <w:t>Class A Common Stock</w:t>
      </w:r>
      <w:r>
        <w:rPr>
          <w:rFonts w:ascii="Times New Roman" w:cs="Times New Roman" w:eastAsia="Times New Roman" w:hAnsi="Times New Roman"/>
          <w:sz w:val="14"/>
          <w:szCs w:val="14"/>
          <w:color w:val="auto"/>
        </w:rPr>
        <w:t>. We may issue shares of our Class A common stock from time to time. Under our articles of incorporation, our board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directors has the authority to designate up to 1,000,000,000 shares of Class A common stock, par value $0.0001 per share. The holders of Class A common stock are entitled to one vote per share on all matters to be voted on by the stockholders. Subject to the preferences of any then outstanding shares of preferred stock, the holders of Class A common stock and Class B common stock are entitled to receive ratably any dividends our board of directors declares out of funds legally available for the payment of dividends. If we are liquidated, dissolved or wound up, whether voluntary or involuntary, the then outstanding holders of Class A common stock and Class B common stock are entitled to share pro rata all funds and assets remaining after payment of liabilities and liquidation preferences of any then outstanding shares of</w:t>
      </w:r>
    </w:p>
    <w:p>
      <w:pPr>
        <w:spacing w:after="0" w:line="23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83"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4100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93690" cy="4410075"/>
                    </a:xfrm>
                    <a:prstGeom prst="rect">
                      <a:avLst/>
                    </a:prstGeom>
                    <a:noFill/>
                  </pic:spPr>
                </pic:pic>
              </a:graphicData>
            </a:graphic>
          </wp:anchor>
        </w:drawing>
      </w:r>
    </w:p>
    <w:p>
      <w:pPr>
        <w:spacing w:after="0" w:line="362" w:lineRule="exact"/>
        <w:rPr>
          <w:sz w:val="20"/>
          <w:szCs w:val="20"/>
          <w:color w:val="auto"/>
        </w:rPr>
      </w:pPr>
    </w:p>
    <w:p>
      <w:pPr>
        <w:ind w:left="1540" w:right="459"/>
        <w:spacing w:after="0" w:line="254" w:lineRule="auto"/>
        <w:rPr>
          <w:sz w:val="20"/>
          <w:szCs w:val="20"/>
          <w:color w:val="auto"/>
        </w:rPr>
      </w:pPr>
      <w:r>
        <w:rPr>
          <w:rFonts w:ascii="Times New Roman" w:cs="Times New Roman" w:eastAsia="Times New Roman" w:hAnsi="Times New Roman"/>
          <w:sz w:val="14"/>
          <w:szCs w:val="14"/>
          <w:color w:val="auto"/>
        </w:rPr>
        <w:t>preferred stock. Holders of our common stock have no preemptive rights or rights to convert their common stock into any other securities, except for the conversion provisions with respect to the Class B common stock described in the section titled “Description of Capital Stock.” There are no redemption or sinking fund provisions applicable to our common stock. In this prospectus, we have summarized certain general features of our common stock in the section titled “Description of Capital Stock:Class A Common Stock and Class B Common Stock.” We urge you, however, to read the applicable prospectus supplement (and any related free writing prospectus that we may authorize to be provided to you) related to any Class A common stock being offered.</w:t>
      </w:r>
    </w:p>
    <w:p>
      <w:pPr>
        <w:spacing w:after="0" w:line="140" w:lineRule="exact"/>
        <w:rPr>
          <w:sz w:val="20"/>
          <w:szCs w:val="20"/>
          <w:color w:val="auto"/>
        </w:rPr>
      </w:pPr>
    </w:p>
    <w:p>
      <w:pPr>
        <w:ind w:left="1540" w:right="459" w:firstLine="328"/>
        <w:spacing w:after="0" w:line="250" w:lineRule="auto"/>
        <w:rPr>
          <w:sz w:val="20"/>
          <w:szCs w:val="20"/>
          <w:color w:val="auto"/>
        </w:rPr>
      </w:pPr>
      <w:r>
        <w:rPr>
          <w:rFonts w:ascii="Times New Roman" w:cs="Times New Roman" w:eastAsia="Times New Roman" w:hAnsi="Times New Roman"/>
          <w:sz w:val="14"/>
          <w:szCs w:val="14"/>
          <w:i w:val="1"/>
          <w:iCs w:val="1"/>
          <w:color w:val="auto"/>
        </w:rPr>
        <w:t xml:space="preserve">Preferred Stock. </w:t>
      </w:r>
      <w:r>
        <w:rPr>
          <w:rFonts w:ascii="Times New Roman" w:cs="Times New Roman" w:eastAsia="Times New Roman" w:hAnsi="Times New Roman"/>
          <w:sz w:val="14"/>
          <w:szCs w:val="14"/>
          <w:color w:val="auto"/>
        </w:rPr>
        <w:t>We may issue shares of our preferred stock from time to time, in one or more series. Under our articles of incorporation,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board of directors has the authority to designate up to 20,000,000 shares of preferred stock, par value $0.0001 per share, in one or more series and determine or alter the designation, rights, preferences, privileges and restrictions granted to or imposed upon any series of preferred stock, any or all of which may be greater than the rights of the common stock. If we sell any new series of preferred stock under this prospectus and any applicable prospectus supplement, our board of directors will determine the rights, preferences and privileges of the preferred stock being offered, as well as the qualifications, limitations or restrictions thereof, including dividend rights, conversion rights, voting rights, preemptive rights, terms of redemption or repurchase, liquidation preferences, sinking fund terms and the number of shares constituting any series or the designation of any series. Preferred stock may be convertible into our common stock or other securities of ours, or may be exchangeable for debt securities. Conversion may be mandatory or at the holder’s option and would be at prescribed conversion rates. We will file as an exhibit to the registration statement of which this prospectus is a part, or will incorporate by reference from reports that we file with the SEC, the form of the certificate of designation that describes the terms of the series of preferred stock being offered before the issuance of the related series of preferred stock. In this prospectus, we have summarized certain general features of the preferred stock in the section titled “Description of Capital Stock:Preferred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146" w:lineRule="exact"/>
        <w:rPr>
          <w:sz w:val="20"/>
          <w:szCs w:val="20"/>
          <w:color w:val="auto"/>
        </w:rPr>
      </w:pPr>
    </w:p>
    <w:p>
      <w:pPr>
        <w:ind w:left="1540" w:right="479" w:firstLine="328"/>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Debt Securities. </w:t>
      </w:r>
      <w:r>
        <w:rPr>
          <w:rFonts w:ascii="Times New Roman" w:cs="Times New Roman" w:eastAsia="Times New Roman" w:hAnsi="Times New Roman"/>
          <w:sz w:val="14"/>
          <w:szCs w:val="14"/>
          <w:color w:val="auto"/>
        </w:rPr>
        <w:t>We may issue debt securities from time to time, in one or more series, as either senior or subordinated debt or as senior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subordinated convertible debt. Convertible or exchangeable debt securities will be convertible into or exchangeable for our Class A common stock or our other securities. Conversion or exchange may be mandatory or optional (at our option or the holders’ option) and would be at prescribed conversion or exchange prices.</w:t>
      </w:r>
    </w:p>
    <w:p>
      <w:pPr>
        <w:spacing w:after="0" w:line="139" w:lineRule="exact"/>
        <w:rPr>
          <w:sz w:val="20"/>
          <w:szCs w:val="20"/>
          <w:color w:val="auto"/>
        </w:rPr>
      </w:pPr>
    </w:p>
    <w:p>
      <w:pPr>
        <w:ind w:left="1540" w:right="479" w:firstLine="328"/>
        <w:spacing w:after="0" w:line="275" w:lineRule="auto"/>
        <w:rPr>
          <w:sz w:val="20"/>
          <w:szCs w:val="20"/>
          <w:color w:val="auto"/>
        </w:rPr>
      </w:pPr>
      <w:r>
        <w:rPr>
          <w:rFonts w:ascii="Times New Roman" w:cs="Times New Roman" w:eastAsia="Times New Roman" w:hAnsi="Times New Roman"/>
          <w:sz w:val="13"/>
          <w:szCs w:val="13"/>
          <w:color w:val="auto"/>
        </w:rPr>
        <w:t>The debt securities will be issued under an indenture that we will enter into with a national banking association or other eligible party, as trustee. In this prospectus, we have summarized certain general features of the debt securities in the section titled “Description of Debt Securities.” We urge you, however, to read the applicable prospectus supplement (and any related free writing prospectus that we may authorize to be provided to you) related to the series of debt securities being offered, as well as the complete indenture and any supplemental indentures that contain the terms of the debt securities.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30" w:lineRule="exact"/>
        <w:rPr>
          <w:sz w:val="20"/>
          <w:szCs w:val="20"/>
          <w:color w:val="auto"/>
        </w:rPr>
      </w:pPr>
    </w:p>
    <w:p>
      <w:pPr>
        <w:ind w:left="1540" w:right="479" w:firstLine="328"/>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Warrants. </w:t>
      </w:r>
      <w:r>
        <w:rPr>
          <w:rFonts w:ascii="Times New Roman" w:cs="Times New Roman" w:eastAsia="Times New Roman" w:hAnsi="Times New Roman"/>
          <w:sz w:val="14"/>
          <w:szCs w:val="14"/>
          <w:color w:val="auto"/>
        </w:rPr>
        <w:t>We may issue warrants for the purchase of Class A common stock, preferred stock and/or debt securities in one or more series. We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may issue warrants independently or in combination with common stock, preferred stock and/or debt securities offered by any prospectus supplement. In this prospectus, we have summarized certain general features of the warrants in the section titled “Description of Warrants.” We urge you, however, to read the applicable prospectus supplement (and any related free writing prospectus that we may</w:t>
      </w:r>
    </w:p>
    <w:p>
      <w:pPr>
        <w:spacing w:after="0" w:line="23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83"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2297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93690" cy="2297430"/>
                    </a:xfrm>
                    <a:prstGeom prst="rect">
                      <a:avLst/>
                    </a:prstGeom>
                    <a:noFill/>
                  </pic:spPr>
                </pic:pic>
              </a:graphicData>
            </a:graphic>
          </wp:anchor>
        </w:drawing>
      </w:r>
    </w:p>
    <w:p>
      <w:pPr>
        <w:spacing w:after="0" w:line="362" w:lineRule="exact"/>
        <w:rPr>
          <w:sz w:val="20"/>
          <w:szCs w:val="20"/>
          <w:color w:val="auto"/>
        </w:rPr>
      </w:pPr>
    </w:p>
    <w:p>
      <w:pPr>
        <w:ind w:left="1540" w:right="499"/>
        <w:spacing w:after="0" w:line="254" w:lineRule="auto"/>
        <w:rPr>
          <w:sz w:val="20"/>
          <w:szCs w:val="20"/>
          <w:color w:val="auto"/>
        </w:rPr>
      </w:pPr>
      <w:r>
        <w:rPr>
          <w:rFonts w:ascii="Times New Roman" w:cs="Times New Roman" w:eastAsia="Times New Roman" w:hAnsi="Times New Roman"/>
          <w:sz w:val="14"/>
          <w:szCs w:val="14"/>
          <w:color w:val="auto"/>
        </w:rPr>
        <w:t>authorize to be provided to you) related to the particular series of warrants being offered, as well as the form of warrant and/or the warrant agreement and warrant certificate, as applicable, that contain the terms of the warrants. We have filed the forms of the warrant agreements and forms of warrant certificates containing the terms of the warrants that we may offer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w:t>
      </w:r>
    </w:p>
    <w:p>
      <w:pPr>
        <w:spacing w:after="0" w:line="142" w:lineRule="exact"/>
        <w:rPr>
          <w:sz w:val="20"/>
          <w:szCs w:val="20"/>
          <w:color w:val="auto"/>
        </w:rPr>
      </w:pPr>
    </w:p>
    <w:p>
      <w:pPr>
        <w:ind w:left="1540" w:right="739" w:firstLine="328"/>
        <w:spacing w:after="0" w:line="278" w:lineRule="auto"/>
        <w:rPr>
          <w:sz w:val="20"/>
          <w:szCs w:val="20"/>
          <w:color w:val="auto"/>
        </w:rPr>
      </w:pPr>
      <w:r>
        <w:rPr>
          <w:rFonts w:ascii="Times New Roman" w:cs="Times New Roman" w:eastAsia="Times New Roman" w:hAnsi="Times New Roman"/>
          <w:sz w:val="14"/>
          <w:szCs w:val="14"/>
          <w:color w:val="auto"/>
        </w:rPr>
        <w:t>Warrants may be issued under a warrant agreement that we enter into with a warrant agent. We will indicate the name and address of the warrant agent, if any, in the applicable prospectus supplement relating to a particular series of warrants.</w:t>
      </w:r>
    </w:p>
    <w:p>
      <w:pPr>
        <w:spacing w:after="0" w:line="20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91" w:lineRule="exact"/>
        <w:rPr>
          <w:sz w:val="20"/>
          <w:szCs w:val="20"/>
          <w:color w:val="auto"/>
        </w:rPr>
      </w:pPr>
    </w:p>
    <w:p>
      <w:pPr>
        <w:ind w:left="1540" w:right="639" w:firstLine="328"/>
        <w:spacing w:after="0" w:line="258" w:lineRule="auto"/>
        <w:rPr>
          <w:sz w:val="20"/>
          <w:szCs w:val="20"/>
          <w:color w:val="auto"/>
        </w:rPr>
      </w:pPr>
      <w:r>
        <w:rPr>
          <w:rFonts w:ascii="Times New Roman" w:cs="Times New Roman" w:eastAsia="Times New Roman" w:hAnsi="Times New Roman"/>
          <w:sz w:val="14"/>
          <w:szCs w:val="14"/>
          <w:color w:val="auto"/>
        </w:rPr>
        <w:t>Except as described in any applicable prospectus supplement or in any free writing prospectuses we have authorized for use in connection with a specific offering, we intend to use the net proceeds from the sale of the securities under this prospectus for general corporate purposes, which may include acquisitions or strategic investments in complementary businesses or technologies, working capital, operating expenses and capital expenditures. See “Use of Proceeds.”</w:t>
      </w:r>
    </w:p>
    <w:p>
      <w:pPr>
        <w:spacing w:after="0" w:line="22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Nasdaq Global Select Market Listing</w:t>
      </w:r>
    </w:p>
    <w:p>
      <w:pPr>
        <w:spacing w:after="0" w:line="9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Our Class A common stock is listed on the Nasdaq Global Select Market under the symbol “TEM.”</w:t>
      </w:r>
    </w:p>
    <w:p>
      <w:pPr>
        <w:spacing w:after="0" w:line="26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3"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4" w:lineRule="exact"/>
        <w:rPr>
          <w:sz w:val="20"/>
          <w:szCs w:val="20"/>
          <w:color w:val="auto"/>
        </w:rPr>
      </w:pPr>
    </w:p>
    <w:p>
      <w:pPr>
        <w:ind w:left="1400" w:right="279" w:firstLine="339"/>
        <w:spacing w:after="0" w:line="271" w:lineRule="auto"/>
        <w:rPr>
          <w:sz w:val="20"/>
          <w:szCs w:val="20"/>
          <w:color w:val="auto"/>
        </w:rPr>
      </w:pPr>
      <w:r>
        <w:rPr>
          <w:rFonts w:ascii="Times New Roman" w:cs="Times New Roman" w:eastAsia="Times New Roman" w:hAnsi="Times New Roman"/>
          <w:sz w:val="13"/>
          <w:szCs w:val="13"/>
          <w:color w:val="auto"/>
        </w:rPr>
        <w:t>Investing in our securities involves a high degree of risk. Before deciding whether to invest in our securities, you should consider carefully the risks and uncertainties described in the section titled “Risk Factors” contained in the applicable prospectus supplement and any related free writing prospectus, and described under the section entitled “Risk Factors” contained in our most recent Annual Report on Form 10-K and subsequent Quarterly Reports on Form 10-Q, as well as any amendments thereto reflected in subsequent filings with the SEC, which are incorporated by reference into this prospectus and any applicable prospectus supplement in their entirety, together with other information in this prospectus, the documents incorporated by reference and any free writing prospectus that we may authorize for use in connection with a specific offering. See the sections titled “Where You Can Find More Information” and “Incorporation of Certain Information by Reference.”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carefully read the section entitled “Special Note Regarding Forward-Looking Statements.”</w:t>
      </w:r>
    </w:p>
    <w:p>
      <w:pPr>
        <w:spacing w:after="0" w:line="8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3"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4" w:lineRule="exact"/>
        <w:rPr>
          <w:sz w:val="20"/>
          <w:szCs w:val="20"/>
          <w:color w:val="auto"/>
        </w:rPr>
      </w:pPr>
    </w:p>
    <w:p>
      <w:pPr>
        <w:ind w:left="1400" w:right="279" w:firstLine="339"/>
        <w:spacing w:after="0" w:line="253" w:lineRule="auto"/>
        <w:rPr>
          <w:sz w:val="20"/>
          <w:szCs w:val="20"/>
          <w:color w:val="auto"/>
        </w:rPr>
      </w:pPr>
      <w:r>
        <w:rPr>
          <w:rFonts w:ascii="Times New Roman" w:cs="Times New Roman" w:eastAsia="Times New Roman" w:hAnsi="Times New Roman"/>
          <w:sz w:val="14"/>
          <w:szCs w:val="14"/>
          <w:color w:val="auto"/>
        </w:rPr>
        <w:t>We will retain broad discretion over the use of the net proceeds from the sale of the securities offered hereby. Unless otherwise indicated in any prospectus supplement, we intend to use the net proceeds from the sale of the securities under this prospectus for general corporate purposes, which may include acquisitions or strategic investments in complementary businesses or technologies, working capital, operating expenses and capital expenditures. We will set forth in the applicable prospectus supplement or free writing prospectus our intended use for the net proceeds from the sale of any securities sold pursuant to the prospectus supplement or free writing prospectus. Pending these uses, we intend to invest the net proceeds in a variety of capital preservation instruments, including short-term and intermediate term, interest-bearing obligations, investment-grade instruments, certificates of deposit or director or guaranteed obligations of the U.S. government.</w:t>
      </w:r>
    </w:p>
    <w:p>
      <w:pPr>
        <w:spacing w:after="0" w:line="9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3"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72" w:lineRule="exact"/>
        <w:rPr>
          <w:sz w:val="20"/>
          <w:szCs w:val="20"/>
          <w:color w:val="auto"/>
        </w:rPr>
      </w:pPr>
    </w:p>
    <w:p>
      <w:pPr>
        <w:ind w:left="1400" w:right="599" w:firstLine="339"/>
        <w:spacing w:after="0" w:line="321" w:lineRule="auto"/>
        <w:rPr>
          <w:sz w:val="20"/>
          <w:szCs w:val="20"/>
          <w:color w:val="auto"/>
        </w:rPr>
      </w:pPr>
      <w:r>
        <w:rPr>
          <w:rFonts w:ascii="Times New Roman" w:cs="Times New Roman" w:eastAsia="Times New Roman" w:hAnsi="Times New Roman"/>
          <w:sz w:val="13"/>
          <w:szCs w:val="13"/>
          <w:i w:val="1"/>
          <w:iCs w:val="1"/>
          <w:color w:val="auto"/>
        </w:rPr>
        <w:t>The following summary of the material terms of our securities is not intended to be a complete summary of the rights and preferences of such securities, and is qualified by reference to our articles of incorporation and our bylaws. We encourage you to read those documents carefully.</w:t>
      </w:r>
    </w:p>
    <w:p>
      <w:pPr>
        <w:spacing w:after="0" w:line="18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1" w:lineRule="exact"/>
        <w:rPr>
          <w:sz w:val="20"/>
          <w:szCs w:val="20"/>
          <w:color w:val="auto"/>
        </w:rPr>
      </w:pPr>
    </w:p>
    <w:p>
      <w:pPr>
        <w:ind w:left="1400" w:right="559" w:firstLine="339"/>
        <w:spacing w:after="0" w:line="278" w:lineRule="auto"/>
        <w:rPr>
          <w:sz w:val="20"/>
          <w:szCs w:val="20"/>
          <w:color w:val="auto"/>
        </w:rPr>
      </w:pPr>
      <w:r>
        <w:rPr>
          <w:rFonts w:ascii="Times New Roman" w:cs="Times New Roman" w:eastAsia="Times New Roman" w:hAnsi="Times New Roman"/>
          <w:sz w:val="14"/>
          <w:szCs w:val="14"/>
          <w:color w:val="auto"/>
        </w:rPr>
        <w:t>Under our articles of incorporation, our authorized capital stock consists of 1,025,500,000 shares, all with a par value of $0.0001 per share, of which:</w:t>
      </w:r>
    </w:p>
    <w:p>
      <w:pPr>
        <w:spacing w:after="0" w:line="53" w:lineRule="exact"/>
        <w:rPr>
          <w:sz w:val="20"/>
          <w:szCs w:val="20"/>
          <w:color w:val="auto"/>
        </w:rPr>
      </w:pPr>
    </w:p>
    <w:p>
      <w:pPr>
        <w:ind w:left="2160" w:hanging="342"/>
        <w:spacing w:after="0"/>
        <w:tabs>
          <w:tab w:leader="none" w:pos="21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1,000,000,000 shares are designated Class A common stock;</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5,500,000 shares are designated Class B common stock; and</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20,000,000 shares are designated preferred stock.</w:t>
      </w:r>
    </w:p>
    <w:p>
      <w:pPr>
        <w:spacing w:after="0" w:line="172" w:lineRule="exact"/>
        <w:rPr>
          <w:sz w:val="20"/>
          <w:szCs w:val="20"/>
          <w:color w:val="auto"/>
        </w:rPr>
      </w:pPr>
    </w:p>
    <w:p>
      <w:pPr>
        <w:ind w:left="1400" w:right="539" w:firstLine="339"/>
        <w:spacing w:after="0" w:line="318" w:lineRule="auto"/>
        <w:rPr>
          <w:sz w:val="20"/>
          <w:szCs w:val="20"/>
          <w:color w:val="auto"/>
        </w:rPr>
      </w:pPr>
      <w:r>
        <w:rPr>
          <w:rFonts w:ascii="Times New Roman" w:cs="Times New Roman" w:eastAsia="Times New Roman" w:hAnsi="Times New Roman"/>
          <w:sz w:val="13"/>
          <w:szCs w:val="13"/>
          <w:color w:val="auto"/>
        </w:rPr>
        <w:t>As of June 30, 2025, there were 168,580,827 shares of Class A common stock outstanding, 5,043,789 shares of Class B common stock outstanding and no shares of preferred stock outstanding. As of June 30, 2025, there were 145,466 shares of Class A common stock held in treasury.</w:t>
      </w:r>
    </w:p>
    <w:p>
      <w:pPr>
        <w:spacing w:after="0" w:line="18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color w:val="auto"/>
        </w:rPr>
        <w:t>Class A Common Stock and Class B Common Stock</w:t>
      </w:r>
    </w:p>
    <w:p>
      <w:pPr>
        <w:spacing w:after="0" w:line="8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91" w:lineRule="exact"/>
        <w:rPr>
          <w:sz w:val="20"/>
          <w:szCs w:val="20"/>
          <w:color w:val="auto"/>
        </w:rPr>
      </w:pPr>
    </w:p>
    <w:p>
      <w:pPr>
        <w:ind w:left="1400" w:right="419" w:firstLine="339"/>
        <w:spacing w:after="0" w:line="258" w:lineRule="auto"/>
        <w:rPr>
          <w:sz w:val="20"/>
          <w:szCs w:val="20"/>
          <w:color w:val="auto"/>
        </w:rPr>
      </w:pPr>
      <w:r>
        <w:rPr>
          <w:rFonts w:ascii="Times New Roman" w:cs="Times New Roman" w:eastAsia="Times New Roman" w:hAnsi="Times New Roman"/>
          <w:sz w:val="14"/>
          <w:szCs w:val="14"/>
          <w:color w:val="auto"/>
        </w:rPr>
        <w:t>The Class A common stock is entitled to one vote per share on any matter that is submitted to a vote of our stockholders. Holders of our Class B common stock are entitled to 30 votes per share on any matter submitted to our stockholders. Holders of shares of Class B common stock and Class A common stock vote together as a single class on all matters (including the election of directors) submitted to a vote of stockholders, unless otherwise required by Nevada law or our articles of incorporation.</w:t>
      </w:r>
    </w:p>
    <w:p>
      <w:pPr>
        <w:spacing w:after="0" w:line="140" w:lineRule="exact"/>
        <w:rPr>
          <w:sz w:val="20"/>
          <w:szCs w:val="20"/>
          <w:color w:val="auto"/>
        </w:rPr>
      </w:pPr>
    </w:p>
    <w:p>
      <w:pPr>
        <w:ind w:left="1400" w:right="379" w:firstLine="339"/>
        <w:spacing w:after="0" w:line="251" w:lineRule="auto"/>
        <w:rPr>
          <w:sz w:val="20"/>
          <w:szCs w:val="20"/>
          <w:color w:val="auto"/>
        </w:rPr>
      </w:pPr>
      <w:r>
        <w:rPr>
          <w:rFonts w:ascii="Times New Roman" w:cs="Times New Roman" w:eastAsia="Times New Roman" w:hAnsi="Times New Roman"/>
          <w:sz w:val="14"/>
          <w:szCs w:val="14"/>
          <w:color w:val="auto"/>
        </w:rPr>
        <w:t>Under Nevada law, holders of our Class A common stock or Class B common stock would be entitled to vote as a separate class if a proposed amendment to our articles of incorporation would adversely alter or change any preference or any relative or other right given to such class. While our articles of incorporation provide that the holders of our Class A common stock do not have the right to vote as a separate class as to amendments to our articles of incorporation that would increase or decrease the aggregate number of authorized shares of Class A common stock, they are entitled to the other class protections provided under Nevada law. As a result, in these limited instances, the holders of a majority of the Class A common stock could defeat any amendment to our articles of incorporation. For example, if a proposed amendment of our articles of incorporation provided for the Class A common stock to rank junior to the Class B common stock with respect to (1) any dividend or other distribution, (2) the distribution of proceeds were we to be acquired or (3) any other right, Nevada law would require the vote of the Class A common stock. In this instance, the holders of a majority of Class A common stock could defeat that amendment to our articles of incorporation.</w:t>
      </w:r>
    </w:p>
    <w:p>
      <w:pPr>
        <w:spacing w:after="0" w:line="14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Our articles of incorporation do not provide for cumulative voting for the election of directors.</w:t>
      </w:r>
    </w:p>
    <w:p>
      <w:pPr>
        <w:spacing w:after="0" w:line="25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Economic Rights</w:t>
      </w:r>
    </w:p>
    <w:p>
      <w:pPr>
        <w:spacing w:after="0" w:line="91" w:lineRule="exact"/>
        <w:rPr>
          <w:sz w:val="20"/>
          <w:szCs w:val="20"/>
          <w:color w:val="auto"/>
        </w:rPr>
      </w:pPr>
    </w:p>
    <w:p>
      <w:pPr>
        <w:ind w:left="1400" w:right="559" w:firstLine="339"/>
        <w:spacing w:after="0" w:line="263" w:lineRule="auto"/>
        <w:rPr>
          <w:sz w:val="20"/>
          <w:szCs w:val="20"/>
          <w:color w:val="auto"/>
        </w:rPr>
      </w:pPr>
      <w:r>
        <w:rPr>
          <w:rFonts w:ascii="Times New Roman" w:cs="Times New Roman" w:eastAsia="Times New Roman" w:hAnsi="Times New Roman"/>
          <w:sz w:val="14"/>
          <w:szCs w:val="14"/>
          <w:color w:val="auto"/>
        </w:rPr>
        <w:t>Except as otherwise expressly provided in our articles of incorporation or otherwise required by applicable law, all shares of Class A common stock and Class B common stock have the same rights and privileges and rank equally, share ratably and be identical in all respects for all matters, including those described below.</w:t>
      </w:r>
    </w:p>
    <w:p>
      <w:pPr>
        <w:spacing w:after="0" w:line="21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Dividends and Distributions</w:t>
      </w:r>
    </w:p>
    <w:p>
      <w:pPr>
        <w:spacing w:after="0" w:line="91" w:lineRule="exact"/>
        <w:rPr>
          <w:sz w:val="20"/>
          <w:szCs w:val="20"/>
          <w:color w:val="auto"/>
        </w:rPr>
      </w:pPr>
    </w:p>
    <w:p>
      <w:pPr>
        <w:ind w:left="1400" w:right="419" w:firstLine="339"/>
        <w:spacing w:after="0" w:line="278" w:lineRule="auto"/>
        <w:rPr>
          <w:sz w:val="20"/>
          <w:szCs w:val="20"/>
          <w:color w:val="auto"/>
        </w:rPr>
      </w:pPr>
      <w:r>
        <w:rPr>
          <w:rFonts w:ascii="Times New Roman" w:cs="Times New Roman" w:eastAsia="Times New Roman" w:hAnsi="Times New Roman"/>
          <w:sz w:val="14"/>
          <w:szCs w:val="14"/>
          <w:color w:val="auto"/>
        </w:rPr>
        <w:t>Subject to preferences that may apply to any shares of preferred stock outstanding at the time, the holders of Class A common stock and Class B common stock are entitled to share equally, identically, and ratably, on a per</w:t>
      </w:r>
    </w:p>
    <w:p>
      <w:pPr>
        <w:spacing w:after="0" w:line="7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3"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79"/>
        <w:spacing w:after="0" w:line="263" w:lineRule="auto"/>
        <w:rPr>
          <w:sz w:val="20"/>
          <w:szCs w:val="20"/>
          <w:color w:val="auto"/>
        </w:rPr>
      </w:pPr>
      <w:r>
        <w:rPr>
          <w:rFonts w:ascii="Times New Roman" w:cs="Times New Roman" w:eastAsia="Times New Roman" w:hAnsi="Times New Roman"/>
          <w:sz w:val="14"/>
          <w:szCs w:val="14"/>
          <w:color w:val="auto"/>
        </w:rPr>
        <w:t>share basis, with respect to any dividend or distribution of cash or property paid or distributed by the company, unless different treatment of the shares of the affected class is approved by the affirmative vote of the holders of a majority of the outstanding shares of such affected class, voting separately as a class.</w:t>
      </w:r>
    </w:p>
    <w:p>
      <w:pPr>
        <w:spacing w:after="0" w:line="21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Liquidation Rights</w:t>
      </w:r>
    </w:p>
    <w:p>
      <w:pPr>
        <w:spacing w:after="0" w:line="91" w:lineRule="exact"/>
        <w:rPr>
          <w:sz w:val="20"/>
          <w:szCs w:val="20"/>
          <w:color w:val="auto"/>
        </w:rPr>
      </w:pPr>
    </w:p>
    <w:p>
      <w:pPr>
        <w:ind w:left="1400" w:right="319" w:firstLine="339"/>
        <w:spacing w:after="0" w:line="258" w:lineRule="auto"/>
        <w:rPr>
          <w:sz w:val="20"/>
          <w:szCs w:val="20"/>
          <w:color w:val="auto"/>
        </w:rPr>
      </w:pPr>
      <w:r>
        <w:rPr>
          <w:rFonts w:ascii="Times New Roman" w:cs="Times New Roman" w:eastAsia="Times New Roman" w:hAnsi="Times New Roman"/>
          <w:sz w:val="14"/>
          <w:szCs w:val="14"/>
          <w:color w:val="auto"/>
        </w:rPr>
        <w:t>On our liquidation, dissolution, or winding-up, the holders of Class A common stock and Class B common stock are entitled to share equally, identically, and ratably 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w:t>
      </w:r>
    </w:p>
    <w:p>
      <w:pPr>
        <w:spacing w:after="0" w:line="22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Change of Control Transactions</w:t>
      </w:r>
    </w:p>
    <w:p>
      <w:pPr>
        <w:spacing w:after="0" w:line="91" w:lineRule="exact"/>
        <w:rPr>
          <w:sz w:val="20"/>
          <w:szCs w:val="20"/>
          <w:color w:val="auto"/>
        </w:rPr>
      </w:pPr>
    </w:p>
    <w:p>
      <w:pPr>
        <w:ind w:left="1400" w:right="299" w:firstLine="339"/>
        <w:spacing w:after="0" w:line="250" w:lineRule="auto"/>
        <w:rPr>
          <w:sz w:val="20"/>
          <w:szCs w:val="20"/>
          <w:color w:val="auto"/>
        </w:rPr>
      </w:pPr>
      <w:r>
        <w:rPr>
          <w:rFonts w:ascii="Times New Roman" w:cs="Times New Roman" w:eastAsia="Times New Roman" w:hAnsi="Times New Roman"/>
          <w:sz w:val="14"/>
          <w:szCs w:val="14"/>
          <w:color w:val="auto"/>
        </w:rPr>
        <w:t>The holders of Class A common stock and Class B common stock are treated equally and identically with respect to shares of Class A common stock or Class B common stock owned by them, unless different treatment of the shares of each class is approved by the affirmative vote of the holders of a majority of the outstanding shares of the class treated differently, voting separately as a class, on (a) the closing of the sale, transfer, or other disposition of all or substantially all of our assets, (b) the consummation of a merger, reorganization, consolidation, or share transfer which results in our voting securities outstanding immediately before the transaction (or the voting securities issued with respect to our voting securities outstanding immediately before the transaction) representing less than a majority of the combined voting power of the voting securities of the company or the surviving or acquiring entity or (c) the closing of the transfer (whether by merger, consolidation, or otherwise), in one transaction or a series of related transactions, to a person or group of affiliated persons of securities of the company if, after closing, the transferee person or group would hold 50% or more of the outstanding voting power of the company (or the surviving or acquiring entity), in each case, in which cash or other property is, pursuant to the express terms of such transaction, to be distributed to the stockholders in respect of their shares of our capital stock. However, consideration to be paid or received by a holder of common stock in connection with any such assets sale, merger, reorganization, consolidation, or share transfer under any employment, consulting, severance, or other arrangement will be disregarded for the purposes of determining whether holders of common stock are treated equally and identically.</w:t>
      </w:r>
    </w:p>
    <w:p>
      <w:pPr>
        <w:spacing w:after="0" w:line="23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Subdivisions and Combinations</w:t>
      </w:r>
    </w:p>
    <w:p>
      <w:pPr>
        <w:spacing w:after="0" w:line="91" w:lineRule="exact"/>
        <w:rPr>
          <w:sz w:val="20"/>
          <w:szCs w:val="20"/>
          <w:color w:val="auto"/>
        </w:rPr>
      </w:pPr>
    </w:p>
    <w:p>
      <w:pPr>
        <w:ind w:left="1400" w:right="439" w:firstLine="339"/>
        <w:spacing w:after="0" w:line="278" w:lineRule="auto"/>
        <w:rPr>
          <w:sz w:val="20"/>
          <w:szCs w:val="20"/>
          <w:color w:val="auto"/>
        </w:rPr>
      </w:pPr>
      <w:r>
        <w:rPr>
          <w:rFonts w:ascii="Times New Roman" w:cs="Times New Roman" w:eastAsia="Times New Roman" w:hAnsi="Times New Roman"/>
          <w:sz w:val="14"/>
          <w:szCs w:val="14"/>
          <w:color w:val="auto"/>
        </w:rPr>
        <w:t>If we subdivide or combine in any manner outstanding shares of Class A common stock or Class B common stock, the outstanding shares of the other classes will be subdivided or combined in the same manner.</w:t>
      </w:r>
    </w:p>
    <w:p>
      <w:pPr>
        <w:spacing w:after="0" w:line="20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No Preemptive or Similar Rights</w:t>
      </w:r>
    </w:p>
    <w:p>
      <w:pPr>
        <w:spacing w:after="0" w:line="91" w:lineRule="exact"/>
        <w:rPr>
          <w:sz w:val="20"/>
          <w:szCs w:val="20"/>
          <w:color w:val="auto"/>
        </w:rPr>
      </w:pPr>
    </w:p>
    <w:p>
      <w:pPr>
        <w:ind w:left="1400" w:right="579" w:firstLine="339"/>
        <w:spacing w:after="0" w:line="278" w:lineRule="auto"/>
        <w:rPr>
          <w:sz w:val="20"/>
          <w:szCs w:val="20"/>
          <w:color w:val="auto"/>
        </w:rPr>
      </w:pPr>
      <w:r>
        <w:rPr>
          <w:rFonts w:ascii="Times New Roman" w:cs="Times New Roman" w:eastAsia="Times New Roman" w:hAnsi="Times New Roman"/>
          <w:sz w:val="14"/>
          <w:szCs w:val="14"/>
          <w:color w:val="auto"/>
        </w:rPr>
        <w:t>Our Class A common stock and Class B common stock are not entitled to preemptive rights, and are not subject to conversion, redemption or sinking fund provisions, except for the conversion provisions with respect to the Class B common stock described below.</w:t>
      </w:r>
    </w:p>
    <w:p>
      <w:pPr>
        <w:spacing w:after="0" w:line="20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Conversion</w:t>
      </w:r>
    </w:p>
    <w:p>
      <w:pPr>
        <w:spacing w:after="0" w:line="91" w:lineRule="exact"/>
        <w:rPr>
          <w:sz w:val="20"/>
          <w:szCs w:val="20"/>
          <w:color w:val="auto"/>
        </w:rPr>
      </w:pPr>
    </w:p>
    <w:p>
      <w:pPr>
        <w:ind w:left="1400" w:right="439" w:firstLine="339"/>
        <w:spacing w:after="0" w:line="263" w:lineRule="auto"/>
        <w:rPr>
          <w:sz w:val="20"/>
          <w:szCs w:val="20"/>
          <w:color w:val="auto"/>
        </w:rPr>
      </w:pPr>
      <w:r>
        <w:rPr>
          <w:rFonts w:ascii="Times New Roman" w:cs="Times New Roman" w:eastAsia="Times New Roman" w:hAnsi="Times New Roman"/>
          <w:sz w:val="14"/>
          <w:szCs w:val="14"/>
          <w:color w:val="auto"/>
        </w:rPr>
        <w:t>Each share of Class B common stock is convertible at any time at the option of the holder into one share of Class A common stock. On any transfer of shares of Class B common stock, whether or not for value, each such transferred share will automatically convert into one share of Class A common stock, except for certain transfers detailed below and further described in our articles of incorporation.</w:t>
      </w:r>
    </w:p>
    <w:p>
      <w:pPr>
        <w:spacing w:after="0" w:line="136" w:lineRule="exact"/>
        <w:rPr>
          <w:sz w:val="20"/>
          <w:szCs w:val="20"/>
          <w:color w:val="auto"/>
        </w:rPr>
      </w:pPr>
    </w:p>
    <w:p>
      <w:pPr>
        <w:ind w:left="1400" w:right="799" w:firstLine="339"/>
        <w:spacing w:after="0" w:line="278" w:lineRule="auto"/>
        <w:rPr>
          <w:sz w:val="20"/>
          <w:szCs w:val="20"/>
          <w:color w:val="auto"/>
        </w:rPr>
      </w:pPr>
      <w:r>
        <w:rPr>
          <w:rFonts w:ascii="Times New Roman" w:cs="Times New Roman" w:eastAsia="Times New Roman" w:hAnsi="Times New Roman"/>
          <w:sz w:val="14"/>
          <w:szCs w:val="14"/>
          <w:color w:val="auto"/>
        </w:rPr>
        <w:t>Any holder’s shares of Class B common stock will convert automatically into Class A common stock, on a one-to-one basis, upon certain circumstances, including: (1) the sale or transfer of such shares of Class B</w:t>
      </w:r>
    </w:p>
    <w:p>
      <w:pPr>
        <w:spacing w:after="0" w:line="7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3"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spacing w:after="0" w:line="279" w:lineRule="auto"/>
        <w:rPr>
          <w:sz w:val="20"/>
          <w:szCs w:val="20"/>
          <w:color w:val="auto"/>
        </w:rPr>
      </w:pPr>
      <w:r>
        <w:rPr>
          <w:rFonts w:ascii="Times New Roman" w:cs="Times New Roman" w:eastAsia="Times New Roman" w:hAnsi="Times New Roman"/>
          <w:sz w:val="13"/>
          <w:szCs w:val="13"/>
          <w:color w:val="auto"/>
        </w:rPr>
        <w:t>common stock, other than to any person or entity which, directly or directly, is controlled by, or is under common control with, the holder of such shares of Class B common stock making such transfer; (2) the trading day that is no less than 90 days and no more than 150 days following June 17, 2044; (3) the date on which Mr. Lefkofsky is no longer providing services to us as an executive officer or member of our board of directors; and (4) the trading day that is no less than 90 days and no more than 150 days following the date that Mr. Lefkofsky and his controlled entities hold, in the aggregate, fewer than 10,000,000 shares of our capital stock (as adjusted for stock splits, stock dividends, combinations, subdivisions and recapitalizations).</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Any shares of the Class B common stock that have been converted or are otherwise acquired by us may not be reissued.</w:t>
      </w:r>
    </w:p>
    <w:p>
      <w:pPr>
        <w:spacing w:after="0" w:line="25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91" w:lineRule="exact"/>
        <w:rPr>
          <w:sz w:val="20"/>
          <w:szCs w:val="20"/>
          <w:color w:val="auto"/>
        </w:rPr>
      </w:pPr>
    </w:p>
    <w:p>
      <w:pPr>
        <w:ind w:left="1400" w:right="299" w:firstLine="339"/>
        <w:spacing w:after="0" w:line="251" w:lineRule="auto"/>
        <w:rPr>
          <w:sz w:val="20"/>
          <w:szCs w:val="20"/>
          <w:color w:val="auto"/>
        </w:rPr>
      </w:pPr>
      <w:r>
        <w:rPr>
          <w:rFonts w:ascii="Times New Roman" w:cs="Times New Roman" w:eastAsia="Times New Roman" w:hAnsi="Times New Roman"/>
          <w:sz w:val="14"/>
          <w:szCs w:val="14"/>
          <w:color w:val="auto"/>
        </w:rPr>
        <w:t>Under our articles of incorporation, our board of directors may, without further action by our stockholders (except as noted below), fix the rights, preferences, privileges, and restrictions of up to an aggregate of 20,000,000 shares of preferred stock in one or more series and authorize their issuance. Notwithstanding the foregoing, so long as any shares of Class B common stock remain outstanding, no shares of preferred stock with voting rights equal or superior to those of the Class B common stock may be issued without the approval of the holders of a majority of the outstanding shares of Class B common stock.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our Class A common stock or Class B common stock. Any issuance of our preferred stock could adversely affect the voting power of holders of our Class A common stock or Class B common stock, and the likelihood that such holders would receive dividend or other distribution payments and payments on liquidation. In addition, the issuance of preferred stock could have the effect of delaying, deferring, or preventing a change of control or other corporate action. We have no present plan to issue any shares of preferred stock.</w:t>
      </w:r>
    </w:p>
    <w:p>
      <w:pPr>
        <w:spacing w:after="0" w:line="22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color w:val="auto"/>
        </w:rPr>
        <w:t>Registration Rights</w:t>
      </w:r>
    </w:p>
    <w:p>
      <w:pPr>
        <w:spacing w:after="0" w:line="8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Stockholder Registration Rights</w:t>
      </w:r>
    </w:p>
    <w:p>
      <w:pPr>
        <w:spacing w:after="0" w:line="91" w:lineRule="exact"/>
        <w:rPr>
          <w:sz w:val="20"/>
          <w:szCs w:val="20"/>
          <w:color w:val="auto"/>
        </w:rPr>
      </w:pPr>
    </w:p>
    <w:p>
      <w:pPr>
        <w:ind w:left="1400" w:right="379" w:firstLine="339"/>
        <w:spacing w:after="0" w:line="277" w:lineRule="auto"/>
        <w:rPr>
          <w:sz w:val="20"/>
          <w:szCs w:val="20"/>
          <w:color w:val="auto"/>
        </w:rPr>
      </w:pPr>
      <w:r>
        <w:rPr>
          <w:rFonts w:ascii="Times New Roman" w:cs="Times New Roman" w:eastAsia="Times New Roman" w:hAnsi="Times New Roman"/>
          <w:sz w:val="13"/>
          <w:szCs w:val="13"/>
          <w:color w:val="auto"/>
        </w:rPr>
        <w:t>We are party to an investor rights agreement that provides that certain holders of our convertible preferred stock, including certain holders of at least 5% of our capital stock and entities affiliated with certain of our directors, have certain registration rights, as set forth below. This investor rights agreement was entered into in April 2024. The registration of shares of our Class A common stock (including shares of Class A common stock issuable upon conversion of Class B common stock)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spacing w:after="0" w:line="129" w:lineRule="exact"/>
        <w:rPr>
          <w:sz w:val="20"/>
          <w:szCs w:val="20"/>
          <w:color w:val="auto"/>
        </w:rPr>
      </w:pPr>
    </w:p>
    <w:p>
      <w:pPr>
        <w:ind w:left="1400" w:right="339" w:firstLine="339"/>
        <w:spacing w:after="0" w:line="255" w:lineRule="auto"/>
        <w:rPr>
          <w:sz w:val="20"/>
          <w:szCs w:val="20"/>
          <w:color w:val="auto"/>
        </w:rPr>
      </w:pPr>
      <w:r>
        <w:rPr>
          <w:rFonts w:ascii="Times New Roman" w:cs="Times New Roman" w:eastAsia="Times New Roman" w:hAnsi="Times New Roman"/>
          <w:sz w:val="14"/>
          <w:szCs w:val="14"/>
          <w:color w:val="auto"/>
        </w:rPr>
        <w:t>Generally, in an underwritten offering, the managing underwriter, if any, has the right, subject to specified conditions, to limit the number of shares such holders may include. The demand, piggyback, and Form S-3 registration rights described below will expire five years after the date of our initial public offering (the “IPO Date”), or with respect to any particular stockholder, such time after the IPO Date that such stockholder (a) holds less than 1% of our outstanding common stock (including shares issuable on conversion of outstanding convertible preferred stock) and (b) can sell all of its shares under Rule 144 of the Securities Act (“Rule 144”) during any 90-day period.</w:t>
      </w:r>
    </w:p>
    <w:p>
      <w:pPr>
        <w:spacing w:after="0" w:line="22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Demand Registration Rights</w:t>
      </w:r>
    </w:p>
    <w:p>
      <w:pPr>
        <w:spacing w:after="0" w:line="91" w:lineRule="exact"/>
        <w:rPr>
          <w:sz w:val="20"/>
          <w:szCs w:val="20"/>
          <w:color w:val="auto"/>
        </w:rPr>
      </w:pPr>
    </w:p>
    <w:p>
      <w:pPr>
        <w:ind w:left="1400" w:right="399" w:firstLine="339"/>
        <w:spacing w:after="0" w:line="278" w:lineRule="auto"/>
        <w:rPr>
          <w:sz w:val="20"/>
          <w:szCs w:val="20"/>
          <w:color w:val="auto"/>
        </w:rPr>
      </w:pPr>
      <w:r>
        <w:rPr>
          <w:rFonts w:ascii="Times New Roman" w:cs="Times New Roman" w:eastAsia="Times New Roman" w:hAnsi="Times New Roman"/>
          <w:sz w:val="14"/>
          <w:szCs w:val="14"/>
          <w:color w:val="auto"/>
        </w:rPr>
        <w:t>The holders of the registerable securities are entitled to certain demand registration rights. At any time after December 13, 2024, the holders of a majority of these shares may, on not more than two occasions, request that</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3"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959"/>
        <w:spacing w:after="0" w:line="278" w:lineRule="auto"/>
        <w:rPr>
          <w:sz w:val="20"/>
          <w:szCs w:val="20"/>
          <w:color w:val="auto"/>
        </w:rPr>
      </w:pPr>
      <w:r>
        <w:rPr>
          <w:rFonts w:ascii="Times New Roman" w:cs="Times New Roman" w:eastAsia="Times New Roman" w:hAnsi="Times New Roman"/>
          <w:sz w:val="14"/>
          <w:szCs w:val="14"/>
          <w:color w:val="auto"/>
        </w:rPr>
        <w:t>we register all or a portion of their shares. Such request for registration must cover shares with an anticipated aggregate offering price, net of underwriting discounts and commissions, of at least $15.0 million.</w:t>
      </w:r>
    </w:p>
    <w:p>
      <w:pPr>
        <w:spacing w:after="0" w:line="20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Piggyback Registration Rights</w:t>
      </w:r>
    </w:p>
    <w:p>
      <w:pPr>
        <w:spacing w:after="0" w:line="91" w:lineRule="exact"/>
        <w:rPr>
          <w:sz w:val="20"/>
          <w:szCs w:val="20"/>
          <w:color w:val="auto"/>
        </w:rPr>
      </w:pPr>
    </w:p>
    <w:p>
      <w:pPr>
        <w:ind w:left="1400" w:right="339" w:firstLine="339"/>
        <w:spacing w:after="0" w:line="254" w:lineRule="auto"/>
        <w:rPr>
          <w:sz w:val="20"/>
          <w:szCs w:val="20"/>
          <w:color w:val="auto"/>
        </w:rPr>
      </w:pPr>
      <w:r>
        <w:rPr>
          <w:rFonts w:ascii="Times New Roman" w:cs="Times New Roman" w:eastAsia="Times New Roman" w:hAnsi="Times New Roman"/>
          <w:sz w:val="14"/>
          <w:szCs w:val="14"/>
          <w:color w:val="auto"/>
        </w:rPr>
        <w:t>In the event that we propose to, subject to limited exceptions, register any of our securities under the Securities Act, either for our own account or for the account of other security holders, the holders of these shares are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a demand registration or a registration statement on Forms S-4 or S-8, the holders of these shares are entitled to notice of the registration and have the right to include their shares in the registration, subject to limitations that the underwriters may impose on the number of shares included in the offering.</w:t>
      </w:r>
    </w:p>
    <w:p>
      <w:pPr>
        <w:spacing w:after="0" w:line="22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Form S-3 Registration Rights</w:t>
      </w:r>
    </w:p>
    <w:p>
      <w:pPr>
        <w:spacing w:after="0" w:line="91" w:lineRule="exact"/>
        <w:rPr>
          <w:sz w:val="20"/>
          <w:szCs w:val="20"/>
          <w:color w:val="auto"/>
        </w:rPr>
      </w:pPr>
    </w:p>
    <w:p>
      <w:pPr>
        <w:ind w:left="1400" w:right="279" w:firstLine="339"/>
        <w:spacing w:after="0" w:line="258" w:lineRule="auto"/>
        <w:rPr>
          <w:sz w:val="20"/>
          <w:szCs w:val="20"/>
          <w:color w:val="auto"/>
        </w:rPr>
      </w:pPr>
      <w:r>
        <w:rPr>
          <w:rFonts w:ascii="Times New Roman" w:cs="Times New Roman" w:eastAsia="Times New Roman" w:hAnsi="Times New Roman"/>
          <w:sz w:val="14"/>
          <w:szCs w:val="14"/>
          <w:color w:val="auto"/>
        </w:rPr>
        <w:t>The holders of an aggregate of at least 20% of the then outstanding shares of Class A common stock and Class B common stock are entitled to certain Form S-3 registration rights. The holders of an aggregate of at least 20% of these shares can make a request that we register their shares on Form S-3 if we are qualified to file a registration statement on Form S-3 and if the reasonably anticipated aggregate gross proceeds of the shares offered would equal or exceed $1.0 million. We will not be required to effect more than two registrations on Form S-3 within any 12-month period.</w:t>
      </w:r>
    </w:p>
    <w:p>
      <w:pPr>
        <w:spacing w:after="0" w:line="22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color w:val="auto"/>
        </w:rPr>
        <w:t>Anti-Takeover Provisions</w:t>
      </w:r>
    </w:p>
    <w:p>
      <w:pPr>
        <w:spacing w:after="0" w:line="8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Articles of Incorporation and Bylaws</w:t>
      </w:r>
    </w:p>
    <w:p>
      <w:pPr>
        <w:spacing w:after="0" w:line="91" w:lineRule="exact"/>
        <w:rPr>
          <w:sz w:val="20"/>
          <w:szCs w:val="20"/>
          <w:color w:val="auto"/>
        </w:rPr>
      </w:pPr>
    </w:p>
    <w:p>
      <w:pPr>
        <w:ind w:left="1400" w:right="559" w:firstLine="339"/>
        <w:spacing w:after="0" w:line="253" w:lineRule="auto"/>
        <w:rPr>
          <w:sz w:val="20"/>
          <w:szCs w:val="20"/>
          <w:color w:val="auto"/>
        </w:rPr>
      </w:pPr>
      <w:r>
        <w:rPr>
          <w:rFonts w:ascii="Times New Roman" w:cs="Times New Roman" w:eastAsia="Times New Roman" w:hAnsi="Times New Roman"/>
          <w:sz w:val="14"/>
          <w:szCs w:val="14"/>
          <w:color w:val="auto"/>
        </w:rPr>
        <w:t>Because our stockholders do not have cumulative voting rights, stockholders holding a majority of the voting power of our shares of common stock are able to elect all of our directors. Our articles of incorporation and bylaws provide for stockholder actions at a duly called meeting of stockholders or, so long as any shares of Class B common stock remain outstanding, by written consent. A special meeting of stockholders may be called by a majority of our board of directors, the chair of our board of directors, our chief executive officer, or, so long as any shares of Class B common stock remain outstanding, by our secretary upon written consent of our stockholders entitled to cast at least a majority of the votes at such meeting. Our bylaws establish an advance notice procedure for stockholder proposals to be brought before an annual meeting of our stockholders, including proposed nominations of persons for election to our board of directors.</w:t>
      </w:r>
    </w:p>
    <w:p>
      <w:pPr>
        <w:spacing w:after="0" w:line="143" w:lineRule="exact"/>
        <w:rPr>
          <w:sz w:val="20"/>
          <w:szCs w:val="20"/>
          <w:color w:val="auto"/>
        </w:rPr>
      </w:pPr>
    </w:p>
    <w:p>
      <w:pPr>
        <w:ind w:left="1400" w:right="299" w:firstLine="339"/>
        <w:spacing w:after="0" w:line="251" w:lineRule="auto"/>
        <w:rPr>
          <w:sz w:val="20"/>
          <w:szCs w:val="20"/>
          <w:color w:val="auto"/>
        </w:rPr>
      </w:pPr>
      <w:r>
        <w:rPr>
          <w:rFonts w:ascii="Times New Roman" w:cs="Times New Roman" w:eastAsia="Times New Roman" w:hAnsi="Times New Roman"/>
          <w:sz w:val="14"/>
          <w:szCs w:val="14"/>
          <w:color w:val="auto"/>
        </w:rPr>
        <w:t>Our articles of incorporation further provide for a dual-class common stock structure, which provides Eric Lefkofsky, our Chief Executive Officer, Founder, and Chairman, who beneficially owns 100% of our outstanding Class B common stock, with control over all matters requiring stockholder approval, including the election of directors and significant corporate transactions, such as a merger or other sale of our company or its assets. Additionally, so long as any shares of Class B common stock remain outstanding, a majority vote of the outstanding Class B common stock is required to (1) amend, alter, or repeal any provision of the articles of incorporation or bylaws in a manner that modifies the rights of the holders of the Class B common stock, (2) reclassify any outstanding shares of Class A common stock into shares having (a) dividend or liquidation rights that are senior to the Class B common stock or (b) the right to more than one vote per share, (3) issue any shares of preferred stock having voting rights equal or superior to those of the Class B common stock, and (4) issue any additional shares of Class B common stock or other securities convertible into Class B common stock (except for the issuance of Class B common stock issuable upon a dividend or other distribution under certain circumstances).</w:t>
      </w:r>
    </w:p>
    <w:p>
      <w:pPr>
        <w:spacing w:after="0" w:line="148" w:lineRule="exact"/>
        <w:rPr>
          <w:sz w:val="20"/>
          <w:szCs w:val="20"/>
          <w:color w:val="auto"/>
        </w:rPr>
      </w:pPr>
    </w:p>
    <w:p>
      <w:pPr>
        <w:ind w:left="1400" w:right="379" w:firstLine="339"/>
        <w:spacing w:after="0" w:line="278" w:lineRule="auto"/>
        <w:rPr>
          <w:sz w:val="20"/>
          <w:szCs w:val="20"/>
          <w:color w:val="auto"/>
        </w:rPr>
      </w:pPr>
      <w:r>
        <w:rPr>
          <w:rFonts w:ascii="Times New Roman" w:cs="Times New Roman" w:eastAsia="Times New Roman" w:hAnsi="Times New Roman"/>
          <w:sz w:val="14"/>
          <w:szCs w:val="14"/>
          <w:color w:val="auto"/>
        </w:rPr>
        <w:t>The foregoing provisions will make it more difficult for another party to obtain control of us by replacing our board of directors. Since our board of directors has the power to retain and discharge our officers, these</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3"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79"/>
        <w:spacing w:after="0" w:line="263" w:lineRule="auto"/>
        <w:rPr>
          <w:sz w:val="20"/>
          <w:szCs w:val="20"/>
          <w:color w:val="auto"/>
        </w:rPr>
      </w:pPr>
      <w:r>
        <w:rPr>
          <w:rFonts w:ascii="Times New Roman" w:cs="Times New Roman" w:eastAsia="Times New Roman" w:hAnsi="Times New Roman"/>
          <w:sz w:val="14"/>
          <w:szCs w:val="14"/>
          <w:color w:val="auto"/>
        </w:rPr>
        <w:t>provisions could also make it more difficult for existing stockholders or another party to effect a change in management. In addition, the authorization of undesignated convertible preferred stock makes it possible for our board of directors to issue convertible preferred stock with voting or other rights or preferences that could impede the success of any attempt to change our control.</w:t>
      </w:r>
    </w:p>
    <w:p>
      <w:pPr>
        <w:spacing w:after="0" w:line="136" w:lineRule="exact"/>
        <w:rPr>
          <w:sz w:val="20"/>
          <w:szCs w:val="20"/>
          <w:color w:val="auto"/>
        </w:rPr>
      </w:pPr>
    </w:p>
    <w:p>
      <w:pPr>
        <w:ind w:left="1400" w:right="379" w:firstLine="339"/>
        <w:spacing w:after="0" w:line="275" w:lineRule="auto"/>
        <w:rPr>
          <w:sz w:val="20"/>
          <w:szCs w:val="20"/>
          <w:color w:val="auto"/>
        </w:rPr>
      </w:pPr>
      <w:r>
        <w:rPr>
          <w:rFonts w:ascii="Times New Roman" w:cs="Times New Roman" w:eastAsia="Times New Roman" w:hAnsi="Times New Roman"/>
          <w:sz w:val="13"/>
          <w:szCs w:val="13"/>
          <w:color w:val="auto"/>
        </w:rPr>
        <w:t>These provisions, including the dual-class structure of our common stock, are intended to preserve our existing control structure, facilitate our continued product innovation and the risk-taking that it requires, permit us to continue to prioritize our long-term goals rather than short-term results,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may also inhibit fluctuations in the market price of our stock that could result from actual or rumored takeover attempts.</w:t>
      </w:r>
    </w:p>
    <w:p>
      <w:pPr>
        <w:spacing w:after="0" w:line="21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Nevada “Combinations with Interested Stockholders” Statutes</w:t>
      </w:r>
    </w:p>
    <w:p>
      <w:pPr>
        <w:spacing w:after="0" w:line="91" w:lineRule="exact"/>
        <w:rPr>
          <w:sz w:val="20"/>
          <w:szCs w:val="20"/>
          <w:color w:val="auto"/>
        </w:rPr>
      </w:pPr>
    </w:p>
    <w:p>
      <w:pPr>
        <w:ind w:left="1400" w:right="279" w:firstLine="339"/>
        <w:spacing w:after="0" w:line="270" w:lineRule="auto"/>
        <w:rPr>
          <w:sz w:val="20"/>
          <w:szCs w:val="20"/>
          <w:color w:val="auto"/>
        </w:rPr>
      </w:pPr>
      <w:r>
        <w:rPr>
          <w:rFonts w:ascii="Times New Roman" w:cs="Times New Roman" w:eastAsia="Times New Roman" w:hAnsi="Times New Roman"/>
          <w:sz w:val="13"/>
          <w:szCs w:val="13"/>
          <w:color w:val="auto"/>
        </w:rPr>
        <w:t>Nevada’s “combinations with interested stockholders” statutes (Nevada Revised Statutes 78.411 through 78.444, inclusive) prohibit specified types of business “combinations” between certain Nevada corporations and any person deemed to be an “interested stockholder” for two years after such person first becomes an “interested stockholder” unless the corporation’s board of directors approves, in advance, either the combination or the transaction by which such person becomes an “interested stockholder,” or unless the combination is approved by the board of directors and sixty percent of the corporation’s voting power not beneficially owned by the interested stockholder, its affiliates and associates. Further, in the absence of prior approval certain restrictions may apply even after such two-year period. However, these statutes do not apply to any combination of a corporation and an interested stockholder after the expiration of four years after the person first became an interested stockholder. For purposes of these statutes, an “interested stockholder” is any person who is (1) the beneficial owner, directly or indirectly, of ten percent or more of the voting power of the outstanding voting shares of the corporation, or (2) an affiliate or associate of the corporation and at any time within the two previous years was the beneficial owner, directly or indirectly, of ten percent or more of the voting power of the then outstanding shares of the corporation. The definition of the term “combination” is sufficiently broad to cover most significant transactions between a corporation and an “interested stockholder.” These statutes generally apply to Nevada corporations with 200 or more stockholders of record. However, a Nevada corporation may elect in its articles of incorporation not to be governed by these particular laws, but if such election is not made in the corporation’s original articles of incorporation or in an amendment effective prior to the company having 200 or more stockholders of record, then the amendment (1) must be approved by the affirmative vote of the holders of stock representing a majority of the outstanding voting power of the corporation not beneficially owned by interested stockholders or their affiliates and associates, and (2) is not effective until 18 months after the vote approving the amendment and does not apply to any combination with a person who first became an interested stockholder on or before the effective date of the amendment. We have not made an election to opt out of these statutes in our articles of incorporation, and so these statutes could apply to us in the event we have 200 or more stockholders of record.</w:t>
      </w:r>
    </w:p>
    <w:p>
      <w:pPr>
        <w:spacing w:after="0" w:line="38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color w:val="auto"/>
        </w:rPr>
        <w:t>Choice of Forum</w:t>
      </w:r>
    </w:p>
    <w:p>
      <w:pPr>
        <w:spacing w:after="0" w:line="91" w:lineRule="exact"/>
        <w:rPr>
          <w:sz w:val="20"/>
          <w:szCs w:val="20"/>
          <w:color w:val="auto"/>
        </w:rPr>
      </w:pPr>
    </w:p>
    <w:p>
      <w:pPr>
        <w:ind w:left="1400" w:right="279" w:firstLine="339"/>
        <w:spacing w:after="0" w:line="254" w:lineRule="auto"/>
        <w:rPr>
          <w:sz w:val="20"/>
          <w:szCs w:val="20"/>
          <w:color w:val="auto"/>
        </w:rPr>
      </w:pPr>
      <w:r>
        <w:rPr>
          <w:rFonts w:ascii="Times New Roman" w:cs="Times New Roman" w:eastAsia="Times New Roman" w:hAnsi="Times New Roman"/>
          <w:sz w:val="14"/>
          <w:szCs w:val="14"/>
          <w:color w:val="auto"/>
        </w:rPr>
        <w:t>Our articles of incorporation provide that the Eighth Judicial District Court of the State of Nevada be the exclusive forum for actions or proceedings brought under Nevada statutory or common law: (1) any derivative action or proceeding brought on our behalf; (2) any action or proceeding asserting a claim of breach of a fiduciary duty owed to us or our stockholders by any of our current or former directors, officers or other employees, or any of our stockholders; (3) any action or proceeding asserting a claim against us or any of our current or former directors, officers or other employees, or any of our stockholders, arising pursuant to any provision of the Nevada Revised Statutes, our articles of incorporation or bylaws, as each may be amended from time to time; (4) any</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83"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spacing w:after="0" w:line="251" w:lineRule="auto"/>
        <w:rPr>
          <w:sz w:val="20"/>
          <w:szCs w:val="20"/>
          <w:color w:val="auto"/>
        </w:rPr>
      </w:pPr>
      <w:r>
        <w:rPr>
          <w:rFonts w:ascii="Times New Roman" w:cs="Times New Roman" w:eastAsia="Times New Roman" w:hAnsi="Times New Roman"/>
          <w:sz w:val="14"/>
          <w:szCs w:val="14"/>
          <w:color w:val="auto"/>
        </w:rPr>
        <w:t>action or proceeding to interpret, apply, enforce or determine the validity of our articles of incorporation or bylaws, including any right, obligation or remedy thereunder; (5) any internal action (as defined in NRS 78.046) and any action or proceeding as to which jurisdiction of the District Courts of the State of Nevada is conferred by Title 7 of the Nevada Revised Statutes; and (6) any action asserting a claim against us or any of our directors, officers or other employees, or any of our stockholders, governed by the internal affairs doctrine, in all cases to the fullest extent permitted by law and subject to the court’s having personal jurisdiction over the indispensable parties named as defendants. The provisions would not apply to suits brought to enforce a duty or liability created by the Exchange Act. Our articles of incorporation further provide that the federal district courts of the United States of America are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Investors cannot waive compliance with the federal securities laws and the rules and regulations thereunder.</w:t>
      </w:r>
    </w:p>
    <w:p>
      <w:pPr>
        <w:spacing w:after="0" w:line="2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color w:val="auto"/>
        </w:rPr>
        <w:t>Exchange Listing</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Our Class A common stock is currently listed on the Nasdaq Global Select Market under the symbol “TEM.”</w:t>
      </w:r>
    </w:p>
    <w:p>
      <w:pPr>
        <w:spacing w:after="0" w:line="25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91" w:lineRule="exact"/>
        <w:rPr>
          <w:sz w:val="20"/>
          <w:szCs w:val="20"/>
          <w:color w:val="auto"/>
        </w:rPr>
      </w:pPr>
    </w:p>
    <w:p>
      <w:pPr>
        <w:ind w:left="1400" w:right="799"/>
        <w:spacing w:after="0" w:line="318" w:lineRule="auto"/>
        <w:rPr>
          <w:sz w:val="20"/>
          <w:szCs w:val="20"/>
          <w:color w:val="auto"/>
        </w:rPr>
      </w:pPr>
      <w:r>
        <w:rPr>
          <w:rFonts w:ascii="Times New Roman" w:cs="Times New Roman" w:eastAsia="Times New Roman" w:hAnsi="Times New Roman"/>
          <w:sz w:val="13"/>
          <w:szCs w:val="13"/>
          <w:color w:val="auto"/>
        </w:rPr>
        <w:t>The transfer agent and registrar for our Class A common stock and Class B common stock is Equiniti Trust Company, LLC (formerly known as American Stock Transfer &amp; Trust Company, LLC). The transfer agent’s address is 55 Challenger Road, Ridgefield Park, New Jersey 07660.</w:t>
      </w:r>
    </w:p>
    <w:p>
      <w:pPr>
        <w:spacing w:after="0" w:line="5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83"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74" w:lineRule="exact"/>
        <w:rPr>
          <w:sz w:val="20"/>
          <w:szCs w:val="20"/>
          <w:color w:val="auto"/>
        </w:rPr>
      </w:pPr>
    </w:p>
    <w:p>
      <w:pPr>
        <w:ind w:left="1400" w:right="359" w:firstLine="339"/>
        <w:spacing w:after="0" w:line="255" w:lineRule="auto"/>
        <w:rPr>
          <w:sz w:val="20"/>
          <w:szCs w:val="20"/>
          <w:color w:val="auto"/>
        </w:rPr>
      </w:pPr>
      <w:r>
        <w:rPr>
          <w:rFonts w:ascii="Times New Roman" w:cs="Times New Roman" w:eastAsia="Times New Roman" w:hAnsi="Times New Roman"/>
          <w:sz w:val="14"/>
          <w:szCs w:val="14"/>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43"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We will issue the debt securities under the indenture that we will enter into with the trustee named in the indenture. The indenture will be qualified under the Trust Indenture Act of 1939, as amended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43" w:lineRule="exact"/>
        <w:rPr>
          <w:sz w:val="20"/>
          <w:szCs w:val="20"/>
          <w:color w:val="auto"/>
        </w:rPr>
      </w:pPr>
    </w:p>
    <w:p>
      <w:pPr>
        <w:jc w:val="both"/>
        <w:ind w:left="1400" w:right="279" w:firstLine="339"/>
        <w:spacing w:after="0" w:line="258" w:lineRule="auto"/>
        <w:rPr>
          <w:sz w:val="20"/>
          <w:szCs w:val="20"/>
          <w:color w:val="auto"/>
        </w:rPr>
      </w:pPr>
      <w:r>
        <w:rPr>
          <w:rFonts w:ascii="Times New Roman" w:cs="Times New Roman" w:eastAsia="Times New Roman" w:hAnsi="Times New Roman"/>
          <w:sz w:val="14"/>
          <w:szCs w:val="14"/>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1" w:lineRule="exact"/>
        <w:rPr>
          <w:sz w:val="20"/>
          <w:szCs w:val="20"/>
          <w:color w:val="auto"/>
        </w:rPr>
      </w:pPr>
    </w:p>
    <w:p>
      <w:pPr>
        <w:ind w:left="1400" w:right="419" w:firstLine="339"/>
        <w:spacing w:after="0" w:line="284" w:lineRule="auto"/>
        <w:rPr>
          <w:sz w:val="20"/>
          <w:szCs w:val="20"/>
          <w:color w:val="auto"/>
        </w:rPr>
      </w:pPr>
      <w:r>
        <w:rPr>
          <w:rFonts w:ascii="Times New Roman" w:cs="Times New Roman" w:eastAsia="Times New Roman" w:hAnsi="Times New Roman"/>
          <w:sz w:val="13"/>
          <w:szCs w:val="13"/>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24" w:lineRule="exact"/>
        <w:rPr>
          <w:sz w:val="20"/>
          <w:szCs w:val="20"/>
          <w:color w:val="auto"/>
        </w:rPr>
      </w:pPr>
    </w:p>
    <w:p>
      <w:pPr>
        <w:ind w:left="1400" w:right="479" w:firstLine="339"/>
        <w:spacing w:after="0" w:line="255" w:lineRule="auto"/>
        <w:rPr>
          <w:sz w:val="20"/>
          <w:szCs w:val="20"/>
          <w:color w:val="auto"/>
        </w:rPr>
      </w:pPr>
      <w:r>
        <w:rPr>
          <w:rFonts w:ascii="Times New Roman" w:cs="Times New Roman" w:eastAsia="Times New Roman" w:hAnsi="Times New Roman"/>
          <w:sz w:val="14"/>
          <w:szCs w:val="14"/>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4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color w:val="auto"/>
        </w:rPr>
        <w:t>We will describe in the applicable prospectus supplement the terms of the series of debt securities being offered, including:</w:t>
      </w:r>
    </w:p>
    <w:p>
      <w:pPr>
        <w:spacing w:after="0" w:line="99" w:lineRule="exact"/>
        <w:rPr>
          <w:sz w:val="20"/>
          <w:szCs w:val="20"/>
          <w:color w:val="auto"/>
        </w:rPr>
      </w:pPr>
    </w:p>
    <w:p>
      <w:pPr>
        <w:ind w:left="2160" w:hanging="342"/>
        <w:spacing w:after="0"/>
        <w:tabs>
          <w:tab w:leader="none" w:pos="21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series of debt securities;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upon the aggregate principal amount that may be issued;</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 or dates;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of the debt securities of the series;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applicability of any guarantees;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or not the debt securities will be secured or unsecured, and the terms of any secured debt;</w:t>
      </w:r>
    </w:p>
    <w:p>
      <w:pPr>
        <w:spacing w:after="0" w:line="98" w:lineRule="exact"/>
        <w:rPr>
          <w:rFonts w:ascii="Times New Roman" w:cs="Times New Roman" w:eastAsia="Times New Roman" w:hAnsi="Times New Roman"/>
          <w:sz w:val="14"/>
          <w:szCs w:val="14"/>
          <w:color w:val="auto"/>
        </w:rPr>
      </w:pPr>
    </w:p>
    <w:p>
      <w:pPr>
        <w:ind w:left="2160" w:right="459" w:hanging="342"/>
        <w:spacing w:after="0" w:line="278" w:lineRule="auto"/>
        <w:tabs>
          <w:tab w:leader="none" w:pos="21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rank as senior debt, senior subordinated debt, subordinated debt or any combination thereof, and the terms of any subordination;</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83"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right="379" w:hanging="342"/>
        <w:spacing w:after="0" w:line="258" w:lineRule="auto"/>
        <w:tabs>
          <w:tab w:leader="none" w:pos="21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66" w:lineRule="exact"/>
        <w:rPr>
          <w:rFonts w:ascii="Times New Roman" w:cs="Times New Roman" w:eastAsia="Times New Roman" w:hAnsi="Times New Roman"/>
          <w:sz w:val="14"/>
          <w:szCs w:val="14"/>
          <w:color w:val="auto"/>
        </w:rPr>
      </w:pPr>
    </w:p>
    <w:p>
      <w:pPr>
        <w:ind w:left="2160" w:right="419" w:hanging="342"/>
        <w:spacing w:after="0" w:line="318" w:lineRule="auto"/>
        <w:tabs>
          <w:tab w:leader="none" w:pos="21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30" w:lineRule="exact"/>
        <w:rPr>
          <w:rFonts w:ascii="Times New Roman" w:cs="Times New Roman" w:eastAsia="Times New Roman" w:hAnsi="Times New Roman"/>
          <w:sz w:val="13"/>
          <w:szCs w:val="13"/>
          <w:color w:val="auto"/>
        </w:rPr>
      </w:pPr>
    </w:p>
    <w:p>
      <w:pPr>
        <w:ind w:left="2160" w:hanging="342"/>
        <w:spacing w:after="0"/>
        <w:tabs>
          <w:tab w:leader="none" w:pos="21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right, if any, to defer payment of interest and the maximum length of any such deferral period;</w:t>
      </w:r>
    </w:p>
    <w:p>
      <w:pPr>
        <w:spacing w:after="0" w:line="98" w:lineRule="exact"/>
        <w:rPr>
          <w:rFonts w:ascii="Times New Roman" w:cs="Times New Roman" w:eastAsia="Times New Roman" w:hAnsi="Times New Roman"/>
          <w:sz w:val="14"/>
          <w:szCs w:val="14"/>
          <w:color w:val="auto"/>
        </w:rPr>
      </w:pPr>
    </w:p>
    <w:p>
      <w:pPr>
        <w:ind w:left="2160" w:right="419" w:hanging="342"/>
        <w:spacing w:after="0" w:line="263" w:lineRule="auto"/>
        <w:tabs>
          <w:tab w:leader="none" w:pos="21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63" w:lineRule="exact"/>
        <w:rPr>
          <w:rFonts w:ascii="Times New Roman" w:cs="Times New Roman" w:eastAsia="Times New Roman" w:hAnsi="Times New Roman"/>
          <w:sz w:val="14"/>
          <w:szCs w:val="14"/>
          <w:color w:val="auto"/>
        </w:rPr>
      </w:pPr>
    </w:p>
    <w:p>
      <w:pPr>
        <w:ind w:left="2160" w:right="279" w:hanging="342"/>
        <w:spacing w:after="0" w:line="263" w:lineRule="auto"/>
        <w:tabs>
          <w:tab w:leader="none" w:pos="21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63" w:lineRule="exact"/>
        <w:rPr>
          <w:rFonts w:ascii="Times New Roman" w:cs="Times New Roman" w:eastAsia="Times New Roman" w:hAnsi="Times New Roman"/>
          <w:sz w:val="14"/>
          <w:szCs w:val="14"/>
          <w:color w:val="auto"/>
        </w:rPr>
      </w:pPr>
    </w:p>
    <w:p>
      <w:pPr>
        <w:ind w:left="2160" w:right="599" w:hanging="342"/>
        <w:spacing w:after="0" w:line="278" w:lineRule="auto"/>
        <w:tabs>
          <w:tab w:leader="none" w:pos="21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we will issue the series of debt securities, if other than denominations of $1,000 and any integral multiple thereof;</w:t>
      </w:r>
    </w:p>
    <w:p>
      <w:pPr>
        <w:spacing w:after="0" w:line="53" w:lineRule="exact"/>
        <w:rPr>
          <w:rFonts w:ascii="Times New Roman" w:cs="Times New Roman" w:eastAsia="Times New Roman" w:hAnsi="Times New Roman"/>
          <w:sz w:val="14"/>
          <w:szCs w:val="14"/>
          <w:color w:val="auto"/>
        </w:rPr>
      </w:pPr>
    </w:p>
    <w:p>
      <w:pPr>
        <w:ind w:left="2160" w:right="639" w:hanging="342"/>
        <w:spacing w:after="0" w:line="263" w:lineRule="auto"/>
        <w:tabs>
          <w:tab w:leader="none" w:pos="21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63" w:lineRule="exact"/>
        <w:rPr>
          <w:rFonts w:ascii="Times New Roman" w:cs="Times New Roman" w:eastAsia="Times New Roman" w:hAnsi="Times New Roman"/>
          <w:sz w:val="14"/>
          <w:szCs w:val="14"/>
          <w:color w:val="auto"/>
        </w:rPr>
      </w:pPr>
    </w:p>
    <w:p>
      <w:pPr>
        <w:ind w:left="2160" w:right="419" w:hanging="342"/>
        <w:spacing w:after="0" w:line="263" w:lineRule="auto"/>
        <w:tabs>
          <w:tab w:leader="none" w:pos="21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63" w:lineRule="exact"/>
        <w:rPr>
          <w:rFonts w:ascii="Times New Roman" w:cs="Times New Roman" w:eastAsia="Times New Roman" w:hAnsi="Times New Roman"/>
          <w:sz w:val="14"/>
          <w:szCs w:val="14"/>
          <w:color w:val="auto"/>
        </w:rPr>
      </w:pPr>
    </w:p>
    <w:p>
      <w:pPr>
        <w:ind w:left="2160" w:right="279" w:hanging="342"/>
        <w:spacing w:after="0" w:line="258" w:lineRule="auto"/>
        <w:tabs>
          <w:tab w:leader="none" w:pos="21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66" w:lineRule="exact"/>
        <w:rPr>
          <w:rFonts w:ascii="Times New Roman" w:cs="Times New Roman" w:eastAsia="Times New Roman" w:hAnsi="Times New Roman"/>
          <w:sz w:val="14"/>
          <w:szCs w:val="14"/>
          <w:color w:val="auto"/>
        </w:rPr>
      </w:pPr>
    </w:p>
    <w:p>
      <w:pPr>
        <w:ind w:left="2160" w:right="499" w:hanging="342"/>
        <w:spacing w:after="0" w:line="278" w:lineRule="auto"/>
        <w:tabs>
          <w:tab w:leader="none" w:pos="21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full principal amount thereof, the portion of the principal amount of debt securities of the series which shall be payable upon declaration of acceleration of the maturity thereof;</w:t>
      </w:r>
    </w:p>
    <w:p>
      <w:pPr>
        <w:spacing w:after="0" w:line="53" w:lineRule="exact"/>
        <w:rPr>
          <w:rFonts w:ascii="Times New Roman" w:cs="Times New Roman" w:eastAsia="Times New Roman" w:hAnsi="Times New Roman"/>
          <w:sz w:val="14"/>
          <w:szCs w:val="14"/>
          <w:color w:val="auto"/>
        </w:rPr>
      </w:pPr>
    </w:p>
    <w:p>
      <w:pPr>
        <w:ind w:left="2160" w:right="1079" w:hanging="342"/>
        <w:spacing w:after="0" w:line="278" w:lineRule="auto"/>
        <w:tabs>
          <w:tab w:leader="none" w:pos="21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the covenants applicable to the particular debt securities being issued, including, among others, the consolidation, merger or sale covenant;</w:t>
      </w:r>
    </w:p>
    <w:p>
      <w:pPr>
        <w:spacing w:after="0" w:line="53" w:lineRule="exact"/>
        <w:rPr>
          <w:rFonts w:ascii="Times New Roman" w:cs="Times New Roman" w:eastAsia="Times New Roman" w:hAnsi="Times New Roman"/>
          <w:sz w:val="14"/>
          <w:szCs w:val="14"/>
          <w:color w:val="auto"/>
        </w:rPr>
      </w:pPr>
    </w:p>
    <w:p>
      <w:pPr>
        <w:ind w:left="2160" w:right="579" w:hanging="342"/>
        <w:spacing w:after="0" w:line="278" w:lineRule="auto"/>
        <w:tabs>
          <w:tab w:leader="none" w:pos="21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or deletions of the provisions relating to covenant defeasance and legal defeasance;</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the provisions relating to satisfaction and discharge of the indenture;</w:t>
      </w:r>
    </w:p>
    <w:p>
      <w:pPr>
        <w:spacing w:after="0" w:line="98" w:lineRule="exact"/>
        <w:rPr>
          <w:rFonts w:ascii="Times New Roman" w:cs="Times New Roman" w:eastAsia="Times New Roman" w:hAnsi="Times New Roman"/>
          <w:sz w:val="14"/>
          <w:szCs w:val="14"/>
          <w:color w:val="auto"/>
        </w:rPr>
      </w:pPr>
    </w:p>
    <w:p>
      <w:pPr>
        <w:ind w:left="2160" w:right="379" w:hanging="342"/>
        <w:spacing w:after="0" w:line="278" w:lineRule="auto"/>
        <w:tabs>
          <w:tab w:leader="none" w:pos="21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the provisions relating to the modification of the indenture both with and without the consent of holders of debt securities issued under the indenture;</w:t>
      </w:r>
    </w:p>
    <w:p>
      <w:pPr>
        <w:spacing w:after="0" w:line="53" w:lineRule="exact"/>
        <w:rPr>
          <w:rFonts w:ascii="Times New Roman" w:cs="Times New Roman" w:eastAsia="Times New Roman" w:hAnsi="Times New Roman"/>
          <w:sz w:val="14"/>
          <w:szCs w:val="14"/>
          <w:color w:val="auto"/>
        </w:rPr>
      </w:pPr>
    </w:p>
    <w:p>
      <w:pPr>
        <w:ind w:left="5580" w:right="379" w:hanging="3762"/>
        <w:spacing w:after="0" w:line="449" w:lineRule="auto"/>
        <w:tabs>
          <w:tab w:leader="none" w:pos="21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of payment of debt securities if other than U.S. dollars and the manner of determining the equivalent amount in U.S. dollars; 15</w:t>
      </w:r>
    </w:p>
    <w:p>
      <w:pPr>
        <w:sectPr>
          <w:pgSz w:w="11900" w:h="16838" w:orient="portrait"/>
          <w:cols w:equalWidth="0" w:num="1">
            <w:col w:w="10159"/>
          </w:cols>
          <w:pgMar w:left="300" w:top="383"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right="339" w:hanging="342"/>
        <w:spacing w:after="0" w:line="278" w:lineRule="auto"/>
        <w:tabs>
          <w:tab w:leader="none" w:pos="21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interest will be payable in cash or additional debt securities at our or the holders’ option and the terms and conditions upon which the election may be made;</w:t>
      </w:r>
    </w:p>
    <w:p>
      <w:pPr>
        <w:spacing w:after="0" w:line="53" w:lineRule="exact"/>
        <w:rPr>
          <w:rFonts w:ascii="Times New Roman" w:cs="Times New Roman" w:eastAsia="Times New Roman" w:hAnsi="Times New Roman"/>
          <w:sz w:val="14"/>
          <w:szCs w:val="14"/>
          <w:color w:val="auto"/>
        </w:rPr>
      </w:pPr>
    </w:p>
    <w:p>
      <w:pPr>
        <w:ind w:left="2160" w:right="359" w:hanging="342"/>
        <w:spacing w:after="0" w:line="278" w:lineRule="auto"/>
        <w:tabs>
          <w:tab w:leader="none" w:pos="21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restrictions on transfer, sale or assignment of the debt securities of the series; and</w:t>
      </w:r>
    </w:p>
    <w:p>
      <w:pPr>
        <w:spacing w:after="0" w:line="98" w:lineRule="exact"/>
        <w:rPr>
          <w:rFonts w:ascii="Times New Roman" w:cs="Times New Roman" w:eastAsia="Times New Roman" w:hAnsi="Times New Roman"/>
          <w:sz w:val="14"/>
          <w:szCs w:val="14"/>
          <w:color w:val="auto"/>
        </w:rPr>
      </w:pPr>
    </w:p>
    <w:p>
      <w:pPr>
        <w:ind w:left="2160" w:right="479" w:hanging="342"/>
        <w:spacing w:after="0" w:line="278" w:lineRule="auto"/>
        <w:tabs>
          <w:tab w:leader="none" w:pos="21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Conversion or Exchange Rights</w:t>
      </w:r>
    </w:p>
    <w:p>
      <w:pPr>
        <w:spacing w:after="0" w:line="91" w:lineRule="exact"/>
        <w:rPr>
          <w:sz w:val="20"/>
          <w:szCs w:val="20"/>
          <w:color w:val="auto"/>
        </w:rPr>
      </w:pPr>
    </w:p>
    <w:p>
      <w:pPr>
        <w:ind w:left="1400" w:right="319" w:firstLine="339"/>
        <w:spacing w:after="0" w:line="258" w:lineRule="auto"/>
        <w:rPr>
          <w:sz w:val="20"/>
          <w:szCs w:val="20"/>
          <w:color w:val="auto"/>
        </w:rPr>
      </w:pPr>
      <w:r>
        <w:rPr>
          <w:rFonts w:ascii="Times New Roman" w:cs="Times New Roman" w:eastAsia="Times New Roman" w:hAnsi="Times New Roman"/>
          <w:sz w:val="14"/>
          <w:szCs w:val="14"/>
          <w:color w:val="auto"/>
        </w:rPr>
        <w:t>We will set forth in the applicable prospectus supplement the terms on which a series of debt securities may be convertible into or exchangeable for our Class A common stock or our other securities. We will include provisions as to settlement upon conversion or exchange and whether conversion or exchange is mandatory, at the option of the holder or at our option. We may include provisions pursuant to which the number of shares of our Class A common stock or our other securities that the holders of the series of debt securities receive would be subject to adjustment.</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Consolidation, Merger or Sale</w:t>
      </w:r>
    </w:p>
    <w:p>
      <w:pPr>
        <w:spacing w:after="0" w:line="91" w:lineRule="exact"/>
        <w:rPr>
          <w:sz w:val="20"/>
          <w:szCs w:val="20"/>
          <w:color w:val="auto"/>
        </w:rPr>
      </w:pPr>
    </w:p>
    <w:p>
      <w:pPr>
        <w:ind w:left="1400" w:right="339" w:firstLine="339"/>
        <w:spacing w:after="0" w:line="258" w:lineRule="auto"/>
        <w:rPr>
          <w:sz w:val="20"/>
          <w:szCs w:val="20"/>
          <w:color w:val="auto"/>
        </w:rPr>
      </w:pPr>
      <w:r>
        <w:rPr>
          <w:rFonts w:ascii="Times New Roman" w:cs="Times New Roman" w:eastAsia="Times New Roman" w:hAnsi="Times New Roman"/>
          <w:sz w:val="14"/>
          <w:szCs w:val="14"/>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Events of Default under the Indenture</w:t>
      </w:r>
    </w:p>
    <w:p>
      <w:pPr>
        <w:spacing w:after="0" w:line="91" w:lineRule="exact"/>
        <w:rPr>
          <w:sz w:val="20"/>
          <w:szCs w:val="20"/>
          <w:color w:val="auto"/>
        </w:rPr>
      </w:pPr>
    </w:p>
    <w:p>
      <w:pPr>
        <w:ind w:left="1400" w:right="459" w:firstLine="339"/>
        <w:spacing w:after="0" w:line="278" w:lineRule="auto"/>
        <w:rPr>
          <w:sz w:val="20"/>
          <w:szCs w:val="20"/>
          <w:color w:val="auto"/>
        </w:rPr>
      </w:pPr>
      <w:r>
        <w:rPr>
          <w:rFonts w:ascii="Times New Roman" w:cs="Times New Roman" w:eastAsia="Times New Roman" w:hAnsi="Times New Roman"/>
          <w:sz w:val="14"/>
          <w:szCs w:val="14"/>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53" w:lineRule="exact"/>
        <w:rPr>
          <w:sz w:val="20"/>
          <w:szCs w:val="20"/>
          <w:color w:val="auto"/>
        </w:rPr>
      </w:pPr>
    </w:p>
    <w:p>
      <w:pPr>
        <w:jc w:val="both"/>
        <w:ind w:left="2160" w:right="339" w:hanging="342"/>
        <w:spacing w:after="0" w:line="263" w:lineRule="auto"/>
        <w:tabs>
          <w:tab w:leader="none" w:pos="21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63" w:lineRule="exact"/>
        <w:rPr>
          <w:rFonts w:ascii="Times New Roman" w:cs="Times New Roman" w:eastAsia="Times New Roman" w:hAnsi="Times New Roman"/>
          <w:sz w:val="14"/>
          <w:szCs w:val="14"/>
          <w:color w:val="auto"/>
        </w:rPr>
      </w:pPr>
    </w:p>
    <w:p>
      <w:pPr>
        <w:ind w:left="2160" w:right="339" w:hanging="342"/>
        <w:spacing w:after="0" w:line="284" w:lineRule="auto"/>
        <w:tabs>
          <w:tab w:leader="none" w:pos="21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51" w:lineRule="exact"/>
        <w:rPr>
          <w:rFonts w:ascii="Times New Roman" w:cs="Times New Roman" w:eastAsia="Times New Roman" w:hAnsi="Times New Roman"/>
          <w:sz w:val="13"/>
          <w:szCs w:val="13"/>
          <w:color w:val="auto"/>
        </w:rPr>
      </w:pPr>
    </w:p>
    <w:p>
      <w:pPr>
        <w:ind w:left="2160" w:right="299" w:hanging="342"/>
        <w:spacing w:after="0" w:line="258" w:lineRule="auto"/>
        <w:tabs>
          <w:tab w:leader="none" w:pos="21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66"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specified events of bankruptcy, insolvency or reorganization occur.</w:t>
      </w:r>
    </w:p>
    <w:p>
      <w:pPr>
        <w:spacing w:after="0" w:line="1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83"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79" w:firstLine="339"/>
        <w:spacing w:after="0" w:line="254" w:lineRule="auto"/>
        <w:rPr>
          <w:sz w:val="20"/>
          <w:szCs w:val="20"/>
          <w:color w:val="auto"/>
        </w:rPr>
      </w:pPr>
      <w:r>
        <w:rPr>
          <w:rFonts w:ascii="Times New Roman" w:cs="Times New Roman" w:eastAsia="Times New Roman" w:hAnsi="Times New Roman"/>
          <w:sz w:val="14"/>
          <w:szCs w:val="14"/>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42" w:lineRule="exact"/>
        <w:rPr>
          <w:sz w:val="20"/>
          <w:szCs w:val="20"/>
          <w:color w:val="auto"/>
        </w:rPr>
      </w:pPr>
    </w:p>
    <w:p>
      <w:pPr>
        <w:ind w:left="1400" w:right="439" w:firstLine="339"/>
        <w:spacing w:after="0" w:line="263" w:lineRule="auto"/>
        <w:rPr>
          <w:sz w:val="20"/>
          <w:szCs w:val="20"/>
          <w:color w:val="auto"/>
        </w:rPr>
      </w:pPr>
      <w:r>
        <w:rPr>
          <w:rFonts w:ascii="Times New Roman" w:cs="Times New Roman" w:eastAsia="Times New Roman" w:hAnsi="Times New Roman"/>
          <w:sz w:val="14"/>
          <w:szCs w:val="14"/>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36" w:lineRule="exact"/>
        <w:rPr>
          <w:sz w:val="20"/>
          <w:szCs w:val="20"/>
          <w:color w:val="auto"/>
        </w:rPr>
      </w:pPr>
    </w:p>
    <w:p>
      <w:pPr>
        <w:ind w:left="1400" w:right="399" w:firstLine="339"/>
        <w:spacing w:after="0" w:line="255" w:lineRule="auto"/>
        <w:rPr>
          <w:sz w:val="20"/>
          <w:szCs w:val="20"/>
          <w:color w:val="auto"/>
        </w:rPr>
      </w:pPr>
      <w:r>
        <w:rPr>
          <w:rFonts w:ascii="Times New Roman" w:cs="Times New Roman" w:eastAsia="Times New Roman" w:hAnsi="Times New Roman"/>
          <w:sz w:val="14"/>
          <w:szCs w:val="14"/>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70" w:lineRule="exact"/>
        <w:rPr>
          <w:sz w:val="20"/>
          <w:szCs w:val="20"/>
          <w:color w:val="auto"/>
        </w:rPr>
      </w:pPr>
    </w:p>
    <w:p>
      <w:pPr>
        <w:ind w:left="2160" w:hanging="342"/>
        <w:spacing w:after="0"/>
        <w:tabs>
          <w:tab w:leader="none" w:pos="21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direction so given by the holder is not in conflict with any law or the applicable indenture; and</w:t>
      </w:r>
    </w:p>
    <w:p>
      <w:pPr>
        <w:spacing w:after="0" w:line="98" w:lineRule="exact"/>
        <w:rPr>
          <w:rFonts w:ascii="Times New Roman" w:cs="Times New Roman" w:eastAsia="Times New Roman" w:hAnsi="Times New Roman"/>
          <w:sz w:val="14"/>
          <w:szCs w:val="14"/>
          <w:color w:val="auto"/>
        </w:rPr>
      </w:pPr>
    </w:p>
    <w:p>
      <w:pPr>
        <w:ind w:left="2160" w:right="299" w:hanging="342"/>
        <w:spacing w:after="0" w:line="278" w:lineRule="auto"/>
        <w:tabs>
          <w:tab w:leader="none" w:pos="21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its duties under the Trust Indenture Act, the trustee need not take any action that might involve it in personal liability or might be unduly prejudicial to the holders not involved in the proceeding.</w:t>
      </w:r>
    </w:p>
    <w:p>
      <w:pPr>
        <w:spacing w:after="0" w:line="126" w:lineRule="exact"/>
        <w:rPr>
          <w:sz w:val="20"/>
          <w:szCs w:val="20"/>
          <w:color w:val="auto"/>
        </w:rPr>
      </w:pPr>
    </w:p>
    <w:p>
      <w:pPr>
        <w:ind w:left="1400" w:right="279" w:firstLine="339"/>
        <w:spacing w:after="0" w:line="278" w:lineRule="auto"/>
        <w:rPr>
          <w:sz w:val="20"/>
          <w:szCs w:val="20"/>
          <w:color w:val="auto"/>
        </w:rPr>
      </w:pPr>
      <w:r>
        <w:rPr>
          <w:rFonts w:ascii="Times New Roman" w:cs="Times New Roman" w:eastAsia="Times New Roman" w:hAnsi="Times New Roman"/>
          <w:sz w:val="14"/>
          <w:szCs w:val="14"/>
          <w:color w:val="auto"/>
        </w:rPr>
        <w:t>A holder of the debt securities of any series will have the right to institute a proceeding under the indenture or to appoint a receiver or trustee, or to seek other remedies only if:</w:t>
      </w:r>
    </w:p>
    <w:p>
      <w:pPr>
        <w:spacing w:after="0" w:line="53" w:lineRule="exact"/>
        <w:rPr>
          <w:sz w:val="20"/>
          <w:szCs w:val="20"/>
          <w:color w:val="auto"/>
        </w:rPr>
      </w:pPr>
    </w:p>
    <w:p>
      <w:pPr>
        <w:ind w:left="2160" w:hanging="342"/>
        <w:spacing w:after="0"/>
        <w:tabs>
          <w:tab w:leader="none" w:pos="21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has given written notice to the trustee of a continuing event of default with respect to that series;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at least 25% in aggregate principal amount of the outstanding debt securities of that series have made written request;</w:t>
      </w:r>
    </w:p>
    <w:p>
      <w:pPr>
        <w:spacing w:after="0" w:line="98" w:lineRule="exact"/>
        <w:rPr>
          <w:rFonts w:ascii="Times New Roman" w:cs="Times New Roman" w:eastAsia="Times New Roman" w:hAnsi="Times New Roman"/>
          <w:sz w:val="14"/>
          <w:szCs w:val="14"/>
          <w:color w:val="auto"/>
        </w:rPr>
      </w:pPr>
    </w:p>
    <w:p>
      <w:pPr>
        <w:ind w:left="2160" w:right="279" w:hanging="342"/>
        <w:spacing w:after="0" w:line="278" w:lineRule="auto"/>
        <w:tabs>
          <w:tab w:leader="none" w:pos="21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holders have offered to the trustee indemnity satisfactory to it against the costs, expenses and liabilities to be incurred by the trustee in compliance with the request; and</w:t>
      </w:r>
    </w:p>
    <w:p>
      <w:pPr>
        <w:spacing w:after="0" w:line="53" w:lineRule="exact"/>
        <w:rPr>
          <w:rFonts w:ascii="Times New Roman" w:cs="Times New Roman" w:eastAsia="Times New Roman" w:hAnsi="Times New Roman"/>
          <w:sz w:val="14"/>
          <w:szCs w:val="14"/>
          <w:color w:val="auto"/>
        </w:rPr>
      </w:pPr>
    </w:p>
    <w:p>
      <w:pPr>
        <w:ind w:left="2160" w:right="639" w:hanging="342"/>
        <w:spacing w:after="0" w:line="278" w:lineRule="auto"/>
        <w:tabs>
          <w:tab w:leader="none" w:pos="21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26" w:lineRule="exact"/>
        <w:rPr>
          <w:sz w:val="20"/>
          <w:szCs w:val="20"/>
          <w:color w:val="auto"/>
        </w:rPr>
      </w:pPr>
    </w:p>
    <w:p>
      <w:pPr>
        <w:ind w:left="1400" w:right="459" w:firstLine="339"/>
        <w:spacing w:after="0" w:line="278" w:lineRule="auto"/>
        <w:rPr>
          <w:sz w:val="20"/>
          <w:szCs w:val="20"/>
          <w:color w:val="auto"/>
        </w:rPr>
      </w:pPr>
      <w:r>
        <w:rPr>
          <w:rFonts w:ascii="Times New Roman" w:cs="Times New Roman" w:eastAsia="Times New Roman" w:hAnsi="Times New Roman"/>
          <w:sz w:val="14"/>
          <w:szCs w:val="14"/>
          <w:color w:val="auto"/>
        </w:rPr>
        <w:t>These limitations do not apply to a suit instituted by a holder of debt securities if we default in the payment of the principal, premium, if any, or interest on, the debt securities.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We will periodically file statements with the trustee regarding our compliance with specified covenants in the indenture.</w:t>
      </w:r>
    </w:p>
    <w:p>
      <w:pPr>
        <w:spacing w:after="0" w:line="25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Modification of Indenture; Waiver</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We and the trustee may change an indenture without the consent of any holders with respect to specific matters:</w:t>
      </w:r>
    </w:p>
    <w:p>
      <w:pPr>
        <w:spacing w:after="0" w:line="99" w:lineRule="exact"/>
        <w:rPr>
          <w:sz w:val="20"/>
          <w:szCs w:val="20"/>
          <w:color w:val="auto"/>
        </w:rPr>
      </w:pPr>
    </w:p>
    <w:p>
      <w:pPr>
        <w:ind w:left="5580" w:right="2459" w:hanging="3762"/>
        <w:spacing w:after="0" w:line="449" w:lineRule="auto"/>
        <w:tabs>
          <w:tab w:leader="none" w:pos="21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 in the indenture or in the debt securities of any series; 17</w:t>
      </w:r>
    </w:p>
    <w:p>
      <w:pPr>
        <w:sectPr>
          <w:pgSz w:w="11900" w:h="16838" w:orient="portrait"/>
          <w:cols w:equalWidth="0" w:num="1">
            <w:col w:w="10159"/>
          </w:cols>
          <w:pgMar w:left="300" w:top="383"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hanging="342"/>
        <w:spacing w:after="0"/>
        <w:tabs>
          <w:tab w:leader="none" w:pos="21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the provisions described above under “Description of Debt Securities—Consolidation, Merger or Sale;”</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debt securities in addition to or in place of certificated debt securities;</w:t>
      </w:r>
    </w:p>
    <w:p>
      <w:pPr>
        <w:spacing w:after="0" w:line="98" w:lineRule="exact"/>
        <w:rPr>
          <w:rFonts w:ascii="Times New Roman" w:cs="Times New Roman" w:eastAsia="Times New Roman" w:hAnsi="Times New Roman"/>
          <w:sz w:val="14"/>
          <w:szCs w:val="14"/>
          <w:color w:val="auto"/>
        </w:rPr>
      </w:pPr>
    </w:p>
    <w:p>
      <w:pPr>
        <w:ind w:left="2160" w:right="399" w:hanging="342"/>
        <w:spacing w:after="0" w:line="258" w:lineRule="auto"/>
        <w:tabs>
          <w:tab w:leader="none" w:pos="21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66" w:lineRule="exact"/>
        <w:rPr>
          <w:rFonts w:ascii="Times New Roman" w:cs="Times New Roman" w:eastAsia="Times New Roman" w:hAnsi="Times New Roman"/>
          <w:sz w:val="14"/>
          <w:szCs w:val="14"/>
          <w:color w:val="auto"/>
        </w:rPr>
      </w:pPr>
    </w:p>
    <w:p>
      <w:pPr>
        <w:ind w:left="2160" w:right="879" w:hanging="342"/>
        <w:spacing w:after="0" w:line="278" w:lineRule="auto"/>
        <w:tabs>
          <w:tab w:leader="none" w:pos="21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delete from or revise the conditions, limitations, and restrictions on the authorized amount, terms, or purposes of issue, authentication and delivery of debt securities, as set forth in the indenture;</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adversely affect the interests of any holder of debt securities of any series in any material respect;</w:t>
      </w:r>
    </w:p>
    <w:p>
      <w:pPr>
        <w:spacing w:after="0" w:line="98" w:lineRule="exact"/>
        <w:rPr>
          <w:rFonts w:ascii="Times New Roman" w:cs="Times New Roman" w:eastAsia="Times New Roman" w:hAnsi="Times New Roman"/>
          <w:sz w:val="14"/>
          <w:szCs w:val="14"/>
          <w:color w:val="auto"/>
        </w:rPr>
      </w:pPr>
    </w:p>
    <w:p>
      <w:pPr>
        <w:jc w:val="both"/>
        <w:ind w:left="2160" w:right="379" w:hanging="342"/>
        <w:spacing w:after="0" w:line="263" w:lineRule="auto"/>
        <w:tabs>
          <w:tab w:leader="none" w:pos="21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6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and provide for the acceptance of appointment under any indenture by a successor trustee; or</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any requirements of the SEC in connection with the qualification of any indenture under the Trust Indenture Act.</w:t>
      </w:r>
    </w:p>
    <w:p>
      <w:pPr>
        <w:spacing w:after="0" w:line="172" w:lineRule="exact"/>
        <w:rPr>
          <w:sz w:val="20"/>
          <w:szCs w:val="20"/>
          <w:color w:val="auto"/>
        </w:rPr>
      </w:pPr>
    </w:p>
    <w:p>
      <w:pPr>
        <w:ind w:left="1400" w:right="279" w:firstLine="339"/>
        <w:spacing w:after="0" w:line="258" w:lineRule="auto"/>
        <w:rPr>
          <w:sz w:val="20"/>
          <w:szCs w:val="20"/>
          <w:color w:val="auto"/>
        </w:rPr>
      </w:pPr>
      <w:r>
        <w:rPr>
          <w:rFonts w:ascii="Times New Roman" w:cs="Times New Roman" w:eastAsia="Times New Roman" w:hAnsi="Times New Roman"/>
          <w:sz w:val="14"/>
          <w:szCs w:val="14"/>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67" w:lineRule="exact"/>
        <w:rPr>
          <w:sz w:val="20"/>
          <w:szCs w:val="20"/>
          <w:color w:val="auto"/>
        </w:rPr>
      </w:pPr>
    </w:p>
    <w:p>
      <w:pPr>
        <w:ind w:left="2160" w:hanging="342"/>
        <w:spacing w:after="0"/>
        <w:tabs>
          <w:tab w:leader="none" w:pos="21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extending the fixed maturity of any debt securities of any series;</w:t>
      </w:r>
    </w:p>
    <w:p>
      <w:pPr>
        <w:spacing w:after="0" w:line="98" w:lineRule="exact"/>
        <w:rPr>
          <w:rFonts w:ascii="Times New Roman" w:cs="Times New Roman" w:eastAsia="Times New Roman" w:hAnsi="Times New Roman"/>
          <w:sz w:val="14"/>
          <w:szCs w:val="14"/>
          <w:color w:val="auto"/>
        </w:rPr>
      </w:pPr>
    </w:p>
    <w:p>
      <w:pPr>
        <w:ind w:left="2160" w:right="479" w:hanging="342"/>
        <w:spacing w:after="0" w:line="278" w:lineRule="auto"/>
        <w:tabs>
          <w:tab w:leader="none" w:pos="21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the principal amount, reducing the rate of or extending the time of payment of interest, or reducing any premium payable upon the redemption of any series of any debt securities; or</w:t>
      </w:r>
    </w:p>
    <w:p>
      <w:pPr>
        <w:spacing w:after="0" w:line="53" w:lineRule="exact"/>
        <w:rPr>
          <w:rFonts w:ascii="Times New Roman" w:cs="Times New Roman" w:eastAsia="Times New Roman" w:hAnsi="Times New Roman"/>
          <w:sz w:val="14"/>
          <w:szCs w:val="14"/>
          <w:color w:val="auto"/>
        </w:rPr>
      </w:pPr>
    </w:p>
    <w:p>
      <w:pPr>
        <w:ind w:left="2160" w:right="499" w:hanging="342"/>
        <w:spacing w:after="0" w:line="278" w:lineRule="auto"/>
        <w:tabs>
          <w:tab w:leader="none" w:pos="21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the percentage of debt securities, the holders of which are required to consent to any amendment, supplement, modification or waiver.</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Discharge</w:t>
      </w:r>
    </w:p>
    <w:p>
      <w:pPr>
        <w:spacing w:after="0" w:line="91" w:lineRule="exact"/>
        <w:rPr>
          <w:sz w:val="20"/>
          <w:szCs w:val="20"/>
          <w:color w:val="auto"/>
        </w:rPr>
      </w:pPr>
    </w:p>
    <w:p>
      <w:pPr>
        <w:ind w:left="1400" w:right="479" w:firstLine="339"/>
        <w:spacing w:after="0" w:line="278" w:lineRule="auto"/>
        <w:rPr>
          <w:sz w:val="20"/>
          <w:szCs w:val="20"/>
          <w:color w:val="auto"/>
        </w:rPr>
      </w:pPr>
      <w:r>
        <w:rPr>
          <w:rFonts w:ascii="Times New Roman" w:cs="Times New Roman" w:eastAsia="Times New Roman" w:hAnsi="Times New Roman"/>
          <w:sz w:val="14"/>
          <w:szCs w:val="14"/>
          <w:color w:val="auto"/>
        </w:rPr>
        <w:t>Each indenture provides that we can elect to be discharged from our obligations with respect to one or more series of debt securities, except for specified obligations, including obligations to:</w:t>
      </w:r>
    </w:p>
    <w:p>
      <w:pPr>
        <w:spacing w:after="0" w:line="53" w:lineRule="exact"/>
        <w:rPr>
          <w:sz w:val="20"/>
          <w:szCs w:val="20"/>
          <w:color w:val="auto"/>
        </w:rPr>
      </w:pPr>
    </w:p>
    <w:p>
      <w:pPr>
        <w:ind w:left="2160" w:hanging="342"/>
        <w:spacing w:after="0"/>
        <w:tabs>
          <w:tab w:leader="none" w:pos="21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payment;</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register the transfer or exchange of debt securities of the series;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replace stolen, lost or mutilated debt securities of the series;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principal of and premium and interest on any debt securities of the series;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paying agencies;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 monies for payment in trust;</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recover excess money held by the trustee;</w:t>
      </w:r>
    </w:p>
    <w:p>
      <w:pPr>
        <w:spacing w:after="0" w:line="1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83"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hanging="342"/>
        <w:spacing w:after="0"/>
        <w:tabs>
          <w:tab w:leader="none" w:pos="2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compensate and indemnify the trustee; and</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 any successor trustee.</w:t>
      </w:r>
    </w:p>
    <w:p>
      <w:pPr>
        <w:spacing w:after="0" w:line="172" w:lineRule="exact"/>
        <w:rPr>
          <w:sz w:val="20"/>
          <w:szCs w:val="20"/>
          <w:color w:val="auto"/>
        </w:rPr>
      </w:pPr>
    </w:p>
    <w:p>
      <w:pPr>
        <w:ind w:left="1400" w:right="759" w:firstLine="339"/>
        <w:spacing w:after="0" w:line="278" w:lineRule="auto"/>
        <w:rPr>
          <w:sz w:val="20"/>
          <w:szCs w:val="20"/>
          <w:color w:val="auto"/>
        </w:rPr>
      </w:pPr>
      <w:r>
        <w:rPr>
          <w:rFonts w:ascii="Times New Roman" w:cs="Times New Roman" w:eastAsia="Times New Roman" w:hAnsi="Times New Roman"/>
          <w:sz w:val="14"/>
          <w:szCs w:val="14"/>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Form, Exchange and Transfer</w:t>
      </w:r>
    </w:p>
    <w:p>
      <w:pPr>
        <w:spacing w:after="0" w:line="91" w:lineRule="exact"/>
        <w:rPr>
          <w:sz w:val="20"/>
          <w:szCs w:val="20"/>
          <w:color w:val="auto"/>
        </w:rPr>
      </w:pPr>
    </w:p>
    <w:p>
      <w:pPr>
        <w:ind w:left="1400" w:right="439" w:firstLine="339"/>
        <w:spacing w:after="0" w:line="254" w:lineRule="auto"/>
        <w:rPr>
          <w:sz w:val="20"/>
          <w:szCs w:val="20"/>
          <w:color w:val="auto"/>
        </w:rPr>
      </w:pPr>
      <w:r>
        <w:rPr>
          <w:rFonts w:ascii="Times New Roman" w:cs="Times New Roman" w:eastAsia="Times New Roman" w:hAnsi="Times New Roman"/>
          <w:sz w:val="14"/>
          <w:szCs w:val="14"/>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42" w:lineRule="exact"/>
        <w:rPr>
          <w:sz w:val="20"/>
          <w:szCs w:val="20"/>
          <w:color w:val="auto"/>
        </w:rPr>
      </w:pPr>
    </w:p>
    <w:p>
      <w:pPr>
        <w:ind w:left="1400" w:right="339" w:firstLine="339"/>
        <w:spacing w:after="0" w:line="263" w:lineRule="auto"/>
        <w:rPr>
          <w:sz w:val="20"/>
          <w:szCs w:val="20"/>
          <w:color w:val="auto"/>
        </w:rPr>
      </w:pPr>
      <w:r>
        <w:rPr>
          <w:rFonts w:ascii="Times New Roman" w:cs="Times New Roman" w:eastAsia="Times New Roman" w:hAnsi="Times New Roman"/>
          <w:sz w:val="14"/>
          <w:szCs w:val="14"/>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36" w:lineRule="exact"/>
        <w:rPr>
          <w:sz w:val="20"/>
          <w:szCs w:val="20"/>
          <w:color w:val="auto"/>
        </w:rPr>
      </w:pPr>
    </w:p>
    <w:p>
      <w:pPr>
        <w:ind w:left="1400" w:right="279" w:firstLine="339"/>
        <w:spacing w:after="0" w:line="255" w:lineRule="auto"/>
        <w:rPr>
          <w:sz w:val="20"/>
          <w:szCs w:val="20"/>
          <w:color w:val="auto"/>
        </w:rPr>
      </w:pPr>
      <w:r>
        <w:rPr>
          <w:rFonts w:ascii="Times New Roman" w:cs="Times New Roman" w:eastAsia="Times New Roman" w:hAnsi="Times New Roman"/>
          <w:sz w:val="14"/>
          <w:szCs w:val="14"/>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43" w:lineRule="exact"/>
        <w:rPr>
          <w:sz w:val="20"/>
          <w:szCs w:val="20"/>
          <w:color w:val="auto"/>
        </w:rPr>
      </w:pPr>
    </w:p>
    <w:p>
      <w:pPr>
        <w:ind w:left="1400" w:right="519" w:firstLine="339"/>
        <w:spacing w:after="0" w:line="258" w:lineRule="auto"/>
        <w:rPr>
          <w:sz w:val="20"/>
          <w:szCs w:val="20"/>
          <w:color w:val="auto"/>
        </w:rPr>
      </w:pPr>
      <w:r>
        <w:rPr>
          <w:rFonts w:ascii="Times New Roman" w:cs="Times New Roman" w:eastAsia="Times New Roman" w:hAnsi="Times New Roman"/>
          <w:sz w:val="14"/>
          <w:szCs w:val="14"/>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4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If we elect to redeem the debt securities of any series, we will not be required to:</w:t>
      </w:r>
    </w:p>
    <w:p>
      <w:pPr>
        <w:spacing w:after="0" w:line="99" w:lineRule="exact"/>
        <w:rPr>
          <w:sz w:val="20"/>
          <w:szCs w:val="20"/>
          <w:color w:val="auto"/>
        </w:rPr>
      </w:pPr>
    </w:p>
    <w:p>
      <w:pPr>
        <w:jc w:val="both"/>
        <w:ind w:left="2160" w:right="479" w:hanging="342"/>
        <w:spacing w:after="0" w:line="263" w:lineRule="auto"/>
        <w:tabs>
          <w:tab w:leader="none" w:pos="2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63" w:lineRule="exact"/>
        <w:rPr>
          <w:rFonts w:ascii="Times New Roman" w:cs="Times New Roman" w:eastAsia="Times New Roman" w:hAnsi="Times New Roman"/>
          <w:sz w:val="14"/>
          <w:szCs w:val="14"/>
          <w:color w:val="auto"/>
        </w:rPr>
      </w:pPr>
    </w:p>
    <w:p>
      <w:pPr>
        <w:ind w:left="2160" w:right="479" w:hanging="342"/>
        <w:spacing w:after="0" w:line="278" w:lineRule="auto"/>
        <w:tabs>
          <w:tab w:leader="none" w:pos="2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register the transfer of or exchange any debt securities so selected for redemption, in whole or in part, except the unredeemed portion of any debt securities we are redeeming in part.</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Information Concerning the Trustee</w:t>
      </w:r>
    </w:p>
    <w:p>
      <w:pPr>
        <w:spacing w:after="0" w:line="91" w:lineRule="exact"/>
        <w:rPr>
          <w:sz w:val="20"/>
          <w:szCs w:val="20"/>
          <w:color w:val="auto"/>
        </w:rPr>
      </w:pPr>
    </w:p>
    <w:p>
      <w:pPr>
        <w:ind w:left="1400" w:right="279" w:firstLine="339"/>
        <w:spacing w:after="0" w:line="263" w:lineRule="auto"/>
        <w:rPr>
          <w:sz w:val="20"/>
          <w:szCs w:val="20"/>
          <w:color w:val="auto"/>
        </w:rPr>
      </w:pPr>
      <w:r>
        <w:rPr>
          <w:rFonts w:ascii="Times New Roman" w:cs="Times New Roman" w:eastAsia="Times New Roman" w:hAnsi="Times New Roman"/>
          <w:sz w:val="14"/>
          <w:szCs w:val="14"/>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83"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19"/>
        <w:spacing w:after="0" w:line="263" w:lineRule="auto"/>
        <w:rPr>
          <w:sz w:val="20"/>
          <w:szCs w:val="20"/>
          <w:color w:val="auto"/>
        </w:rPr>
      </w:pPr>
      <w:r>
        <w:rPr>
          <w:rFonts w:ascii="Times New Roman" w:cs="Times New Roman" w:eastAsia="Times New Roman" w:hAnsi="Times New Roman"/>
          <w:sz w:val="14"/>
          <w:szCs w:val="14"/>
          <w:color w:val="auto"/>
        </w:rPr>
        <w:t>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Payment and Paying Agents</w:t>
      </w:r>
    </w:p>
    <w:p>
      <w:pPr>
        <w:spacing w:after="0" w:line="91" w:lineRule="exact"/>
        <w:rPr>
          <w:sz w:val="20"/>
          <w:szCs w:val="20"/>
          <w:color w:val="auto"/>
        </w:rPr>
      </w:pPr>
    </w:p>
    <w:p>
      <w:pPr>
        <w:jc w:val="both"/>
        <w:ind w:left="1400" w:right="299" w:firstLine="339"/>
        <w:spacing w:after="0" w:line="263" w:lineRule="auto"/>
        <w:rPr>
          <w:sz w:val="20"/>
          <w:szCs w:val="20"/>
          <w:color w:val="auto"/>
        </w:rPr>
      </w:pPr>
      <w:r>
        <w:rPr>
          <w:rFonts w:ascii="Times New Roman" w:cs="Times New Roman" w:eastAsia="Times New Roman" w:hAnsi="Times New Roman"/>
          <w:sz w:val="14"/>
          <w:szCs w:val="14"/>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36" w:lineRule="exact"/>
        <w:rPr>
          <w:sz w:val="20"/>
          <w:szCs w:val="20"/>
          <w:color w:val="auto"/>
        </w:rPr>
      </w:pPr>
    </w:p>
    <w:p>
      <w:pPr>
        <w:ind w:left="1400" w:right="279" w:firstLine="339"/>
        <w:spacing w:after="0" w:line="254" w:lineRule="auto"/>
        <w:rPr>
          <w:sz w:val="20"/>
          <w:szCs w:val="20"/>
          <w:color w:val="auto"/>
        </w:rPr>
      </w:pPr>
      <w:r>
        <w:rPr>
          <w:rFonts w:ascii="Times New Roman" w:cs="Times New Roman" w:eastAsia="Times New Roman" w:hAnsi="Times New Roman"/>
          <w:sz w:val="14"/>
          <w:szCs w:val="14"/>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42" w:lineRule="exact"/>
        <w:rPr>
          <w:sz w:val="20"/>
          <w:szCs w:val="20"/>
          <w:color w:val="auto"/>
        </w:rPr>
      </w:pPr>
    </w:p>
    <w:p>
      <w:pPr>
        <w:ind w:left="1400" w:right="419" w:firstLine="339"/>
        <w:spacing w:after="0" w:line="263" w:lineRule="auto"/>
        <w:rPr>
          <w:sz w:val="20"/>
          <w:szCs w:val="20"/>
          <w:color w:val="auto"/>
        </w:rPr>
      </w:pPr>
      <w:r>
        <w:rPr>
          <w:rFonts w:ascii="Times New Roman" w:cs="Times New Roman" w:eastAsia="Times New Roman" w:hAnsi="Times New Roman"/>
          <w:sz w:val="14"/>
          <w:szCs w:val="14"/>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91" w:lineRule="exact"/>
        <w:rPr>
          <w:sz w:val="20"/>
          <w:szCs w:val="20"/>
          <w:color w:val="auto"/>
        </w:rPr>
      </w:pPr>
    </w:p>
    <w:p>
      <w:pPr>
        <w:ind w:left="1400" w:right="399" w:firstLine="339"/>
        <w:spacing w:after="0" w:line="278" w:lineRule="auto"/>
        <w:rPr>
          <w:sz w:val="20"/>
          <w:szCs w:val="20"/>
          <w:color w:val="auto"/>
        </w:rPr>
      </w:pPr>
      <w:r>
        <w:rPr>
          <w:rFonts w:ascii="Times New Roman" w:cs="Times New Roman" w:eastAsia="Times New Roman" w:hAnsi="Times New Roman"/>
          <w:sz w:val="14"/>
          <w:szCs w:val="14"/>
          <w:color w:val="auto"/>
        </w:rPr>
        <w:t>The indenture and the debt securities will be governed by and construed in accordance with the internal laws of the State of New York, except to the extent that the Trust Indenture Act is applicable.</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83"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74" w:lineRule="exact"/>
        <w:rPr>
          <w:sz w:val="20"/>
          <w:szCs w:val="20"/>
          <w:color w:val="auto"/>
        </w:rPr>
      </w:pPr>
    </w:p>
    <w:p>
      <w:pPr>
        <w:ind w:left="1400" w:right="419" w:firstLine="339"/>
        <w:spacing w:after="0" w:line="252"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we may include in any applicable prospectus supplement and free writing prospectus, summarizes the material terms and provisions of the warrants that we may offer under this prospectus, which may consist of warrants to purchase Class A common stock, preferred stock or debt securities and may be issued in one or more series. Warrants may be offered independently or in combination with Class A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145" w:lineRule="exact"/>
        <w:rPr>
          <w:sz w:val="20"/>
          <w:szCs w:val="20"/>
          <w:color w:val="auto"/>
        </w:rPr>
      </w:pPr>
    </w:p>
    <w:p>
      <w:pPr>
        <w:ind w:left="1400" w:right="279" w:firstLine="339"/>
        <w:spacing w:after="0" w:line="273" w:lineRule="auto"/>
        <w:rPr>
          <w:sz w:val="20"/>
          <w:szCs w:val="20"/>
          <w:color w:val="auto"/>
        </w:rPr>
      </w:pPr>
      <w:r>
        <w:rPr>
          <w:rFonts w:ascii="Times New Roman" w:cs="Times New Roman" w:eastAsia="Times New Roman" w:hAnsi="Times New Roman"/>
          <w:sz w:val="13"/>
          <w:szCs w:val="13"/>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 and the complete form of warrant and/or the warrant agreement and warrant certificate, as applicable, and any supplemental agreements, that contain the terms of the warrants.</w:t>
      </w:r>
    </w:p>
    <w:p>
      <w:pPr>
        <w:spacing w:after="0" w:line="21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We will describe in the applicable prospectus supplement the terms of the series of warrants being offered, including:</w:t>
      </w:r>
    </w:p>
    <w:p>
      <w:pPr>
        <w:spacing w:after="0" w:line="99" w:lineRule="exact"/>
        <w:rPr>
          <w:sz w:val="20"/>
          <w:szCs w:val="20"/>
          <w:color w:val="auto"/>
        </w:rPr>
      </w:pPr>
    </w:p>
    <w:p>
      <w:pPr>
        <w:ind w:left="2160" w:hanging="342"/>
        <w:spacing w:after="0"/>
        <w:tabs>
          <w:tab w:leader="none" w:pos="21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offering price and aggregate number of warrants offered;</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for which the warrants may be purchased;</w:t>
      </w:r>
    </w:p>
    <w:p>
      <w:pPr>
        <w:spacing w:after="0" w:line="98" w:lineRule="exact"/>
        <w:rPr>
          <w:rFonts w:ascii="Times New Roman" w:cs="Times New Roman" w:eastAsia="Times New Roman" w:hAnsi="Times New Roman"/>
          <w:sz w:val="14"/>
          <w:szCs w:val="14"/>
          <w:color w:val="auto"/>
        </w:rPr>
      </w:pPr>
    </w:p>
    <w:p>
      <w:pPr>
        <w:ind w:left="2160" w:right="459" w:hanging="342"/>
        <w:spacing w:after="0" w:line="278" w:lineRule="auto"/>
        <w:tabs>
          <w:tab w:leader="none" w:pos="21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designation and terms of the securities with which the warrants are issued and the number of warrants issued with each such security or each principal amount of such security;</w:t>
      </w:r>
    </w:p>
    <w:p>
      <w:pPr>
        <w:spacing w:after="0" w:line="53" w:lineRule="exact"/>
        <w:rPr>
          <w:rFonts w:ascii="Times New Roman" w:cs="Times New Roman" w:eastAsia="Times New Roman" w:hAnsi="Times New Roman"/>
          <w:sz w:val="14"/>
          <w:szCs w:val="14"/>
          <w:color w:val="auto"/>
        </w:rPr>
      </w:pPr>
    </w:p>
    <w:p>
      <w:pPr>
        <w:ind w:left="2160" w:right="279" w:hanging="342"/>
        <w:spacing w:after="0" w:line="278" w:lineRule="auto"/>
        <w:tabs>
          <w:tab w:leader="none" w:pos="21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53" w:lineRule="exact"/>
        <w:rPr>
          <w:rFonts w:ascii="Times New Roman" w:cs="Times New Roman" w:eastAsia="Times New Roman" w:hAnsi="Times New Roman"/>
          <w:sz w:val="14"/>
          <w:szCs w:val="14"/>
          <w:color w:val="auto"/>
        </w:rPr>
      </w:pPr>
    </w:p>
    <w:p>
      <w:pPr>
        <w:ind w:left="2160" w:right="379" w:hanging="342"/>
        <w:spacing w:after="0" w:line="263" w:lineRule="auto"/>
        <w:tabs>
          <w:tab w:leader="none" w:pos="21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Class A common stock or preferred stock, the number of shares of Class A common stock or preferred stock, as the case may be, purchasable upon the exercise of one warrant and the price at which these shares may be purchased upon such exercise;</w:t>
      </w:r>
    </w:p>
    <w:p>
      <w:pPr>
        <w:spacing w:after="0" w:line="6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any merger, consolidation, sale or other disposition of our business on the warrant agreements and the warrants;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rights to redeem or call the warrants;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changes to or adjustments in the exercise price or number of securities issuable upon exercise of the warrants;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the right to exercise the warrants will commence and expire;</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in which the warrant agreements and warrants may be modified;</w:t>
      </w:r>
    </w:p>
    <w:p>
      <w:pPr>
        <w:spacing w:after="0" w:line="1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83"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hanging="342"/>
        <w:spacing w:after="0"/>
        <w:tabs>
          <w:tab w:leader="none" w:pos="21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material or special U.S. federal income tax considerations, if any, of holding or exercising the warrants;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securities issuable upon exercise of the warrants; and</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preferences, rights or limitations of or restrictions on the warrants.</w:t>
      </w:r>
    </w:p>
    <w:p>
      <w:pPr>
        <w:spacing w:after="0" w:line="172" w:lineRule="exact"/>
        <w:rPr>
          <w:sz w:val="20"/>
          <w:szCs w:val="20"/>
          <w:color w:val="auto"/>
        </w:rPr>
      </w:pPr>
    </w:p>
    <w:p>
      <w:pPr>
        <w:ind w:left="1400" w:right="479" w:firstLine="339"/>
        <w:spacing w:after="0" w:line="278" w:lineRule="auto"/>
        <w:rPr>
          <w:sz w:val="20"/>
          <w:szCs w:val="20"/>
          <w:color w:val="auto"/>
        </w:rPr>
      </w:pPr>
      <w:r>
        <w:rPr>
          <w:rFonts w:ascii="Times New Roman" w:cs="Times New Roman" w:eastAsia="Times New Roman" w:hAnsi="Times New Roman"/>
          <w:sz w:val="14"/>
          <w:szCs w:val="14"/>
          <w:color w:val="auto"/>
        </w:rPr>
        <w:t>Before exercising their warrants, holders of warrants will not have any of the rights of holders of the securities purchasable upon such exercise, including:</w:t>
      </w:r>
    </w:p>
    <w:p>
      <w:pPr>
        <w:spacing w:after="0" w:line="53" w:lineRule="exact"/>
        <w:rPr>
          <w:sz w:val="20"/>
          <w:szCs w:val="20"/>
          <w:color w:val="auto"/>
        </w:rPr>
      </w:pPr>
    </w:p>
    <w:p>
      <w:pPr>
        <w:ind w:left="2160" w:right="339" w:hanging="342"/>
        <w:spacing w:after="0" w:line="278" w:lineRule="auto"/>
        <w:tabs>
          <w:tab w:leader="none" w:pos="21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53" w:lineRule="exact"/>
        <w:rPr>
          <w:rFonts w:ascii="Times New Roman" w:cs="Times New Roman" w:eastAsia="Times New Roman" w:hAnsi="Times New Roman"/>
          <w:sz w:val="14"/>
          <w:szCs w:val="14"/>
          <w:color w:val="auto"/>
        </w:rPr>
      </w:pPr>
    </w:p>
    <w:p>
      <w:pPr>
        <w:ind w:left="2160" w:right="419" w:hanging="342"/>
        <w:spacing w:after="0" w:line="278" w:lineRule="auto"/>
        <w:tabs>
          <w:tab w:leader="none" w:pos="21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Class A common stock or preferred stock, the right to receive dividends, if any, or payments upon our liquidation, dissolution or winding up or to exercise voting rights, if any.</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Exercise of Warrants</w:t>
      </w:r>
    </w:p>
    <w:p>
      <w:pPr>
        <w:spacing w:after="0" w:line="91" w:lineRule="exact"/>
        <w:rPr>
          <w:sz w:val="20"/>
          <w:szCs w:val="20"/>
          <w:color w:val="auto"/>
        </w:rPr>
      </w:pPr>
    </w:p>
    <w:p>
      <w:pPr>
        <w:ind w:left="1400" w:right="319" w:firstLine="339"/>
        <w:spacing w:after="0" w:line="255" w:lineRule="auto"/>
        <w:rPr>
          <w:sz w:val="20"/>
          <w:szCs w:val="20"/>
          <w:color w:val="auto"/>
        </w:rPr>
      </w:pPr>
      <w:r>
        <w:rPr>
          <w:rFonts w:ascii="Times New Roman" w:cs="Times New Roman" w:eastAsia="Times New Roman" w:hAnsi="Times New Roman"/>
          <w:sz w:val="14"/>
          <w:szCs w:val="14"/>
          <w:color w:val="auto"/>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spacing w:after="0" w:line="143" w:lineRule="exact"/>
        <w:rPr>
          <w:sz w:val="20"/>
          <w:szCs w:val="20"/>
          <w:color w:val="auto"/>
        </w:rPr>
      </w:pPr>
    </w:p>
    <w:p>
      <w:pPr>
        <w:ind w:left="1400" w:right="279" w:firstLine="339"/>
        <w:spacing w:after="0" w:line="258" w:lineRule="auto"/>
        <w:rPr>
          <w:sz w:val="20"/>
          <w:szCs w:val="20"/>
          <w:color w:val="auto"/>
        </w:rPr>
      </w:pPr>
      <w:r>
        <w:rPr>
          <w:rFonts w:ascii="Times New Roman" w:cs="Times New Roman" w:eastAsia="Times New Roman" w:hAnsi="Times New Roman"/>
          <w:sz w:val="14"/>
          <w:szCs w:val="14"/>
          <w:color w:val="auto"/>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91" w:lineRule="exact"/>
        <w:rPr>
          <w:sz w:val="20"/>
          <w:szCs w:val="20"/>
          <w:color w:val="auto"/>
        </w:rPr>
      </w:pPr>
    </w:p>
    <w:p>
      <w:pPr>
        <w:ind w:left="1400" w:right="839" w:firstLine="339"/>
        <w:spacing w:after="0" w:line="278" w:lineRule="auto"/>
        <w:rPr>
          <w:sz w:val="20"/>
          <w:szCs w:val="20"/>
          <w:color w:val="auto"/>
        </w:rPr>
      </w:pPr>
      <w:r>
        <w:rPr>
          <w:rFonts w:ascii="Times New Roman" w:cs="Times New Roman" w:eastAsia="Times New Roman" w:hAnsi="Times New Roman"/>
          <w:sz w:val="14"/>
          <w:szCs w:val="14"/>
          <w:color w:val="auto"/>
        </w:rPr>
        <w:t>Unless we provide otherwise in the applicable prospectus supplement, the warrants and any warrant agreements will be governed by and construed in accordance with the internal laws of the State of New York.</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Enforceability of Rights by Holders of Warrants</w:t>
      </w:r>
    </w:p>
    <w:p>
      <w:pPr>
        <w:spacing w:after="0" w:line="91" w:lineRule="exact"/>
        <w:rPr>
          <w:sz w:val="20"/>
          <w:szCs w:val="20"/>
          <w:color w:val="auto"/>
        </w:rPr>
      </w:pPr>
    </w:p>
    <w:p>
      <w:pPr>
        <w:ind w:left="1400" w:right="379" w:firstLine="339"/>
        <w:spacing w:after="0" w:line="254" w:lineRule="auto"/>
        <w:rPr>
          <w:sz w:val="20"/>
          <w:szCs w:val="20"/>
          <w:color w:val="auto"/>
        </w:rPr>
      </w:pPr>
      <w:r>
        <w:rPr>
          <w:rFonts w:ascii="Times New Roman" w:cs="Times New Roman" w:eastAsia="Times New Roman" w:hAnsi="Times New Roman"/>
          <w:sz w:val="14"/>
          <w:szCs w:val="14"/>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83"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LEGAL OWNERSHIP OF SECURITIES</w:t>
      </w:r>
    </w:p>
    <w:p>
      <w:pPr>
        <w:spacing w:after="0" w:line="174" w:lineRule="exact"/>
        <w:rPr>
          <w:sz w:val="20"/>
          <w:szCs w:val="20"/>
          <w:color w:val="auto"/>
        </w:rPr>
      </w:pPr>
    </w:p>
    <w:p>
      <w:pPr>
        <w:ind w:left="1400" w:right="299" w:firstLine="339"/>
        <w:spacing w:after="0" w:line="279" w:lineRule="auto"/>
        <w:rPr>
          <w:sz w:val="20"/>
          <w:szCs w:val="20"/>
          <w:color w:val="auto"/>
        </w:rPr>
      </w:pPr>
      <w:r>
        <w:rPr>
          <w:rFonts w:ascii="Times New Roman" w:cs="Times New Roman" w:eastAsia="Times New Roman" w:hAnsi="Times New Roman"/>
          <w:sz w:val="13"/>
          <w:szCs w:val="13"/>
          <w:color w:val="auto"/>
        </w:rPr>
        <w:t>We may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21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Book-Entry Holders</w:t>
      </w:r>
    </w:p>
    <w:p>
      <w:pPr>
        <w:spacing w:after="0" w:line="91" w:lineRule="exact"/>
        <w:rPr>
          <w:sz w:val="20"/>
          <w:szCs w:val="20"/>
          <w:color w:val="auto"/>
        </w:rPr>
      </w:pPr>
    </w:p>
    <w:p>
      <w:pPr>
        <w:ind w:left="1400" w:right="479" w:firstLine="339"/>
        <w:spacing w:after="0" w:line="258" w:lineRule="auto"/>
        <w:rPr>
          <w:sz w:val="20"/>
          <w:szCs w:val="20"/>
          <w:color w:val="auto"/>
        </w:rPr>
      </w:pPr>
      <w:r>
        <w:rPr>
          <w:rFonts w:ascii="Times New Roman" w:cs="Times New Roman" w:eastAsia="Times New Roman" w:hAnsi="Times New Roman"/>
          <w:sz w:val="14"/>
          <w:szCs w:val="14"/>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40"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43" w:lineRule="exact"/>
        <w:rPr>
          <w:sz w:val="20"/>
          <w:szCs w:val="20"/>
          <w:color w:val="auto"/>
        </w:rPr>
      </w:pPr>
    </w:p>
    <w:p>
      <w:pPr>
        <w:ind w:left="1400" w:right="379" w:firstLine="339"/>
        <w:spacing w:after="0" w:line="263" w:lineRule="auto"/>
        <w:rPr>
          <w:sz w:val="20"/>
          <w:szCs w:val="20"/>
          <w:color w:val="auto"/>
        </w:rPr>
      </w:pPr>
      <w:r>
        <w:rPr>
          <w:rFonts w:ascii="Times New Roman" w:cs="Times New Roman" w:eastAsia="Times New Roman" w:hAnsi="Times New Roman"/>
          <w:sz w:val="14"/>
          <w:szCs w:val="14"/>
          <w:color w:val="auto"/>
        </w:rPr>
        <w:t>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holders, of the securities.</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Street Name Holders</w:t>
      </w:r>
    </w:p>
    <w:p>
      <w:pPr>
        <w:spacing w:after="0" w:line="91" w:lineRule="exact"/>
        <w:rPr>
          <w:sz w:val="20"/>
          <w:szCs w:val="20"/>
          <w:color w:val="auto"/>
        </w:rPr>
      </w:pPr>
    </w:p>
    <w:p>
      <w:pPr>
        <w:ind w:left="1400" w:right="279" w:firstLine="339"/>
        <w:spacing w:after="0" w:line="258" w:lineRule="auto"/>
        <w:rPr>
          <w:sz w:val="20"/>
          <w:szCs w:val="20"/>
          <w:color w:val="auto"/>
        </w:rPr>
      </w:pPr>
      <w:r>
        <w:rPr>
          <w:rFonts w:ascii="Times New Roman" w:cs="Times New Roman" w:eastAsia="Times New Roman" w:hAnsi="Times New Roman"/>
          <w:sz w:val="14"/>
          <w:szCs w:val="14"/>
          <w:color w:val="auto"/>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40" w:lineRule="exact"/>
        <w:rPr>
          <w:sz w:val="20"/>
          <w:szCs w:val="20"/>
          <w:color w:val="auto"/>
        </w:rPr>
      </w:pPr>
    </w:p>
    <w:p>
      <w:pPr>
        <w:ind w:left="1400" w:right="439" w:firstLine="339"/>
        <w:spacing w:after="0" w:line="258" w:lineRule="auto"/>
        <w:rPr>
          <w:sz w:val="20"/>
          <w:szCs w:val="20"/>
          <w:color w:val="auto"/>
        </w:rPr>
      </w:pPr>
      <w:r>
        <w:rPr>
          <w:rFonts w:ascii="Times New Roman" w:cs="Times New Roman" w:eastAsia="Times New Roman" w:hAnsi="Times New Roman"/>
          <w:sz w:val="14"/>
          <w:szCs w:val="14"/>
          <w:color w:val="auto"/>
        </w:rPr>
        <w:t>For securities held in street name, we will recognize only the intermediary banks, brokers and other financial institutions in whose names the securities are registered as the holders of those securities, and we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Legal Holders</w:t>
      </w:r>
    </w:p>
    <w:p>
      <w:pPr>
        <w:spacing w:after="0" w:line="91" w:lineRule="exact"/>
        <w:rPr>
          <w:sz w:val="20"/>
          <w:szCs w:val="20"/>
          <w:color w:val="auto"/>
        </w:rPr>
      </w:pPr>
    </w:p>
    <w:p>
      <w:pPr>
        <w:ind w:left="1400" w:right="279" w:firstLine="339"/>
        <w:spacing w:after="0" w:line="258" w:lineRule="auto"/>
        <w:rPr>
          <w:sz w:val="20"/>
          <w:szCs w:val="20"/>
          <w:color w:val="auto"/>
        </w:rPr>
      </w:pPr>
      <w:r>
        <w:rPr>
          <w:rFonts w:ascii="Times New Roman" w:cs="Times New Roman" w:eastAsia="Times New Roman" w:hAnsi="Times New Roman"/>
          <w:sz w:val="14"/>
          <w:szCs w:val="14"/>
          <w:color w:val="auto"/>
        </w:rPr>
        <w:t>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383"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up to the holders.</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Special Considerations for Indirect Holders</w:t>
      </w:r>
    </w:p>
    <w:p>
      <w:pPr>
        <w:spacing w:after="0" w:line="91" w:lineRule="exact"/>
        <w:rPr>
          <w:sz w:val="20"/>
          <w:szCs w:val="20"/>
          <w:color w:val="auto"/>
        </w:rPr>
      </w:pPr>
    </w:p>
    <w:p>
      <w:pPr>
        <w:ind w:left="1400" w:right="319" w:firstLine="339"/>
        <w:spacing w:after="0" w:line="278" w:lineRule="auto"/>
        <w:rPr>
          <w:sz w:val="20"/>
          <w:szCs w:val="20"/>
          <w:color w:val="auto"/>
        </w:rPr>
      </w:pPr>
      <w:r>
        <w:rPr>
          <w:rFonts w:ascii="Times New Roman" w:cs="Times New Roman" w:eastAsia="Times New Roman" w:hAnsi="Times New Roman"/>
          <w:sz w:val="14"/>
          <w:szCs w:val="14"/>
          <w:color w:val="auto"/>
        </w:rPr>
        <w:t>If you hold securities through a bank, broker or other financial institution, either in book-entry form or in street name, you should check with your own institution to find out:</w:t>
      </w:r>
    </w:p>
    <w:p>
      <w:pPr>
        <w:spacing w:after="0" w:line="53" w:lineRule="exact"/>
        <w:rPr>
          <w:sz w:val="20"/>
          <w:szCs w:val="20"/>
          <w:color w:val="auto"/>
        </w:rPr>
      </w:pPr>
    </w:p>
    <w:p>
      <w:pPr>
        <w:ind w:left="2160" w:hanging="342"/>
        <w:spacing w:after="0"/>
        <w:tabs>
          <w:tab w:leader="none" w:pos="21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of third-party service providers;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 it handles securities payments and notices;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it imposes fees or charges;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 it would handle a request for the holders’ consent, if ever required;</w:t>
      </w:r>
    </w:p>
    <w:p>
      <w:pPr>
        <w:spacing w:after="0" w:line="98" w:lineRule="exact"/>
        <w:rPr>
          <w:rFonts w:ascii="Times New Roman" w:cs="Times New Roman" w:eastAsia="Times New Roman" w:hAnsi="Times New Roman"/>
          <w:sz w:val="14"/>
          <w:szCs w:val="14"/>
          <w:color w:val="auto"/>
        </w:rPr>
      </w:pPr>
    </w:p>
    <w:p>
      <w:pPr>
        <w:ind w:left="2160" w:right="459" w:hanging="342"/>
        <w:spacing w:after="0" w:line="278" w:lineRule="auto"/>
        <w:tabs>
          <w:tab w:leader="none" w:pos="21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how you can instruct it to send you securities registered in your own name so you can be a holder, if that is permitted in the future;</w:t>
      </w:r>
    </w:p>
    <w:p>
      <w:pPr>
        <w:spacing w:after="0" w:line="53" w:lineRule="exact"/>
        <w:rPr>
          <w:rFonts w:ascii="Times New Roman" w:cs="Times New Roman" w:eastAsia="Times New Roman" w:hAnsi="Times New Roman"/>
          <w:sz w:val="14"/>
          <w:szCs w:val="14"/>
          <w:color w:val="auto"/>
        </w:rPr>
      </w:pPr>
    </w:p>
    <w:p>
      <w:pPr>
        <w:ind w:left="2160" w:right="359" w:hanging="342"/>
        <w:spacing w:after="0" w:line="278" w:lineRule="auto"/>
        <w:tabs>
          <w:tab w:leader="none" w:pos="21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 it would exercise rights under the securities if there were a default or other event triggering the need for holders to act to protect their interests; and</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securities are in book-entry form, how the depositary’s rules and procedures will affect these matters.</w:t>
      </w:r>
    </w:p>
    <w:p>
      <w:pPr>
        <w:spacing w:after="0" w:line="25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91" w:lineRule="exact"/>
        <w:rPr>
          <w:sz w:val="20"/>
          <w:szCs w:val="20"/>
          <w:color w:val="auto"/>
        </w:rPr>
      </w:pPr>
    </w:p>
    <w:p>
      <w:pPr>
        <w:ind w:left="1400" w:right="699" w:firstLine="339"/>
        <w:spacing w:after="0" w:line="278" w:lineRule="auto"/>
        <w:rPr>
          <w:sz w:val="20"/>
          <w:szCs w:val="20"/>
          <w:color w:val="auto"/>
        </w:rPr>
      </w:pPr>
      <w:r>
        <w:rPr>
          <w:rFonts w:ascii="Times New Roman" w:cs="Times New Roman" w:eastAsia="Times New Roman" w:hAnsi="Times New Roman"/>
          <w:sz w:val="14"/>
          <w:szCs w:val="14"/>
          <w:color w:val="auto"/>
        </w:rPr>
        <w:t>A global security is a security that represents one or any other number of individual securities held by a depositary. Generally, all securities represented by the same global securities will have the same terms.</w:t>
      </w:r>
    </w:p>
    <w:p>
      <w:pPr>
        <w:spacing w:after="0" w:line="126" w:lineRule="exact"/>
        <w:rPr>
          <w:sz w:val="20"/>
          <w:szCs w:val="20"/>
          <w:color w:val="auto"/>
        </w:rPr>
      </w:pPr>
    </w:p>
    <w:p>
      <w:pPr>
        <w:ind w:left="1400" w:right="399" w:firstLine="339"/>
        <w:spacing w:after="0" w:line="263" w:lineRule="auto"/>
        <w:rPr>
          <w:sz w:val="20"/>
          <w:szCs w:val="20"/>
          <w:color w:val="auto"/>
        </w:rPr>
      </w:pPr>
      <w:r>
        <w:rPr>
          <w:rFonts w:ascii="Times New Roman" w:cs="Times New Roman" w:eastAsia="Times New Roman" w:hAnsi="Times New Roman"/>
          <w:sz w:val="14"/>
          <w:szCs w:val="14"/>
          <w:color w:val="auto"/>
        </w:rPr>
        <w:t>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136" w:lineRule="exact"/>
        <w:rPr>
          <w:sz w:val="20"/>
          <w:szCs w:val="20"/>
          <w:color w:val="auto"/>
        </w:rPr>
      </w:pPr>
    </w:p>
    <w:p>
      <w:pPr>
        <w:ind w:left="1400" w:right="279" w:firstLine="339"/>
        <w:spacing w:after="0" w:line="253" w:lineRule="auto"/>
        <w:rPr>
          <w:sz w:val="20"/>
          <w:szCs w:val="20"/>
          <w:color w:val="auto"/>
        </w:rPr>
      </w:pPr>
      <w:r>
        <w:rPr>
          <w:rFonts w:ascii="Times New Roman" w:cs="Times New Roman" w:eastAsia="Times New Roman" w:hAnsi="Times New Roman"/>
          <w:sz w:val="14"/>
          <w:szCs w:val="14"/>
          <w:color w:val="auto"/>
        </w:rPr>
        <w:t>A global security may not be transferred to or registered in the name of anyone other than the depositary, its nominee or a successor depositary, unless special termination situations arise. We describe those situations below under the section entitled “Special Situations When a Global Security Will Be Terminated” in this prospectus.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spacing w:after="0" w:line="143" w:lineRule="exact"/>
        <w:rPr>
          <w:sz w:val="20"/>
          <w:szCs w:val="20"/>
          <w:color w:val="auto"/>
        </w:rPr>
      </w:pPr>
    </w:p>
    <w:p>
      <w:pPr>
        <w:ind w:left="1400" w:right="359" w:firstLine="339"/>
        <w:spacing w:after="0" w:line="263" w:lineRule="auto"/>
        <w:rPr>
          <w:sz w:val="20"/>
          <w:szCs w:val="20"/>
          <w:color w:val="auto"/>
        </w:rPr>
      </w:pPr>
      <w:r>
        <w:rPr>
          <w:rFonts w:ascii="Times New Roman" w:cs="Times New Roman" w:eastAsia="Times New Roman" w:hAnsi="Times New Roman"/>
          <w:sz w:val="14"/>
          <w:szCs w:val="14"/>
          <w:color w:val="auto"/>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383"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Special Considerations for Global Securities</w:t>
      </w:r>
    </w:p>
    <w:p>
      <w:pPr>
        <w:spacing w:after="0" w:line="91" w:lineRule="exact"/>
        <w:rPr>
          <w:sz w:val="20"/>
          <w:szCs w:val="20"/>
          <w:color w:val="auto"/>
        </w:rPr>
      </w:pPr>
    </w:p>
    <w:p>
      <w:pPr>
        <w:jc w:val="both"/>
        <w:ind w:left="1400" w:right="379" w:firstLine="339"/>
        <w:spacing w:after="0" w:line="263" w:lineRule="auto"/>
        <w:rPr>
          <w:sz w:val="20"/>
          <w:szCs w:val="20"/>
          <w:color w:val="auto"/>
        </w:rPr>
      </w:pPr>
      <w:r>
        <w:rPr>
          <w:rFonts w:ascii="Times New Roman" w:cs="Times New Roman" w:eastAsia="Times New Roman" w:hAnsi="Times New Roman"/>
          <w:sz w:val="14"/>
          <w:szCs w:val="14"/>
          <w:color w:val="auto"/>
        </w:rPr>
        <w:t>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3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If securities are issued only in the form of a global security, an investor should be aware of the following:</w:t>
      </w:r>
    </w:p>
    <w:p>
      <w:pPr>
        <w:spacing w:after="0" w:line="99" w:lineRule="exact"/>
        <w:rPr>
          <w:sz w:val="20"/>
          <w:szCs w:val="20"/>
          <w:color w:val="auto"/>
        </w:rPr>
      </w:pPr>
    </w:p>
    <w:p>
      <w:pPr>
        <w:ind w:left="2160" w:right="299" w:hanging="342"/>
        <w:spacing w:after="0" w:line="278" w:lineRule="auto"/>
        <w:tabs>
          <w:tab w:leader="none" w:pos="21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cannot cause the securities to be registered in his or her name, and cannot obtain non-global certificates for his or her interest in the securities, except in the special situations we describe below;</w:t>
      </w:r>
    </w:p>
    <w:p>
      <w:pPr>
        <w:spacing w:after="0" w:line="53" w:lineRule="exact"/>
        <w:rPr>
          <w:rFonts w:ascii="Times New Roman" w:cs="Times New Roman" w:eastAsia="Times New Roman" w:hAnsi="Times New Roman"/>
          <w:sz w:val="14"/>
          <w:szCs w:val="14"/>
          <w:color w:val="auto"/>
        </w:rPr>
      </w:pPr>
    </w:p>
    <w:p>
      <w:pPr>
        <w:ind w:left="2160" w:right="299" w:hanging="342"/>
        <w:spacing w:after="0" w:line="278" w:lineRule="auto"/>
        <w:tabs>
          <w:tab w:leader="none" w:pos="21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will be an indirect holder and must look to his or her own bank or broker for payments on the securities and protection of his or her legal rights relating to the securities, as we describe above;</w:t>
      </w:r>
    </w:p>
    <w:p>
      <w:pPr>
        <w:spacing w:after="0" w:line="53" w:lineRule="exact"/>
        <w:rPr>
          <w:rFonts w:ascii="Times New Roman" w:cs="Times New Roman" w:eastAsia="Times New Roman" w:hAnsi="Times New Roman"/>
          <w:sz w:val="14"/>
          <w:szCs w:val="14"/>
          <w:color w:val="auto"/>
        </w:rPr>
      </w:pPr>
    </w:p>
    <w:p>
      <w:pPr>
        <w:ind w:left="2160" w:right="359" w:hanging="342"/>
        <w:spacing w:after="0" w:line="278" w:lineRule="auto"/>
        <w:tabs>
          <w:tab w:leader="none" w:pos="21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may not be able to sell interests in the securities to some insurance companies and to other institutions that are required by law to own their securities in non-book-entry form;</w:t>
      </w:r>
    </w:p>
    <w:p>
      <w:pPr>
        <w:spacing w:after="0" w:line="53" w:lineRule="exact"/>
        <w:rPr>
          <w:rFonts w:ascii="Times New Roman" w:cs="Times New Roman" w:eastAsia="Times New Roman" w:hAnsi="Times New Roman"/>
          <w:sz w:val="14"/>
          <w:szCs w:val="14"/>
          <w:color w:val="auto"/>
        </w:rPr>
      </w:pPr>
    </w:p>
    <w:p>
      <w:pPr>
        <w:ind w:left="2160" w:right="379" w:hanging="342"/>
        <w:spacing w:after="0" w:line="278" w:lineRule="auto"/>
        <w:tabs>
          <w:tab w:leader="none" w:pos="21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may not be able to pledge his or her interest in a global security in circumstances where certificates representing the securities must be delivered to the lender or other beneficiary of the pledge in order for the pledge to be effective;</w:t>
      </w:r>
    </w:p>
    <w:p>
      <w:pPr>
        <w:spacing w:after="0" w:line="53" w:lineRule="exact"/>
        <w:rPr>
          <w:rFonts w:ascii="Times New Roman" w:cs="Times New Roman" w:eastAsia="Times New Roman" w:hAnsi="Times New Roman"/>
          <w:sz w:val="14"/>
          <w:szCs w:val="14"/>
          <w:color w:val="auto"/>
        </w:rPr>
      </w:pPr>
    </w:p>
    <w:p>
      <w:pPr>
        <w:ind w:left="2160" w:right="319" w:hanging="342"/>
        <w:spacing w:after="0" w:line="278" w:lineRule="auto"/>
        <w:tabs>
          <w:tab w:leader="none" w:pos="21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depositary’s policies, which may change from time to time, will govern payments, transfers, exchanges and other matters relating to an investor’s interest in a global security;</w:t>
      </w:r>
    </w:p>
    <w:p>
      <w:pPr>
        <w:spacing w:after="0" w:line="53" w:lineRule="exact"/>
        <w:rPr>
          <w:rFonts w:ascii="Times New Roman" w:cs="Times New Roman" w:eastAsia="Times New Roman" w:hAnsi="Times New Roman"/>
          <w:sz w:val="14"/>
          <w:szCs w:val="14"/>
          <w:color w:val="auto"/>
        </w:rPr>
      </w:pPr>
    </w:p>
    <w:p>
      <w:pPr>
        <w:ind w:left="2160" w:right="359" w:hanging="342"/>
        <w:spacing w:after="0" w:line="278" w:lineRule="auto"/>
        <w:tabs>
          <w:tab w:leader="none" w:pos="21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any applicable trustee have no responsibility for any aspect of the depositary’s actions or for its records of ownership interests in a global security, nor do we or any applicable trustee supervise the depositary in any way;</w:t>
      </w:r>
    </w:p>
    <w:p>
      <w:pPr>
        <w:spacing w:after="0" w:line="53" w:lineRule="exact"/>
        <w:rPr>
          <w:rFonts w:ascii="Times New Roman" w:cs="Times New Roman" w:eastAsia="Times New Roman" w:hAnsi="Times New Roman"/>
          <w:sz w:val="14"/>
          <w:szCs w:val="14"/>
          <w:color w:val="auto"/>
        </w:rPr>
      </w:pPr>
    </w:p>
    <w:p>
      <w:pPr>
        <w:ind w:left="2160" w:right="619" w:hanging="342"/>
        <w:spacing w:after="0" w:line="278" w:lineRule="auto"/>
        <w:tabs>
          <w:tab w:leader="none" w:pos="21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may, and we understand that DTC will, require that those who purchase and sell interests in a global security within its book-entry system use immediately available funds, and your broker or bank may require you to do so as well; and</w:t>
      </w:r>
    </w:p>
    <w:p>
      <w:pPr>
        <w:spacing w:after="0" w:line="53" w:lineRule="exact"/>
        <w:rPr>
          <w:rFonts w:ascii="Times New Roman" w:cs="Times New Roman" w:eastAsia="Times New Roman" w:hAnsi="Times New Roman"/>
          <w:sz w:val="14"/>
          <w:szCs w:val="14"/>
          <w:color w:val="auto"/>
        </w:rPr>
      </w:pPr>
    </w:p>
    <w:p>
      <w:pPr>
        <w:ind w:left="2160" w:right="319" w:hanging="342"/>
        <w:spacing w:after="0" w:line="278" w:lineRule="auto"/>
        <w:tabs>
          <w:tab w:leader="none" w:pos="21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institutions that participate in the depositary’s book-entry system, and through which an investor holds its interest in a global security, may also have their own policies affecting payments, notices and other matters relating to the securities.</w:t>
      </w:r>
    </w:p>
    <w:p>
      <w:pPr>
        <w:spacing w:after="0" w:line="126" w:lineRule="exact"/>
        <w:rPr>
          <w:sz w:val="20"/>
          <w:szCs w:val="20"/>
          <w:color w:val="auto"/>
        </w:rPr>
      </w:pPr>
    </w:p>
    <w:p>
      <w:pPr>
        <w:ind w:left="1400" w:right="459" w:firstLine="339"/>
        <w:spacing w:after="0" w:line="278" w:lineRule="auto"/>
        <w:rPr>
          <w:sz w:val="20"/>
          <w:szCs w:val="20"/>
          <w:color w:val="auto"/>
        </w:rPr>
      </w:pPr>
      <w:r>
        <w:rPr>
          <w:rFonts w:ascii="Times New Roman" w:cs="Times New Roman" w:eastAsia="Times New Roman" w:hAnsi="Times New Roman"/>
          <w:sz w:val="14"/>
          <w:szCs w:val="14"/>
          <w:color w:val="auto"/>
        </w:rPr>
        <w:t>There may be more than one financial intermediary in the chain of ownership for an investor. We do not monitor and are not responsible for the actions of any of those intermediaries.</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Special Situations When a Global Security Will Be Terminated</w:t>
      </w:r>
    </w:p>
    <w:p>
      <w:pPr>
        <w:spacing w:after="0" w:line="91" w:lineRule="exact"/>
        <w:rPr>
          <w:sz w:val="20"/>
          <w:szCs w:val="20"/>
          <w:color w:val="auto"/>
        </w:rPr>
      </w:pPr>
    </w:p>
    <w:p>
      <w:pPr>
        <w:ind w:left="1400" w:right="439" w:firstLine="339"/>
        <w:spacing w:after="0" w:line="258" w:lineRule="auto"/>
        <w:rPr>
          <w:sz w:val="20"/>
          <w:szCs w:val="20"/>
          <w:color w:val="auto"/>
        </w:rPr>
      </w:pPr>
      <w:r>
        <w:rPr>
          <w:rFonts w:ascii="Times New Roman" w:cs="Times New Roman" w:eastAsia="Times New Roman" w:hAnsi="Times New Roman"/>
          <w:sz w:val="14"/>
          <w:szCs w:val="14"/>
          <w:color w:val="auto"/>
        </w:rPr>
        <w:t>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w:t>
      </w:r>
    </w:p>
    <w:p>
      <w:pPr>
        <w:spacing w:after="0" w:line="140" w:lineRule="exact"/>
        <w:rPr>
          <w:sz w:val="20"/>
          <w:szCs w:val="20"/>
          <w:color w:val="auto"/>
        </w:rPr>
      </w:pPr>
    </w:p>
    <w:p>
      <w:pPr>
        <w:ind w:left="1400" w:right="559" w:firstLine="339"/>
        <w:spacing w:after="0" w:line="278" w:lineRule="auto"/>
        <w:rPr>
          <w:sz w:val="20"/>
          <w:szCs w:val="20"/>
          <w:color w:val="auto"/>
        </w:rPr>
      </w:pPr>
      <w:r>
        <w:rPr>
          <w:rFonts w:ascii="Times New Roman" w:cs="Times New Roman" w:eastAsia="Times New Roman" w:hAnsi="Times New Roman"/>
          <w:sz w:val="14"/>
          <w:szCs w:val="14"/>
          <w:color w:val="auto"/>
        </w:rPr>
        <w:t>Unless we provide otherwise in the applicable prospectus supplement, the global security will terminate when the following special situations occur:</w:t>
      </w:r>
    </w:p>
    <w:p>
      <w:pPr>
        <w:spacing w:after="0" w:line="53" w:lineRule="exact"/>
        <w:rPr>
          <w:sz w:val="20"/>
          <w:szCs w:val="20"/>
          <w:color w:val="auto"/>
        </w:rPr>
      </w:pPr>
    </w:p>
    <w:p>
      <w:pPr>
        <w:ind w:left="2160" w:right="459" w:hanging="342"/>
        <w:spacing w:after="0" w:line="278" w:lineRule="auto"/>
        <w:tabs>
          <w:tab w:leader="none" w:pos="2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depositary notifies us that it is unwilling, unable or no longer qualified to continue as depositary for that global security and we do not appoint another institution to act as depositary within 90 days;</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notify any applicable trustee that we wish to terminate that global security; or</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 event of default has occurred with regard to securities represented by that global security and has not been cured or waived.</w:t>
      </w:r>
    </w:p>
    <w:p>
      <w:pPr>
        <w:spacing w:after="0" w:line="1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0159"/>
          </w:cols>
          <w:pgMar w:left="300" w:top="383"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19" w:firstLine="339"/>
        <w:spacing w:after="0" w:line="263" w:lineRule="auto"/>
        <w:rPr>
          <w:sz w:val="20"/>
          <w:szCs w:val="20"/>
          <w:color w:val="auto"/>
        </w:rPr>
      </w:pPr>
      <w:r>
        <w:rPr>
          <w:rFonts w:ascii="Times New Roman" w:cs="Times New Roman" w:eastAsia="Times New Roman" w:hAnsi="Times New Roman"/>
          <w:sz w:val="14"/>
          <w:szCs w:val="14"/>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not we or any applicable trustee, is responsible for deciding the names of the institutions that will be the initial direct holders.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0159"/>
          </w:cols>
          <w:pgMar w:left="300" w:top="383"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4" w:lineRule="exact"/>
        <w:rPr>
          <w:sz w:val="20"/>
          <w:szCs w:val="20"/>
          <w:color w:val="auto"/>
        </w:rPr>
      </w:pPr>
    </w:p>
    <w:p>
      <w:pPr>
        <w:jc w:val="both"/>
        <w:ind w:left="1400" w:right="379" w:firstLine="339"/>
        <w:spacing w:after="0" w:line="263" w:lineRule="auto"/>
        <w:rPr>
          <w:sz w:val="20"/>
          <w:szCs w:val="20"/>
          <w:color w:val="auto"/>
        </w:rPr>
      </w:pPr>
      <w:r>
        <w:rPr>
          <w:rFonts w:ascii="Times New Roman" w:cs="Times New Roman" w:eastAsia="Times New Roman" w:hAnsi="Times New Roman"/>
          <w:sz w:val="14"/>
          <w:szCs w:val="14"/>
          <w:color w:val="auto"/>
        </w:rPr>
        <w:t>We may sell the securities from time to time pursuant to underwritten public offerings, negotiated transactions, block trades or a combination of these methods. We may sell the securities to or through one or more underwriters or dealers (acting as principal or agent), through agents, or directly to one or more purchasers. We may distribute securities from time to time in one or more transactions:</w:t>
      </w:r>
    </w:p>
    <w:p>
      <w:pPr>
        <w:spacing w:after="0" w:line="63" w:lineRule="exact"/>
        <w:rPr>
          <w:sz w:val="20"/>
          <w:szCs w:val="20"/>
          <w:color w:val="auto"/>
        </w:rPr>
      </w:pPr>
    </w:p>
    <w:p>
      <w:pPr>
        <w:ind w:left="2160" w:hanging="342"/>
        <w:spacing w:after="0"/>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fixed price or prices, which may be changed;</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market prices prevailing at the time of sale;</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prices related to such prevailing market prices; or</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negotiated prices.</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We may also sell equity securities covered by this registration statement in an “at the market offering” as defined in Rule 415(a)(4) under the</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Securities Act. Such offering may be made into an existing trading market for such securities in transactions at other than a fixed price, either:</w:t>
      </w:r>
    </w:p>
    <w:p>
      <w:pPr>
        <w:spacing w:after="0" w:line="84" w:lineRule="exact"/>
        <w:rPr>
          <w:sz w:val="20"/>
          <w:szCs w:val="20"/>
          <w:color w:val="auto"/>
        </w:rPr>
      </w:pPr>
    </w:p>
    <w:p>
      <w:pPr>
        <w:ind w:left="2160" w:right="439" w:hanging="342"/>
        <w:spacing w:after="0" w:line="278" w:lineRule="auto"/>
        <w:tabs>
          <w:tab w:leader="none" w:pos="2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through the facilities of the Nasdaq Global Select Market or any other securities exchange or quotation or trading service on which such securities may be listed, quoted or traded at the time of sale; and/or at market prices prevailing at the time of sale; and/or</w:t>
      </w:r>
    </w:p>
    <w:p>
      <w:pPr>
        <w:spacing w:after="0" w:line="53" w:lineRule="exact"/>
        <w:rPr>
          <w:rFonts w:ascii="Times New Roman" w:cs="Times New Roman" w:eastAsia="Times New Roman" w:hAnsi="Times New Roman"/>
          <w:sz w:val="14"/>
          <w:szCs w:val="14"/>
          <w:color w:val="auto"/>
        </w:rPr>
      </w:pPr>
    </w:p>
    <w:p>
      <w:pPr>
        <w:ind w:left="2160" w:right="539" w:hanging="342"/>
        <w:spacing w:after="0" w:line="278" w:lineRule="auto"/>
        <w:tabs>
          <w:tab w:leader="none" w:pos="2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or through a market maker other than on the Nasdaq Global Select Market or such other securities exchanges or quotation or trading services.</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Such at-the-market offerings, if any, may be conducted by underwriters acting as principal or agent.</w:t>
      </w:r>
    </w:p>
    <w:p>
      <w:pPr>
        <w:spacing w:after="0" w:line="172" w:lineRule="exact"/>
        <w:rPr>
          <w:sz w:val="20"/>
          <w:szCs w:val="20"/>
          <w:color w:val="auto"/>
        </w:rPr>
      </w:pPr>
    </w:p>
    <w:p>
      <w:pPr>
        <w:ind w:left="1400" w:right="419" w:firstLine="339"/>
        <w:spacing w:after="0" w:line="278" w:lineRule="auto"/>
        <w:rPr>
          <w:sz w:val="20"/>
          <w:szCs w:val="20"/>
          <w:color w:val="auto"/>
        </w:rPr>
      </w:pPr>
      <w:r>
        <w:rPr>
          <w:rFonts w:ascii="Times New Roman" w:cs="Times New Roman" w:eastAsia="Times New Roman" w:hAnsi="Times New Roman"/>
          <w:sz w:val="14"/>
          <w:szCs w:val="14"/>
          <w:color w:val="auto"/>
        </w:rPr>
        <w:t>A prospectus supplement or supplements (and any related free writing prospectus that we may authorize to be provided to you) will describe the terms of the offering of the securities, including, to the extent applicable:</w:t>
      </w:r>
    </w:p>
    <w:p>
      <w:pPr>
        <w:spacing w:after="0" w:line="53" w:lineRule="exact"/>
        <w:rPr>
          <w:sz w:val="20"/>
          <w:szCs w:val="20"/>
          <w:color w:val="auto"/>
        </w:rPr>
      </w:pPr>
    </w:p>
    <w:p>
      <w:pPr>
        <w:ind w:left="2160" w:hanging="342"/>
        <w:spacing w:after="0"/>
        <w:tabs>
          <w:tab w:leader="none" w:pos="21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or names of the underwriters, dealers or agents, if any;</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of the securities or other consideration therefor, and the proceeds, we will receive from the sale;</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over-allotment or other options under which underwriters may purchase additional securities from us;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agency fees or underwriting discounts and other items constituting agents’ or underwriters’ compensation;</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public offering price;</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or concessions allowed or reallowed or paid to dealers; and</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securities exchange or market on which the securities may be listed.</w:t>
      </w:r>
    </w:p>
    <w:p>
      <w:pPr>
        <w:spacing w:after="0" w:line="172" w:lineRule="exact"/>
        <w:rPr>
          <w:sz w:val="20"/>
          <w:szCs w:val="20"/>
          <w:color w:val="auto"/>
        </w:rPr>
      </w:pPr>
    </w:p>
    <w:p>
      <w:pPr>
        <w:ind w:left="1400" w:right="279" w:firstLine="339"/>
        <w:spacing w:after="0" w:line="258" w:lineRule="auto"/>
        <w:rPr>
          <w:sz w:val="20"/>
          <w:szCs w:val="20"/>
          <w:color w:val="auto"/>
        </w:rPr>
      </w:pPr>
      <w:r>
        <w:rPr>
          <w:rFonts w:ascii="Times New Roman" w:cs="Times New Roman" w:eastAsia="Times New Roman" w:hAnsi="Times New Roman"/>
          <w:sz w:val="14"/>
          <w:szCs w:val="14"/>
          <w:color w:val="auto"/>
        </w:rPr>
        <w:t>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40" w:lineRule="exact"/>
        <w:rPr>
          <w:sz w:val="20"/>
          <w:szCs w:val="20"/>
          <w:color w:val="auto"/>
        </w:rPr>
      </w:pPr>
    </w:p>
    <w:p>
      <w:pPr>
        <w:jc w:val="both"/>
        <w:ind w:left="1400" w:right="379" w:firstLine="339"/>
        <w:spacing w:after="0" w:line="292" w:lineRule="auto"/>
        <w:rPr>
          <w:sz w:val="20"/>
          <w:szCs w:val="20"/>
          <w:color w:val="auto"/>
        </w:rPr>
      </w:pPr>
      <w:r>
        <w:rPr>
          <w:rFonts w:ascii="Times New Roman" w:cs="Times New Roman" w:eastAsia="Times New Roman" w:hAnsi="Times New Roman"/>
          <w:sz w:val="13"/>
          <w:szCs w:val="13"/>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w:t>
      </w:r>
    </w:p>
    <w:p>
      <w:pPr>
        <w:spacing w:after="0" w:line="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0159"/>
          </w:cols>
          <w:pgMar w:left="300" w:top="383"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spacing w:after="0" w:line="254" w:lineRule="auto"/>
        <w:rPr>
          <w:sz w:val="20"/>
          <w:szCs w:val="20"/>
          <w:color w:val="auto"/>
        </w:rPr>
      </w:pPr>
      <w:r>
        <w:rPr>
          <w:rFonts w:ascii="Times New Roman" w:cs="Times New Roman" w:eastAsia="Times New Roman" w:hAnsi="Times New Roman"/>
          <w:sz w:val="14"/>
          <w:szCs w:val="14"/>
          <w:color w:val="auto"/>
        </w:rPr>
        <w:t>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If a dealer is used in the sale of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w:t>
      </w:r>
    </w:p>
    <w:p>
      <w:pPr>
        <w:spacing w:after="0" w:line="142" w:lineRule="exact"/>
        <w:rPr>
          <w:sz w:val="20"/>
          <w:szCs w:val="20"/>
          <w:color w:val="auto"/>
        </w:rPr>
      </w:pPr>
    </w:p>
    <w:p>
      <w:pPr>
        <w:ind w:left="1400" w:right="459" w:firstLine="339"/>
        <w:spacing w:after="0" w:line="278" w:lineRule="auto"/>
        <w:rPr>
          <w:sz w:val="20"/>
          <w:szCs w:val="20"/>
          <w:color w:val="auto"/>
        </w:rPr>
      </w:pPr>
      <w:r>
        <w:rPr>
          <w:rFonts w:ascii="Times New Roman" w:cs="Times New Roman" w:eastAsia="Times New Roman" w:hAnsi="Times New Roman"/>
          <w:sz w:val="14"/>
          <w:szCs w:val="14"/>
          <w:color w:val="auto"/>
        </w:rPr>
        <w:t>We may use underwriters, dealers or agents with whom we have a material relationship. We will describe in the prospectus supplement, naming the underwriter, dealer or agent, the nature of any such relationship.</w:t>
      </w:r>
    </w:p>
    <w:p>
      <w:pPr>
        <w:spacing w:after="0" w:line="126" w:lineRule="exact"/>
        <w:rPr>
          <w:sz w:val="20"/>
          <w:szCs w:val="20"/>
          <w:color w:val="auto"/>
        </w:rPr>
      </w:pPr>
    </w:p>
    <w:p>
      <w:pPr>
        <w:ind w:left="1400" w:right="359" w:firstLine="339"/>
        <w:spacing w:after="0" w:line="263" w:lineRule="auto"/>
        <w:rPr>
          <w:sz w:val="20"/>
          <w:szCs w:val="20"/>
          <w:color w:val="auto"/>
        </w:rPr>
      </w:pPr>
      <w:r>
        <w:rPr>
          <w:rFonts w:ascii="Times New Roman" w:cs="Times New Roman" w:eastAsia="Times New Roman" w:hAnsi="Times New Roman"/>
          <w:sz w:val="14"/>
          <w:szCs w:val="14"/>
          <w:color w:val="auto"/>
        </w:rPr>
        <w:t>We may sell securities directly or through agents we designate from time to time. We will name any agent involved in the offering and sale of securities and we will describe any commissions payable to the agent in the prospectus supplement. Unless the prospectus supplement states otherwise, the agent will act on a best-efforts basis for the period of its appointment.</w:t>
      </w:r>
    </w:p>
    <w:p>
      <w:pPr>
        <w:spacing w:after="0" w:line="136" w:lineRule="exact"/>
        <w:rPr>
          <w:sz w:val="20"/>
          <w:szCs w:val="20"/>
          <w:color w:val="auto"/>
        </w:rPr>
      </w:pPr>
    </w:p>
    <w:p>
      <w:pPr>
        <w:ind w:left="1400" w:right="539" w:firstLine="339"/>
        <w:spacing w:after="0" w:line="263" w:lineRule="auto"/>
        <w:rPr>
          <w:sz w:val="20"/>
          <w:szCs w:val="20"/>
          <w:color w:val="auto"/>
        </w:rPr>
      </w:pPr>
      <w:r>
        <w:rPr>
          <w:rFonts w:ascii="Times New Roman" w:cs="Times New Roman" w:eastAsia="Times New Roman" w:hAnsi="Times New Roman"/>
          <w:sz w:val="14"/>
          <w:szCs w:val="14"/>
          <w:color w:val="auto"/>
        </w:rPr>
        <w:t>We may provide agents, underwriters and dealers with indemnification against civil liabilities, including liabilities under the Securities Act, or contribution with respect to payments that the agents, underwriters or dealers may make with respect to these liabilities. Agents, underwriters and dealers, or their affiliates, may engage in transactions with, or perform services for, us in the ordinary course of business.</w:t>
      </w:r>
    </w:p>
    <w:p>
      <w:pPr>
        <w:spacing w:after="0" w:line="136" w:lineRule="exact"/>
        <w:rPr>
          <w:sz w:val="20"/>
          <w:szCs w:val="20"/>
          <w:color w:val="auto"/>
        </w:rPr>
      </w:pPr>
    </w:p>
    <w:p>
      <w:pPr>
        <w:ind w:left="1400" w:right="399" w:firstLine="339"/>
        <w:spacing w:after="0" w:line="263" w:lineRule="auto"/>
        <w:rPr>
          <w:sz w:val="20"/>
          <w:szCs w:val="20"/>
          <w:color w:val="auto"/>
        </w:rPr>
      </w:pPr>
      <w:r>
        <w:rPr>
          <w:rFonts w:ascii="Times New Roman" w:cs="Times New Roman" w:eastAsia="Times New Roman" w:hAnsi="Times New Roman"/>
          <w:sz w:val="14"/>
          <w:szCs w:val="14"/>
          <w:color w:val="auto"/>
        </w:rPr>
        <w:t>All securities we may offer, other than Class A common stock, will be new issues of securities with no established trading market. Any agents or underwriters may make a market in these securities, but will not be obligated to do so and may discontinue any market making at any time without notice. We cannot guarantee the liquidity of the trading markets for any securities.</w:t>
      </w:r>
    </w:p>
    <w:p>
      <w:pPr>
        <w:spacing w:after="0" w:line="136" w:lineRule="exact"/>
        <w:rPr>
          <w:sz w:val="20"/>
          <w:szCs w:val="20"/>
          <w:color w:val="auto"/>
        </w:rPr>
      </w:pPr>
    </w:p>
    <w:p>
      <w:pPr>
        <w:ind w:left="1400" w:right="279" w:firstLine="339"/>
        <w:spacing w:after="0" w:line="252" w:lineRule="auto"/>
        <w:rPr>
          <w:sz w:val="20"/>
          <w:szCs w:val="20"/>
          <w:color w:val="auto"/>
        </w:rPr>
      </w:pPr>
      <w:r>
        <w:rPr>
          <w:rFonts w:ascii="Times New Roman" w:cs="Times New Roman" w:eastAsia="Times New Roman" w:hAnsi="Times New Roman"/>
          <w:sz w:val="14"/>
          <w:szCs w:val="14"/>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spacing w:after="0" w:line="145" w:lineRule="exact"/>
        <w:rPr>
          <w:sz w:val="20"/>
          <w:szCs w:val="20"/>
          <w:color w:val="auto"/>
        </w:rPr>
      </w:pPr>
    </w:p>
    <w:p>
      <w:pPr>
        <w:ind w:left="1400" w:right="359" w:firstLine="339"/>
        <w:spacing w:after="0" w:line="275" w:lineRule="auto"/>
        <w:rPr>
          <w:sz w:val="20"/>
          <w:szCs w:val="20"/>
          <w:color w:val="auto"/>
        </w:rPr>
      </w:pPr>
      <w:r>
        <w:rPr>
          <w:rFonts w:ascii="Times New Roman" w:cs="Times New Roman" w:eastAsia="Times New Roman" w:hAnsi="Times New Roman"/>
          <w:sz w:val="13"/>
          <w:szCs w:val="13"/>
          <w:color w:val="auto"/>
        </w:rPr>
        <w:t>Any underwriters that are qualified market makers on the Nasdaq Global Select Market may engage in passive market making transactions in the Class A common stock on the Nasdaq Global Select Market in accordance with Regulation M under the Exchange Act, during the business day prior to the pricing of the offering, before the commencement of offers or sales of the Class A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0159"/>
          </w:cols>
          <w:pgMar w:left="300" w:top="383"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4" w:lineRule="exact"/>
        <w:rPr>
          <w:sz w:val="20"/>
          <w:szCs w:val="20"/>
          <w:color w:val="auto"/>
        </w:rPr>
      </w:pPr>
    </w:p>
    <w:p>
      <w:pPr>
        <w:jc w:val="both"/>
        <w:ind w:left="1400" w:right="419" w:firstLine="339"/>
        <w:spacing w:after="0" w:line="263" w:lineRule="auto"/>
        <w:rPr>
          <w:sz w:val="20"/>
          <w:szCs w:val="20"/>
          <w:color w:val="auto"/>
        </w:rPr>
      </w:pPr>
      <w:r>
        <w:rPr>
          <w:rFonts w:ascii="Times New Roman" w:cs="Times New Roman" w:eastAsia="Times New Roman" w:hAnsi="Times New Roman"/>
          <w:sz w:val="14"/>
          <w:szCs w:val="14"/>
          <w:color w:val="auto"/>
        </w:rPr>
        <w:t>Unless otherwise indicated in the applicable prospectus supplement, certain legal matters in connection with the offering and the validity of the securities offered by this prospectus, and any supplement thereto, will be passed upon by Cooley LLP, Chicago, Illinois and, with respect to matters of Nevada law, by Brownstein Hyatt Farber Schreck, LLP, Las Vegas, Nevada.</w:t>
      </w:r>
    </w:p>
    <w:p>
      <w:pPr>
        <w:spacing w:after="0" w:line="30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4" w:lineRule="exact"/>
        <w:rPr>
          <w:sz w:val="20"/>
          <w:szCs w:val="20"/>
          <w:color w:val="auto"/>
        </w:rPr>
      </w:pPr>
    </w:p>
    <w:p>
      <w:pPr>
        <w:ind w:left="1400" w:right="399" w:firstLine="339"/>
        <w:spacing w:after="0" w:line="263" w:lineRule="auto"/>
        <w:rPr>
          <w:sz w:val="20"/>
          <w:szCs w:val="20"/>
          <w:color w:val="auto"/>
        </w:rPr>
      </w:pPr>
      <w:r>
        <w:rPr>
          <w:rFonts w:ascii="Times New Roman" w:cs="Times New Roman" w:eastAsia="Times New Roman" w:hAnsi="Times New Roman"/>
          <w:sz w:val="14"/>
          <w:szCs w:val="14"/>
          <w:color w:val="auto"/>
        </w:rPr>
        <w:t>The financial statements incorporated in this Prospectus by reference to the Annual Report on Form 10-K for the year ended December 31, 2024 have been so incorporated in reliance on the report of PricewaterhouseCoopers LLP, an independent registered public accounting firm, given on the authority of said firm as experts in auditing and accounting.</w:t>
      </w:r>
    </w:p>
    <w:p>
      <w:pPr>
        <w:spacing w:after="0" w:line="30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4"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This prospectus is part of a registration statement on Form S-3 we filed with the SEC under the Securities Act and does not contain all the information set forth or incorporated by reference in the registration statement and the accompanying exhibits.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w:t>
      </w:r>
    </w:p>
    <w:p>
      <w:pPr>
        <w:spacing w:after="0" w:line="143"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Because we are subject to the information and reporting requirements of the Exchange Act, 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https://investors.tempus.com. Information contained in or accessible through our website does not constitute a part of this prospectus and is not incorporated by reference in this prospectus. We have included our website address as an inactive textual reference only.</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0159"/>
          </w:cols>
          <w:pgMar w:left="300" w:top="383"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INCORPORATION OF CERTAIN INFORMATION BY REFERENCE</w:t>
      </w:r>
    </w:p>
    <w:p>
      <w:pPr>
        <w:spacing w:after="0" w:line="174" w:lineRule="exact"/>
        <w:rPr>
          <w:sz w:val="20"/>
          <w:szCs w:val="20"/>
          <w:color w:val="auto"/>
        </w:rPr>
      </w:pPr>
    </w:p>
    <w:p>
      <w:pPr>
        <w:ind w:left="1400" w:right="279" w:firstLine="339"/>
        <w:spacing w:after="0" w:line="251" w:lineRule="auto"/>
        <w:rPr>
          <w:sz w:val="20"/>
          <w:szCs w:val="20"/>
          <w:color w:val="auto"/>
        </w:rPr>
      </w:pPr>
      <w:r>
        <w:rPr>
          <w:rFonts w:ascii="Times New Roman" w:cs="Times New Roman" w:eastAsia="Times New Roman" w:hAnsi="Times New Roman"/>
          <w:sz w:val="14"/>
          <w:szCs w:val="14"/>
          <w:color w:val="auto"/>
        </w:rPr>
        <w:t>The SEC allows us to “incorporate by reference” information into this prospectus, which means that we can disclose important information to you by referring you to another document filed separately with the SEC. The information incorporated by reference is an important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also incorporate by reference into this prospectus the documents listed below and any future filings made by us with the SEC (other than Current Reports or portions thereof furnished under Item 2.02 or Item 7.01 of Form 8-K and exhibits filed on such form that are related to such items and other portions of documents that are deemed to have been furnished, but not filed, or are otherwise not incorporated into registration statements pursuant to applicable rules promulgated by the SEC) pursuant to Sections 13(a), 13(c), 14 or 15(d) of the Exchange Act after the filing and concurrent effectiveness of the registration statement but prior to the termination of all offerings covered by this prospectus:</w:t>
      </w:r>
    </w:p>
    <w:p>
      <w:pPr>
        <w:spacing w:after="0" w:line="76" w:lineRule="exact"/>
        <w:rPr>
          <w:sz w:val="20"/>
          <w:szCs w:val="20"/>
          <w:color w:val="auto"/>
        </w:rPr>
      </w:pPr>
    </w:p>
    <w:p>
      <w:pPr>
        <w:ind w:left="2160" w:hanging="342"/>
        <w:spacing w:after="0"/>
        <w:tabs>
          <w:tab w:leader="none" w:pos="21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64">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2024, filed with the SEC on February 24, 2025;</w:t>
      </w:r>
    </w:p>
    <w:p>
      <w:pPr>
        <w:spacing w:after="0" w:line="98" w:lineRule="exact"/>
        <w:rPr>
          <w:rFonts w:ascii="Times New Roman" w:cs="Times New Roman" w:eastAsia="Times New Roman" w:hAnsi="Times New Roman"/>
          <w:sz w:val="14"/>
          <w:szCs w:val="14"/>
          <w:color w:val="auto"/>
        </w:rPr>
      </w:pPr>
    </w:p>
    <w:p>
      <w:pPr>
        <w:ind w:left="2160" w:right="379" w:hanging="342"/>
        <w:spacing w:after="0" w:line="278" w:lineRule="auto"/>
        <w:tabs>
          <w:tab w:leader="none" w:pos="21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Reports on Form 10-Q for the quarter ended March 31, 2025, filed with the SEC on </w:t>
      </w:r>
      <w:hyperlink r:id="rId65">
        <w:r>
          <w:rPr>
            <w:rFonts w:ascii="Times New Roman" w:cs="Times New Roman" w:eastAsia="Times New Roman" w:hAnsi="Times New Roman"/>
            <w:sz w:val="14"/>
            <w:szCs w:val="14"/>
            <w:u w:val="single" w:color="auto"/>
            <w:color w:val="0000EE"/>
          </w:rPr>
          <w:t>May 6, 2025</w:t>
        </w:r>
      </w:hyperlink>
      <w:r>
        <w:rPr>
          <w:rFonts w:ascii="Times New Roman" w:cs="Times New Roman" w:eastAsia="Times New Roman" w:hAnsi="Times New Roman"/>
          <w:sz w:val="14"/>
          <w:szCs w:val="14"/>
          <w:color w:val="auto"/>
        </w:rPr>
        <w:t xml:space="preserve">, and for the quarter ended June 30, 2025, filed with the SEC on </w:t>
      </w:r>
      <w:hyperlink r:id="rId66">
        <w:r>
          <w:rPr>
            <w:rFonts w:ascii="Times New Roman" w:cs="Times New Roman" w:eastAsia="Times New Roman" w:hAnsi="Times New Roman"/>
            <w:sz w:val="14"/>
            <w:szCs w:val="14"/>
            <w:u w:val="single" w:color="auto"/>
            <w:color w:val="0000EE"/>
          </w:rPr>
          <w:t>August 8, 2025</w:t>
        </w:r>
      </w:hyperlink>
      <w:r>
        <w:rPr>
          <w:rFonts w:ascii="Times New Roman" w:cs="Times New Roman" w:eastAsia="Times New Roman" w:hAnsi="Times New Roman"/>
          <w:sz w:val="14"/>
          <w:szCs w:val="14"/>
          <w:color w:val="auto"/>
        </w:rPr>
        <w:t>;</w:t>
      </w:r>
    </w:p>
    <w:p>
      <w:pPr>
        <w:spacing w:after="0" w:line="53" w:lineRule="exact"/>
        <w:rPr>
          <w:rFonts w:ascii="Times New Roman" w:cs="Times New Roman" w:eastAsia="Times New Roman" w:hAnsi="Times New Roman"/>
          <w:sz w:val="14"/>
          <w:szCs w:val="14"/>
          <w:color w:val="auto"/>
        </w:rPr>
      </w:pPr>
    </w:p>
    <w:p>
      <w:pPr>
        <w:ind w:left="2160" w:right="419" w:hanging="342"/>
        <w:spacing w:after="0" w:line="278" w:lineRule="auto"/>
        <w:tabs>
          <w:tab w:leader="none" w:pos="21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Definitive Proxy Statement on </w:t>
      </w:r>
      <w:hyperlink r:id="rId67">
        <w:r>
          <w:rPr>
            <w:rFonts w:ascii="Times New Roman" w:cs="Times New Roman" w:eastAsia="Times New Roman" w:hAnsi="Times New Roman"/>
            <w:sz w:val="14"/>
            <w:szCs w:val="14"/>
            <w:u w:val="single" w:color="auto"/>
            <w:color w:val="0000EE"/>
          </w:rPr>
          <w:t>Schedule 14A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filed with the SEC on April 7, 2025 (solely with respect to those portions incorporated by reference into our Annual Report on </w:t>
      </w:r>
      <w:hyperlink r:id="rId64">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2024);</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with the SEC on </w:t>
      </w:r>
      <w:hyperlink r:id="rId68">
        <w:r>
          <w:rPr>
            <w:rFonts w:ascii="Times New Roman" w:cs="Times New Roman" w:eastAsia="Times New Roman" w:hAnsi="Times New Roman"/>
            <w:sz w:val="14"/>
            <w:szCs w:val="14"/>
            <w:u w:val="single" w:color="auto"/>
            <w:color w:val="0000EE"/>
          </w:rPr>
          <w:t>February 3, 2025</w:t>
        </w:r>
      </w:hyperlink>
      <w:r>
        <w:rPr>
          <w:rFonts w:ascii="Times New Roman" w:cs="Times New Roman" w:eastAsia="Times New Roman" w:hAnsi="Times New Roman"/>
          <w:sz w:val="14"/>
          <w:szCs w:val="14"/>
          <w:color w:val="auto"/>
        </w:rPr>
        <w:t xml:space="preserve">, </w:t>
      </w:r>
      <w:hyperlink r:id="rId69">
        <w:r>
          <w:rPr>
            <w:rFonts w:ascii="Times New Roman" w:cs="Times New Roman" w:eastAsia="Times New Roman" w:hAnsi="Times New Roman"/>
            <w:sz w:val="14"/>
            <w:szCs w:val="14"/>
            <w:u w:val="single" w:color="auto"/>
            <w:color w:val="0000EE"/>
          </w:rPr>
          <w:t>April 23, 2025</w:t>
        </w:r>
      </w:hyperlink>
      <w:r>
        <w:rPr>
          <w:rFonts w:ascii="Times New Roman" w:cs="Times New Roman" w:eastAsia="Times New Roman" w:hAnsi="Times New Roman"/>
          <w:sz w:val="14"/>
          <w:szCs w:val="14"/>
          <w:color w:val="auto"/>
        </w:rPr>
        <w:t xml:space="preserve">, </w:t>
      </w:r>
      <w:hyperlink r:id="rId70">
        <w:r>
          <w:rPr>
            <w:rFonts w:ascii="Times New Roman" w:cs="Times New Roman" w:eastAsia="Times New Roman" w:hAnsi="Times New Roman"/>
            <w:sz w:val="14"/>
            <w:szCs w:val="14"/>
            <w:u w:val="single" w:color="auto"/>
            <w:color w:val="0000EE"/>
          </w:rPr>
          <w:t>May 23,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71">
        <w:r>
          <w:rPr>
            <w:rFonts w:ascii="Times New Roman" w:cs="Times New Roman" w:eastAsia="Times New Roman" w:hAnsi="Times New Roman"/>
            <w:sz w:val="14"/>
            <w:szCs w:val="14"/>
            <w:u w:val="single" w:color="auto"/>
            <w:color w:val="0000EE"/>
          </w:rPr>
          <w:t>July 3, 2025</w:t>
        </w:r>
      </w:hyperlink>
      <w:r>
        <w:rPr>
          <w:rFonts w:ascii="Times New Roman" w:cs="Times New Roman" w:eastAsia="Times New Roman" w:hAnsi="Times New Roman"/>
          <w:sz w:val="14"/>
          <w:szCs w:val="14"/>
          <w:color w:val="auto"/>
        </w:rPr>
        <w:t>; and</w:t>
      </w:r>
    </w:p>
    <w:p>
      <w:pPr>
        <w:spacing w:after="0" w:line="98" w:lineRule="exact"/>
        <w:rPr>
          <w:rFonts w:ascii="Times New Roman" w:cs="Times New Roman" w:eastAsia="Times New Roman" w:hAnsi="Times New Roman"/>
          <w:sz w:val="14"/>
          <w:szCs w:val="14"/>
          <w:color w:val="auto"/>
        </w:rPr>
      </w:pPr>
    </w:p>
    <w:p>
      <w:pPr>
        <w:ind w:left="2160" w:right="319" w:hanging="342"/>
        <w:spacing w:after="0" w:line="263" w:lineRule="auto"/>
        <w:tabs>
          <w:tab w:leader="none" w:pos="21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Class A common stock in our registration statement on </w:t>
      </w:r>
      <w:hyperlink r:id="rId72">
        <w:r>
          <w:rPr>
            <w:rFonts w:ascii="Times New Roman" w:cs="Times New Roman" w:eastAsia="Times New Roman" w:hAnsi="Times New Roman"/>
            <w:sz w:val="14"/>
            <w:szCs w:val="14"/>
            <w:u w:val="single" w:color="auto"/>
            <w:color w:val="0000EE"/>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filed with the SEC on June 11, 2024, including any amendments or reports filed for the purpose of updating such description, including </w:t>
      </w:r>
      <w:hyperlink r:id="rId73">
        <w:r>
          <w:rPr>
            <w:rFonts w:ascii="Times New Roman" w:cs="Times New Roman" w:eastAsia="Times New Roman" w:hAnsi="Times New Roman"/>
            <w:sz w:val="14"/>
            <w:szCs w:val="14"/>
            <w:u w:val="single" w:color="auto"/>
            <w:color w:val="0000EE"/>
          </w:rPr>
          <w:t>Exhibit 4.3</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Quarterly Report on Form 10-Q for the period ended June 30, 2025.</w:t>
      </w:r>
    </w:p>
    <w:p>
      <w:pPr>
        <w:spacing w:after="0" w:line="136" w:lineRule="exact"/>
        <w:rPr>
          <w:rFonts w:ascii="Times New Roman" w:cs="Times New Roman" w:eastAsia="Times New Roman" w:hAnsi="Times New Roman"/>
          <w:sz w:val="14"/>
          <w:szCs w:val="14"/>
          <w:color w:val="auto"/>
        </w:rPr>
      </w:pPr>
    </w:p>
    <w:p>
      <w:pPr>
        <w:jc w:val="center"/>
        <w:ind w:right="-140"/>
        <w:spacing w:after="0"/>
        <w:rPr>
          <w:sz w:val="20"/>
          <w:szCs w:val="20"/>
          <w:color w:val="auto"/>
        </w:rPr>
      </w:pPr>
      <w:r>
        <w:rPr>
          <w:rFonts w:ascii="Times New Roman" w:cs="Times New Roman" w:eastAsia="Times New Roman" w:hAnsi="Times New Roman"/>
          <w:sz w:val="14"/>
          <w:szCs w:val="14"/>
          <w:color w:val="auto"/>
        </w:rPr>
        <w:t>You may request a copy of these filings, at no cost, by writing or telephoning us at the following address or phone number:</w:t>
      </w:r>
    </w:p>
    <w:p>
      <w:pPr>
        <w:spacing w:after="0" w:line="89"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Tempus AI, Inc.</w:t>
      </w:r>
    </w:p>
    <w:p>
      <w:pPr>
        <w:spacing w:after="0" w:line="21"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600 West Chicago Avenue, Suite 510</w:t>
      </w:r>
    </w:p>
    <w:p>
      <w:pPr>
        <w:spacing w:after="0" w:line="5"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Illinois, 60654</w:t>
      </w:r>
    </w:p>
    <w:p>
      <w:pPr>
        <w:spacing w:after="0" w:line="5"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Attn: Corporate Secretary</w:t>
      </w:r>
    </w:p>
    <w:p>
      <w:pPr>
        <w:spacing w:after="0" w:line="5"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(800) 976-5448</w:t>
      </w:r>
    </w:p>
    <w:p>
      <w:pPr>
        <w:spacing w:after="0" w:line="157" w:lineRule="exact"/>
        <w:rPr>
          <w:rFonts w:ascii="Times New Roman" w:cs="Times New Roman" w:eastAsia="Times New Roman" w:hAnsi="Times New Roman"/>
          <w:sz w:val="14"/>
          <w:szCs w:val="14"/>
          <w:color w:val="auto"/>
        </w:rPr>
      </w:pPr>
    </w:p>
    <w:p>
      <w:pPr>
        <w:ind w:left="1400" w:right="419" w:firstLine="339"/>
        <w:spacing w:after="0" w:line="263" w:lineRule="auto"/>
        <w:rPr>
          <w:sz w:val="20"/>
          <w:szCs w:val="20"/>
          <w:color w:val="auto"/>
        </w:rPr>
      </w:pPr>
      <w:r>
        <w:rPr>
          <w:rFonts w:ascii="Times New Roman" w:cs="Times New Roman" w:eastAsia="Times New Roman" w:hAnsi="Times New Roman"/>
          <w:sz w:val="14"/>
          <w:szCs w:val="14"/>
          <w:color w:val="auto"/>
        </w:rPr>
        <w:t>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84" w:lineRule="exact"/>
        <w:rPr>
          <w:rFonts w:ascii="Times New Roman" w:cs="Times New Roman" w:eastAsia="Times New Roman" w:hAnsi="Times New Roman"/>
          <w:sz w:val="14"/>
          <w:szCs w:val="14"/>
          <w:color w:val="auto"/>
        </w:rPr>
      </w:pPr>
    </w:p>
    <w:p>
      <w:pPr>
        <w:ind w:left="5580"/>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0159"/>
          </w:cols>
          <w:pgMar w:left="300" w:top="383"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193040</wp:posOffset>
            </wp:positionV>
            <wp:extent cx="5387975" cy="133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5387975" cy="13335"/>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232410</wp:posOffset>
            </wp:positionV>
            <wp:extent cx="5387975"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5387975" cy="6350"/>
                    </a:xfrm>
                    <a:prstGeom prst="rect">
                      <a:avLst/>
                    </a:prstGeom>
                    <a:noFill/>
                  </pic:spPr>
                </pic:pic>
              </a:graphicData>
            </a:graphic>
          </wp:anchor>
        </w:drawing>
        <w:drawing>
          <wp:anchor simplePos="0" relativeHeight="251657728" behindDoc="1" locked="0" layoutInCell="0" allowOverlap="1">
            <wp:simplePos x="0" y="0"/>
            <wp:positionH relativeFrom="column">
              <wp:posOffset>2682875</wp:posOffset>
            </wp:positionH>
            <wp:positionV relativeFrom="paragraph">
              <wp:posOffset>1071245</wp:posOffset>
            </wp:positionV>
            <wp:extent cx="1802765" cy="6470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1802765" cy="647065"/>
                    </a:xfrm>
                    <a:prstGeom prst="rect">
                      <a:avLst/>
                    </a:prstGeom>
                    <a:noFill/>
                  </pic:spPr>
                </pic:pic>
              </a:graphicData>
            </a:graphic>
          </wp:anchor>
        </w:drawing>
      </w:r>
    </w:p>
    <w:p>
      <w:pPr>
        <w:sectPr>
          <w:pgSz w:w="11900" w:h="16838" w:orient="portrait"/>
          <w:cols w:equalWidth="0" w:num="1">
            <w:col w:w="10159"/>
          </w:cols>
          <w:pgMar w:left="300" w:top="3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Class A Common Stock</w:t>
      </w:r>
    </w:p>
    <w:p>
      <w:pPr>
        <w:spacing w:after="0" w:line="3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Preferred Stock</w:t>
      </w:r>
    </w:p>
    <w:p>
      <w:pPr>
        <w:spacing w:after="0" w:line="1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Debt Securities</w:t>
      </w:r>
    </w:p>
    <w:p>
      <w:pPr>
        <w:spacing w:after="0" w:line="1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3019425</wp:posOffset>
            </wp:positionH>
            <wp:positionV relativeFrom="paragraph">
              <wp:posOffset>657860</wp:posOffset>
            </wp:positionV>
            <wp:extent cx="112903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3019425</wp:posOffset>
            </wp:positionH>
            <wp:positionV relativeFrom="paragraph">
              <wp:posOffset>182245</wp:posOffset>
            </wp:positionV>
            <wp:extent cx="112903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August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832485</wp:posOffset>
            </wp:positionV>
            <wp:extent cx="5387975"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5387975" cy="635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885825</wp:posOffset>
            </wp:positionV>
            <wp:extent cx="5387975" cy="133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5387975" cy="13335"/>
                    </a:xfrm>
                    <a:prstGeom prst="rect">
                      <a:avLst/>
                    </a:prstGeom>
                    <a:noFill/>
                  </pic:spPr>
                </pic:pic>
              </a:graphicData>
            </a:graphic>
          </wp:anchor>
        </w:drawing>
      </w:r>
    </w:p>
    <w:p>
      <w:pPr>
        <w:sectPr>
          <w:pgSz w:w="11900" w:h="16838" w:orient="portrait"/>
          <w:cols w:equalWidth="0" w:num="1">
            <w:col w:w="10159"/>
          </w:cols>
          <w:pgMar w:left="300" w:top="383" w:right="1440"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2682875</wp:posOffset>
            </wp:positionH>
            <wp:positionV relativeFrom="paragraph">
              <wp:posOffset>132715</wp:posOffset>
            </wp:positionV>
            <wp:extent cx="1802765" cy="6470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1802765" cy="647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9"/>
          <w:szCs w:val="19"/>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3019425</wp:posOffset>
            </wp:positionH>
            <wp:positionV relativeFrom="paragraph">
              <wp:posOffset>192405</wp:posOffset>
            </wp:positionV>
            <wp:extent cx="112903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1400" w:right="339" w:firstLine="339"/>
        <w:spacing w:after="0" w:line="254" w:lineRule="auto"/>
        <w:rPr>
          <w:sz w:val="20"/>
          <w:szCs w:val="20"/>
          <w:color w:val="auto"/>
        </w:rPr>
      </w:pPr>
      <w:r>
        <w:rPr>
          <w:rFonts w:ascii="Times New Roman" w:cs="Times New Roman" w:eastAsia="Times New Roman" w:hAnsi="Times New Roman"/>
          <w:sz w:val="14"/>
          <w:szCs w:val="14"/>
          <w:color w:val="auto"/>
        </w:rPr>
        <w:t>The selling stockholders listed under the heading “Selling Stockholders” may offer and sell up to 2,439,155 shares of our Class A common stock pursuant to this prospectus. In addition, from time to time, selling stockholders to be named in a prospectus supplement may offer shares of our Class A common stock. We may also authorize one or more free writing prospectuses to be provided to you in connection with these offerings. Any prospectus supplement or free writing prospectus may also add, update or change information contained in this prospectus or in the documents that we have incorporated by reference into this prospectus. You should carefully read this prospectus, any applicable prospectus supplement and any related free writing prospectus, as well as the documents incorporated by reference, before buying shares of our Class A common stock.</w:t>
      </w:r>
    </w:p>
    <w:p>
      <w:pPr>
        <w:spacing w:after="0" w:line="14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We will not receive any proceeds from the sale of shares of Class A common stock by selling stockholders.</w:t>
      </w:r>
    </w:p>
    <w:p>
      <w:pPr>
        <w:spacing w:after="0" w:line="172" w:lineRule="exact"/>
        <w:rPr>
          <w:sz w:val="20"/>
          <w:szCs w:val="20"/>
          <w:color w:val="auto"/>
        </w:rPr>
      </w:pPr>
    </w:p>
    <w:p>
      <w:pPr>
        <w:ind w:left="1400" w:right="419" w:firstLine="339"/>
        <w:spacing w:after="0" w:line="278" w:lineRule="auto"/>
        <w:rPr>
          <w:sz w:val="20"/>
          <w:szCs w:val="20"/>
          <w:color w:val="auto"/>
        </w:rPr>
      </w:pPr>
      <w:r>
        <w:rPr>
          <w:rFonts w:ascii="Times New Roman" w:cs="Times New Roman" w:eastAsia="Times New Roman" w:hAnsi="Times New Roman"/>
          <w:sz w:val="14"/>
          <w:szCs w:val="14"/>
          <w:color w:val="auto"/>
        </w:rPr>
        <w:t>Our Class A common stock is listed on the Nasdaq Global Select Market under the trading symbol “TEM.” On August 7, 2025, the last reported sale price of our Class A common stock was $58.74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3019425</wp:posOffset>
            </wp:positionH>
            <wp:positionV relativeFrom="paragraph">
              <wp:posOffset>161925</wp:posOffset>
            </wp:positionV>
            <wp:extent cx="112903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387" w:lineRule="exact"/>
        <w:rPr>
          <w:sz w:val="20"/>
          <w:szCs w:val="20"/>
          <w:color w:val="auto"/>
        </w:rPr>
      </w:pPr>
    </w:p>
    <w:p>
      <w:pPr>
        <w:ind w:left="1400" w:right="559" w:firstLine="339"/>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Investing in our Class A common stock involves a high degree of risk. You should review carefully the risks and uncertainties described in the section titled “</w:t>
      </w:r>
      <w:r>
        <w:rPr>
          <w:rFonts w:ascii="Times New Roman" w:cs="Times New Roman" w:eastAsia="Times New Roman" w:hAnsi="Times New Roman"/>
          <w:sz w:val="16"/>
          <w:szCs w:val="16"/>
          <w:b w:val="1"/>
          <w:bCs w:val="1"/>
          <w:i w:val="1"/>
          <w:iCs w:val="1"/>
          <w:u w:val="single" w:color="auto"/>
          <w:color w:val="0000EE"/>
        </w:rPr>
        <w:t>Risk Factors</w:t>
      </w:r>
      <w:r>
        <w:rPr>
          <w:rFonts w:ascii="Times New Roman" w:cs="Times New Roman" w:eastAsia="Times New Roman" w:hAnsi="Times New Roman"/>
          <w:sz w:val="16"/>
          <w:szCs w:val="16"/>
          <w:b w:val="1"/>
          <w:bCs w:val="1"/>
          <w:i w:val="1"/>
          <w:iCs w:val="1"/>
          <w:color w:val="auto"/>
        </w:rPr>
        <w:t>” on page 4 of this prospectus and contained in any applicable prospectus supplement and in any free writing prospectuses we have authorized for use in connection with a specific offering, and under similar headings in the documents that are incorporated by reference into this prospectus.</w:t>
      </w:r>
    </w:p>
    <w:p>
      <w:pPr>
        <w:spacing w:after="0" w:line="129" w:lineRule="exact"/>
        <w:rPr>
          <w:sz w:val="20"/>
          <w:szCs w:val="20"/>
          <w:color w:val="auto"/>
        </w:rPr>
      </w:pPr>
    </w:p>
    <w:p>
      <w:pPr>
        <w:ind w:left="1400" w:right="379" w:firstLine="339"/>
        <w:spacing w:after="0" w:line="281"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3019425</wp:posOffset>
            </wp:positionH>
            <wp:positionV relativeFrom="paragraph">
              <wp:posOffset>154305</wp:posOffset>
            </wp:positionV>
            <wp:extent cx="112903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38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The date of this prospectus is August 8, 2025.</w:t>
      </w:r>
    </w:p>
    <w:p>
      <w:pPr>
        <w:sectPr>
          <w:pgSz w:w="11900" w:h="16838" w:orient="portrait"/>
          <w:cols w:equalWidth="0" w:num="1">
            <w:col w:w="10159"/>
          </w:cols>
          <w:pgMar w:left="300" w:top="383"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90" w:lineRule="exact"/>
        <w:rPr>
          <w:sz w:val="20"/>
          <w:szCs w:val="20"/>
          <w:color w:val="auto"/>
        </w:rPr>
      </w:pPr>
    </w:p>
    <w:tbl>
      <w:tblPr>
        <w:tblLayout w:type="fixed"/>
        <w:tblInd w:w="1400" w:type="dxa"/>
        <w:tblCellMar>
          <w:top w:w="0" w:type="dxa"/>
          <w:left w:w="0" w:type="dxa"/>
          <w:bottom w:w="0" w:type="dxa"/>
          <w:right w:w="0" w:type="dxa"/>
        </w:tblCellMar>
      </w:tblPr>
      <w:tr>
        <w:trPr>
          <w:trHeight w:val="145"/>
        </w:trPr>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207"/>
        </w:trPr>
        <w:tc>
          <w:tcPr>
            <w:tcW w:w="17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0000EE"/>
                <w:w w:val="97"/>
              </w:rPr>
              <w:t>ABOUT THIS PROSPECTUS</w:t>
            </w:r>
          </w:p>
        </w:tc>
        <w:tc>
          <w:tcPr>
            <w:tcW w:w="4440" w:type="dxa"/>
            <w:vAlign w:val="bottom"/>
            <w:gridSpan w:val="4"/>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w:t>
            </w:r>
          </w:p>
        </w:tc>
      </w:tr>
      <w:tr>
        <w:trPr>
          <w:trHeight w:val="146"/>
        </w:trPr>
        <w:tc>
          <w:tcPr>
            <w:tcW w:w="6160" w:type="dxa"/>
            <w:vAlign w:val="bottom"/>
            <w:gridSpan w:val="12"/>
          </w:tcPr>
          <w:p>
            <w:pPr>
              <w:spacing w:after="0" w:line="147" w:lineRule="exact"/>
              <w:rPr>
                <w:sz w:val="20"/>
                <w:szCs w:val="20"/>
                <w:color w:val="auto"/>
              </w:rPr>
            </w:pPr>
            <w:r>
              <w:rPr>
                <w:rFonts w:ascii="Times New Roman" w:cs="Times New Roman" w:eastAsia="Times New Roman" w:hAnsi="Times New Roman"/>
                <w:sz w:val="14"/>
                <w:szCs w:val="14"/>
                <w:color w:val="0000EE"/>
              </w:rPr>
              <w:t>SPECIAL NOTE REGARDING FORWARD-LOOKING STATEMENTS</w:t>
            </w: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iii</w:t>
            </w:r>
          </w:p>
        </w:tc>
      </w:tr>
      <w:tr>
        <w:trPr>
          <w:trHeight w:val="146"/>
        </w:trPr>
        <w:tc>
          <w:tcPr>
            <w:tcW w:w="4100" w:type="dxa"/>
            <w:vAlign w:val="bottom"/>
            <w:tcBorders>
              <w:top w:val="single" w:sz="8" w:color="0000EE"/>
            </w:tcBorders>
            <w:gridSpan w:val="11"/>
          </w:tcPr>
          <w:p>
            <w:pPr>
              <w:spacing w:after="0" w:line="147" w:lineRule="exact"/>
              <w:rPr>
                <w:sz w:val="20"/>
                <w:szCs w:val="20"/>
                <w:color w:val="auto"/>
              </w:rPr>
            </w:pPr>
            <w:r>
              <w:rPr>
                <w:rFonts w:ascii="Times New Roman" w:cs="Times New Roman" w:eastAsia="Times New Roman" w:hAnsi="Times New Roman"/>
                <w:sz w:val="14"/>
                <w:szCs w:val="14"/>
                <w:color w:val="0000EE"/>
              </w:rPr>
              <w:t>PROSPECTUS SUMMARY</w:t>
            </w:r>
          </w:p>
        </w:tc>
        <w:tc>
          <w:tcPr>
            <w:tcW w:w="2060" w:type="dxa"/>
            <w:vAlign w:val="bottom"/>
          </w:tcPr>
          <w:p>
            <w:pPr>
              <w:spacing w:after="0"/>
              <w:rPr>
                <w:sz w:val="12"/>
                <w:szCs w:val="12"/>
                <w:color w:val="auto"/>
              </w:rPr>
            </w:pP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w:t>
            </w:r>
          </w:p>
        </w:tc>
      </w:tr>
      <w:tr>
        <w:trPr>
          <w:trHeight w:val="146"/>
        </w:trPr>
        <w:tc>
          <w:tcPr>
            <w:tcW w:w="1600" w:type="dxa"/>
            <w:vAlign w:val="bottom"/>
            <w:tcBorders>
              <w:top w:val="single" w:sz="8" w:color="0000EE"/>
            </w:tcBorders>
            <w:gridSpan w:val="6"/>
          </w:tcPr>
          <w:p>
            <w:pPr>
              <w:spacing w:after="0" w:line="147" w:lineRule="exact"/>
              <w:rPr>
                <w:sz w:val="20"/>
                <w:szCs w:val="20"/>
                <w:color w:val="auto"/>
              </w:rPr>
            </w:pPr>
            <w:r>
              <w:rPr>
                <w:rFonts w:ascii="Times New Roman" w:cs="Times New Roman" w:eastAsia="Times New Roman" w:hAnsi="Times New Roman"/>
                <w:sz w:val="14"/>
                <w:szCs w:val="14"/>
                <w:color w:val="0000EE"/>
              </w:rPr>
              <w:t>RISK FACTORS</w:t>
            </w:r>
          </w:p>
        </w:tc>
        <w:tc>
          <w:tcPr>
            <w:tcW w:w="4560" w:type="dxa"/>
            <w:vAlign w:val="bottom"/>
            <w:gridSpan w:val="6"/>
          </w:tcPr>
          <w:p>
            <w:pPr>
              <w:spacing w:after="0"/>
              <w:rPr>
                <w:sz w:val="12"/>
                <w:szCs w:val="12"/>
                <w:color w:val="auto"/>
              </w:rPr>
            </w:pP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w:t>
            </w:r>
          </w:p>
        </w:tc>
      </w:tr>
      <w:tr>
        <w:trPr>
          <w:trHeight w:val="20"/>
        </w:trPr>
        <w:tc>
          <w:tcPr>
            <w:tcW w:w="6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46"/>
        </w:trPr>
        <w:tc>
          <w:tcPr>
            <w:tcW w:w="1220" w:type="dxa"/>
            <w:vAlign w:val="bottom"/>
            <w:tcBorders>
              <w:bottom w:val="single" w:sz="8" w:color="0000EE"/>
            </w:tcBorders>
            <w:gridSpan w:val="4"/>
          </w:tcPr>
          <w:p>
            <w:pPr>
              <w:spacing w:after="0" w:line="147" w:lineRule="exact"/>
              <w:rPr>
                <w:sz w:val="20"/>
                <w:szCs w:val="20"/>
                <w:color w:val="auto"/>
              </w:rPr>
            </w:pPr>
            <w:r>
              <w:rPr>
                <w:rFonts w:ascii="Times New Roman" w:cs="Times New Roman" w:eastAsia="Times New Roman" w:hAnsi="Times New Roman"/>
                <w:sz w:val="14"/>
                <w:szCs w:val="14"/>
                <w:color w:val="0000EE"/>
                <w:w w:val="97"/>
              </w:rPr>
              <w:t>USE OF PROCEEDS</w:t>
            </w:r>
          </w:p>
        </w:tc>
        <w:tc>
          <w:tcPr>
            <w:tcW w:w="4940" w:type="dxa"/>
            <w:vAlign w:val="bottom"/>
            <w:gridSpan w:val="8"/>
          </w:tcPr>
          <w:p>
            <w:pPr>
              <w:spacing w:after="0"/>
              <w:rPr>
                <w:sz w:val="12"/>
                <w:szCs w:val="12"/>
                <w:color w:val="auto"/>
              </w:rPr>
            </w:pP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w:t>
            </w:r>
          </w:p>
        </w:tc>
      </w:tr>
      <w:tr>
        <w:trPr>
          <w:trHeight w:val="146"/>
        </w:trPr>
        <w:tc>
          <w:tcPr>
            <w:tcW w:w="6160" w:type="dxa"/>
            <w:vAlign w:val="bottom"/>
            <w:gridSpan w:val="12"/>
          </w:tcPr>
          <w:p>
            <w:pPr>
              <w:spacing w:after="0" w:line="147" w:lineRule="exact"/>
              <w:rPr>
                <w:sz w:val="20"/>
                <w:szCs w:val="20"/>
                <w:color w:val="auto"/>
              </w:rPr>
            </w:pPr>
            <w:r>
              <w:rPr>
                <w:rFonts w:ascii="Times New Roman" w:cs="Times New Roman" w:eastAsia="Times New Roman" w:hAnsi="Times New Roman"/>
                <w:sz w:val="14"/>
                <w:szCs w:val="14"/>
                <w:color w:val="0000EE"/>
              </w:rPr>
              <w:t>SELLING STOCKHOLDERS</w:t>
            </w: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w:t>
            </w:r>
          </w:p>
        </w:tc>
      </w:tr>
      <w:tr>
        <w:trPr>
          <w:trHeight w:val="146"/>
        </w:trPr>
        <w:tc>
          <w:tcPr>
            <w:tcW w:w="1580" w:type="dxa"/>
            <w:vAlign w:val="bottom"/>
            <w:tcBorders>
              <w:top w:val="single" w:sz="8" w:color="0000EE"/>
              <w:bottom w:val="single" w:sz="8" w:color="0000EE"/>
            </w:tcBorders>
            <w:gridSpan w:val="5"/>
          </w:tcPr>
          <w:p>
            <w:pPr>
              <w:spacing w:after="0" w:line="147" w:lineRule="exact"/>
              <w:rPr>
                <w:sz w:val="20"/>
                <w:szCs w:val="20"/>
                <w:color w:val="auto"/>
              </w:rPr>
            </w:pPr>
            <w:r>
              <w:rPr>
                <w:rFonts w:ascii="Times New Roman" w:cs="Times New Roman" w:eastAsia="Times New Roman" w:hAnsi="Times New Roman"/>
                <w:sz w:val="14"/>
                <w:szCs w:val="14"/>
                <w:color w:val="0000EE"/>
                <w:w w:val="97"/>
              </w:rPr>
              <w:t>PLAN OF DISTRIBUTION</w:t>
            </w:r>
          </w:p>
        </w:tc>
        <w:tc>
          <w:tcPr>
            <w:tcW w:w="120" w:type="dxa"/>
            <w:vAlign w:val="bottom"/>
            <w:tcBorders>
              <w:top w:val="single" w:sz="8" w:color="0000EE"/>
            </w:tcBorders>
            <w:gridSpan w:val="2"/>
          </w:tcPr>
          <w:p>
            <w:pPr>
              <w:spacing w:after="0"/>
              <w:rPr>
                <w:sz w:val="12"/>
                <w:szCs w:val="12"/>
                <w:color w:val="auto"/>
              </w:rPr>
            </w:pPr>
          </w:p>
        </w:tc>
        <w:tc>
          <w:tcPr>
            <w:tcW w:w="4460" w:type="dxa"/>
            <w:vAlign w:val="bottom"/>
            <w:gridSpan w:val="5"/>
          </w:tcPr>
          <w:p>
            <w:pPr>
              <w:spacing w:after="0"/>
              <w:rPr>
                <w:sz w:val="12"/>
                <w:szCs w:val="12"/>
                <w:color w:val="auto"/>
              </w:rPr>
            </w:pP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8</w:t>
            </w:r>
          </w:p>
        </w:tc>
      </w:tr>
      <w:tr>
        <w:trPr>
          <w:trHeight w:val="146"/>
        </w:trPr>
        <w:tc>
          <w:tcPr>
            <w:tcW w:w="6160" w:type="dxa"/>
            <w:vAlign w:val="bottom"/>
            <w:gridSpan w:val="12"/>
          </w:tcPr>
          <w:p>
            <w:pPr>
              <w:spacing w:after="0" w:line="147" w:lineRule="exact"/>
              <w:rPr>
                <w:sz w:val="20"/>
                <w:szCs w:val="20"/>
                <w:color w:val="auto"/>
              </w:rPr>
            </w:pPr>
            <w:r>
              <w:rPr>
                <w:rFonts w:ascii="Times New Roman" w:cs="Times New Roman" w:eastAsia="Times New Roman" w:hAnsi="Times New Roman"/>
                <w:sz w:val="14"/>
                <w:szCs w:val="14"/>
                <w:color w:val="0000EE"/>
              </w:rPr>
              <w:t>LEGAL MATTERS</w:t>
            </w: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11</w:t>
            </w:r>
          </w:p>
        </w:tc>
      </w:tr>
      <w:tr>
        <w:trPr>
          <w:trHeight w:val="146"/>
        </w:trPr>
        <w:tc>
          <w:tcPr>
            <w:tcW w:w="600" w:type="dxa"/>
            <w:vAlign w:val="bottom"/>
            <w:tcBorders>
              <w:top w:val="single" w:sz="8" w:color="0000EE"/>
              <w:bottom w:val="single" w:sz="8" w:color="0000EE"/>
            </w:tcBorders>
          </w:tcPr>
          <w:p>
            <w:pPr>
              <w:spacing w:after="0" w:line="147" w:lineRule="exact"/>
              <w:rPr>
                <w:sz w:val="20"/>
                <w:szCs w:val="20"/>
                <w:color w:val="auto"/>
              </w:rPr>
            </w:pPr>
            <w:r>
              <w:rPr>
                <w:rFonts w:ascii="Times New Roman" w:cs="Times New Roman" w:eastAsia="Times New Roman" w:hAnsi="Times New Roman"/>
                <w:sz w:val="14"/>
                <w:szCs w:val="14"/>
                <w:color w:val="0000EE"/>
                <w:w w:val="95"/>
              </w:rPr>
              <w:t>EXPERTS</w:t>
            </w:r>
          </w:p>
        </w:tc>
        <w:tc>
          <w:tcPr>
            <w:tcW w:w="520" w:type="dxa"/>
            <w:vAlign w:val="bottom"/>
            <w:tcBorders>
              <w:top w:val="single" w:sz="8" w:color="0000EE"/>
            </w:tcBorders>
            <w:gridSpan w:val="2"/>
          </w:tcPr>
          <w:p>
            <w:pPr>
              <w:spacing w:after="0"/>
              <w:rPr>
                <w:sz w:val="12"/>
                <w:szCs w:val="12"/>
                <w:color w:val="auto"/>
              </w:rPr>
            </w:pPr>
          </w:p>
        </w:tc>
        <w:tc>
          <w:tcPr>
            <w:tcW w:w="5040" w:type="dxa"/>
            <w:vAlign w:val="bottom"/>
            <w:gridSpan w:val="9"/>
          </w:tcPr>
          <w:p>
            <w:pPr>
              <w:spacing w:after="0"/>
              <w:rPr>
                <w:sz w:val="12"/>
                <w:szCs w:val="12"/>
                <w:color w:val="auto"/>
              </w:rPr>
            </w:pP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11</w:t>
            </w:r>
          </w:p>
        </w:tc>
      </w:tr>
      <w:tr>
        <w:trPr>
          <w:trHeight w:val="146"/>
        </w:trPr>
        <w:tc>
          <w:tcPr>
            <w:tcW w:w="2940" w:type="dxa"/>
            <w:vAlign w:val="bottom"/>
            <w:tcBorders>
              <w:bottom w:val="single" w:sz="8" w:color="0000EE"/>
            </w:tcBorders>
            <w:gridSpan w:val="9"/>
          </w:tcPr>
          <w:p>
            <w:pPr>
              <w:spacing w:after="0" w:line="147" w:lineRule="exact"/>
              <w:rPr>
                <w:sz w:val="20"/>
                <w:szCs w:val="20"/>
                <w:color w:val="auto"/>
              </w:rPr>
            </w:pPr>
            <w:r>
              <w:rPr>
                <w:rFonts w:ascii="Times New Roman" w:cs="Times New Roman" w:eastAsia="Times New Roman" w:hAnsi="Times New Roman"/>
                <w:sz w:val="14"/>
                <w:szCs w:val="14"/>
                <w:color w:val="0000EE"/>
                <w:w w:val="97"/>
              </w:rPr>
              <w:t>WHERE YOU CAN FIND MORE INFORMATION</w:t>
            </w:r>
          </w:p>
        </w:tc>
        <w:tc>
          <w:tcPr>
            <w:tcW w:w="3220" w:type="dxa"/>
            <w:vAlign w:val="bottom"/>
            <w:gridSpan w:val="3"/>
          </w:tcPr>
          <w:p>
            <w:pPr>
              <w:spacing w:after="0"/>
              <w:rPr>
                <w:sz w:val="12"/>
                <w:szCs w:val="12"/>
                <w:color w:val="auto"/>
              </w:rPr>
            </w:pP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11</w:t>
            </w:r>
          </w:p>
        </w:tc>
      </w:tr>
      <w:tr>
        <w:trPr>
          <w:trHeight w:val="146"/>
        </w:trPr>
        <w:tc>
          <w:tcPr>
            <w:tcW w:w="4000" w:type="dxa"/>
            <w:vAlign w:val="bottom"/>
            <w:tcBorders>
              <w:bottom w:val="single" w:sz="8" w:color="0000EE"/>
            </w:tcBorders>
            <w:gridSpan w:val="10"/>
          </w:tcPr>
          <w:p>
            <w:pPr>
              <w:spacing w:after="0" w:line="147" w:lineRule="exact"/>
              <w:rPr>
                <w:sz w:val="20"/>
                <w:szCs w:val="20"/>
                <w:color w:val="auto"/>
              </w:rPr>
            </w:pPr>
            <w:r>
              <w:rPr>
                <w:rFonts w:ascii="Times New Roman" w:cs="Times New Roman" w:eastAsia="Times New Roman" w:hAnsi="Times New Roman"/>
                <w:sz w:val="14"/>
                <w:szCs w:val="14"/>
                <w:color w:val="0000EE"/>
                <w:w w:val="97"/>
              </w:rPr>
              <w:t>INCORPORATION OF CERTAIN INFORMATION BY REFERENCE</w:t>
            </w:r>
          </w:p>
        </w:tc>
        <w:tc>
          <w:tcPr>
            <w:tcW w:w="2160" w:type="dxa"/>
            <w:vAlign w:val="bottom"/>
            <w:gridSpan w:val="2"/>
          </w:tcPr>
          <w:p>
            <w:pPr>
              <w:spacing w:after="0"/>
              <w:rPr>
                <w:sz w:val="12"/>
                <w:szCs w:val="12"/>
                <w:color w:val="auto"/>
              </w:rPr>
            </w:pP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12</w:t>
            </w:r>
          </w:p>
        </w:tc>
      </w:tr>
    </w:tbl>
    <w:p>
      <w:pPr>
        <w:sectPr>
          <w:pgSz w:w="11900" w:h="16838" w:orient="portrait"/>
          <w:cols w:equalWidth="0" w:num="1">
            <w:col w:w="10159"/>
          </w:cols>
          <w:pgMar w:left="300" w:top="383"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4"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This prospectus is part of a registration statement on Form S-3 that we filed with the Securities and Exchange Commission (the “SEC”) utilizing a “shelf” registration process as a “well-known seasoned issuer” as defined in Rule 405 under the Securities Act of 1933, as amended (the “Securities Act”). Under this shelf registration process, the selling stockholders may offer shares of our Class A common stock in one or more offerings. There is no limit on the aggregate number of shares of Class A common stock that the selling stockholders may offer pursuant to the registration statement of which this prospectus is a part.</w:t>
      </w:r>
    </w:p>
    <w:p>
      <w:pPr>
        <w:spacing w:after="0" w:line="143" w:lineRule="exact"/>
        <w:rPr>
          <w:sz w:val="20"/>
          <w:szCs w:val="20"/>
          <w:color w:val="auto"/>
        </w:rPr>
      </w:pPr>
    </w:p>
    <w:p>
      <w:pPr>
        <w:ind w:left="1400" w:right="359" w:firstLine="339"/>
        <w:spacing w:after="0" w:line="251" w:lineRule="auto"/>
        <w:rPr>
          <w:sz w:val="20"/>
          <w:szCs w:val="20"/>
          <w:color w:val="auto"/>
        </w:rPr>
      </w:pPr>
      <w:r>
        <w:rPr>
          <w:rFonts w:ascii="Times New Roman" w:cs="Times New Roman" w:eastAsia="Times New Roman" w:hAnsi="Times New Roman"/>
          <w:sz w:val="14"/>
          <w:szCs w:val="14"/>
          <w:color w:val="auto"/>
        </w:rPr>
        <w:t>The selling stockholders listed under the heading “Selling Stockholders” in this prospectus may offer and sell up to 2,439,155 shares of our Class A common stock pursuant to this prospectus. In addition, from time to time, selling stockholders to be named in a prospectus supplement may offer shares of our Class A common stock and, in such case, we will provide a prospectus supplement that will contain more specific information about the terms of that offering. We may also authorize one or more free writing prospectuses to be provided to you that may contain material information relating to these offerings. Any prospectus supplement and any related free writing prospectus that we may authorize to be provided to you may also add, update or change any of the information contained in this prospectus or in the documents that we have incorporated by reference into this prospectus. We urge you to read carefully this prospectus, any applicable prospectus supplement and any free writing prospectuses we have authorized for use in connection with a specific offering by the selling stockholders, together with the information incorporated herein by reference as described in the section titled “Incorporation of Certain Information by Reference,” before buying any of the securities being offered.</w:t>
      </w:r>
    </w:p>
    <w:p>
      <w:pPr>
        <w:spacing w:after="0" w:line="148" w:lineRule="exact"/>
        <w:rPr>
          <w:sz w:val="20"/>
          <w:szCs w:val="20"/>
          <w:color w:val="auto"/>
        </w:rPr>
      </w:pPr>
    </w:p>
    <w:p>
      <w:pPr>
        <w:ind w:left="1400" w:right="419" w:firstLine="339"/>
        <w:spacing w:after="0" w:line="255" w:lineRule="auto"/>
        <w:rPr>
          <w:sz w:val="20"/>
          <w:szCs w:val="20"/>
          <w:color w:val="auto"/>
        </w:rPr>
      </w:pPr>
      <w:r>
        <w:rPr>
          <w:rFonts w:ascii="Times New Roman" w:cs="Times New Roman" w:eastAsia="Times New Roman" w:hAnsi="Times New Roman"/>
          <w:sz w:val="14"/>
          <w:szCs w:val="14"/>
          <w:color w:val="auto"/>
        </w:rPr>
        <w:t>We have not, and the selling stockholders have not, authorized anyone to provide you with any information or to make any representations other than those contained in this prospectus, any applicable prospectus supplement or any free writing prospectuses prepared by or on behalf of us or to which we have referred you. We and the selling stockholders take no responsibility for, and can provide no assurance as to the reliability of, any other information that others may give you. This prospectus is an offer to sell only the securities offered hereby, but only under circumstances and in jurisdictions where it is lawful to do so.</w:t>
      </w:r>
    </w:p>
    <w:p>
      <w:pPr>
        <w:spacing w:after="0" w:line="143" w:lineRule="exact"/>
        <w:rPr>
          <w:sz w:val="20"/>
          <w:szCs w:val="20"/>
          <w:color w:val="auto"/>
        </w:rPr>
      </w:pPr>
    </w:p>
    <w:p>
      <w:pPr>
        <w:ind w:left="1400" w:right="359" w:firstLine="339"/>
        <w:spacing w:after="0" w:line="258" w:lineRule="auto"/>
        <w:rPr>
          <w:sz w:val="20"/>
          <w:szCs w:val="20"/>
          <w:color w:val="auto"/>
        </w:rPr>
      </w:pPr>
      <w:r>
        <w:rPr>
          <w:rFonts w:ascii="Times New Roman" w:cs="Times New Roman" w:eastAsia="Times New Roman" w:hAnsi="Times New Roman"/>
          <w:sz w:val="14"/>
          <w:szCs w:val="14"/>
          <w:color w:val="auto"/>
        </w:rPr>
        <w:t>The information appearing in this prospectus, any applicable prospectus supplement and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the applicable prospectus supplement or any related free writing prospectus, or any sale of a security. Our business, financial condition, results of operations and prospects may have changed since those dates.</w:t>
      </w:r>
    </w:p>
    <w:p>
      <w:pPr>
        <w:spacing w:after="0" w:line="140" w:lineRule="exact"/>
        <w:rPr>
          <w:sz w:val="20"/>
          <w:szCs w:val="20"/>
          <w:color w:val="auto"/>
        </w:rPr>
      </w:pPr>
    </w:p>
    <w:p>
      <w:pPr>
        <w:ind w:left="1400" w:right="279" w:firstLine="339"/>
        <w:spacing w:after="0" w:line="251" w:lineRule="auto"/>
        <w:rPr>
          <w:sz w:val="20"/>
          <w:szCs w:val="20"/>
          <w:color w:val="auto"/>
        </w:rPr>
      </w:pPr>
      <w:r>
        <w:rPr>
          <w:rFonts w:ascii="Times New Roman" w:cs="Times New Roman" w:eastAsia="Times New Roman" w:hAnsi="Times New Roman"/>
          <w:sz w:val="14"/>
          <w:szCs w:val="14"/>
          <w:color w:val="auto"/>
        </w:rPr>
        <w:t>This prospectus contains and incorporates by reference industry, market and competitive position data from our own internal estimates and research, as well as from independent market research, industry and general publications and surveys, governmental agencies and publicly available information in addition to research, surveys and studies conducted by third parties. The content of these third-party sources, except to the extent specifically set forth in this prospectus and the documents incorporated by reference in this prospectus, does not constitute a portion of this prospectus or the documents incorporated by reference in this prospectus and is not incorporated herein or therein. Internal estimates are derived from publicly available information released by industry analysts and third-party sources, our internal research and our industry experience, and are based on assumptions made by us based on such data and our knowledge of our industry and market, which we believe to be reasonable.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146" w:lineRule="exact"/>
        <w:rPr>
          <w:sz w:val="20"/>
          <w:szCs w:val="20"/>
          <w:color w:val="auto"/>
        </w:rPr>
      </w:pPr>
    </w:p>
    <w:p>
      <w:pPr>
        <w:ind w:left="1400" w:right="559" w:firstLine="339"/>
        <w:spacing w:after="0" w:line="278" w:lineRule="auto"/>
        <w:rPr>
          <w:sz w:val="20"/>
          <w:szCs w:val="20"/>
          <w:color w:val="auto"/>
        </w:rPr>
      </w:pPr>
      <w:r>
        <w:rPr>
          <w:rFonts w:ascii="Times New Roman" w:cs="Times New Roman" w:eastAsia="Times New Roman" w:hAnsi="Times New Roman"/>
          <w:sz w:val="14"/>
          <w:szCs w:val="14"/>
          <w:color w:val="auto"/>
        </w:rPr>
        <w:t>In addition, while we are responsible for all of the disclosure contained in this prospectus and the documents incorporated by reference in this prospectus and we believe the industry, market and competitive position data</w:t>
      </w:r>
    </w:p>
    <w:p>
      <w:pPr>
        <w:spacing w:after="0" w:line="7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83"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79"/>
        <w:spacing w:after="0" w:line="254" w:lineRule="auto"/>
        <w:rPr>
          <w:sz w:val="20"/>
          <w:szCs w:val="20"/>
          <w:color w:val="auto"/>
        </w:rPr>
      </w:pPr>
      <w:r>
        <w:rPr>
          <w:rFonts w:ascii="Times New Roman" w:cs="Times New Roman" w:eastAsia="Times New Roman" w:hAnsi="Times New Roman"/>
          <w:sz w:val="14"/>
          <w:szCs w:val="14"/>
          <w:color w:val="auto"/>
        </w:rPr>
        <w:t>included in this prospectus and the documents incorporated by reference in this prospectus is reliable and based on reasonable assumptions, such data involve risks and uncertainties and are subject to change based on various factors, including those discussed in the section titled “Special Note Regarding Forward-Looking Statements” in this prospectus and in the section titled “Risk Factors” incorporated by reference in this prospectus from our most recent Annual Report on Form 10-K and subsequent Quarterly Reports on Form 10-Q. These and other factors could cause results to differ materially from those expressed in the estimates made by the independent parties or by us. Accordingly, investors should not place undue reliance on this information.</w:t>
      </w:r>
    </w:p>
    <w:p>
      <w:pPr>
        <w:spacing w:after="0" w:line="142"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To the extent there is a conflict between the information contained in this prospectus, on the one hand, and the information contained in any document incorporated by reference into this prospectus that was filed with the SEC before the date of this prospectus, on the other hand, you should rely on the information in this prospectus. If any statement in one of these documents is inconsistent with a statement in another document having a later date — for example, a document incorporated by reference into this prospectus — the statement in the document having the later date modifies or supersedes the earlier statement.</w:t>
      </w:r>
    </w:p>
    <w:p>
      <w:pPr>
        <w:spacing w:after="0" w:line="143" w:lineRule="exact"/>
        <w:rPr>
          <w:sz w:val="20"/>
          <w:szCs w:val="20"/>
          <w:color w:val="auto"/>
        </w:rPr>
      </w:pPr>
    </w:p>
    <w:p>
      <w:pPr>
        <w:ind w:left="1400" w:right="299" w:firstLine="339"/>
        <w:spacing w:after="0" w:line="284" w:lineRule="auto"/>
        <w:rPr>
          <w:sz w:val="20"/>
          <w:szCs w:val="20"/>
          <w:color w:val="auto"/>
        </w:rPr>
      </w:pPr>
      <w:r>
        <w:rPr>
          <w:rFonts w:ascii="Times New Roman" w:cs="Times New Roman" w:eastAsia="Times New Roman" w:hAnsi="Times New Roman"/>
          <w:sz w:val="13"/>
          <w:szCs w:val="13"/>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entitled “Where You Can Find More Information.”</w:t>
      </w:r>
    </w:p>
    <w:p>
      <w:pPr>
        <w:spacing w:after="0" w:line="124" w:lineRule="exact"/>
        <w:rPr>
          <w:sz w:val="20"/>
          <w:szCs w:val="20"/>
          <w:color w:val="auto"/>
        </w:rPr>
      </w:pPr>
    </w:p>
    <w:p>
      <w:pPr>
        <w:ind w:left="1400" w:right="699" w:firstLine="339"/>
        <w:spacing w:after="0" w:line="278" w:lineRule="auto"/>
        <w:rPr>
          <w:sz w:val="20"/>
          <w:szCs w:val="20"/>
          <w:color w:val="auto"/>
        </w:rPr>
      </w:pPr>
      <w:r>
        <w:rPr>
          <w:rFonts w:ascii="Times New Roman" w:cs="Times New Roman" w:eastAsia="Times New Roman" w:hAnsi="Times New Roman"/>
          <w:sz w:val="14"/>
          <w:szCs w:val="14"/>
          <w:color w:val="auto"/>
        </w:rPr>
        <w:t>Unless the context indicates otherwise, as used in this prospectus, all references to “Tempus,” the “Company,” “we,” “us,” “our,” or similar references refer to Tempus AI, Inc. and its consolidated subsidiaries.</w:t>
      </w:r>
    </w:p>
    <w:p>
      <w:pPr>
        <w:spacing w:after="0" w:line="7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10159"/>
          </w:cols>
          <w:pgMar w:left="300" w:top="383"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74" w:lineRule="exact"/>
        <w:rPr>
          <w:sz w:val="20"/>
          <w:szCs w:val="20"/>
          <w:color w:val="auto"/>
        </w:rPr>
      </w:pPr>
    </w:p>
    <w:p>
      <w:pPr>
        <w:ind w:left="1400" w:right="339" w:firstLine="339"/>
        <w:spacing w:after="0" w:line="251" w:lineRule="auto"/>
        <w:rPr>
          <w:sz w:val="20"/>
          <w:szCs w:val="20"/>
          <w:color w:val="auto"/>
        </w:rPr>
      </w:pPr>
      <w:r>
        <w:rPr>
          <w:rFonts w:ascii="Times New Roman" w:cs="Times New Roman" w:eastAsia="Times New Roman" w:hAnsi="Times New Roman"/>
          <w:sz w:val="14"/>
          <w:szCs w:val="14"/>
          <w:color w:val="auto"/>
        </w:rPr>
        <w:t>This prospectus, any applicable prospectus supplement and the documents incorporated by reference in this prospectus and any applicable prospectus supplement contain forward-looking statements about us and our industry that involve substantial risks and uncertainties. All statements other than statements of historical facts contained or incorporated in this prospectus and any applicable prospectus supplement,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Within the meaning of Section 27A of the Securities Act, and Section 21E of the Securities Exchange Act of 1934, as amended (the “Exchange Act”), these forward-looking statements include, but are not limited to, statements concerning the following:</w:t>
      </w:r>
    </w:p>
    <w:p>
      <w:pPr>
        <w:spacing w:after="0" w:line="76" w:lineRule="exact"/>
        <w:rPr>
          <w:sz w:val="20"/>
          <w:szCs w:val="20"/>
          <w:color w:val="auto"/>
        </w:rPr>
      </w:pPr>
    </w:p>
    <w:p>
      <w:pPr>
        <w:ind w:left="2160" w:right="299" w:hanging="342"/>
        <w:spacing w:after="0" w:line="278" w:lineRule="auto"/>
        <w:tabs>
          <w:tab w:leader="none" w:pos="2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evolving treatment paradigm for cancer, including physicians’ use of molecular data and targeted oncology therapeutics and the market size for our current and future products;</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expand our business beyond oncology into new disease areas;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estimates of our addressable market and our expectations regarding our revenue, expenses, capital requirements and operating results;</w:t>
      </w:r>
    </w:p>
    <w:p>
      <w:pPr>
        <w:spacing w:after="0" w:line="98" w:lineRule="exact"/>
        <w:rPr>
          <w:rFonts w:ascii="Times New Roman" w:cs="Times New Roman" w:eastAsia="Times New Roman" w:hAnsi="Times New Roman"/>
          <w:sz w:val="14"/>
          <w:szCs w:val="14"/>
          <w:color w:val="auto"/>
        </w:rPr>
      </w:pPr>
    </w:p>
    <w:p>
      <w:pPr>
        <w:ind w:left="2160" w:right="319" w:hanging="342"/>
        <w:spacing w:after="0" w:line="278" w:lineRule="auto"/>
        <w:tabs>
          <w:tab w:leader="none" w:pos="2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new products and services, including our goals and strategy regarding development and commercialization of our AI Applications product line;</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and grow our datasets, including in new disease areas and geographies;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expectation that the growth of our datasets will improve the quality of our products and services and accelerate their adoption;</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capture, aggregate, analyze or otherwise utilize genomic data in new ways and in additional diagnostic modalities;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expectation that we will continue to commercialize de-identified records and license them to multiple customers;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acceptance of our publications in peer-reviewed journals or of our presentations at scientific and medical conference presentations;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implementation of our business model and strategic plans for our products, technologies and businesses;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competitive companies and technologies and our industry;</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of intelligent diagnostics to be disruptive across a broad set of disease areas and the clinical trial process;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manage and grow our business by expanding our sales to existing customers or introducing our products to new customers;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macroeconomic conditions, including new and potential tariffs, on us and our customers;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third-party payer reimbursement and coverage decisions, including our strategy to increase reimbursement;</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and maintain intellectual property protection for our products or avoid claims of infringement;</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effects of evolving and/or extensive government regulation;</w:t>
      </w:r>
    </w:p>
    <w:p>
      <w:pPr>
        <w:spacing w:after="0" w:line="1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iii</w:t>
      </w:r>
    </w:p>
    <w:p>
      <w:pPr>
        <w:sectPr>
          <w:pgSz w:w="11900" w:h="16838" w:orient="portrait"/>
          <w:cols w:equalWidth="0" w:num="1">
            <w:col w:w="10159"/>
          </w:cols>
          <w:pgMar w:left="300" w:top="383"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hanging="342"/>
        <w:spacing w:after="0"/>
        <w:tabs>
          <w:tab w:leader="none" w:pos="21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or likelihood of regulatory filings and approvals;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hire and retain key personnel;</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expand internationally, including through our joint venture, SB Tempus Corp. in Japan;</w:t>
      </w:r>
    </w:p>
    <w:p>
      <w:pPr>
        <w:spacing w:after="0" w:line="98" w:lineRule="exact"/>
        <w:rPr>
          <w:rFonts w:ascii="Times New Roman" w:cs="Times New Roman" w:eastAsia="Times New Roman" w:hAnsi="Times New Roman"/>
          <w:sz w:val="14"/>
          <w:szCs w:val="14"/>
          <w:color w:val="auto"/>
        </w:rPr>
      </w:pPr>
    </w:p>
    <w:p>
      <w:pPr>
        <w:ind w:left="2160" w:right="359" w:hanging="342"/>
        <w:spacing w:after="0" w:line="278" w:lineRule="auto"/>
        <w:tabs>
          <w:tab w:leader="none" w:pos="21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acquire businesses, form joint ventures or make investments in companies or technologies, including our ability to realize the expected benefits of our acquisitions of Ambry Genetics Corporation and Deep 6 AI, Inc.;</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protect and enforce our intellectual property rights, including our trade secret protected proprietary rights in our platform;</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service or pay down existing or future debt obligations;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pending or threatened litigation;</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anticipated cash needs and our needs for additional financing; and</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trends and challenges in our business and the markets in which we operate.</w:t>
      </w:r>
    </w:p>
    <w:p>
      <w:pPr>
        <w:spacing w:after="0" w:line="172" w:lineRule="exact"/>
        <w:rPr>
          <w:sz w:val="20"/>
          <w:szCs w:val="20"/>
          <w:color w:val="auto"/>
        </w:rPr>
      </w:pPr>
    </w:p>
    <w:p>
      <w:pPr>
        <w:ind w:left="1400" w:right="279" w:firstLine="339"/>
        <w:spacing w:after="0" w:line="251" w:lineRule="auto"/>
        <w:rPr>
          <w:sz w:val="20"/>
          <w:szCs w:val="20"/>
          <w:color w:val="auto"/>
        </w:rPr>
      </w:pPr>
      <w:r>
        <w:rPr>
          <w:rFonts w:ascii="Times New Roman" w:cs="Times New Roman" w:eastAsia="Times New Roman" w:hAnsi="Times New Roman"/>
          <w:sz w:val="14"/>
          <w:szCs w:val="14"/>
          <w:color w:val="auto"/>
        </w:rPr>
        <w:t>You should not rely on forward-looking statements as predictions of future events. We have based the forward-looking statements contained in, or incorporated by reference into, this prospectus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or incorporated by reference into, the sections titled “Risk Factors” in this prospectus and any applicable prospectus supplement and the sections titled “Risk Factors” and “Management’s Discussion and Analysis of Financial Condition and Results of Operations” in our most recent Annual Report on Form 10-K and any subsequent Quarterly Reports on Form 10-Q, as well as any amendments thereto reflected in subsequent filings with the SEC, which are incorporated into this prospectus and any applicable prospectus supplement. Moreover, we operate in a very competitive and rapidly changing environment. New risks and uncertainties emerge from time to time, and it is not possible for us to predict all risks and uncertainties that could have an impact on the forward-looking statements contained in, or incorporated by reference into,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44" w:lineRule="exact"/>
        <w:rPr>
          <w:sz w:val="20"/>
          <w:szCs w:val="20"/>
          <w:color w:val="auto"/>
        </w:rPr>
      </w:pPr>
    </w:p>
    <w:p>
      <w:pPr>
        <w:ind w:left="1400" w:right="299" w:firstLine="339"/>
        <w:spacing w:after="0" w:line="284" w:lineRule="auto"/>
        <w:rPr>
          <w:sz w:val="20"/>
          <w:szCs w:val="20"/>
          <w:color w:val="auto"/>
        </w:rPr>
      </w:pPr>
      <w:r>
        <w:rPr>
          <w:rFonts w:ascii="Times New Roman" w:cs="Times New Roman" w:eastAsia="Times New Roman" w:hAnsi="Times New Roman"/>
          <w:sz w:val="13"/>
          <w:szCs w:val="13"/>
          <w:color w:val="auto"/>
        </w:rPr>
        <w:t>In addition, statements that “we believe” and similar statements reflect our beliefs and opinions on the relevant subject. These statements are based on information available to us as of the date of this prospectus.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24" w:lineRule="exact"/>
        <w:rPr>
          <w:sz w:val="20"/>
          <w:szCs w:val="20"/>
          <w:color w:val="auto"/>
        </w:rPr>
      </w:pPr>
    </w:p>
    <w:p>
      <w:pPr>
        <w:ind w:left="1400" w:right="359" w:firstLine="339"/>
        <w:spacing w:after="0" w:line="254" w:lineRule="auto"/>
        <w:rPr>
          <w:sz w:val="20"/>
          <w:szCs w:val="20"/>
          <w:color w:val="auto"/>
        </w:rPr>
      </w:pPr>
      <w:r>
        <w:rPr>
          <w:rFonts w:ascii="Times New Roman" w:cs="Times New Roman" w:eastAsia="Times New Roman" w:hAnsi="Times New Roman"/>
          <w:sz w:val="14"/>
          <w:szCs w:val="14"/>
          <w:color w:val="auto"/>
        </w:rPr>
        <w:t>The forward-looking statements made in, or incorporated by reference into, this prospectus and any applicable prospectus supplement relate only to events as of the date on which the statements are made. We undertake no obligation to update any forward-looking statements made or incorporated by reference in this prospectus and any applicable prospectus supplement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9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iv</w:t>
      </w:r>
    </w:p>
    <w:p>
      <w:pPr>
        <w:sectPr>
          <w:pgSz w:w="11900" w:h="16838" w:orient="portrait"/>
          <w:cols w:equalWidth="0" w:num="1">
            <w:col w:w="10159"/>
          </w:cols>
          <w:pgMar w:left="300" w:top="383"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4627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5393690" cy="4462780"/>
                    </a:xfrm>
                    <a:prstGeom prst="rect">
                      <a:avLst/>
                    </a:prstGeom>
                    <a:noFill/>
                  </pic:spPr>
                </pic:pic>
              </a:graphicData>
            </a:graphic>
          </wp:anchor>
        </w:drawing>
      </w:r>
    </w:p>
    <w:p>
      <w:pPr>
        <w:spacing w:after="0" w:line="3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41" w:lineRule="exact"/>
        <w:rPr>
          <w:sz w:val="20"/>
          <w:szCs w:val="20"/>
          <w:color w:val="auto"/>
        </w:rPr>
      </w:pPr>
    </w:p>
    <w:p>
      <w:pPr>
        <w:ind w:left="1540" w:right="419" w:firstLine="328"/>
        <w:spacing w:after="0" w:line="253"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contained elsewhere in this prospectus or incorporated by reference in this prospectus, and does not contain all of the information that you need to consider in making your investment decision. You should carefully read the entire prospectus, any applicable prospectus supplement and any related free writing prospectus, including the risks of investing in our Class A common stock discussed in the section titled “Risk Factors” contained in this prospectus and in any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22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1" w:lineRule="exact"/>
        <w:rPr>
          <w:sz w:val="20"/>
          <w:szCs w:val="20"/>
          <w:color w:val="auto"/>
        </w:rPr>
      </w:pPr>
    </w:p>
    <w:p>
      <w:pPr>
        <w:ind w:left="1540" w:right="419" w:firstLine="328"/>
        <w:spacing w:after="0" w:line="251" w:lineRule="auto"/>
        <w:rPr>
          <w:sz w:val="20"/>
          <w:szCs w:val="20"/>
          <w:color w:val="auto"/>
        </w:rPr>
      </w:pPr>
      <w:r>
        <w:rPr>
          <w:rFonts w:ascii="Times New Roman" w:cs="Times New Roman" w:eastAsia="Times New Roman" w:hAnsi="Times New Roman"/>
          <w:sz w:val="14"/>
          <w:szCs w:val="14"/>
          <w:color w:val="auto"/>
        </w:rPr>
        <w:t>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personalize medicine. We endeavor to unlock the true power of precision medicine by creating Intelligent Diagnostics through the practical application of artificial intelligence (“AI”) in healthcare. Intelligent Diagnostics use AI, including generative AI, to make laboratory tests more accurate, tailored, and personal. Unlike traditional diagnostic labs, we can incorporate unique patient information, such as clinical, molecular, and imaging data, with the goal of making our tests more intelligent and our results more insightful. Unlike other technology companies, we are deeply rooted in clinical care delivery as one of the largest sequencers of cancer patients, and patients with other diseases, in the United States. Straddling both worlds is advantageous as we believe Intelligent Diagnostics represent the future of precision medicine, informing more personalized and data-driven therapy selection and development. We believe their adoption could empower physicians to deliver better care and researchers to develop more precise therapies, with the potential to save millions of lives.</w:t>
      </w:r>
    </w:p>
    <w:p>
      <w:pPr>
        <w:spacing w:after="0" w:line="126" w:lineRule="exact"/>
        <w:rPr>
          <w:sz w:val="20"/>
          <w:szCs w:val="20"/>
          <w:color w:val="auto"/>
        </w:rPr>
      </w:pPr>
    </w:p>
    <w:p>
      <w:pPr>
        <w:ind w:left="1540" w:right="419" w:firstLine="328"/>
        <w:spacing w:after="0" w:line="273" w:lineRule="auto"/>
        <w:rPr>
          <w:sz w:val="20"/>
          <w:szCs w:val="20"/>
          <w:color w:val="auto"/>
        </w:rPr>
      </w:pPr>
      <w:r>
        <w:rPr>
          <w:rFonts w:ascii="Times New Roman" w:cs="Times New Roman" w:eastAsia="Times New Roman" w:hAnsi="Times New Roman"/>
          <w:sz w:val="13"/>
          <w:szCs w:val="13"/>
          <w:color w:val="auto"/>
        </w:rPr>
        <w:t>In order to bring AI to healthcare at scale, we believe the foundation of how data flows throughout the ecosystem needs to be rebuilt. We established new data pipes, going to and from providers, to allow for the free exchange of data between physicians, who interpret data, and diagnostic and life science companies, who provide data, integrating relevant clinical data, such as outcomes, or adverse events, which are essential for many clinical decisions. Without this capability, we believe that data would continue to accumulate without impacting patient care. To accomplish this, we built both a technology platform to free healthcare data from silos and an operating system to make this data useful, the combination of which we refer to as our Platform. Our Platform connects multiple stakeholders within the larger healthcare ecosystem, often in real time, to assemble and integrate the data we collect, thereby providing an opportunity for physicians to make data-driven decisions in the clinic and for researchers to discover and develop therapeutics. We aim to help physicians find the best therapies for their patients, help pharmaceutical and biotechnology companies make the best drugs possible, and enable patients to access emerging therapies and clinical trials when appropriate.</w:t>
      </w:r>
    </w:p>
    <w:p>
      <w:pPr>
        <w:spacing w:after="0" w:line="102" w:lineRule="exact"/>
        <w:rPr>
          <w:sz w:val="20"/>
          <w:szCs w:val="20"/>
          <w:color w:val="auto"/>
        </w:rPr>
      </w:pPr>
    </w:p>
    <w:p>
      <w:pPr>
        <w:ind w:left="1540" w:right="439" w:firstLine="328"/>
        <w:spacing w:after="0" w:line="252" w:lineRule="auto"/>
        <w:rPr>
          <w:sz w:val="20"/>
          <w:szCs w:val="20"/>
          <w:color w:val="auto"/>
        </w:rPr>
      </w:pPr>
      <w:r>
        <w:rPr>
          <w:rFonts w:ascii="Times New Roman" w:cs="Times New Roman" w:eastAsia="Times New Roman" w:hAnsi="Times New Roman"/>
          <w:sz w:val="14"/>
          <w:szCs w:val="14"/>
          <w:color w:val="auto"/>
        </w:rPr>
        <w:t>We currently offer three product lines: Genomics, Data and AI Applications. Each product line is designed to enable and enhance the others, thereby creating network effects in each of the markets in which we operate. We are able to commercialize records multiple times, both at the time a test is run and thereafter. Our Genomics product line leverages our state-of-the-art laboratories to provide next generation sequencing diagnostics, polymerase chain reaction profiling, molecular genotyping and other anatomic and molecular pathology testing to healthcare providers, pharmaceutical companies, biotechnology companies, researchers, and other third parties. The data generated in our lab or ingested into our platform as part of the Genomics product line is structured and de-identified, prior to commercialization. This de-identified database is then commercialized to our pharmaceutical and biotechnology partners to facilitate drug discovery and development through two primary Data and Services products, Insights and Trials. Our third product line, AI Applications, is focused on developing</w:t>
      </w:r>
    </w:p>
    <w:p>
      <w:pPr>
        <w:spacing w:after="0" w:line="23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3"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7929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5393690" cy="4792980"/>
                    </a:xfrm>
                    <a:prstGeom prst="rect">
                      <a:avLst/>
                    </a:prstGeom>
                    <a:noFill/>
                  </pic:spPr>
                </pic:pic>
              </a:graphicData>
            </a:graphic>
          </wp:anchor>
        </w:drawing>
      </w:r>
    </w:p>
    <w:p>
      <w:pPr>
        <w:spacing w:after="0" w:line="362" w:lineRule="exact"/>
        <w:rPr>
          <w:sz w:val="20"/>
          <w:szCs w:val="20"/>
          <w:color w:val="auto"/>
        </w:rPr>
      </w:pPr>
    </w:p>
    <w:p>
      <w:pPr>
        <w:ind w:left="1540" w:right="779"/>
        <w:spacing w:after="0" w:line="278" w:lineRule="auto"/>
        <w:rPr>
          <w:sz w:val="20"/>
          <w:szCs w:val="20"/>
          <w:color w:val="auto"/>
        </w:rPr>
      </w:pPr>
      <w:r>
        <w:rPr>
          <w:rFonts w:ascii="Times New Roman" w:cs="Times New Roman" w:eastAsia="Times New Roman" w:hAnsi="Times New Roman"/>
          <w:sz w:val="14"/>
          <w:szCs w:val="14"/>
          <w:color w:val="auto"/>
        </w:rPr>
        <w:t>and providing diagnostics that are algorithmic in nature, implementing new software as a medical device, and building and deploying clinical decision support tools.</w:t>
      </w:r>
    </w:p>
    <w:p>
      <w:pPr>
        <w:spacing w:after="0" w:line="20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1" w:lineRule="exact"/>
        <w:rPr>
          <w:sz w:val="20"/>
          <w:szCs w:val="20"/>
          <w:color w:val="auto"/>
        </w:rPr>
      </w:pPr>
    </w:p>
    <w:p>
      <w:pPr>
        <w:ind w:left="1540" w:right="499" w:firstLine="328"/>
        <w:spacing w:after="0" w:line="273" w:lineRule="auto"/>
        <w:rPr>
          <w:sz w:val="20"/>
          <w:szCs w:val="20"/>
          <w:color w:val="auto"/>
        </w:rPr>
      </w:pPr>
      <w:r>
        <w:rPr>
          <w:rFonts w:ascii="Times New Roman" w:cs="Times New Roman" w:eastAsia="Times New Roman" w:hAnsi="Times New Roman"/>
          <w:sz w:val="13"/>
          <w:szCs w:val="13"/>
          <w:color w:val="auto"/>
        </w:rPr>
        <w:t>We were founded by Eric Lefkofsky under the name Bioin, LLC in Delaware in August 2015. We converted to a Delaware corporation in September 2015 under the name Bioin, Inc., and later changed our name to Tempus Health, Inc. in 2015, to Tempus Labs, Inc. in 2016, and to Tempus AI, Inc. in 2023. Effective as of August 7, 2025, we reincorporated, by conversion, from a Delaware corporation to a Nevada corporation. Our principal executive offices are located at 600 West Chicago Avenue, Suite 510 Chicago, Illinois 60654, and our telephone number is (800)</w:t>
      </w:r>
    </w:p>
    <w:p>
      <w:pPr>
        <w:ind w:left="1540" w:right="499"/>
        <w:spacing w:after="0" w:line="250" w:lineRule="auto"/>
        <w:rPr>
          <w:sz w:val="20"/>
          <w:szCs w:val="20"/>
          <w:color w:val="auto"/>
        </w:rPr>
      </w:pPr>
      <w:r>
        <w:rPr>
          <w:rFonts w:ascii="Times New Roman" w:cs="Times New Roman" w:eastAsia="Times New Roman" w:hAnsi="Times New Roman"/>
          <w:sz w:val="14"/>
          <w:szCs w:val="14"/>
          <w:color w:val="auto"/>
        </w:rPr>
        <w:t>976-5448. Our website address is www.tempus.com. Information contained on, or that can be accessed through, our website is not incorporated by reference into this prospectus, and you should not consider information on, or that can be accessed through, our website to be part hereof. We completed our initial public offering in June 2024, and our Class A common stock is listed on the Nasdaq Global Select Market under the symbol “TEM.”</w:t>
      </w:r>
    </w:p>
    <w:p>
      <w:pPr>
        <w:spacing w:after="0" w:line="146" w:lineRule="exact"/>
        <w:rPr>
          <w:sz w:val="20"/>
          <w:szCs w:val="20"/>
          <w:color w:val="auto"/>
        </w:rPr>
      </w:pPr>
    </w:p>
    <w:p>
      <w:pPr>
        <w:ind w:left="1540" w:right="759" w:firstLine="328"/>
        <w:spacing w:after="0" w:line="318" w:lineRule="auto"/>
        <w:rPr>
          <w:sz w:val="20"/>
          <w:szCs w:val="20"/>
          <w:color w:val="auto"/>
        </w:rPr>
      </w:pPr>
      <w:r>
        <w:rPr>
          <w:rFonts w:ascii="Times New Roman" w:cs="Times New Roman" w:eastAsia="Times New Roman" w:hAnsi="Times New Roman"/>
          <w:sz w:val="13"/>
          <w:szCs w:val="13"/>
          <w:color w:val="auto"/>
        </w:rPr>
        <w:t>The Tempus logo, “Tempus” and our other registered and common law trade names, trademarks and service marks are the property of Tempus AI, Inc. or our subsidiaries. Other trade names, trademarks and service marks used herein are the property of their respective owners.</w:t>
      </w:r>
    </w:p>
    <w:p>
      <w:pPr>
        <w:spacing w:after="0" w:line="18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Implications of Being an Emerging Growth Company</w:t>
      </w:r>
    </w:p>
    <w:p>
      <w:pPr>
        <w:spacing w:after="0" w:line="91" w:lineRule="exact"/>
        <w:rPr>
          <w:sz w:val="20"/>
          <w:szCs w:val="20"/>
          <w:color w:val="auto"/>
        </w:rPr>
      </w:pPr>
    </w:p>
    <w:p>
      <w:pPr>
        <w:ind w:left="1540" w:right="459" w:firstLine="328"/>
        <w:spacing w:after="0" w:line="253" w:lineRule="auto"/>
        <w:rPr>
          <w:sz w:val="20"/>
          <w:szCs w:val="20"/>
          <w:color w:val="auto"/>
        </w:rPr>
      </w:pPr>
      <w:r>
        <w:rPr>
          <w:rFonts w:ascii="Times New Roman" w:cs="Times New Roman" w:eastAsia="Times New Roman" w:hAnsi="Times New Roman"/>
          <w:sz w:val="14"/>
          <w:szCs w:val="14"/>
          <w:color w:val="auto"/>
        </w:rPr>
        <w:t>We are an emerging growth company, as defined in the Jumpstart Our Business Startups Act of 2012 (the “JOBS Act”). For so long as we remain an emerging growth company, we are permitted and intend to rely on certain exemptions from various public company reporting requirements that are applicable to other public companies that are not emerging growth companies, including not being required to have our internal control over financial reporting audited by our independent registered public accounting firm pursuant to Section 404 of the Sarbanes-Oxley Act of 2002, reduced disclosure obligations regarding executive compensation in our periodic reports and proxy statements, and exemptions from the requirements of holding a nonbinding advisory vote on executive compensation and any golden parachute payments not previously approved.</w:t>
      </w:r>
    </w:p>
    <w:p>
      <w:pPr>
        <w:spacing w:after="0" w:line="143" w:lineRule="exact"/>
        <w:rPr>
          <w:sz w:val="20"/>
          <w:szCs w:val="20"/>
          <w:color w:val="auto"/>
        </w:rPr>
      </w:pPr>
    </w:p>
    <w:p>
      <w:pPr>
        <w:ind w:left="1540" w:right="419" w:firstLine="328"/>
        <w:spacing w:after="0" w:line="254" w:lineRule="auto"/>
        <w:rPr>
          <w:sz w:val="20"/>
          <w:szCs w:val="20"/>
          <w:color w:val="auto"/>
        </w:rPr>
      </w:pPr>
      <w:r>
        <w:rPr>
          <w:rFonts w:ascii="Times New Roman" w:cs="Times New Roman" w:eastAsia="Times New Roman" w:hAnsi="Times New Roman"/>
          <w:sz w:val="14"/>
          <w:szCs w:val="14"/>
          <w:color w:val="auto"/>
        </w:rPr>
        <w:t>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certain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142" w:lineRule="exact"/>
        <w:rPr>
          <w:sz w:val="20"/>
          <w:szCs w:val="20"/>
          <w:color w:val="auto"/>
        </w:rPr>
      </w:pPr>
    </w:p>
    <w:p>
      <w:pPr>
        <w:ind w:left="1540" w:right="639" w:firstLine="328"/>
        <w:spacing w:after="0" w:line="279" w:lineRule="auto"/>
        <w:rPr>
          <w:sz w:val="20"/>
          <w:szCs w:val="20"/>
          <w:color w:val="auto"/>
        </w:rPr>
      </w:pPr>
      <w:r>
        <w:rPr>
          <w:rFonts w:ascii="Times New Roman" w:cs="Times New Roman" w:eastAsia="Times New Roman" w:hAnsi="Times New Roman"/>
          <w:sz w:val="13"/>
          <w:szCs w:val="13"/>
          <w:color w:val="auto"/>
        </w:rPr>
        <w:t>We will remain an emerging growth company until the earliest to occur of: (i) the last day of the fiscal year in which we have at least $1.235 billion in annual revenue; (ii) the date upon which we are deemed to be a “large accelerated filer,” as defined in Rule 12b-2 under the Exchange Act; (iii) the date on which we have issued more than $1.0 billion in nonconvertible debt securities during the prior three-year period; and (iv) December 31, 2029. Based on the aggregate market value of shares of our Class A common stock held by non-affiliates as of June 30, 2025, we expect to become a “large accelerated filer” and no longer qualify as an emerging growth company as of December 31, 2025.</w:t>
      </w:r>
    </w:p>
    <w:p>
      <w:pPr>
        <w:spacing w:after="0" w:line="15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91" w:lineRule="exact"/>
        <w:rPr>
          <w:sz w:val="20"/>
          <w:szCs w:val="20"/>
          <w:color w:val="auto"/>
        </w:rPr>
      </w:pPr>
    </w:p>
    <w:p>
      <w:pPr>
        <w:ind w:left="1540" w:right="699" w:firstLine="328"/>
        <w:spacing w:after="0" w:line="278" w:lineRule="auto"/>
        <w:rPr>
          <w:sz w:val="20"/>
          <w:szCs w:val="20"/>
          <w:color w:val="auto"/>
        </w:rPr>
      </w:pPr>
      <w:r>
        <w:rPr>
          <w:rFonts w:ascii="Times New Roman" w:cs="Times New Roman" w:eastAsia="Times New Roman" w:hAnsi="Times New Roman"/>
          <w:sz w:val="14"/>
          <w:szCs w:val="14"/>
          <w:color w:val="auto"/>
        </w:rPr>
        <w:t>All of the shares of Class A common stock being offered hereby are being sold by selling stockholders. We will not receive any proceeds from the sale of the Class A common stock by the selling stockholders. See “Use of Proceeds.”</w:t>
      </w:r>
    </w:p>
    <w:p>
      <w:pPr>
        <w:spacing w:after="0" w:line="20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83"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483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5393690" cy="448310"/>
                    </a:xfrm>
                    <a:prstGeom prst="rect">
                      <a:avLst/>
                    </a:prstGeom>
                    <a:noFill/>
                  </pic:spPr>
                </pic:pic>
              </a:graphicData>
            </a:graphic>
          </wp:anchor>
        </w:drawing>
      </w:r>
    </w:p>
    <w:p>
      <w:pPr>
        <w:spacing w:after="0" w:line="36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Nasdaq Global Select Market Listing</w:t>
      </w:r>
    </w:p>
    <w:p>
      <w:pPr>
        <w:spacing w:after="0" w:line="91" w:lineRule="exact"/>
        <w:rPr>
          <w:sz w:val="20"/>
          <w:szCs w:val="20"/>
          <w:color w:val="auto"/>
        </w:rPr>
      </w:pPr>
    </w:p>
    <w:p>
      <w:pPr>
        <w:jc w:val="right"/>
        <w:ind w:right="2759"/>
        <w:spacing w:after="0"/>
        <w:rPr>
          <w:sz w:val="20"/>
          <w:szCs w:val="20"/>
          <w:color w:val="auto"/>
        </w:rPr>
      </w:pPr>
      <w:r>
        <w:rPr>
          <w:rFonts w:ascii="Times New Roman" w:cs="Times New Roman" w:eastAsia="Times New Roman" w:hAnsi="Times New Roman"/>
          <w:sz w:val="14"/>
          <w:szCs w:val="14"/>
          <w:color w:val="auto"/>
        </w:rPr>
        <w:t>Our Class A common stock is listed on the Nasdaq Global Select Market under the symbol “TEM.”</w:t>
      </w:r>
    </w:p>
    <w:p>
      <w:pPr>
        <w:spacing w:after="0" w:line="26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83"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4" w:lineRule="exact"/>
        <w:rPr>
          <w:sz w:val="20"/>
          <w:szCs w:val="20"/>
          <w:color w:val="auto"/>
        </w:rPr>
      </w:pPr>
    </w:p>
    <w:p>
      <w:pPr>
        <w:ind w:left="1400" w:right="279" w:firstLine="339"/>
        <w:spacing w:after="0" w:line="250" w:lineRule="auto"/>
        <w:rPr>
          <w:sz w:val="20"/>
          <w:szCs w:val="20"/>
          <w:color w:val="auto"/>
        </w:rPr>
      </w:pPr>
      <w:r>
        <w:rPr>
          <w:rFonts w:ascii="Times New Roman" w:cs="Times New Roman" w:eastAsia="Times New Roman" w:hAnsi="Times New Roman"/>
          <w:sz w:val="14"/>
          <w:szCs w:val="14"/>
          <w:color w:val="auto"/>
        </w:rPr>
        <w:t>Investing in our Class A common stock involves a high degree of risk. Before deciding whether to invest in our Class A common stock, you should consider carefully the risks and uncertainties described in the section titled “Risk Factors” contained in any applicable prospectus supplement and any related free writing prospectus, and described under the section entitled “Risk Factors” contained in our most recent Annual Report on Form 10-K and subsequent Quarterly Reports on Form 10-Q, as well as any amendments thereto reflected in subsequent filings with the SEC, which are incorporated by reference into this prospectus in their entirety, together with other information in this prospectus, the documents incorporated by reference in this prospectus, any applicable prospectus supplement and any free writing prospectus that we may authorize for use in connection with a specific offering. See the sections titled “Where You Can Find More Information” and “Incorporation of Certain Information by Reference.”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Class A common stock to decline, resulting in a loss of all or part of your investment. Please also carefully read the section entitled “Special Note Regarding Forward-Looking Statements.”</w:t>
      </w:r>
    </w:p>
    <w:p>
      <w:pPr>
        <w:spacing w:after="0" w:line="9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83"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4" w:lineRule="exact"/>
        <w:rPr>
          <w:sz w:val="20"/>
          <w:szCs w:val="20"/>
          <w:color w:val="auto"/>
        </w:rPr>
      </w:pPr>
    </w:p>
    <w:p>
      <w:pPr>
        <w:ind w:left="1400" w:right="279" w:firstLine="339"/>
        <w:spacing w:after="0" w:line="263" w:lineRule="auto"/>
        <w:rPr>
          <w:sz w:val="20"/>
          <w:szCs w:val="20"/>
          <w:color w:val="auto"/>
        </w:rPr>
      </w:pPr>
      <w:r>
        <w:rPr>
          <w:rFonts w:ascii="Times New Roman" w:cs="Times New Roman" w:eastAsia="Times New Roman" w:hAnsi="Times New Roman"/>
          <w:sz w:val="14"/>
          <w:szCs w:val="14"/>
          <w:color w:val="auto"/>
        </w:rPr>
        <w:t>All of the shares of Class A common stock being offered hereby are being sold by selling stockholders. The selling stockholders listed under the heading “Selling Stockholders” in this prospectus or any applicable prospectus supplement will receive all of the net proceeds from the sales of shares of Class A common stock. We will not receive any proceeds from the sale of Class A common stock by the selling stockholders.</w:t>
      </w:r>
    </w:p>
    <w:p>
      <w:pPr>
        <w:spacing w:after="0" w:line="136" w:lineRule="exact"/>
        <w:rPr>
          <w:sz w:val="20"/>
          <w:szCs w:val="20"/>
          <w:color w:val="auto"/>
        </w:rPr>
      </w:pPr>
    </w:p>
    <w:p>
      <w:pPr>
        <w:ind w:left="1400" w:right="399" w:firstLine="339"/>
        <w:spacing w:after="0" w:line="292" w:lineRule="auto"/>
        <w:rPr>
          <w:sz w:val="20"/>
          <w:szCs w:val="20"/>
          <w:color w:val="auto"/>
        </w:rPr>
      </w:pPr>
      <w:r>
        <w:rPr>
          <w:rFonts w:ascii="Times New Roman" w:cs="Times New Roman" w:eastAsia="Times New Roman" w:hAnsi="Times New Roman"/>
          <w:sz w:val="13"/>
          <w:szCs w:val="13"/>
          <w:color w:val="auto"/>
        </w:rPr>
        <w:t>We, and not the selling stockholders, will pay the costs, expenses and fees in connection with the registration of the shares of Class A common stock covered by this prospectus and any accompanying prospectus supplement, but the selling stockholders will pay all discounts, commissions or brokers’ fees or fees of similar securities industry professionals and transfer taxes, if any, attributable to sales of such shares of Class A common stock.</w:t>
      </w:r>
    </w:p>
    <w:p>
      <w:pPr>
        <w:spacing w:after="0" w:line="6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3"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SELLING STOCKHOLDERS</w:t>
      </w:r>
    </w:p>
    <w:p>
      <w:pPr>
        <w:spacing w:after="0" w:line="174"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Up to 2,439,155 shares of our Class A common stock are being offered by this prospectus, all of which are being offered for resale for the account of the selling stockholders named herein. The shares of Class A common stock were issued to the selling stockholders in connection with acquisitions as described further below, and we are registering the resale of the shares of Class A common stock pursuant to the requirements of certain purchase agreements between us and the selling stockholders. We may register additional shares for resale for the account of additional selling stockholders in the future through an accompanying prospectus supplement.</w:t>
      </w:r>
    </w:p>
    <w:p>
      <w:pPr>
        <w:spacing w:after="0" w:line="143"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We are registering the resale of the shares of Class A common stock held by the selling stockholders to permit the selling stockholders to resell or otherwise dispose of such shares in the manner contemplated under “Plan of Distribution” in this prospectus and any accompanying prospectus supplement. As used in this prospectus, the term “selling stockholders” includes the selling securityholders listed in the table below, and the pledgees, donees, transferees, assignees, successors, designees, successors-in-interest and others who later come to hold any of the selling stockholder’s interest in such shares other than through a public sale.</w:t>
      </w:r>
    </w:p>
    <w:p>
      <w:pPr>
        <w:spacing w:after="0" w:line="143" w:lineRule="exact"/>
        <w:rPr>
          <w:sz w:val="20"/>
          <w:szCs w:val="20"/>
          <w:color w:val="auto"/>
        </w:rPr>
      </w:pPr>
    </w:p>
    <w:p>
      <w:pPr>
        <w:ind w:left="1400" w:right="479" w:firstLine="339"/>
        <w:spacing w:after="0" w:line="258" w:lineRule="auto"/>
        <w:rPr>
          <w:sz w:val="20"/>
          <w:szCs w:val="20"/>
          <w:color w:val="auto"/>
        </w:rPr>
      </w:pPr>
      <w:r>
        <w:rPr>
          <w:rFonts w:ascii="Times New Roman" w:cs="Times New Roman" w:eastAsia="Times New Roman" w:hAnsi="Times New Roman"/>
          <w:sz w:val="14"/>
          <w:szCs w:val="14"/>
          <w:color w:val="auto"/>
        </w:rPr>
        <w:t>The selling stockholders may sell some, all or none of the shares of Class A common stock held by them. We do not know how long the selling stockholders will hold such shares before selling them, and we currently have no agreements, arrangements or understandings with the selling stockholders regarding the sale or other disposition of any of their shares of Class A common stock. The shares of Class A common stock covered hereby may be offered from time to time by the selling stockholders.</w:t>
      </w:r>
    </w:p>
    <w:p>
      <w:pPr>
        <w:spacing w:after="0" w:line="140" w:lineRule="exact"/>
        <w:rPr>
          <w:sz w:val="20"/>
          <w:szCs w:val="20"/>
          <w:color w:val="auto"/>
        </w:rPr>
      </w:pPr>
    </w:p>
    <w:p>
      <w:pPr>
        <w:ind w:left="1400" w:right="279" w:firstLine="339"/>
        <w:spacing w:after="0" w:line="252" w:lineRule="auto"/>
        <w:rPr>
          <w:sz w:val="20"/>
          <w:szCs w:val="20"/>
          <w:color w:val="auto"/>
        </w:rPr>
      </w:pPr>
      <w:r>
        <w:rPr>
          <w:rFonts w:ascii="Times New Roman" w:cs="Times New Roman" w:eastAsia="Times New Roman" w:hAnsi="Times New Roman"/>
          <w:sz w:val="14"/>
          <w:szCs w:val="14"/>
          <w:color w:val="auto"/>
        </w:rPr>
        <w:t>The following table sets forth the number of shares of our outstanding Class A common stock beneficially owned by the selling stockholders as of August 1, 2025, the number of shares of Class A common stock that may be offered under this prospectus, and the number of shares and percentage of our outstanding Class A common stock beneficially owned by the selling stockholders assuming all of the shares of Class A common stock covered hereby are sold. Beneficial ownership is determined in accordance with the rules of the SEC and includes voting or investment power with respect to our shares of Class A common stock. Generally, a person “beneficially owns” shares of Class A common stock if the person has or shares with others the right to vote those shares or to dispose of them, or if the person has the right to acquire voting or disposition rights within 60 days. The number of shares in the column “Number of Shares of Class A Common Stock Registered for Sale Hereby” represents all of the shares of Class A common stock that the selling stockholders may offer and sell from time to time under this prospectus.</w:t>
      </w:r>
    </w:p>
    <w:p>
      <w:pPr>
        <w:spacing w:after="0" w:line="9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3"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19" w:firstLine="339"/>
        <w:spacing w:after="0" w:line="255" w:lineRule="auto"/>
        <w:rPr>
          <w:sz w:val="20"/>
          <w:szCs w:val="20"/>
          <w:color w:val="auto"/>
        </w:rPr>
      </w:pPr>
      <w:r>
        <w:rPr>
          <w:rFonts w:ascii="Times New Roman" w:cs="Times New Roman" w:eastAsia="Times New Roman" w:hAnsi="Times New Roman"/>
          <w:sz w:val="14"/>
          <w:szCs w:val="14"/>
          <w:color w:val="auto"/>
        </w:rPr>
        <w:t>All information contained in the table below and the footnotes thereto is based upon information provided to us by the selling stockholders as of the date of this prospectus. The selling stockholders may have sold or transferred, in transactions exempt from the registration requirements of the Securities Act, some or all of their shares or other securities since the date on which the information in the table below is presented. Information about the selling stockholders may change over time. The percentage of shares owned after the offering is based on 168,671,519 shares of our Class A common stock outstanding as of August 1, 2025.</w:t>
      </w:r>
    </w:p>
    <w:p>
      <w:pPr>
        <w:spacing w:after="0" w:line="147"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13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80" w:type="dxa"/>
            <w:vAlign w:val="bottom"/>
            <w:gridSpan w:val="7"/>
          </w:tcPr>
          <w:p>
            <w:pPr>
              <w:jc w:val="center"/>
              <w:ind w:left="136"/>
              <w:spacing w:after="0"/>
              <w:rPr>
                <w:sz w:val="20"/>
                <w:szCs w:val="20"/>
                <w:color w:val="auto"/>
              </w:rPr>
            </w:pPr>
            <w:r>
              <w:rPr>
                <w:rFonts w:ascii="Times New Roman" w:cs="Times New Roman" w:eastAsia="Times New Roman" w:hAnsi="Times New Roman"/>
                <w:sz w:val="11"/>
                <w:szCs w:val="11"/>
                <w:b w:val="1"/>
                <w:bCs w:val="1"/>
                <w:color w:val="auto"/>
              </w:rPr>
              <w:t>Shares Beneficially Owned</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gridSpan w:val="8"/>
          </w:tcPr>
          <w:p>
            <w:pPr>
              <w:jc w:val="center"/>
              <w:ind w:left="136"/>
              <w:spacing w:after="0"/>
              <w:rPr>
                <w:sz w:val="20"/>
                <w:szCs w:val="20"/>
                <w:color w:val="auto"/>
              </w:rPr>
            </w:pPr>
            <w:r>
              <w:rPr>
                <w:rFonts w:ascii="Times New Roman" w:cs="Times New Roman" w:eastAsia="Times New Roman" w:hAnsi="Times New Roman"/>
                <w:sz w:val="11"/>
                <w:szCs w:val="11"/>
                <w:b w:val="1"/>
                <w:bCs w:val="1"/>
                <w:color w:val="auto"/>
              </w:rPr>
              <w:t>Shares Beneficially Owned</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3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80" w:type="dxa"/>
            <w:vAlign w:val="bottom"/>
            <w:tcBorders>
              <w:bottom w:val="single" w:sz="8" w:color="auto"/>
            </w:tcBorders>
            <w:gridSpan w:val="7"/>
          </w:tcPr>
          <w:p>
            <w:pPr>
              <w:jc w:val="center"/>
              <w:ind w:left="136"/>
              <w:spacing w:after="0"/>
              <w:rPr>
                <w:sz w:val="20"/>
                <w:szCs w:val="20"/>
                <w:color w:val="auto"/>
              </w:rPr>
            </w:pPr>
            <w:r>
              <w:rPr>
                <w:rFonts w:ascii="Times New Roman" w:cs="Times New Roman" w:eastAsia="Times New Roman" w:hAnsi="Times New Roman"/>
                <w:sz w:val="11"/>
                <w:szCs w:val="11"/>
                <w:b w:val="1"/>
                <w:bCs w:val="1"/>
                <w:color w:val="auto"/>
              </w:rPr>
              <w:t>Before the Offering</w:t>
            </w:r>
          </w:p>
        </w:tc>
        <w:tc>
          <w:tcPr>
            <w:tcW w:w="220" w:type="dxa"/>
            <w:vAlign w:val="bottom"/>
            <w:tcBorders>
              <w:bottom w:val="single" w:sz="8" w:color="auto"/>
            </w:tcBorders>
          </w:tcPr>
          <w:p>
            <w:pPr>
              <w:spacing w:after="0"/>
              <w:rPr>
                <w:sz w:val="11"/>
                <w:szCs w:val="11"/>
                <w:color w:val="auto"/>
              </w:rPr>
            </w:pPr>
          </w:p>
        </w:tc>
        <w:tc>
          <w:tcPr>
            <w:tcW w:w="1180" w:type="dxa"/>
            <w:vAlign w:val="bottom"/>
            <w:gridSpan w:val="2"/>
            <w:vMerge w:val="restart"/>
          </w:tcPr>
          <w:p>
            <w:pPr>
              <w:jc w:val="center"/>
              <w:ind w:left="132"/>
              <w:spacing w:after="0"/>
              <w:rPr>
                <w:sz w:val="20"/>
                <w:szCs w:val="20"/>
                <w:color w:val="auto"/>
              </w:rPr>
            </w:pPr>
            <w:r>
              <w:rPr>
                <w:rFonts w:ascii="Times New Roman" w:cs="Times New Roman" w:eastAsia="Times New Roman" w:hAnsi="Times New Roman"/>
                <w:sz w:val="11"/>
                <w:szCs w:val="11"/>
                <w:b w:val="1"/>
                <w:bCs w:val="1"/>
                <w:color w:val="auto"/>
              </w:rPr>
              <w:t>Number of Shares of</w:t>
            </w:r>
          </w:p>
        </w:tc>
        <w:tc>
          <w:tcPr>
            <w:tcW w:w="22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7"/>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After the Offering</w:t>
            </w:r>
          </w:p>
        </w:tc>
        <w:tc>
          <w:tcPr>
            <w:tcW w:w="2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3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8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gridSpan w:val="3"/>
          </w:tcPr>
          <w:p>
            <w:pPr>
              <w:ind w:left="240"/>
              <w:spacing w:after="0" w:line="94" w:lineRule="exact"/>
              <w:rPr>
                <w:sz w:val="20"/>
                <w:szCs w:val="20"/>
                <w:color w:val="auto"/>
              </w:rPr>
            </w:pPr>
            <w:r>
              <w:rPr>
                <w:rFonts w:ascii="Times New Roman" w:cs="Times New Roman" w:eastAsia="Times New Roman" w:hAnsi="Times New Roman"/>
                <w:sz w:val="10"/>
                <w:szCs w:val="10"/>
                <w:b w:val="1"/>
                <w:bCs w:val="1"/>
                <w:color w:val="auto"/>
              </w:rPr>
              <w:t>Class B</w:t>
            </w:r>
          </w:p>
        </w:tc>
        <w:tc>
          <w:tcPr>
            <w:tcW w:w="2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gridSpan w:val="3"/>
          </w:tcPr>
          <w:p>
            <w:pPr>
              <w:ind w:left="240"/>
              <w:spacing w:after="0" w:line="94" w:lineRule="exact"/>
              <w:rPr>
                <w:sz w:val="20"/>
                <w:szCs w:val="20"/>
                <w:color w:val="auto"/>
              </w:rPr>
            </w:pPr>
            <w:r>
              <w:rPr>
                <w:rFonts w:ascii="Times New Roman" w:cs="Times New Roman" w:eastAsia="Times New Roman" w:hAnsi="Times New Roman"/>
                <w:sz w:val="10"/>
                <w:szCs w:val="10"/>
                <w:b w:val="1"/>
                <w:bCs w:val="1"/>
                <w:color w:val="auto"/>
              </w:rPr>
              <w:t>Class A</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gridSpan w:val="3"/>
          </w:tcPr>
          <w:p>
            <w:pPr>
              <w:ind w:left="240"/>
              <w:spacing w:after="0" w:line="94" w:lineRule="exact"/>
              <w:rPr>
                <w:sz w:val="20"/>
                <w:szCs w:val="20"/>
                <w:color w:val="auto"/>
              </w:rPr>
            </w:pPr>
            <w:r>
              <w:rPr>
                <w:rFonts w:ascii="Times New Roman" w:cs="Times New Roman" w:eastAsia="Times New Roman" w:hAnsi="Times New Roman"/>
                <w:sz w:val="10"/>
                <w:szCs w:val="10"/>
                <w:b w:val="1"/>
                <w:bCs w:val="1"/>
                <w:color w:val="auto"/>
              </w:rPr>
              <w:t>Class B</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3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gridSpan w:val="3"/>
          </w:tcPr>
          <w:p>
            <w:pPr>
              <w:ind w:left="200"/>
              <w:spacing w:after="0" w:line="115"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Class A Common</w:t>
            </w:r>
          </w:p>
        </w:tc>
        <w:tc>
          <w:tcPr>
            <w:tcW w:w="220" w:type="dxa"/>
            <w:vAlign w:val="bottom"/>
          </w:tcPr>
          <w:p>
            <w:pPr>
              <w:spacing w:after="0"/>
              <w:rPr>
                <w:sz w:val="9"/>
                <w:szCs w:val="9"/>
                <w:color w:val="auto"/>
              </w:rPr>
            </w:pPr>
          </w:p>
        </w:tc>
        <w:tc>
          <w:tcPr>
            <w:tcW w:w="640" w:type="dxa"/>
            <w:vAlign w:val="bottom"/>
            <w:gridSpan w:val="3"/>
          </w:tcPr>
          <w:p>
            <w:pPr>
              <w:ind w:left="200"/>
              <w:spacing w:after="0" w:line="115"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gridSpan w:val="3"/>
          </w:tcPr>
          <w:p>
            <w:pPr>
              <w:ind w:left="200"/>
              <w:spacing w:after="0" w:line="115"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of Selling Stockholder</w:t>
            </w:r>
          </w:p>
        </w:tc>
        <w:tc>
          <w:tcPr>
            <w:tcW w:w="1680" w:type="dxa"/>
            <w:vAlign w:val="bottom"/>
            <w:vMerge w:val="restart"/>
          </w:tcPr>
          <w:p>
            <w:pPr>
              <w:spacing w:after="0"/>
              <w:rPr>
                <w:sz w:val="10"/>
                <w:szCs w:val="10"/>
                <w:color w:val="auto"/>
              </w:rPr>
            </w:pPr>
          </w:p>
        </w:tc>
        <w:tc>
          <w:tcPr>
            <w:tcW w:w="1040" w:type="dxa"/>
            <w:vAlign w:val="bottom"/>
            <w:tcBorders>
              <w:bottom w:val="single" w:sz="8" w:color="auto"/>
            </w:tcBorders>
            <w:gridSpan w:val="3"/>
          </w:tcPr>
          <w:p>
            <w:pPr>
              <w:jc w:val="right"/>
              <w:ind w:right="93"/>
              <w:spacing w:after="0" w:line="125"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200" w:type="dxa"/>
            <w:vAlign w:val="bottom"/>
          </w:tcPr>
          <w:p>
            <w:pPr>
              <w:spacing w:after="0"/>
              <w:rPr>
                <w:sz w:val="10"/>
                <w:szCs w:val="10"/>
                <w:color w:val="auto"/>
              </w:rPr>
            </w:pPr>
          </w:p>
        </w:tc>
        <w:tc>
          <w:tcPr>
            <w:tcW w:w="640" w:type="dxa"/>
            <w:vAlign w:val="bottom"/>
            <w:tcBorders>
              <w:bottom w:val="single" w:sz="8" w:color="auto"/>
            </w:tcBorders>
            <w:gridSpan w:val="3"/>
          </w:tcPr>
          <w:p>
            <w:pPr>
              <w:ind w:left="280"/>
              <w:spacing w:after="0" w:line="125" w:lineRule="exact"/>
              <w:rPr>
                <w:sz w:val="20"/>
                <w:szCs w:val="20"/>
                <w:color w:val="auto"/>
              </w:rPr>
            </w:pPr>
            <w:r>
              <w:rPr>
                <w:rFonts w:ascii="Times New Roman" w:cs="Times New Roman" w:eastAsia="Times New Roman" w:hAnsi="Times New Roman"/>
                <w:sz w:val="11"/>
                <w:szCs w:val="11"/>
                <w:b w:val="1"/>
                <w:bCs w:val="1"/>
                <w:color w:val="auto"/>
              </w:rPr>
              <w:t>Stock</w:t>
            </w:r>
          </w:p>
        </w:tc>
        <w:tc>
          <w:tcPr>
            <w:tcW w:w="2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Stock Registered for</w:t>
            </w:r>
          </w:p>
        </w:tc>
        <w:tc>
          <w:tcPr>
            <w:tcW w:w="220" w:type="dxa"/>
            <w:vAlign w:val="bottom"/>
          </w:tcPr>
          <w:p>
            <w:pPr>
              <w:spacing w:after="0"/>
              <w:rPr>
                <w:sz w:val="10"/>
                <w:szCs w:val="10"/>
                <w:color w:val="auto"/>
              </w:rPr>
            </w:pPr>
          </w:p>
        </w:tc>
        <w:tc>
          <w:tcPr>
            <w:tcW w:w="640" w:type="dxa"/>
            <w:vAlign w:val="bottom"/>
            <w:tcBorders>
              <w:bottom w:val="single" w:sz="8" w:color="auto"/>
            </w:tcBorders>
            <w:gridSpan w:val="3"/>
          </w:tcPr>
          <w:p>
            <w:pPr>
              <w:ind w:left="280"/>
              <w:spacing w:after="0" w:line="125" w:lineRule="exact"/>
              <w:rPr>
                <w:sz w:val="20"/>
                <w:szCs w:val="20"/>
                <w:color w:val="auto"/>
              </w:rPr>
            </w:pPr>
            <w:r>
              <w:rPr>
                <w:rFonts w:ascii="Times New Roman" w:cs="Times New Roman" w:eastAsia="Times New Roman" w:hAnsi="Times New Roman"/>
                <w:sz w:val="11"/>
                <w:szCs w:val="11"/>
                <w:b w:val="1"/>
                <w:bCs w:val="1"/>
                <w:color w:val="auto"/>
              </w:rPr>
              <w:t>Stock</w:t>
            </w:r>
          </w:p>
        </w:tc>
        <w:tc>
          <w:tcPr>
            <w:tcW w:w="20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bottom w:val="single" w:sz="8" w:color="auto"/>
            </w:tcBorders>
            <w:gridSpan w:val="3"/>
          </w:tcPr>
          <w:p>
            <w:pPr>
              <w:ind w:left="280"/>
              <w:spacing w:after="0" w:line="125" w:lineRule="exact"/>
              <w:rPr>
                <w:sz w:val="20"/>
                <w:szCs w:val="20"/>
                <w:color w:val="auto"/>
              </w:rPr>
            </w:pPr>
            <w:r>
              <w:rPr>
                <w:rFonts w:ascii="Times New Roman" w:cs="Times New Roman" w:eastAsia="Times New Roman" w:hAnsi="Times New Roman"/>
                <w:sz w:val="11"/>
                <w:szCs w:val="11"/>
                <w:b w:val="1"/>
                <w:bCs w:val="1"/>
                <w:color w:val="auto"/>
              </w:rPr>
              <w:t>Stock</w:t>
            </w:r>
          </w:p>
        </w:tc>
        <w:tc>
          <w:tcPr>
            <w:tcW w:w="2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1360" w:type="dxa"/>
            <w:vAlign w:val="bottom"/>
            <w:tcBorders>
              <w:bottom w:val="single" w:sz="8" w:color="auto"/>
            </w:tcBorders>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820" w:type="dxa"/>
            <w:vAlign w:val="bottom"/>
            <w:gridSpan w:val="2"/>
          </w:tcPr>
          <w:p>
            <w:pPr>
              <w:ind w:left="100"/>
              <w:spacing w:after="0" w:line="94" w:lineRule="exact"/>
              <w:rPr>
                <w:sz w:val="20"/>
                <w:szCs w:val="20"/>
                <w:color w:val="auto"/>
              </w:rPr>
            </w:pPr>
            <w:r>
              <w:rPr>
                <w:rFonts w:ascii="Times New Roman" w:cs="Times New Roman" w:eastAsia="Times New Roman" w:hAnsi="Times New Roman"/>
                <w:sz w:val="10"/>
                <w:szCs w:val="10"/>
                <w:b w:val="1"/>
                <w:bCs w:val="1"/>
                <w:color w:val="auto"/>
              </w:rPr>
              <w:t>Number</w:t>
            </w:r>
          </w:p>
        </w:tc>
        <w:tc>
          <w:tcPr>
            <w:tcW w:w="220" w:type="dxa"/>
            <w:vAlign w:val="bottom"/>
          </w:tcPr>
          <w:p>
            <w:pPr>
              <w:jc w:val="right"/>
              <w:spacing w:after="0" w:line="94" w:lineRule="exact"/>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9"/>
                <w:szCs w:val="9"/>
                <w:color w:val="auto"/>
              </w:rPr>
            </w:pPr>
          </w:p>
        </w:tc>
        <w:tc>
          <w:tcPr>
            <w:tcW w:w="640" w:type="dxa"/>
            <w:vAlign w:val="bottom"/>
            <w:gridSpan w:val="3"/>
          </w:tcPr>
          <w:p>
            <w:pPr>
              <w:spacing w:after="0" w:line="94" w:lineRule="exact"/>
              <w:rPr>
                <w:sz w:val="20"/>
                <w:szCs w:val="20"/>
                <w:color w:val="auto"/>
              </w:rPr>
            </w:pPr>
            <w:r>
              <w:rPr>
                <w:rFonts w:ascii="Times New Roman" w:cs="Times New Roman" w:eastAsia="Times New Roman" w:hAnsi="Times New Roman"/>
                <w:sz w:val="10"/>
                <w:szCs w:val="10"/>
                <w:b w:val="1"/>
                <w:bCs w:val="1"/>
                <w:color w:val="auto"/>
              </w:rPr>
              <w:t>Number</w:t>
            </w:r>
          </w:p>
        </w:tc>
        <w:tc>
          <w:tcPr>
            <w:tcW w:w="220" w:type="dxa"/>
            <w:vAlign w:val="bottom"/>
          </w:tcPr>
          <w:p>
            <w:pPr>
              <w:jc w:val="center"/>
              <w:spacing w:after="0" w:line="94" w:lineRule="exact"/>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9"/>
                <w:szCs w:val="9"/>
                <w:color w:val="auto"/>
              </w:rPr>
            </w:pPr>
          </w:p>
        </w:tc>
        <w:tc>
          <w:tcPr>
            <w:tcW w:w="980" w:type="dxa"/>
            <w:vAlign w:val="bottom"/>
          </w:tcPr>
          <w:p>
            <w:pPr>
              <w:jc w:val="center"/>
              <w:spacing w:after="0" w:line="94" w:lineRule="exact"/>
              <w:rPr>
                <w:sz w:val="20"/>
                <w:szCs w:val="20"/>
                <w:color w:val="auto"/>
              </w:rPr>
            </w:pPr>
            <w:r>
              <w:rPr>
                <w:rFonts w:ascii="Times New Roman" w:cs="Times New Roman" w:eastAsia="Times New Roman" w:hAnsi="Times New Roman"/>
                <w:sz w:val="10"/>
                <w:szCs w:val="10"/>
                <w:b w:val="1"/>
                <w:bCs w:val="1"/>
                <w:color w:val="auto"/>
              </w:rPr>
              <w:t>Sale Hereby</w:t>
            </w:r>
          </w:p>
        </w:tc>
        <w:tc>
          <w:tcPr>
            <w:tcW w:w="220" w:type="dxa"/>
            <w:vAlign w:val="bottom"/>
          </w:tcPr>
          <w:p>
            <w:pPr>
              <w:spacing w:after="0"/>
              <w:rPr>
                <w:sz w:val="9"/>
                <w:szCs w:val="9"/>
                <w:color w:val="auto"/>
              </w:rPr>
            </w:pPr>
          </w:p>
        </w:tc>
        <w:tc>
          <w:tcPr>
            <w:tcW w:w="640" w:type="dxa"/>
            <w:vAlign w:val="bottom"/>
            <w:gridSpan w:val="3"/>
          </w:tcPr>
          <w:p>
            <w:pPr>
              <w:spacing w:after="0" w:line="94" w:lineRule="exact"/>
              <w:rPr>
                <w:sz w:val="20"/>
                <w:szCs w:val="20"/>
                <w:color w:val="auto"/>
              </w:rPr>
            </w:pPr>
            <w:r>
              <w:rPr>
                <w:rFonts w:ascii="Times New Roman" w:cs="Times New Roman" w:eastAsia="Times New Roman" w:hAnsi="Times New Roman"/>
                <w:sz w:val="10"/>
                <w:szCs w:val="10"/>
                <w:b w:val="1"/>
                <w:bCs w:val="1"/>
                <w:color w:val="auto"/>
              </w:rPr>
              <w:t>Number</w:t>
            </w:r>
          </w:p>
        </w:tc>
        <w:tc>
          <w:tcPr>
            <w:tcW w:w="200" w:type="dxa"/>
            <w:vAlign w:val="bottom"/>
          </w:tcPr>
          <w:p>
            <w:pPr>
              <w:jc w:val="center"/>
              <w:spacing w:after="0" w:line="94" w:lineRule="exact"/>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9"/>
                <w:szCs w:val="9"/>
                <w:color w:val="auto"/>
              </w:rPr>
            </w:pPr>
          </w:p>
        </w:tc>
        <w:tc>
          <w:tcPr>
            <w:tcW w:w="640" w:type="dxa"/>
            <w:vAlign w:val="bottom"/>
            <w:gridSpan w:val="3"/>
          </w:tcPr>
          <w:p>
            <w:pPr>
              <w:spacing w:after="0" w:line="94" w:lineRule="exact"/>
              <w:rPr>
                <w:sz w:val="20"/>
                <w:szCs w:val="20"/>
                <w:color w:val="auto"/>
              </w:rPr>
            </w:pPr>
            <w:r>
              <w:rPr>
                <w:rFonts w:ascii="Times New Roman" w:cs="Times New Roman" w:eastAsia="Times New Roman" w:hAnsi="Times New Roman"/>
                <w:sz w:val="10"/>
                <w:szCs w:val="10"/>
                <w:b w:val="1"/>
                <w:bCs w:val="1"/>
                <w:color w:val="auto"/>
              </w:rPr>
              <w:t>Number</w:t>
            </w:r>
          </w:p>
        </w:tc>
        <w:tc>
          <w:tcPr>
            <w:tcW w:w="200" w:type="dxa"/>
            <w:vAlign w:val="bottom"/>
          </w:tcPr>
          <w:p>
            <w:pPr>
              <w:jc w:val="center"/>
              <w:spacing w:after="0" w:line="94" w:lineRule="exact"/>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3040" w:type="dxa"/>
            <w:vAlign w:val="bottom"/>
            <w:tcBorders>
              <w:top w:val="single" w:sz="8" w:color="CCEEFF"/>
            </w:tcBorders>
            <w:gridSpan w:val="2"/>
            <w:shd w:val="clear" w:color="auto" w:fill="CCEEFF"/>
          </w:tcPr>
          <w:p>
            <w:pPr>
              <w:spacing w:after="0" w:line="147" w:lineRule="exact"/>
              <w:rPr>
                <w:sz w:val="20"/>
                <w:szCs w:val="20"/>
                <w:color w:val="auto"/>
              </w:rPr>
            </w:pPr>
            <w:r>
              <w:rPr>
                <w:rFonts w:ascii="Times New Roman" w:cs="Times New Roman" w:eastAsia="Times New Roman" w:hAnsi="Times New Roman"/>
                <w:sz w:val="12"/>
                <w:szCs w:val="12"/>
                <w:color w:val="auto"/>
              </w:rPr>
              <w:t>REALM IDx, Inc.</w:t>
            </w:r>
            <w:r>
              <w:rPr>
                <w:rFonts w:ascii="Times New Roman" w:cs="Times New Roman" w:eastAsia="Times New Roman" w:hAnsi="Times New Roman"/>
                <w:sz w:val="17"/>
                <w:szCs w:val="17"/>
                <w:color w:val="auto"/>
                <w:vertAlign w:val="superscript"/>
              </w:rPr>
              <w:t>(1)</w:t>
            </w:r>
          </w:p>
        </w:tc>
        <w:tc>
          <w:tcPr>
            <w:tcW w:w="60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2,152,505</w:t>
            </w: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1.3</w:t>
            </w:r>
          </w:p>
        </w:tc>
        <w:tc>
          <w:tcPr>
            <w:tcW w:w="2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ind w:left="18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2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2,152,505</w:t>
            </w:r>
          </w:p>
        </w:tc>
        <w:tc>
          <w:tcPr>
            <w:tcW w:w="2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ind w:left="18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2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w w:val="75"/>
              </w:rPr>
              <w:t>— </w:t>
            </w:r>
          </w:p>
        </w:tc>
        <w:tc>
          <w:tcPr>
            <w:tcW w:w="2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ind w:left="18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2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040" w:type="dxa"/>
            <w:vAlign w:val="bottom"/>
            <w:gridSpan w:val="2"/>
          </w:tcPr>
          <w:p>
            <w:pPr>
              <w:spacing w:after="0" w:line="166" w:lineRule="exact"/>
              <w:rPr>
                <w:sz w:val="20"/>
                <w:szCs w:val="20"/>
                <w:color w:val="auto"/>
              </w:rPr>
            </w:pPr>
            <w:r>
              <w:rPr>
                <w:rFonts w:ascii="Times New Roman" w:cs="Times New Roman" w:eastAsia="Times New Roman" w:hAnsi="Times New Roman"/>
                <w:sz w:val="13"/>
                <w:szCs w:val="13"/>
                <w:color w:val="auto"/>
              </w:rPr>
              <w:t xml:space="preserve">Solventum Management LLC </w:t>
            </w:r>
            <w:r>
              <w:rPr>
                <w:rFonts w:ascii="Times New Roman" w:cs="Times New Roman" w:eastAsia="Times New Roman" w:hAnsi="Times New Roman"/>
                <w:sz w:val="19"/>
                <w:szCs w:val="19"/>
                <w:color w:val="auto"/>
                <w:vertAlign w:val="superscript"/>
              </w:rPr>
              <w:t>(2)</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7,550</w:t>
            </w:r>
          </w:p>
        </w:tc>
        <w:tc>
          <w:tcPr>
            <w:tcW w:w="2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7,550</w:t>
            </w:r>
          </w:p>
        </w:tc>
        <w:tc>
          <w:tcPr>
            <w:tcW w:w="220" w:type="dxa"/>
            <w:vAlign w:val="bottom"/>
          </w:tcPr>
          <w:p>
            <w:pPr>
              <w:spacing w:after="0"/>
              <w:rPr>
                <w:sz w:val="14"/>
                <w:szCs w:val="14"/>
                <w:color w:val="auto"/>
              </w:rPr>
            </w:pPr>
          </w:p>
        </w:tc>
        <w:tc>
          <w:tcPr>
            <w:tcW w:w="6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75"/>
              </w:rPr>
              <w:t>— </w:t>
            </w:r>
          </w:p>
        </w:tc>
        <w:tc>
          <w:tcPr>
            <w:tcW w:w="220" w:type="dxa"/>
            <w:vAlign w:val="bottom"/>
          </w:tcPr>
          <w:p>
            <w:pPr>
              <w:spacing w:after="0"/>
              <w:rPr>
                <w:sz w:val="14"/>
                <w:szCs w:val="14"/>
                <w:color w:val="auto"/>
              </w:rPr>
            </w:pPr>
          </w:p>
        </w:tc>
        <w:tc>
          <w:tcPr>
            <w:tcW w:w="6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66"/>
        </w:trPr>
        <w:tc>
          <w:tcPr>
            <w:tcW w:w="3040" w:type="dxa"/>
            <w:vAlign w:val="bottom"/>
            <w:gridSpan w:val="2"/>
            <w:shd w:val="clear" w:color="auto" w:fill="CCEEFF"/>
          </w:tcPr>
          <w:p>
            <w:pPr>
              <w:spacing w:after="0" w:line="166" w:lineRule="exact"/>
              <w:rPr>
                <w:sz w:val="20"/>
                <w:szCs w:val="20"/>
                <w:color w:val="auto"/>
              </w:rPr>
            </w:pPr>
            <w:r>
              <w:rPr>
                <w:rFonts w:ascii="Times New Roman" w:cs="Times New Roman" w:eastAsia="Times New Roman" w:hAnsi="Times New Roman"/>
                <w:sz w:val="13"/>
                <w:szCs w:val="13"/>
                <w:color w:val="auto"/>
              </w:rPr>
              <w:t xml:space="preserve">Boston Millennia Founders Fund Partnership </w:t>
            </w:r>
            <w:r>
              <w:rPr>
                <w:rFonts w:ascii="Times New Roman" w:cs="Times New Roman" w:eastAsia="Times New Roman" w:hAnsi="Times New Roman"/>
                <w:sz w:val="19"/>
                <w:szCs w:val="19"/>
                <w:color w:val="auto"/>
                <w:vertAlign w:val="superscript"/>
              </w:rPr>
              <w:t>(2)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6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— </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220" w:type="dxa"/>
            <w:vAlign w:val="bottom"/>
            <w:shd w:val="clear" w:color="auto" w:fill="CCEEFF"/>
          </w:tcPr>
          <w:p>
            <w:pPr>
              <w:spacing w:after="0"/>
              <w:rPr>
                <w:sz w:val="14"/>
                <w:szCs w:val="14"/>
                <w:color w:val="auto"/>
              </w:rPr>
            </w:pPr>
          </w:p>
        </w:tc>
        <w:tc>
          <w:tcPr>
            <w:tcW w:w="6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75"/>
              </w:rPr>
              <w:t>— </w:t>
            </w:r>
          </w:p>
        </w:tc>
        <w:tc>
          <w:tcPr>
            <w:tcW w:w="220" w:type="dxa"/>
            <w:vAlign w:val="bottom"/>
            <w:shd w:val="clear" w:color="auto" w:fill="CCEEFF"/>
          </w:tcPr>
          <w:p>
            <w:pPr>
              <w:spacing w:after="0"/>
              <w:rPr>
                <w:sz w:val="14"/>
                <w:szCs w:val="14"/>
                <w:color w:val="auto"/>
              </w:rPr>
            </w:pPr>
          </w:p>
        </w:tc>
        <w:tc>
          <w:tcPr>
            <w:tcW w:w="6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66"/>
        </w:trPr>
        <w:tc>
          <w:tcPr>
            <w:tcW w:w="3040" w:type="dxa"/>
            <w:vAlign w:val="bottom"/>
            <w:gridSpan w:val="2"/>
          </w:tcPr>
          <w:p>
            <w:pPr>
              <w:spacing w:after="0" w:line="166" w:lineRule="exact"/>
              <w:rPr>
                <w:sz w:val="20"/>
                <w:szCs w:val="20"/>
                <w:color w:val="auto"/>
              </w:rPr>
            </w:pPr>
            <w:r>
              <w:rPr>
                <w:rFonts w:ascii="Times New Roman" w:cs="Times New Roman" w:eastAsia="Times New Roman" w:hAnsi="Times New Roman"/>
                <w:sz w:val="13"/>
                <w:szCs w:val="13"/>
                <w:color w:val="auto"/>
              </w:rPr>
              <w:t xml:space="preserve">Golden Sand River (Digital), Ltd. </w:t>
            </w:r>
            <w:r>
              <w:rPr>
                <w:rFonts w:ascii="Times New Roman" w:cs="Times New Roman" w:eastAsia="Times New Roman" w:hAnsi="Times New Roman"/>
                <w:sz w:val="19"/>
                <w:szCs w:val="19"/>
                <w:color w:val="auto"/>
                <w:vertAlign w:val="superscript"/>
              </w:rPr>
              <w:t>(2)</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6,413</w:t>
            </w:r>
          </w:p>
        </w:tc>
        <w:tc>
          <w:tcPr>
            <w:tcW w:w="2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6,413</w:t>
            </w:r>
          </w:p>
        </w:tc>
        <w:tc>
          <w:tcPr>
            <w:tcW w:w="220" w:type="dxa"/>
            <w:vAlign w:val="bottom"/>
          </w:tcPr>
          <w:p>
            <w:pPr>
              <w:spacing w:after="0"/>
              <w:rPr>
                <w:sz w:val="14"/>
                <w:szCs w:val="14"/>
                <w:color w:val="auto"/>
              </w:rPr>
            </w:pPr>
          </w:p>
        </w:tc>
        <w:tc>
          <w:tcPr>
            <w:tcW w:w="6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75"/>
              </w:rPr>
              <w:t>— </w:t>
            </w:r>
          </w:p>
        </w:tc>
        <w:tc>
          <w:tcPr>
            <w:tcW w:w="220" w:type="dxa"/>
            <w:vAlign w:val="bottom"/>
          </w:tcPr>
          <w:p>
            <w:pPr>
              <w:spacing w:after="0"/>
              <w:rPr>
                <w:sz w:val="14"/>
                <w:szCs w:val="14"/>
                <w:color w:val="auto"/>
              </w:rPr>
            </w:pPr>
          </w:p>
        </w:tc>
        <w:tc>
          <w:tcPr>
            <w:tcW w:w="6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66"/>
        </w:trPr>
        <w:tc>
          <w:tcPr>
            <w:tcW w:w="3040" w:type="dxa"/>
            <w:vAlign w:val="bottom"/>
            <w:gridSpan w:val="2"/>
            <w:shd w:val="clear" w:color="auto" w:fill="CCEEFF"/>
          </w:tcPr>
          <w:p>
            <w:pPr>
              <w:spacing w:after="0" w:line="166" w:lineRule="exact"/>
              <w:rPr>
                <w:sz w:val="20"/>
                <w:szCs w:val="20"/>
                <w:color w:val="auto"/>
              </w:rPr>
            </w:pPr>
            <w:r>
              <w:rPr>
                <w:rFonts w:ascii="Times New Roman" w:cs="Times New Roman" w:eastAsia="Times New Roman" w:hAnsi="Times New Roman"/>
                <w:sz w:val="13"/>
                <w:szCs w:val="13"/>
                <w:color w:val="auto"/>
              </w:rPr>
              <w:t xml:space="preserve">GSR Ventures V (Singapore) Pte. Ltd. </w:t>
            </w:r>
            <w:r>
              <w:rPr>
                <w:rFonts w:ascii="Times New Roman" w:cs="Times New Roman" w:eastAsia="Times New Roman" w:hAnsi="Times New Roman"/>
                <w:sz w:val="19"/>
                <w:szCs w:val="19"/>
                <w:color w:val="auto"/>
                <w:vertAlign w:val="superscript"/>
              </w:rPr>
              <w:t>(2)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231,057</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6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— </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231,057</w:t>
            </w:r>
          </w:p>
        </w:tc>
        <w:tc>
          <w:tcPr>
            <w:tcW w:w="220" w:type="dxa"/>
            <w:vAlign w:val="bottom"/>
            <w:shd w:val="clear" w:color="auto" w:fill="CCEEFF"/>
          </w:tcPr>
          <w:p>
            <w:pPr>
              <w:spacing w:after="0"/>
              <w:rPr>
                <w:sz w:val="14"/>
                <w:szCs w:val="14"/>
                <w:color w:val="auto"/>
              </w:rPr>
            </w:pPr>
          </w:p>
        </w:tc>
        <w:tc>
          <w:tcPr>
            <w:tcW w:w="6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75"/>
              </w:rPr>
              <w:t>— </w:t>
            </w:r>
          </w:p>
        </w:tc>
        <w:tc>
          <w:tcPr>
            <w:tcW w:w="220" w:type="dxa"/>
            <w:vAlign w:val="bottom"/>
            <w:shd w:val="clear" w:color="auto" w:fill="CCEEFF"/>
          </w:tcPr>
          <w:p>
            <w:pPr>
              <w:spacing w:after="0"/>
              <w:rPr>
                <w:sz w:val="14"/>
                <w:szCs w:val="14"/>
                <w:color w:val="auto"/>
              </w:rPr>
            </w:pPr>
          </w:p>
        </w:tc>
        <w:tc>
          <w:tcPr>
            <w:tcW w:w="6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66"/>
        </w:trPr>
        <w:tc>
          <w:tcPr>
            <w:tcW w:w="3040" w:type="dxa"/>
            <w:vAlign w:val="bottom"/>
            <w:gridSpan w:val="2"/>
          </w:tcPr>
          <w:p>
            <w:pPr>
              <w:spacing w:after="0" w:line="166" w:lineRule="exact"/>
              <w:rPr>
                <w:sz w:val="20"/>
                <w:szCs w:val="20"/>
                <w:color w:val="auto"/>
              </w:rPr>
            </w:pPr>
            <w:r>
              <w:rPr>
                <w:rFonts w:ascii="Times New Roman" w:cs="Times New Roman" w:eastAsia="Times New Roman" w:hAnsi="Times New Roman"/>
                <w:sz w:val="13"/>
                <w:szCs w:val="13"/>
                <w:color w:val="auto"/>
              </w:rPr>
              <w:t xml:space="preserve">Iaso Ventures, L.P. </w:t>
            </w:r>
            <w:r>
              <w:rPr>
                <w:rFonts w:ascii="Times New Roman" w:cs="Times New Roman" w:eastAsia="Times New Roman" w:hAnsi="Times New Roman"/>
                <w:sz w:val="19"/>
                <w:szCs w:val="19"/>
                <w:color w:val="auto"/>
                <w:vertAlign w:val="superscript"/>
              </w:rPr>
              <w:t>(2)</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3,562</w:t>
            </w:r>
          </w:p>
        </w:tc>
        <w:tc>
          <w:tcPr>
            <w:tcW w:w="2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3,562</w:t>
            </w:r>
          </w:p>
        </w:tc>
        <w:tc>
          <w:tcPr>
            <w:tcW w:w="220" w:type="dxa"/>
            <w:vAlign w:val="bottom"/>
          </w:tcPr>
          <w:p>
            <w:pPr>
              <w:spacing w:after="0"/>
              <w:rPr>
                <w:sz w:val="14"/>
                <w:szCs w:val="14"/>
                <w:color w:val="auto"/>
              </w:rPr>
            </w:pPr>
          </w:p>
        </w:tc>
        <w:tc>
          <w:tcPr>
            <w:tcW w:w="6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75"/>
              </w:rPr>
              <w:t>— </w:t>
            </w:r>
          </w:p>
        </w:tc>
        <w:tc>
          <w:tcPr>
            <w:tcW w:w="220" w:type="dxa"/>
            <w:vAlign w:val="bottom"/>
          </w:tcPr>
          <w:p>
            <w:pPr>
              <w:spacing w:after="0"/>
              <w:rPr>
                <w:sz w:val="14"/>
                <w:szCs w:val="14"/>
                <w:color w:val="auto"/>
              </w:rPr>
            </w:pPr>
          </w:p>
        </w:tc>
        <w:tc>
          <w:tcPr>
            <w:tcW w:w="6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66"/>
        </w:trPr>
        <w:tc>
          <w:tcPr>
            <w:tcW w:w="3040" w:type="dxa"/>
            <w:vAlign w:val="bottom"/>
            <w:gridSpan w:val="2"/>
            <w:shd w:val="clear" w:color="auto" w:fill="CCEEFF"/>
          </w:tcPr>
          <w:p>
            <w:pPr>
              <w:spacing w:after="0" w:line="166" w:lineRule="exact"/>
              <w:rPr>
                <w:sz w:val="20"/>
                <w:szCs w:val="20"/>
                <w:color w:val="auto"/>
              </w:rPr>
            </w:pPr>
            <w:r>
              <w:rPr>
                <w:rFonts w:ascii="Times New Roman" w:cs="Times New Roman" w:eastAsia="Times New Roman" w:hAnsi="Times New Roman"/>
                <w:sz w:val="13"/>
                <w:szCs w:val="13"/>
                <w:color w:val="auto"/>
              </w:rPr>
              <w:t xml:space="preserve">Paul Gilbert </w:t>
            </w:r>
            <w:r>
              <w:rPr>
                <w:rFonts w:ascii="Times New Roman" w:cs="Times New Roman" w:eastAsia="Times New Roman" w:hAnsi="Times New Roman"/>
                <w:sz w:val="19"/>
                <w:szCs w:val="19"/>
                <w:color w:val="auto"/>
                <w:vertAlign w:val="superscript"/>
              </w:rPr>
              <w:t>(2)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6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— </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w:t>
            </w:r>
          </w:p>
        </w:tc>
        <w:tc>
          <w:tcPr>
            <w:tcW w:w="220" w:type="dxa"/>
            <w:vAlign w:val="bottom"/>
            <w:shd w:val="clear" w:color="auto" w:fill="CCEEFF"/>
          </w:tcPr>
          <w:p>
            <w:pPr>
              <w:spacing w:after="0"/>
              <w:rPr>
                <w:sz w:val="14"/>
                <w:szCs w:val="14"/>
                <w:color w:val="auto"/>
              </w:rPr>
            </w:pPr>
          </w:p>
        </w:tc>
        <w:tc>
          <w:tcPr>
            <w:tcW w:w="6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75"/>
              </w:rPr>
              <w:t>— </w:t>
            </w:r>
          </w:p>
        </w:tc>
        <w:tc>
          <w:tcPr>
            <w:tcW w:w="220" w:type="dxa"/>
            <w:vAlign w:val="bottom"/>
            <w:shd w:val="clear" w:color="auto" w:fill="CCEEFF"/>
          </w:tcPr>
          <w:p>
            <w:pPr>
              <w:spacing w:after="0"/>
              <w:rPr>
                <w:sz w:val="14"/>
                <w:szCs w:val="14"/>
                <w:color w:val="auto"/>
              </w:rPr>
            </w:pPr>
          </w:p>
        </w:tc>
        <w:tc>
          <w:tcPr>
            <w:tcW w:w="6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66"/>
        </w:trPr>
        <w:tc>
          <w:tcPr>
            <w:tcW w:w="3040" w:type="dxa"/>
            <w:vAlign w:val="bottom"/>
            <w:gridSpan w:val="2"/>
          </w:tcPr>
          <w:p>
            <w:pPr>
              <w:spacing w:after="0" w:line="166" w:lineRule="exact"/>
              <w:rPr>
                <w:sz w:val="20"/>
                <w:szCs w:val="20"/>
                <w:color w:val="auto"/>
              </w:rPr>
            </w:pPr>
            <w:r>
              <w:rPr>
                <w:rFonts w:ascii="Times New Roman" w:cs="Times New Roman" w:eastAsia="Times New Roman" w:hAnsi="Times New Roman"/>
                <w:sz w:val="13"/>
                <w:szCs w:val="13"/>
                <w:color w:val="auto"/>
              </w:rPr>
              <w:t xml:space="preserve">Techstars Ventures 2022, L.P. </w:t>
            </w:r>
            <w:r>
              <w:rPr>
                <w:rFonts w:ascii="Times New Roman" w:cs="Times New Roman" w:eastAsia="Times New Roman" w:hAnsi="Times New Roman"/>
                <w:sz w:val="19"/>
                <w:szCs w:val="19"/>
                <w:color w:val="auto"/>
                <w:vertAlign w:val="superscript"/>
              </w:rPr>
              <w:t>(2)</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w:t>
            </w:r>
          </w:p>
        </w:tc>
        <w:tc>
          <w:tcPr>
            <w:tcW w:w="2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1,006</w:t>
            </w:r>
          </w:p>
        </w:tc>
        <w:tc>
          <w:tcPr>
            <w:tcW w:w="220" w:type="dxa"/>
            <w:vAlign w:val="bottom"/>
          </w:tcPr>
          <w:p>
            <w:pPr>
              <w:spacing w:after="0"/>
              <w:rPr>
                <w:sz w:val="14"/>
                <w:szCs w:val="14"/>
                <w:color w:val="auto"/>
              </w:rPr>
            </w:pPr>
          </w:p>
        </w:tc>
        <w:tc>
          <w:tcPr>
            <w:tcW w:w="6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75"/>
              </w:rPr>
              <w:t>— </w:t>
            </w:r>
          </w:p>
        </w:tc>
        <w:tc>
          <w:tcPr>
            <w:tcW w:w="220" w:type="dxa"/>
            <w:vAlign w:val="bottom"/>
          </w:tcPr>
          <w:p>
            <w:pPr>
              <w:spacing w:after="0"/>
              <w:rPr>
                <w:sz w:val="14"/>
                <w:szCs w:val="14"/>
                <w:color w:val="auto"/>
              </w:rPr>
            </w:pPr>
          </w:p>
        </w:tc>
        <w:tc>
          <w:tcPr>
            <w:tcW w:w="6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66"/>
        </w:trPr>
        <w:tc>
          <w:tcPr>
            <w:tcW w:w="3040" w:type="dxa"/>
            <w:vAlign w:val="bottom"/>
            <w:gridSpan w:val="2"/>
            <w:shd w:val="clear" w:color="auto" w:fill="CCEEFF"/>
          </w:tcPr>
          <w:p>
            <w:pPr>
              <w:spacing w:after="0" w:line="166" w:lineRule="exact"/>
              <w:rPr>
                <w:sz w:val="20"/>
                <w:szCs w:val="20"/>
                <w:color w:val="auto"/>
              </w:rPr>
            </w:pPr>
            <w:r>
              <w:rPr>
                <w:rFonts w:ascii="Times New Roman" w:cs="Times New Roman" w:eastAsia="Times New Roman" w:hAnsi="Times New Roman"/>
                <w:sz w:val="13"/>
                <w:szCs w:val="13"/>
                <w:color w:val="auto"/>
              </w:rPr>
              <w:t xml:space="preserve">Wout Brusselaers </w:t>
            </w:r>
            <w:r>
              <w:rPr>
                <w:rFonts w:ascii="Times New Roman" w:cs="Times New Roman" w:eastAsia="Times New Roman" w:hAnsi="Times New Roman"/>
                <w:sz w:val="19"/>
                <w:szCs w:val="19"/>
                <w:color w:val="auto"/>
                <w:vertAlign w:val="superscript"/>
              </w:rPr>
              <w:t>(2)(3)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34,745</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6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— </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34,745</w:t>
            </w:r>
          </w:p>
        </w:tc>
        <w:tc>
          <w:tcPr>
            <w:tcW w:w="220" w:type="dxa"/>
            <w:vAlign w:val="bottom"/>
            <w:shd w:val="clear" w:color="auto" w:fill="CCEEFF"/>
          </w:tcPr>
          <w:p>
            <w:pPr>
              <w:spacing w:after="0"/>
              <w:rPr>
                <w:sz w:val="14"/>
                <w:szCs w:val="14"/>
                <w:color w:val="auto"/>
              </w:rPr>
            </w:pPr>
          </w:p>
        </w:tc>
        <w:tc>
          <w:tcPr>
            <w:tcW w:w="6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75"/>
              </w:rPr>
              <w:t>— </w:t>
            </w:r>
          </w:p>
        </w:tc>
        <w:tc>
          <w:tcPr>
            <w:tcW w:w="220" w:type="dxa"/>
            <w:vAlign w:val="bottom"/>
            <w:shd w:val="clear" w:color="auto" w:fill="CCEEFF"/>
          </w:tcPr>
          <w:p>
            <w:pPr>
              <w:spacing w:after="0"/>
              <w:rPr>
                <w:sz w:val="14"/>
                <w:szCs w:val="14"/>
                <w:color w:val="auto"/>
              </w:rPr>
            </w:pPr>
          </w:p>
        </w:tc>
        <w:tc>
          <w:tcPr>
            <w:tcW w:w="6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66040</wp:posOffset>
            </wp:positionV>
            <wp:extent cx="587375"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587375" cy="6350"/>
                    </a:xfrm>
                    <a:prstGeom prst="rect">
                      <a:avLst/>
                    </a:prstGeom>
                    <a:noFill/>
                  </pic:spPr>
                </pic:pic>
              </a:graphicData>
            </a:graphic>
          </wp:anchor>
        </w:drawing>
      </w:r>
    </w:p>
    <w:p>
      <w:pPr>
        <w:spacing w:after="0" w:line="111" w:lineRule="exact"/>
        <w:rPr>
          <w:sz w:val="20"/>
          <w:szCs w:val="20"/>
          <w:color w:val="auto"/>
        </w:rPr>
      </w:pPr>
    </w:p>
    <w:p>
      <w:pPr>
        <w:ind w:left="1740" w:hanging="338"/>
        <w:spacing w:after="0"/>
        <w:tabs>
          <w:tab w:leader="none" w:pos="17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spacing w:after="0" w:line="21" w:lineRule="exact"/>
        <w:rPr>
          <w:sz w:val="20"/>
          <w:szCs w:val="20"/>
          <w:color w:val="auto"/>
        </w:rPr>
      </w:pPr>
    </w:p>
    <w:p>
      <w:pPr>
        <w:ind w:left="1740" w:right="299" w:hanging="338"/>
        <w:spacing w:after="0" w:line="248" w:lineRule="auto"/>
        <w:tabs>
          <w:tab w:leader="none" w:pos="17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4, 2024, we entered into a Securities Purchase Agreement by and among us, REALM IDx, Inc. (the “Seller”) and the Seller’s ultimate parent, Konica Minolta, Inc., a Japanese corporation (“KMI”), as guarantor, pursuant to which we agreed to purchase all of the outstanding shares of capital stock of Ambry Genetics Corporation. Pursuant to the terms of the Purchase Agreement, we issued 4,843,136 shares of Class A common stock to the Seller on February 3, 2025 upon the closing of the acquisition. 2,152,505 of the shares of Class A common stock held by the Seller are subject to a lock-up for a period of one year following the closing date of the acquisition. KMI, a publicly traded corporation organized under the laws of Japan and traded on the Tokyo Stock Exchange, is the ultimate parent of, and may be deemed to have voting, investment and dispositive control over the shares held by, REALM IDx, Inc. KMI is governed by its board of directors which consists of nine persons, none of which has beneficial ownership over the shares. The registered address of REALM IDx, Inc. is c/o Konica Minolta, 1900 S State College Blvd, Suite 600, Anaheim, California 92806.</w:t>
      </w:r>
    </w:p>
    <w:p>
      <w:pPr>
        <w:ind w:left="1740" w:right="279" w:hanging="338"/>
        <w:spacing w:after="0" w:line="237" w:lineRule="auto"/>
        <w:tabs>
          <w:tab w:leader="none" w:pos="17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our acquisition of Deep 6 AI, Inc. (“Deep 6”), on March 11, 2025, we issued 269,280 shares of Class A common stock to certain former stockholders of Deep 6 and may issue up to an additional 17,370 shares of Class A common stock to such former stockholders of Deep 6 in connection with the release of a holdback pursuant to the terms of the purchase agreement. The registered address of Solventum Management LLC is 2510 Conway Ave E, BLDG 275-6W-24, Maplewood, MN 55144-1000; the registered address of Boston Millennia Founders Fund Partnership is 71 Commercial Street, #301 Boston, MA 02109; the registered address of Golden Sand River (Digital), Ltd. is c/o Campbells Corporate Services Limited, Floor 4, Willow House, Cricket Square, Grand Cayman KY1-9010, Cayman Islands; the registered address of GSR Ventures V (Singapore) Pte. Ltd is 1 George Street #21-01, Singapore 049145; the registered address of Iaso Ventures, L.P. is 75 State Street, First Floor, Boston, MA 02109; the registered address of Paul Gilbert is 1200 California Street Apt 12D, San Francisco, CA 94109; the registered address of Techstars Ventures 2022, L.P. is 25 West 45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xml:space="preserve"> St., 15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xml:space="preserve"> Floor, New York, NY 10036; the registered address of Wout Brusselaers is 4607 Jessica Drive, Los Angeles, CA 90065.</w:t>
      </w:r>
    </w:p>
    <w:p>
      <w:pPr>
        <w:spacing w:after="0" w:line="5" w:lineRule="exact"/>
        <w:rPr>
          <w:rFonts w:ascii="Times New Roman" w:cs="Times New Roman" w:eastAsia="Times New Roman" w:hAnsi="Times New Roman"/>
          <w:sz w:val="14"/>
          <w:szCs w:val="14"/>
          <w:color w:val="auto"/>
        </w:rPr>
      </w:pPr>
    </w:p>
    <w:p>
      <w:pPr>
        <w:ind w:left="1740" w:hanging="338"/>
        <w:spacing w:after="0"/>
        <w:tabs>
          <w:tab w:leader="none" w:pos="17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Brusselaers has served as our Senior Vice President, General Manager since March 11, 2025.</w:t>
      </w:r>
    </w:p>
    <w:p>
      <w:pPr>
        <w:spacing w:after="0" w:line="10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3"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4" w:lineRule="exact"/>
        <w:rPr>
          <w:sz w:val="20"/>
          <w:szCs w:val="20"/>
          <w:color w:val="auto"/>
        </w:rPr>
      </w:pPr>
    </w:p>
    <w:p>
      <w:pPr>
        <w:ind w:left="1400" w:right="279" w:firstLine="339"/>
        <w:spacing w:after="0" w:line="254" w:lineRule="auto"/>
        <w:rPr>
          <w:sz w:val="20"/>
          <w:szCs w:val="20"/>
          <w:color w:val="auto"/>
        </w:rPr>
      </w:pPr>
      <w:r>
        <w:rPr>
          <w:rFonts w:ascii="Times New Roman" w:cs="Times New Roman" w:eastAsia="Times New Roman" w:hAnsi="Times New Roman"/>
          <w:sz w:val="14"/>
          <w:szCs w:val="14"/>
          <w:color w:val="auto"/>
        </w:rPr>
        <w:t>The shares of Class A common stock owned by the selling stockholders covered by this prospectus and any applicable prospectus supplement may be offered, sold, transferred or otherwise disposed of from time to time by such selling stockholders. The selling stockholders will act independently of us in making decisions with respect to the timing, manner and size of each sale. Such sales may be made on one or more exchanges, markets, trading facilities or in the over-the-counter market or otherwise, at fixed prices, at prevailing market prices at the time of sale, at prices related to the prevailing market price, at varying prices determined at the time of sale or at negotiated prices. The selling stockholders may sell or otherwise dispose of their securities by one or more of, or a combination of, the following methods:</w:t>
      </w:r>
    </w:p>
    <w:p>
      <w:pPr>
        <w:spacing w:after="0" w:line="70" w:lineRule="exact"/>
        <w:rPr>
          <w:sz w:val="20"/>
          <w:szCs w:val="20"/>
          <w:color w:val="auto"/>
        </w:rPr>
      </w:pPr>
    </w:p>
    <w:p>
      <w:pPr>
        <w:ind w:left="2160" w:right="479" w:hanging="342"/>
        <w:spacing w:after="0" w:line="278" w:lineRule="auto"/>
        <w:tabs>
          <w:tab w:leader="none" w:pos="2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one or more underwriters in a public offering, pursuant to which underwriters may resell the shares in one or more transactions, including in negotiated transactions at a fixed public offering price or at varying prices determined at the time of sale;</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broker-dealer as principal and resale by such broker-dealer for its own account pursuant to this prospectus;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and transactions in which the broker solicits purchasers;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transactions in which the broker-dealer solicits purchasers on a best efforts basis;</w:t>
      </w:r>
    </w:p>
    <w:p>
      <w:pPr>
        <w:spacing w:after="0" w:line="98" w:lineRule="exact"/>
        <w:rPr>
          <w:rFonts w:ascii="Times New Roman" w:cs="Times New Roman" w:eastAsia="Times New Roman" w:hAnsi="Times New Roman"/>
          <w:sz w:val="14"/>
          <w:szCs w:val="14"/>
          <w:color w:val="auto"/>
        </w:rPr>
      </w:pPr>
    </w:p>
    <w:p>
      <w:pPr>
        <w:ind w:left="2160" w:right="279" w:hanging="342"/>
        <w:spacing w:after="0" w:line="278" w:lineRule="auto"/>
        <w:tabs>
          <w:tab w:leader="none" w:pos="2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 trades in which the broker-dealer so engaged will attempt to sell the shares as agent but may position and resell a portion of the block as principal to facilitate the transaction;</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over-the-counter distribution in accordance with the rules of the Nasdaq Stock Market;</w:t>
      </w:r>
    </w:p>
    <w:p>
      <w:pPr>
        <w:spacing w:after="0" w:line="98" w:lineRule="exact"/>
        <w:rPr>
          <w:rFonts w:ascii="Times New Roman" w:cs="Times New Roman" w:eastAsia="Times New Roman" w:hAnsi="Times New Roman"/>
          <w:sz w:val="14"/>
          <w:szCs w:val="14"/>
          <w:color w:val="auto"/>
        </w:rPr>
      </w:pPr>
    </w:p>
    <w:p>
      <w:pPr>
        <w:ind w:left="2160" w:right="299" w:hanging="342"/>
        <w:spacing w:after="0" w:line="263" w:lineRule="auto"/>
        <w:tabs>
          <w:tab w:leader="none" w:pos="2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trading plans entered into by a selling stockholder pursuant to Rule 10b5-1 under the Exchange Act, that are in place at the time of an offering pursuant to this prospectus and any applicable prospectus supplement that provide for periodic sales of its securities on the basis of parameters described in such trading plans;</w:t>
      </w:r>
    </w:p>
    <w:p>
      <w:pPr>
        <w:spacing w:after="0" w:line="63" w:lineRule="exact"/>
        <w:rPr>
          <w:rFonts w:ascii="Times New Roman" w:cs="Times New Roman" w:eastAsia="Times New Roman" w:hAnsi="Times New Roman"/>
          <w:sz w:val="14"/>
          <w:szCs w:val="14"/>
          <w:color w:val="auto"/>
        </w:rPr>
      </w:pPr>
    </w:p>
    <w:p>
      <w:pPr>
        <w:ind w:left="2160" w:right="399" w:hanging="342"/>
        <w:spacing w:after="0" w:line="278" w:lineRule="auto"/>
        <w:tabs>
          <w:tab w:leader="none" w:pos="2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 sales or through the settlement of short sales (including short sales “against the box”), subject to compliance with the Securities Act and other applicable securities laws;</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 to employees, members, limited partners or stockholders of a selling stockholder;</w:t>
      </w:r>
    </w:p>
    <w:p>
      <w:pPr>
        <w:spacing w:after="0" w:line="98" w:lineRule="exact"/>
        <w:rPr>
          <w:rFonts w:ascii="Times New Roman" w:cs="Times New Roman" w:eastAsia="Times New Roman" w:hAnsi="Times New Roman"/>
          <w:sz w:val="14"/>
          <w:szCs w:val="14"/>
          <w:color w:val="auto"/>
        </w:rPr>
      </w:pPr>
    </w:p>
    <w:p>
      <w:pPr>
        <w:ind w:left="2160" w:right="439" w:hanging="342"/>
        <w:spacing w:after="0" w:line="278" w:lineRule="auto"/>
        <w:tabs>
          <w:tab w:leader="none" w:pos="2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writing or settlement of standardized or over-the-counter options, swaps or other hedging or derivative transactions, whether through an options exchange or otherwise;</w:t>
      </w:r>
    </w:p>
    <w:p>
      <w:pPr>
        <w:spacing w:after="0" w:line="53" w:lineRule="exact"/>
        <w:rPr>
          <w:rFonts w:ascii="Times New Roman" w:cs="Times New Roman" w:eastAsia="Times New Roman" w:hAnsi="Times New Roman"/>
          <w:sz w:val="14"/>
          <w:szCs w:val="14"/>
          <w:color w:val="auto"/>
        </w:rPr>
      </w:pPr>
    </w:p>
    <w:p>
      <w:pPr>
        <w:ind w:left="2160" w:right="519" w:hanging="342"/>
        <w:spacing w:after="0" w:line="278" w:lineRule="auto"/>
        <w:tabs>
          <w:tab w:leader="none" w:pos="2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other ways not involving market makers or established trading markets, including direct sales to purchasers or sales effected through agents;</w:t>
      </w:r>
    </w:p>
    <w:p>
      <w:pPr>
        <w:spacing w:after="0" w:line="53" w:lineRule="exact"/>
        <w:rPr>
          <w:rFonts w:ascii="Times New Roman" w:cs="Times New Roman" w:eastAsia="Times New Roman" w:hAnsi="Times New Roman"/>
          <w:sz w:val="14"/>
          <w:szCs w:val="14"/>
          <w:color w:val="auto"/>
        </w:rPr>
      </w:pPr>
    </w:p>
    <w:p>
      <w:pPr>
        <w:ind w:left="2160" w:right="319" w:hanging="342"/>
        <w:spacing w:after="0" w:line="263" w:lineRule="auto"/>
        <w:tabs>
          <w:tab w:leader="none" w:pos="2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pledge of securities for any loan or obligation (including obligations associated with derivative transactions), including pledges to brokers or dealers who may from time to time effect distributions of securities, and in the case of any collateral call or default on such loan or obligation, pledges or sales of securities by such pledgee or secured parties;</w:t>
      </w:r>
    </w:p>
    <w:p>
      <w:pPr>
        <w:spacing w:after="0" w:line="6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delayed delivery arrangements providing for payment and delivery on a specified date in the future;</w:t>
      </w:r>
    </w:p>
    <w:p>
      <w:pPr>
        <w:spacing w:after="0" w:line="98" w:lineRule="exact"/>
        <w:rPr>
          <w:rFonts w:ascii="Times New Roman" w:cs="Times New Roman" w:eastAsia="Times New Roman" w:hAnsi="Times New Roman"/>
          <w:sz w:val="14"/>
          <w:szCs w:val="14"/>
          <w:color w:val="auto"/>
        </w:rPr>
      </w:pPr>
    </w:p>
    <w:p>
      <w:pPr>
        <w:ind w:left="2160" w:right="359" w:hanging="342"/>
        <w:spacing w:after="0" w:line="263" w:lineRule="auto"/>
        <w:tabs>
          <w:tab w:leader="none" w:pos="2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6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privately negotiated transactions;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dividends or other distributions made by a selling stockholder to its partners, members or stockholders;</w:t>
      </w:r>
    </w:p>
    <w:p>
      <w:pPr>
        <w:spacing w:after="0" w:line="12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3"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hanging="342"/>
        <w:spacing w:after="0"/>
        <w:tabs>
          <w:tab w:leader="none" w:pos="21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options transactions;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 above methods of sale; or</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method permitted pursuant to applicable law.</w:t>
      </w:r>
    </w:p>
    <w:p>
      <w:pPr>
        <w:spacing w:after="0" w:line="172" w:lineRule="exact"/>
        <w:rPr>
          <w:sz w:val="20"/>
          <w:szCs w:val="20"/>
          <w:color w:val="auto"/>
        </w:rPr>
      </w:pPr>
    </w:p>
    <w:p>
      <w:pPr>
        <w:ind w:left="1400" w:right="359" w:firstLine="339"/>
        <w:spacing w:after="0" w:line="253" w:lineRule="auto"/>
        <w:rPr>
          <w:sz w:val="20"/>
          <w:szCs w:val="20"/>
          <w:color w:val="auto"/>
        </w:rPr>
      </w:pPr>
      <w:r>
        <w:rPr>
          <w:rFonts w:ascii="Times New Roman" w:cs="Times New Roman" w:eastAsia="Times New Roman" w:hAnsi="Times New Roman"/>
          <w:sz w:val="14"/>
          <w:szCs w:val="14"/>
          <w:color w:val="auto"/>
        </w:rPr>
        <w:t>In addition, any securities that qualify for sale pursuant to Rule 144 or another exemption from registration under the Securities Act or other such exemption may be sold under Rule 144 rather than pursuant to this prospectus or any accompanying prospectus supplement. Further, the selling stockholders may enter into derivative transactions with broker-dealers, other financial institutions or third parties or sell securities not covered by this prospectus or any accompanying prospectus supplement to third parties in privately negotiated or registered transactions. These transactions may involve the sale of shares of Class A common stock by the selling stockholders by forward sale or by an offering (directly or by entering into derivative transactions with broker-dealers, other financial institutions or third parties) of options, swaps, rights, warrants or other securities that are offered with, convertible into or exchangeable for shares of Class A common stock.</w:t>
      </w:r>
    </w:p>
    <w:p>
      <w:pPr>
        <w:spacing w:after="0" w:line="143" w:lineRule="exact"/>
        <w:rPr>
          <w:sz w:val="20"/>
          <w:szCs w:val="20"/>
          <w:color w:val="auto"/>
        </w:rPr>
      </w:pPr>
    </w:p>
    <w:p>
      <w:pPr>
        <w:ind w:left="1400" w:right="279" w:firstLine="339"/>
        <w:spacing w:after="0" w:line="263" w:lineRule="auto"/>
        <w:rPr>
          <w:sz w:val="20"/>
          <w:szCs w:val="20"/>
          <w:color w:val="auto"/>
        </w:rPr>
      </w:pPr>
      <w:r>
        <w:rPr>
          <w:rFonts w:ascii="Times New Roman" w:cs="Times New Roman" w:eastAsia="Times New Roman" w:hAnsi="Times New Roman"/>
          <w:sz w:val="14"/>
          <w:szCs w:val="14"/>
          <w:color w:val="auto"/>
        </w:rPr>
        <w:t>The selling stockholders may elect to make an in-kind distribution of the shares of common stock to its members, partners or shareholders. In such event, we may file a prospectus supplement to the extent required by law in order to permit the distributees to use the prospectus to resell the shares of Class A common stock acquired in the distribution.</w:t>
      </w:r>
    </w:p>
    <w:p>
      <w:pPr>
        <w:spacing w:after="0" w:line="136" w:lineRule="exact"/>
        <w:rPr>
          <w:sz w:val="20"/>
          <w:szCs w:val="20"/>
          <w:color w:val="auto"/>
        </w:rPr>
      </w:pPr>
    </w:p>
    <w:p>
      <w:pPr>
        <w:ind w:left="1400" w:right="299" w:firstLine="339"/>
        <w:spacing w:after="0" w:line="251" w:lineRule="auto"/>
        <w:rPr>
          <w:sz w:val="20"/>
          <w:szCs w:val="20"/>
          <w:color w:val="auto"/>
        </w:rPr>
      </w:pPr>
      <w:r>
        <w:rPr>
          <w:rFonts w:ascii="Times New Roman" w:cs="Times New Roman" w:eastAsia="Times New Roman" w:hAnsi="Times New Roman"/>
          <w:sz w:val="14"/>
          <w:szCs w:val="14"/>
          <w:color w:val="auto"/>
        </w:rPr>
        <w:t>To the extent required, this prospectus may be amended or supplemented from time to time to describe a specific plan of distribution. In connection with distributions of the securities or otherwise, the selling stockholders may enter into hedging transactions with broker-dealers or other financial institutions. In connection with such transactions, broker-dealers or other financial institutions may engage in short sales of the securities in the course of hedging the positions they assume with a selling the stockholder. The selling stockholders may also sell the securities short and redeliver the securities to close out such short positions. The selling stockholders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stockholders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46" w:lineRule="exact"/>
        <w:rPr>
          <w:sz w:val="20"/>
          <w:szCs w:val="20"/>
          <w:color w:val="auto"/>
        </w:rPr>
      </w:pPr>
    </w:p>
    <w:p>
      <w:pPr>
        <w:ind w:left="1400" w:right="339" w:firstLine="339"/>
        <w:spacing w:after="0" w:line="318" w:lineRule="auto"/>
        <w:rPr>
          <w:sz w:val="20"/>
          <w:szCs w:val="20"/>
          <w:color w:val="auto"/>
        </w:rPr>
      </w:pPr>
      <w:r>
        <w:rPr>
          <w:rFonts w:ascii="Times New Roman" w:cs="Times New Roman" w:eastAsia="Times New Roman" w:hAnsi="Times New Roman"/>
          <w:sz w:val="13"/>
          <w:szCs w:val="13"/>
          <w:color w:val="auto"/>
        </w:rPr>
        <w:t>In effecting sales, broker-dealers or agents engaged by the selling stockholders may arrange for other broker-dealers to participate. Broker-dealers or agents may receive commissions, discounts or concessions from the selling stockholders in amounts to be negotiated immediately prior to the sale.</w:t>
      </w:r>
    </w:p>
    <w:p>
      <w:pPr>
        <w:spacing w:after="0" w:line="103" w:lineRule="exact"/>
        <w:rPr>
          <w:sz w:val="20"/>
          <w:szCs w:val="20"/>
          <w:color w:val="auto"/>
        </w:rPr>
      </w:pPr>
    </w:p>
    <w:p>
      <w:pPr>
        <w:ind w:left="1400" w:right="499" w:firstLine="339"/>
        <w:spacing w:after="0" w:line="258" w:lineRule="auto"/>
        <w:rPr>
          <w:sz w:val="20"/>
          <w:szCs w:val="20"/>
          <w:color w:val="auto"/>
        </w:rPr>
      </w:pPr>
      <w:r>
        <w:rPr>
          <w:rFonts w:ascii="Times New Roman" w:cs="Times New Roman" w:eastAsia="Times New Roman" w:hAnsi="Times New Roman"/>
          <w:sz w:val="14"/>
          <w:szCs w:val="14"/>
          <w:color w:val="auto"/>
        </w:rPr>
        <w:t>In offering the securities covered by this prospectus and any applicable prospectus supplement, the selling stockholders and any broker-dealers who execute sales for the selling stockholders may be deemed to be “underwriters” within the meaning of the Securities Act in connection with such sales. Any profits realized by the selling stockholders and the compensation of any broker-dealer may be deemed to be underwriting discounts and commissions.</w:t>
      </w:r>
    </w:p>
    <w:p>
      <w:pPr>
        <w:spacing w:after="0" w:line="140" w:lineRule="exact"/>
        <w:rPr>
          <w:sz w:val="20"/>
          <w:szCs w:val="20"/>
          <w:color w:val="auto"/>
        </w:rPr>
      </w:pPr>
    </w:p>
    <w:p>
      <w:pPr>
        <w:ind w:left="1400" w:right="319" w:firstLine="339"/>
        <w:spacing w:after="0" w:line="278" w:lineRule="auto"/>
        <w:rPr>
          <w:sz w:val="20"/>
          <w:szCs w:val="20"/>
          <w:color w:val="auto"/>
        </w:rPr>
      </w:pPr>
      <w:r>
        <w:rPr>
          <w:rFonts w:ascii="Times New Roman" w:cs="Times New Roman" w:eastAsia="Times New Roman" w:hAnsi="Times New Roman"/>
          <w:sz w:val="14"/>
          <w:szCs w:val="14"/>
          <w:color w:val="auto"/>
        </w:rPr>
        <w:t>If at the time of any offering made under this prospectus a member of FINRA participating in the offering has a “conflict of interest” as defined in FINRA Rule 5121, or Rule 5121, that offering will be conducted in accordance with the relevant provisions of Rule 5121.</w:t>
      </w:r>
    </w:p>
    <w:p>
      <w:pPr>
        <w:spacing w:after="0" w:line="126" w:lineRule="exact"/>
        <w:rPr>
          <w:sz w:val="20"/>
          <w:szCs w:val="20"/>
          <w:color w:val="auto"/>
        </w:rPr>
      </w:pPr>
    </w:p>
    <w:p>
      <w:pPr>
        <w:ind w:left="1400" w:right="379" w:firstLine="339"/>
        <w:spacing w:after="0" w:line="263" w:lineRule="auto"/>
        <w:rPr>
          <w:sz w:val="20"/>
          <w:szCs w:val="20"/>
          <w:color w:val="auto"/>
        </w:rPr>
      </w:pPr>
      <w:r>
        <w:rPr>
          <w:rFonts w:ascii="Times New Roman" w:cs="Times New Roman" w:eastAsia="Times New Roman" w:hAnsi="Times New Roman"/>
          <w:sz w:val="14"/>
          <w:szCs w:val="14"/>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8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3"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79" w:firstLine="339"/>
        <w:spacing w:after="0" w:line="255" w:lineRule="auto"/>
        <w:rPr>
          <w:sz w:val="20"/>
          <w:szCs w:val="20"/>
          <w:color w:val="auto"/>
        </w:rPr>
      </w:pPr>
      <w:r>
        <w:rPr>
          <w:rFonts w:ascii="Times New Roman" w:cs="Times New Roman" w:eastAsia="Times New Roman" w:hAnsi="Times New Roman"/>
          <w:sz w:val="14"/>
          <w:szCs w:val="14"/>
          <w:color w:val="auto"/>
        </w:rPr>
        <w:t>The selling stockholders and any other persons participating in the distribution will be subject to the applicable provisions of the Exchange Act and the rules and regulations under the Exchange Act, including, without limitation, Regulation M, which may limit the timing of purchases and sales by the selling stockholders and any other relevant persons of any of the securities. Furthermore, Regulation M may restrict the ability of any person engaged in the distribution of securities to engage in market-making activities with respect to the securities being distributed. All of the above may affect the marketability of the securities and the ability of any person or entity to engage in market-making activities with respect to the securities.</w:t>
      </w:r>
    </w:p>
    <w:p>
      <w:pPr>
        <w:spacing w:after="0" w:line="143" w:lineRule="exact"/>
        <w:rPr>
          <w:sz w:val="20"/>
          <w:szCs w:val="20"/>
          <w:color w:val="auto"/>
        </w:rPr>
      </w:pPr>
    </w:p>
    <w:p>
      <w:pPr>
        <w:ind w:left="1400" w:right="319" w:firstLine="339"/>
        <w:spacing w:after="0" w:line="263" w:lineRule="auto"/>
        <w:rPr>
          <w:sz w:val="20"/>
          <w:szCs w:val="20"/>
          <w:color w:val="auto"/>
        </w:rPr>
      </w:pPr>
      <w:r>
        <w:rPr>
          <w:rFonts w:ascii="Times New Roman" w:cs="Times New Roman" w:eastAsia="Times New Roman" w:hAnsi="Times New Roman"/>
          <w:sz w:val="14"/>
          <w:szCs w:val="14"/>
          <w:color w:val="auto"/>
        </w:rPr>
        <w:t>In addition, we will make copies of this prospectus and any applicable prospectus supplement available to the selling stockholders for the purpose of satisfying the prospectus delivery requirements of the Securities Act. The selling stockholders may indemnify any broker-dealer that participates in transactions involving the sale of the securities against certain liabilities, including liabilities arising under the Securities Act.</w:t>
      </w:r>
    </w:p>
    <w:p>
      <w:pPr>
        <w:spacing w:after="0" w:line="136" w:lineRule="exact"/>
        <w:rPr>
          <w:sz w:val="20"/>
          <w:szCs w:val="20"/>
          <w:color w:val="auto"/>
        </w:rPr>
      </w:pPr>
    </w:p>
    <w:p>
      <w:pPr>
        <w:ind w:left="1400" w:right="279" w:firstLine="339"/>
        <w:spacing w:after="0" w:line="258" w:lineRule="auto"/>
        <w:rPr>
          <w:sz w:val="20"/>
          <w:szCs w:val="20"/>
          <w:color w:val="auto"/>
        </w:rPr>
      </w:pPr>
      <w:r>
        <w:rPr>
          <w:rFonts w:ascii="Times New Roman" w:cs="Times New Roman" w:eastAsia="Times New Roman" w:hAnsi="Times New Roman"/>
          <w:sz w:val="14"/>
          <w:szCs w:val="14"/>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40" w:lineRule="exact"/>
        <w:rPr>
          <w:sz w:val="20"/>
          <w:szCs w:val="20"/>
          <w:color w:val="auto"/>
        </w:rPr>
      </w:pPr>
    </w:p>
    <w:p>
      <w:pPr>
        <w:ind w:left="1400" w:right="459" w:firstLine="339"/>
        <w:spacing w:after="0" w:line="278" w:lineRule="auto"/>
        <w:rPr>
          <w:sz w:val="20"/>
          <w:szCs w:val="20"/>
          <w:color w:val="auto"/>
        </w:rPr>
      </w:pPr>
      <w:r>
        <w:rPr>
          <w:rFonts w:ascii="Times New Roman" w:cs="Times New Roman" w:eastAsia="Times New Roman" w:hAnsi="Times New Roman"/>
          <w:sz w:val="14"/>
          <w:szCs w:val="14"/>
          <w:color w:val="auto"/>
        </w:rPr>
        <w:t>We have agreed to indemnify the selling stockholders against certain liabilities, including liabilities under the Securities Act and state securities laws, relating to the registration of the shares of Class A common stock offered by this prospectus.</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3"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4" w:lineRule="exact"/>
        <w:rPr>
          <w:sz w:val="20"/>
          <w:szCs w:val="20"/>
          <w:color w:val="auto"/>
        </w:rPr>
      </w:pPr>
    </w:p>
    <w:p>
      <w:pPr>
        <w:jc w:val="both"/>
        <w:ind w:left="1400" w:right="419" w:firstLine="339"/>
        <w:spacing w:after="0" w:line="263" w:lineRule="auto"/>
        <w:rPr>
          <w:sz w:val="20"/>
          <w:szCs w:val="20"/>
          <w:color w:val="auto"/>
        </w:rPr>
      </w:pPr>
      <w:r>
        <w:rPr>
          <w:rFonts w:ascii="Times New Roman" w:cs="Times New Roman" w:eastAsia="Times New Roman" w:hAnsi="Times New Roman"/>
          <w:sz w:val="14"/>
          <w:szCs w:val="14"/>
          <w:color w:val="auto"/>
        </w:rPr>
        <w:t>Unless otherwise indicated in any applicable prospectus supplement, certain legal matters in connection with the offering and the validity of the securities offered by this prospectus, and any supplement thereto, will be passed upon by Cooley LLP, Chicago, Illinois and, with respect to matters of Nevada law, by Brownstein Hyatt Farber Schreck, LLP, Las Vegas, Nevada.</w:t>
      </w:r>
    </w:p>
    <w:p>
      <w:pPr>
        <w:spacing w:after="0" w:line="30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4" w:lineRule="exact"/>
        <w:rPr>
          <w:sz w:val="20"/>
          <w:szCs w:val="20"/>
          <w:color w:val="auto"/>
        </w:rPr>
      </w:pPr>
    </w:p>
    <w:p>
      <w:pPr>
        <w:ind w:left="1400" w:right="399" w:firstLine="339"/>
        <w:spacing w:after="0" w:line="263" w:lineRule="auto"/>
        <w:rPr>
          <w:sz w:val="20"/>
          <w:szCs w:val="20"/>
          <w:color w:val="auto"/>
        </w:rPr>
      </w:pPr>
      <w:r>
        <w:rPr>
          <w:rFonts w:ascii="Times New Roman" w:cs="Times New Roman" w:eastAsia="Times New Roman" w:hAnsi="Times New Roman"/>
          <w:sz w:val="14"/>
          <w:szCs w:val="14"/>
          <w:color w:val="auto"/>
        </w:rPr>
        <w:t>The financial statements incorporated in this Prospectus by reference to the Annual Report on Form 10-K for the year ended December 31, 2024 have been so incorporated in reliance on the report of PricewaterhouseCoopers LLP, an independent registered public accounting firm, given on the authority of said firm as experts in auditing and accounting.</w:t>
      </w:r>
    </w:p>
    <w:p>
      <w:pPr>
        <w:spacing w:after="0" w:line="30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4"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This prospectus is part of a registration statement on Form S-3 we filed with the SEC under the Securities Act and does not contain all the information set forth or incorporated by reference in the registration statement and the accompanying exhibits.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w:t>
      </w:r>
    </w:p>
    <w:p>
      <w:pPr>
        <w:spacing w:after="0" w:line="143" w:lineRule="exact"/>
        <w:rPr>
          <w:sz w:val="20"/>
          <w:szCs w:val="20"/>
          <w:color w:val="auto"/>
        </w:rPr>
      </w:pPr>
    </w:p>
    <w:p>
      <w:pPr>
        <w:ind w:left="1400" w:right="319" w:firstLine="339"/>
        <w:spacing w:after="0" w:line="255" w:lineRule="auto"/>
        <w:rPr>
          <w:sz w:val="20"/>
          <w:szCs w:val="20"/>
          <w:color w:val="auto"/>
        </w:rPr>
      </w:pPr>
      <w:r>
        <w:rPr>
          <w:rFonts w:ascii="Times New Roman" w:cs="Times New Roman" w:eastAsia="Times New Roman" w:hAnsi="Times New Roman"/>
          <w:sz w:val="14"/>
          <w:szCs w:val="14"/>
          <w:color w:val="auto"/>
        </w:rPr>
        <w:t>Because we are subject to the information and reporting requirements of the Exchange Act, 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investors.tempus.com. Information contained in or accessible through our website does not constitute a part of this prospectus and is not incorporated by reference in this prospectus. We have included our website address as an inactive textual reference only.</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3"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INCORPORATION OF CERTAIN INFORMATION BY REFERENCE</w:t>
      </w:r>
    </w:p>
    <w:p>
      <w:pPr>
        <w:spacing w:after="0" w:line="174" w:lineRule="exact"/>
        <w:rPr>
          <w:sz w:val="20"/>
          <w:szCs w:val="20"/>
          <w:color w:val="auto"/>
        </w:rPr>
      </w:pPr>
    </w:p>
    <w:p>
      <w:pPr>
        <w:ind w:left="1400" w:right="279" w:firstLine="339"/>
        <w:spacing w:after="0" w:line="251" w:lineRule="auto"/>
        <w:rPr>
          <w:sz w:val="20"/>
          <w:szCs w:val="20"/>
          <w:color w:val="auto"/>
        </w:rPr>
      </w:pPr>
      <w:r>
        <w:rPr>
          <w:rFonts w:ascii="Times New Roman" w:cs="Times New Roman" w:eastAsia="Times New Roman" w:hAnsi="Times New Roman"/>
          <w:sz w:val="14"/>
          <w:szCs w:val="14"/>
          <w:color w:val="auto"/>
        </w:rPr>
        <w:t>The SEC allows us to “incorporate by reference” information into this prospectus, which means that we can disclose important information to you by referring you to another document filed separately with the SEC. The information incorporated by reference is an important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also incorporate by reference into this prospectus the documents listed below and any future filings made by us with the SEC (other than Current Reports or portions thereof furnished under Item 2.02 or Item 7.01 of Form 8-K and exhibits filed on such form that are related to such items and other portions of documents that are deemed to have been furnished, but not filed, or are otherwise not incorporated into registration statements pursuant to applicable rules promulgated by the SEC) pursuant to Sections 13(a), 13(c), 14 or 15(d) of the Exchange Act after the filing and concurrent effectiveness of the registration statement but prior to the termination of all offerings covered by this prospectus:</w:t>
      </w:r>
    </w:p>
    <w:p>
      <w:pPr>
        <w:spacing w:after="0" w:line="76" w:lineRule="exact"/>
        <w:rPr>
          <w:sz w:val="20"/>
          <w:szCs w:val="20"/>
          <w:color w:val="auto"/>
        </w:rPr>
      </w:pPr>
    </w:p>
    <w:p>
      <w:pPr>
        <w:ind w:left="2160" w:hanging="342"/>
        <w:spacing w:after="0"/>
        <w:tabs>
          <w:tab w:leader="none" w:pos="21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64">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2024, filed with the SEC on February 24, 2025;</w:t>
      </w:r>
    </w:p>
    <w:p>
      <w:pPr>
        <w:spacing w:after="0" w:line="98" w:lineRule="exact"/>
        <w:rPr>
          <w:rFonts w:ascii="Times New Roman" w:cs="Times New Roman" w:eastAsia="Times New Roman" w:hAnsi="Times New Roman"/>
          <w:sz w:val="14"/>
          <w:szCs w:val="14"/>
          <w:color w:val="auto"/>
        </w:rPr>
      </w:pPr>
    </w:p>
    <w:p>
      <w:pPr>
        <w:ind w:left="2160" w:right="379" w:hanging="342"/>
        <w:spacing w:after="0" w:line="278" w:lineRule="auto"/>
        <w:tabs>
          <w:tab w:leader="none" w:pos="21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Reports on Form 10-Q for the quarter ended March 31, 2025, filed with the SEC on </w:t>
      </w:r>
      <w:hyperlink r:id="rId65">
        <w:r>
          <w:rPr>
            <w:rFonts w:ascii="Times New Roman" w:cs="Times New Roman" w:eastAsia="Times New Roman" w:hAnsi="Times New Roman"/>
            <w:sz w:val="14"/>
            <w:szCs w:val="14"/>
            <w:u w:val="single" w:color="auto"/>
            <w:color w:val="0000EE"/>
          </w:rPr>
          <w:t>May 6, 2025</w:t>
        </w:r>
      </w:hyperlink>
      <w:r>
        <w:rPr>
          <w:rFonts w:ascii="Times New Roman" w:cs="Times New Roman" w:eastAsia="Times New Roman" w:hAnsi="Times New Roman"/>
          <w:sz w:val="14"/>
          <w:szCs w:val="14"/>
          <w:color w:val="auto"/>
        </w:rPr>
        <w:t xml:space="preserve">, and for the quarter ended June 30, 2025, filed with the SEC on </w:t>
      </w:r>
      <w:hyperlink r:id="rId66">
        <w:r>
          <w:rPr>
            <w:rFonts w:ascii="Times New Roman" w:cs="Times New Roman" w:eastAsia="Times New Roman" w:hAnsi="Times New Roman"/>
            <w:sz w:val="14"/>
            <w:szCs w:val="14"/>
            <w:u w:val="single" w:color="auto"/>
            <w:color w:val="0000EE"/>
          </w:rPr>
          <w:t>August 8, 2025</w:t>
        </w:r>
      </w:hyperlink>
      <w:r>
        <w:rPr>
          <w:rFonts w:ascii="Times New Roman" w:cs="Times New Roman" w:eastAsia="Times New Roman" w:hAnsi="Times New Roman"/>
          <w:sz w:val="14"/>
          <w:szCs w:val="14"/>
          <w:color w:val="auto"/>
        </w:rPr>
        <w:t>;</w:t>
      </w:r>
    </w:p>
    <w:p>
      <w:pPr>
        <w:spacing w:after="0" w:line="53" w:lineRule="exact"/>
        <w:rPr>
          <w:rFonts w:ascii="Times New Roman" w:cs="Times New Roman" w:eastAsia="Times New Roman" w:hAnsi="Times New Roman"/>
          <w:sz w:val="14"/>
          <w:szCs w:val="14"/>
          <w:color w:val="auto"/>
        </w:rPr>
      </w:pPr>
    </w:p>
    <w:p>
      <w:pPr>
        <w:ind w:left="2160" w:right="419" w:hanging="342"/>
        <w:spacing w:after="0" w:line="278" w:lineRule="auto"/>
        <w:tabs>
          <w:tab w:leader="none" w:pos="21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Definitive Proxy Statement on </w:t>
      </w:r>
      <w:hyperlink r:id="rId67">
        <w:r>
          <w:rPr>
            <w:rFonts w:ascii="Times New Roman" w:cs="Times New Roman" w:eastAsia="Times New Roman" w:hAnsi="Times New Roman"/>
            <w:sz w:val="14"/>
            <w:szCs w:val="14"/>
            <w:u w:val="single" w:color="auto"/>
            <w:color w:val="0000EE"/>
          </w:rPr>
          <w:t>Schedule 14A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filed with the SEC on April 7, 2025 (solely with respect to those portions incorporated by reference into our Annual Report on </w:t>
      </w:r>
      <w:hyperlink r:id="rId64">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2024);</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with the SEC on </w:t>
      </w:r>
      <w:hyperlink r:id="rId68">
        <w:r>
          <w:rPr>
            <w:rFonts w:ascii="Times New Roman" w:cs="Times New Roman" w:eastAsia="Times New Roman" w:hAnsi="Times New Roman"/>
            <w:sz w:val="14"/>
            <w:szCs w:val="14"/>
            <w:u w:val="single" w:color="auto"/>
            <w:color w:val="0000EE"/>
          </w:rPr>
          <w:t>February 3, 2025</w:t>
        </w:r>
      </w:hyperlink>
      <w:r>
        <w:rPr>
          <w:rFonts w:ascii="Times New Roman" w:cs="Times New Roman" w:eastAsia="Times New Roman" w:hAnsi="Times New Roman"/>
          <w:sz w:val="14"/>
          <w:szCs w:val="14"/>
          <w:color w:val="auto"/>
        </w:rPr>
        <w:t xml:space="preserve">, </w:t>
      </w:r>
      <w:hyperlink r:id="rId69">
        <w:r>
          <w:rPr>
            <w:rFonts w:ascii="Times New Roman" w:cs="Times New Roman" w:eastAsia="Times New Roman" w:hAnsi="Times New Roman"/>
            <w:sz w:val="14"/>
            <w:szCs w:val="14"/>
            <w:u w:val="single" w:color="auto"/>
            <w:color w:val="0000EE"/>
          </w:rPr>
          <w:t>April 23, 2025</w:t>
        </w:r>
      </w:hyperlink>
      <w:r>
        <w:rPr>
          <w:rFonts w:ascii="Times New Roman" w:cs="Times New Roman" w:eastAsia="Times New Roman" w:hAnsi="Times New Roman"/>
          <w:sz w:val="14"/>
          <w:szCs w:val="14"/>
          <w:color w:val="auto"/>
        </w:rPr>
        <w:t xml:space="preserve">, </w:t>
      </w:r>
      <w:hyperlink r:id="rId70">
        <w:r>
          <w:rPr>
            <w:rFonts w:ascii="Times New Roman" w:cs="Times New Roman" w:eastAsia="Times New Roman" w:hAnsi="Times New Roman"/>
            <w:sz w:val="14"/>
            <w:szCs w:val="14"/>
            <w:u w:val="single" w:color="auto"/>
            <w:color w:val="0000EE"/>
          </w:rPr>
          <w:t>May 23,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71">
        <w:r>
          <w:rPr>
            <w:rFonts w:ascii="Times New Roman" w:cs="Times New Roman" w:eastAsia="Times New Roman" w:hAnsi="Times New Roman"/>
            <w:sz w:val="14"/>
            <w:szCs w:val="14"/>
            <w:u w:val="single" w:color="auto"/>
            <w:color w:val="0000EE"/>
          </w:rPr>
          <w:t>July 3, 2025</w:t>
        </w:r>
      </w:hyperlink>
      <w:r>
        <w:rPr>
          <w:rFonts w:ascii="Times New Roman" w:cs="Times New Roman" w:eastAsia="Times New Roman" w:hAnsi="Times New Roman"/>
          <w:sz w:val="14"/>
          <w:szCs w:val="14"/>
          <w:color w:val="auto"/>
        </w:rPr>
        <w:t>; and</w:t>
      </w:r>
    </w:p>
    <w:p>
      <w:pPr>
        <w:spacing w:after="0" w:line="98" w:lineRule="exact"/>
        <w:rPr>
          <w:rFonts w:ascii="Times New Roman" w:cs="Times New Roman" w:eastAsia="Times New Roman" w:hAnsi="Times New Roman"/>
          <w:sz w:val="14"/>
          <w:szCs w:val="14"/>
          <w:color w:val="auto"/>
        </w:rPr>
      </w:pPr>
    </w:p>
    <w:p>
      <w:pPr>
        <w:ind w:left="2160" w:right="319" w:hanging="342"/>
        <w:spacing w:after="0" w:line="263" w:lineRule="auto"/>
        <w:tabs>
          <w:tab w:leader="none" w:pos="21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Class A common stock in our registration statement on </w:t>
      </w:r>
      <w:hyperlink r:id="rId72">
        <w:r>
          <w:rPr>
            <w:rFonts w:ascii="Times New Roman" w:cs="Times New Roman" w:eastAsia="Times New Roman" w:hAnsi="Times New Roman"/>
            <w:sz w:val="14"/>
            <w:szCs w:val="14"/>
            <w:u w:val="single" w:color="auto"/>
            <w:color w:val="0000EE"/>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filed with the SEC on June 11, 2024, including any amendments or reports filed for the purpose of updating such description, including </w:t>
      </w:r>
      <w:hyperlink r:id="rId73">
        <w:r>
          <w:rPr>
            <w:rFonts w:ascii="Times New Roman" w:cs="Times New Roman" w:eastAsia="Times New Roman" w:hAnsi="Times New Roman"/>
            <w:sz w:val="14"/>
            <w:szCs w:val="14"/>
            <w:u w:val="single" w:color="auto"/>
            <w:color w:val="0000EE"/>
          </w:rPr>
          <w:t>Exhibit 4.3</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Quarterly Report on Form 10-Q for the period ended June 30, 2025.</w:t>
      </w:r>
    </w:p>
    <w:p>
      <w:pPr>
        <w:spacing w:after="0" w:line="136" w:lineRule="exact"/>
        <w:rPr>
          <w:rFonts w:ascii="Times New Roman" w:cs="Times New Roman" w:eastAsia="Times New Roman" w:hAnsi="Times New Roman"/>
          <w:sz w:val="14"/>
          <w:szCs w:val="14"/>
          <w:color w:val="auto"/>
        </w:rPr>
      </w:pPr>
    </w:p>
    <w:p>
      <w:pPr>
        <w:jc w:val="center"/>
        <w:ind w:right="-140"/>
        <w:spacing w:after="0"/>
        <w:rPr>
          <w:sz w:val="20"/>
          <w:szCs w:val="20"/>
          <w:color w:val="auto"/>
        </w:rPr>
      </w:pPr>
      <w:r>
        <w:rPr>
          <w:rFonts w:ascii="Times New Roman" w:cs="Times New Roman" w:eastAsia="Times New Roman" w:hAnsi="Times New Roman"/>
          <w:sz w:val="14"/>
          <w:szCs w:val="14"/>
          <w:color w:val="auto"/>
        </w:rPr>
        <w:t>You may request a copy of these filings, at no cost, by writing or telephoning us at the following address or phone number:</w:t>
      </w:r>
    </w:p>
    <w:p>
      <w:pPr>
        <w:spacing w:after="0" w:line="89"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Tempus AI, Inc.</w:t>
      </w:r>
    </w:p>
    <w:p>
      <w:pPr>
        <w:spacing w:after="0" w:line="21"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600 West Chicago Avenue, Suite 510</w:t>
      </w:r>
    </w:p>
    <w:p>
      <w:pPr>
        <w:spacing w:after="0" w:line="5"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Illinois, 60654</w:t>
      </w:r>
    </w:p>
    <w:p>
      <w:pPr>
        <w:spacing w:after="0" w:line="5"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Attn: Corporate Secretary</w:t>
      </w:r>
    </w:p>
    <w:p>
      <w:pPr>
        <w:spacing w:after="0" w:line="5"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(800) 976-5448</w:t>
      </w:r>
    </w:p>
    <w:p>
      <w:pPr>
        <w:spacing w:after="0" w:line="157" w:lineRule="exact"/>
        <w:rPr>
          <w:rFonts w:ascii="Times New Roman" w:cs="Times New Roman" w:eastAsia="Times New Roman" w:hAnsi="Times New Roman"/>
          <w:sz w:val="14"/>
          <w:szCs w:val="14"/>
          <w:color w:val="auto"/>
        </w:rPr>
      </w:pPr>
    </w:p>
    <w:p>
      <w:pPr>
        <w:ind w:left="1400" w:right="419" w:firstLine="339"/>
        <w:spacing w:after="0" w:line="263" w:lineRule="auto"/>
        <w:rPr>
          <w:sz w:val="20"/>
          <w:szCs w:val="20"/>
          <w:color w:val="auto"/>
        </w:rPr>
      </w:pPr>
      <w:r>
        <w:rPr>
          <w:rFonts w:ascii="Times New Roman" w:cs="Times New Roman" w:eastAsia="Times New Roman" w:hAnsi="Times New Roman"/>
          <w:sz w:val="14"/>
          <w:szCs w:val="14"/>
          <w:color w:val="auto"/>
        </w:rPr>
        <w:t>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84" w:lineRule="exact"/>
        <w:rPr>
          <w:rFonts w:ascii="Times New Roman" w:cs="Times New Roman" w:eastAsia="Times New Roman" w:hAnsi="Times New Roman"/>
          <w:sz w:val="14"/>
          <w:szCs w:val="14"/>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83"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193040</wp:posOffset>
            </wp:positionV>
            <wp:extent cx="5387975" cy="133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5387975" cy="13335"/>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232410</wp:posOffset>
            </wp:positionV>
            <wp:extent cx="5387975"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5387975" cy="6350"/>
                    </a:xfrm>
                    <a:prstGeom prst="rect">
                      <a:avLst/>
                    </a:prstGeom>
                    <a:noFill/>
                  </pic:spPr>
                </pic:pic>
              </a:graphicData>
            </a:graphic>
          </wp:anchor>
        </w:drawing>
        <w:drawing>
          <wp:anchor simplePos="0" relativeHeight="251657728" behindDoc="1" locked="0" layoutInCell="0" allowOverlap="1">
            <wp:simplePos x="0" y="0"/>
            <wp:positionH relativeFrom="column">
              <wp:posOffset>3019425</wp:posOffset>
            </wp:positionH>
            <wp:positionV relativeFrom="paragraph">
              <wp:posOffset>3520440</wp:posOffset>
            </wp:positionV>
            <wp:extent cx="112903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1129030" cy="6350"/>
                    </a:xfrm>
                    <a:prstGeom prst="rect">
                      <a:avLst/>
                    </a:prstGeom>
                    <a:noFill/>
                  </pic:spPr>
                </pic:pic>
              </a:graphicData>
            </a:graphic>
          </wp:anchor>
        </w:drawing>
        <w:drawing>
          <wp:anchor simplePos="0" relativeHeight="251657728" behindDoc="1" locked="0" layoutInCell="0" allowOverlap="1">
            <wp:simplePos x="0" y="0"/>
            <wp:positionH relativeFrom="column">
              <wp:posOffset>2682875</wp:posOffset>
            </wp:positionH>
            <wp:positionV relativeFrom="paragraph">
              <wp:posOffset>1480820</wp:posOffset>
            </wp:positionV>
            <wp:extent cx="1802765" cy="6470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1802765" cy="647065"/>
                    </a:xfrm>
                    <a:prstGeom prst="rect">
                      <a:avLst/>
                    </a:prstGeom>
                    <a:noFill/>
                  </pic:spPr>
                </pic:pic>
              </a:graphicData>
            </a:graphic>
          </wp:anchor>
        </w:drawing>
      </w:r>
    </w:p>
    <w:p>
      <w:pPr>
        <w:sectPr>
          <w:pgSz w:w="11900" w:h="16838" w:orient="portrait"/>
          <w:cols w:equalWidth="0" w:num="1">
            <w:col w:w="10159"/>
          </w:cols>
          <w:pgMar w:left="300" w:top="3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3019425</wp:posOffset>
            </wp:positionH>
            <wp:positionV relativeFrom="paragraph">
              <wp:posOffset>196215</wp:posOffset>
            </wp:positionV>
            <wp:extent cx="112903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August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1242060</wp:posOffset>
            </wp:positionV>
            <wp:extent cx="5387975"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5387975" cy="635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1294765</wp:posOffset>
            </wp:positionV>
            <wp:extent cx="5387975" cy="133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5387975" cy="13335"/>
                    </a:xfrm>
                    <a:prstGeom prst="rect">
                      <a:avLst/>
                    </a:prstGeom>
                    <a:noFill/>
                  </pic:spPr>
                </pic:pic>
              </a:graphicData>
            </a:graphic>
          </wp:anchor>
        </w:drawing>
      </w:r>
    </w:p>
    <w:p>
      <w:pPr>
        <w:sectPr>
          <w:pgSz w:w="11900" w:h="16838" w:orient="portrait"/>
          <w:cols w:equalWidth="0" w:num="1">
            <w:col w:w="10159"/>
          </w:cols>
          <w:pgMar w:left="300" w:top="383" w:right="1440"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2695575</wp:posOffset>
            </wp:positionH>
            <wp:positionV relativeFrom="paragraph">
              <wp:posOffset>132715</wp:posOffset>
            </wp:positionV>
            <wp:extent cx="1776095" cy="6934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1776095" cy="693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Up to $500,000,000</w:t>
      </w:r>
    </w:p>
    <w:p>
      <w:pPr>
        <w:spacing w:after="0" w:line="17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Class A Common Stock</w:t>
      </w:r>
    </w:p>
    <w:p>
      <w:pPr>
        <w:spacing w:after="0" w:line="184" w:lineRule="exact"/>
        <w:rPr>
          <w:sz w:val="20"/>
          <w:szCs w:val="20"/>
          <w:color w:val="auto"/>
        </w:rPr>
      </w:pPr>
    </w:p>
    <w:p>
      <w:pPr>
        <w:ind w:left="1400" w:right="319" w:firstLine="339"/>
        <w:spacing w:after="0" w:line="232" w:lineRule="auto"/>
        <w:rPr>
          <w:sz w:val="20"/>
          <w:szCs w:val="20"/>
          <w:color w:val="auto"/>
        </w:rPr>
      </w:pPr>
      <w:r>
        <w:rPr>
          <w:rFonts w:ascii="Times New Roman" w:cs="Times New Roman" w:eastAsia="Times New Roman" w:hAnsi="Times New Roman"/>
          <w:sz w:val="14"/>
          <w:szCs w:val="14"/>
          <w:color w:val="auto"/>
        </w:rPr>
        <w:t>We have entered into a Controlled Equity Offering</w:t>
      </w:r>
      <w:r>
        <w:rPr>
          <w:rFonts w:ascii="Times New Roman" w:cs="Times New Roman" w:eastAsia="Times New Roman" w:hAnsi="Times New Roman"/>
          <w:sz w:val="20"/>
          <w:szCs w:val="20"/>
          <w:color w:val="auto"/>
          <w:vertAlign w:val="superscript"/>
        </w:rPr>
        <w:t>SM</w:t>
      </w:r>
      <w:r>
        <w:rPr>
          <w:rFonts w:ascii="Times New Roman" w:cs="Times New Roman" w:eastAsia="Times New Roman" w:hAnsi="Times New Roman"/>
          <w:sz w:val="14"/>
          <w:szCs w:val="14"/>
          <w:color w:val="auto"/>
        </w:rPr>
        <w:t xml:space="preserve"> Sales Agreement (the “sales agreement”) with Morgan Stanley &amp; Co. LLC (“Morgan Stanley”), Cantor Fitzgerald &amp; Co. (“Cantor”), TD Securities (USA) LLC (“TD Securities”) and Allen &amp; Company LLC (“Allen” and collectively, the “sales agents”) relating to the sale of shares of our Class A common stock, par value $0.0001 (the “Class A common stock”) offered by this prospectus. In accordance with the terms of the sales agreement, we may offer and sell shares of our Class A common stock from time to time through or to Morgan Stanley, Cantor, TD Securities and/or Allen acting as sales agent or principal, having an aggregate offering price of up to $500 million.</w:t>
      </w:r>
    </w:p>
    <w:p>
      <w:pPr>
        <w:spacing w:after="0" w:line="153" w:lineRule="exact"/>
        <w:rPr>
          <w:sz w:val="20"/>
          <w:szCs w:val="20"/>
          <w:color w:val="auto"/>
        </w:rPr>
      </w:pPr>
    </w:p>
    <w:p>
      <w:pPr>
        <w:ind w:left="1400" w:right="479" w:firstLine="339"/>
        <w:spacing w:after="0" w:line="278" w:lineRule="auto"/>
        <w:rPr>
          <w:sz w:val="20"/>
          <w:szCs w:val="20"/>
          <w:color w:val="auto"/>
        </w:rPr>
      </w:pPr>
      <w:r>
        <w:rPr>
          <w:rFonts w:ascii="Times New Roman" w:cs="Times New Roman" w:eastAsia="Times New Roman" w:hAnsi="Times New Roman"/>
          <w:sz w:val="14"/>
          <w:szCs w:val="14"/>
          <w:color w:val="auto"/>
        </w:rPr>
        <w:t>Our Class A common stock is listed on the Nasdaq Global Select Market (“Nasdaq”) under the trading symbol “TEM.” On August 7, 2025, the last reported sale price of our Class A common stock was $58.74 per share.</w:t>
      </w:r>
    </w:p>
    <w:p>
      <w:pPr>
        <w:spacing w:after="0" w:line="126" w:lineRule="exact"/>
        <w:rPr>
          <w:sz w:val="20"/>
          <w:szCs w:val="20"/>
          <w:color w:val="auto"/>
        </w:rPr>
      </w:pPr>
    </w:p>
    <w:p>
      <w:pPr>
        <w:ind w:left="1400" w:right="279" w:firstLine="339"/>
        <w:spacing w:after="0" w:line="253" w:lineRule="auto"/>
        <w:rPr>
          <w:sz w:val="20"/>
          <w:szCs w:val="20"/>
          <w:color w:val="auto"/>
        </w:rPr>
      </w:pPr>
      <w:r>
        <w:rPr>
          <w:rFonts w:ascii="Times New Roman" w:cs="Times New Roman" w:eastAsia="Times New Roman" w:hAnsi="Times New Roman"/>
          <w:sz w:val="14"/>
          <w:szCs w:val="14"/>
          <w:color w:val="auto"/>
        </w:rPr>
        <w:t>Sales of our Class A common stock, if any, under this prospectus may be made in sales deemed to be “at the market offerings” as defined in Rule 415(a)(4) promulgated under the Securities Act of 1933, as amended (the “Securities Act”), including by means of ordinary brokers’ transactions, directly on Nasdaq or to or through a market maker other than on an exchange at prevailing market prices, at prices related to prevailing market prices or at negotiated prices or by any other method permitted by law. The sales agents are not required to sell any specific number or dollar amounts of Class A common stock but will use commercially reasonable efforts consistent with normal trading and sales practices, on mutually agreed terms between the sales agents and us. There is no arrangement for funds to be received in any escrow, trust or similar arrangement. The sales agents may also purchase shares of our Class A common stock as principal.</w:t>
      </w:r>
    </w:p>
    <w:p>
      <w:pPr>
        <w:spacing w:after="0" w:line="143" w:lineRule="exact"/>
        <w:rPr>
          <w:sz w:val="20"/>
          <w:szCs w:val="20"/>
          <w:color w:val="auto"/>
        </w:rPr>
      </w:pPr>
    </w:p>
    <w:p>
      <w:pPr>
        <w:ind w:left="1400" w:right="519" w:firstLine="339"/>
        <w:spacing w:after="0" w:line="255" w:lineRule="auto"/>
        <w:rPr>
          <w:sz w:val="20"/>
          <w:szCs w:val="20"/>
          <w:color w:val="auto"/>
        </w:rPr>
      </w:pPr>
      <w:r>
        <w:rPr>
          <w:rFonts w:ascii="Times New Roman" w:cs="Times New Roman" w:eastAsia="Times New Roman" w:hAnsi="Times New Roman"/>
          <w:sz w:val="14"/>
          <w:szCs w:val="14"/>
          <w:color w:val="auto"/>
        </w:rPr>
        <w:t>The sales agents will be entitled to compensation at a commission rate of up to 3.0% of the gross sales price per share sold by the sales agents under the sales agreement. In connection with the sale of Class A common stock on our behalf, the sales agents may be deemed to be “underwriters” within the meaning of the Securities Act and the compensation of the sales agents will be deemed to be underwriting commissions or discounts. See “Plan of Distribution” beginning on page 8 for additional information regarding underwriting compensation. We have also agreed to provide indemnification and contributions to the sales agents against certain civil liabilities, including liabilities under the Securities Act.</w:t>
      </w:r>
    </w:p>
    <w:p>
      <w:pPr>
        <w:spacing w:after="0" w:line="133" w:lineRule="exact"/>
        <w:rPr>
          <w:sz w:val="20"/>
          <w:szCs w:val="20"/>
          <w:color w:val="auto"/>
        </w:rPr>
      </w:pPr>
    </w:p>
    <w:p>
      <w:pPr>
        <w:ind w:left="1400" w:right="439" w:firstLine="339"/>
        <w:spacing w:after="0" w:line="244" w:lineRule="auto"/>
        <w:rPr>
          <w:sz w:val="20"/>
          <w:szCs w:val="20"/>
          <w:color w:val="auto"/>
        </w:rPr>
      </w:pPr>
      <w:r>
        <w:rPr>
          <w:rFonts w:ascii="Times New Roman" w:cs="Times New Roman" w:eastAsia="Times New Roman" w:hAnsi="Times New Roman"/>
          <w:sz w:val="17"/>
          <w:szCs w:val="17"/>
          <w:b w:val="1"/>
          <w:bCs w:val="1"/>
          <w:color w:val="auto"/>
        </w:rPr>
        <w:t>Investing in our Class A common stock involves a high degree of risk. You should review carefully the risks and uncertainties described in the section titled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on page 5 of this prospectus and under similar headings in the documents that are incorporated by reference into this prospectus.</w:t>
      </w:r>
    </w:p>
    <w:p>
      <w:pPr>
        <w:spacing w:after="0" w:line="140" w:lineRule="exact"/>
        <w:rPr>
          <w:sz w:val="20"/>
          <w:szCs w:val="20"/>
          <w:color w:val="auto"/>
        </w:rPr>
      </w:pPr>
    </w:p>
    <w:p>
      <w:pPr>
        <w:ind w:left="1400" w:right="379" w:firstLine="339"/>
        <w:spacing w:after="0" w:line="281"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32" w:lineRule="exact"/>
        <w:rPr>
          <w:sz w:val="20"/>
          <w:szCs w:val="20"/>
          <w:color w:val="auto"/>
        </w:rPr>
      </w:pPr>
    </w:p>
    <w:p>
      <w:pPr>
        <w:jc w:val="right"/>
        <w:ind w:right="279"/>
        <w:spacing w:after="0"/>
        <w:tabs>
          <w:tab w:leader="none" w:pos="5800" w:val="left"/>
          <w:tab w:leader="none" w:pos="4400" w:val="left"/>
          <w:tab w:leader="none" w:pos="2200" w:val="left"/>
        </w:tabs>
        <w:rPr>
          <w:sz w:val="20"/>
          <w:szCs w:val="20"/>
          <w:color w:val="auto"/>
        </w:rPr>
      </w:pPr>
      <w:r>
        <w:rPr>
          <w:rFonts w:ascii="Times New Roman" w:cs="Times New Roman" w:eastAsia="Times New Roman" w:hAnsi="Times New Roman"/>
          <w:sz w:val="22"/>
          <w:szCs w:val="22"/>
          <w:b w:val="1"/>
          <w:bCs w:val="1"/>
          <w:color w:val="auto"/>
        </w:rPr>
        <w:t>Morgan Stanley</w:t>
      </w:r>
      <w:r>
        <w:rPr>
          <w:sz w:val="20"/>
          <w:szCs w:val="20"/>
          <w:color w:val="auto"/>
        </w:rPr>
        <w:tab/>
      </w:r>
      <w:r>
        <w:rPr>
          <w:rFonts w:ascii="Times New Roman" w:cs="Times New Roman" w:eastAsia="Times New Roman" w:hAnsi="Times New Roman"/>
          <w:sz w:val="22"/>
          <w:szCs w:val="22"/>
          <w:b w:val="1"/>
          <w:bCs w:val="1"/>
          <w:color w:val="auto"/>
        </w:rPr>
        <w:t>Cantor</w:t>
      </w:r>
      <w:r>
        <w:rPr>
          <w:sz w:val="20"/>
          <w:szCs w:val="20"/>
          <w:color w:val="auto"/>
        </w:rPr>
        <w:tab/>
      </w:r>
      <w:r>
        <w:rPr>
          <w:rFonts w:ascii="Times New Roman" w:cs="Times New Roman" w:eastAsia="Times New Roman" w:hAnsi="Times New Roman"/>
          <w:sz w:val="22"/>
          <w:szCs w:val="22"/>
          <w:b w:val="1"/>
          <w:bCs w:val="1"/>
          <w:color w:val="auto"/>
        </w:rPr>
        <w:t>TD Securities</w:t>
      </w:r>
      <w:r>
        <w:rPr>
          <w:sz w:val="20"/>
          <w:szCs w:val="20"/>
          <w:color w:val="auto"/>
        </w:rPr>
        <w:tab/>
      </w:r>
      <w:r>
        <w:rPr>
          <w:rFonts w:ascii="Times New Roman" w:cs="Times New Roman" w:eastAsia="Times New Roman" w:hAnsi="Times New Roman"/>
          <w:sz w:val="22"/>
          <w:szCs w:val="22"/>
          <w:b w:val="1"/>
          <w:bCs w:val="1"/>
          <w:color w:val="auto"/>
        </w:rPr>
        <w:t>Allen &amp; Company LLC</w:t>
      </w:r>
    </w:p>
    <w:p>
      <w:pPr>
        <w:spacing w:after="0" w:line="19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The date of this prospectus is August 8, 2025.</w:t>
      </w:r>
    </w:p>
    <w:p>
      <w:pPr>
        <w:sectPr>
          <w:pgSz w:w="11900" w:h="16838" w:orient="portrait"/>
          <w:cols w:equalWidth="0" w:num="1">
            <w:col w:w="10159"/>
          </w:cols>
          <w:pgMar w:left="300" w:top="383"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82"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50"/>
        </w:trPr>
        <w:tc>
          <w:tcPr>
            <w:tcW w:w="1720" w:type="dxa"/>
            <w:vAlign w:val="bottom"/>
            <w:tcBorders>
              <w:bottom w:val="single" w:sz="8" w:color="0000EE"/>
            </w:tcBorders>
            <w:gridSpan w:val="7"/>
          </w:tcPr>
          <w:p>
            <w:pPr>
              <w:spacing w:after="0" w:line="150" w:lineRule="exact"/>
              <w:rPr>
                <w:sz w:val="20"/>
                <w:szCs w:val="20"/>
                <w:color w:val="auto"/>
              </w:rPr>
            </w:pPr>
            <w:r>
              <w:rPr>
                <w:rFonts w:ascii="Times New Roman" w:cs="Times New Roman" w:eastAsia="Times New Roman" w:hAnsi="Times New Roman"/>
                <w:sz w:val="14"/>
                <w:szCs w:val="14"/>
                <w:color w:val="0000EE"/>
                <w:w w:val="97"/>
              </w:rPr>
              <w:t>ABOUT THIS PROSPECTUS</w:t>
            </w:r>
          </w:p>
        </w:tc>
        <w:tc>
          <w:tcPr>
            <w:tcW w:w="4440" w:type="dxa"/>
            <w:vAlign w:val="bottom"/>
            <w:gridSpan w:val="4"/>
          </w:tcPr>
          <w:p>
            <w:pPr>
              <w:spacing w:after="0"/>
              <w:rPr>
                <w:sz w:val="13"/>
                <w:szCs w:val="13"/>
                <w:color w:val="auto"/>
              </w:rPr>
            </w:pPr>
          </w:p>
        </w:tc>
        <w:tc>
          <w:tcPr>
            <w:tcW w:w="228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i</w:t>
            </w:r>
          </w:p>
        </w:tc>
      </w:tr>
      <w:tr>
        <w:trPr>
          <w:trHeight w:val="146"/>
        </w:trPr>
        <w:tc>
          <w:tcPr>
            <w:tcW w:w="6160" w:type="dxa"/>
            <w:vAlign w:val="bottom"/>
            <w:gridSpan w:val="11"/>
          </w:tcPr>
          <w:p>
            <w:pPr>
              <w:spacing w:after="0" w:line="147" w:lineRule="exact"/>
              <w:rPr>
                <w:sz w:val="20"/>
                <w:szCs w:val="20"/>
                <w:color w:val="auto"/>
              </w:rPr>
            </w:pPr>
            <w:r>
              <w:rPr>
                <w:rFonts w:ascii="Times New Roman" w:cs="Times New Roman" w:eastAsia="Times New Roman" w:hAnsi="Times New Roman"/>
                <w:sz w:val="14"/>
                <w:szCs w:val="14"/>
                <w:color w:val="0000EE"/>
              </w:rPr>
              <w:t>SPECIAL NOTE REGARDING FORWARD-LOOKING STATEMENTS</w:t>
            </w: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iii</w:t>
            </w:r>
          </w:p>
        </w:tc>
      </w:tr>
      <w:tr>
        <w:trPr>
          <w:trHeight w:val="146"/>
        </w:trPr>
        <w:tc>
          <w:tcPr>
            <w:tcW w:w="4100" w:type="dxa"/>
            <w:vAlign w:val="bottom"/>
            <w:tcBorders>
              <w:top w:val="single" w:sz="8" w:color="0000EE"/>
            </w:tcBorders>
            <w:gridSpan w:val="10"/>
          </w:tcPr>
          <w:p>
            <w:pPr>
              <w:spacing w:after="0" w:line="147" w:lineRule="exact"/>
              <w:rPr>
                <w:sz w:val="20"/>
                <w:szCs w:val="20"/>
                <w:color w:val="auto"/>
              </w:rPr>
            </w:pPr>
            <w:r>
              <w:rPr>
                <w:rFonts w:ascii="Times New Roman" w:cs="Times New Roman" w:eastAsia="Times New Roman" w:hAnsi="Times New Roman"/>
                <w:sz w:val="14"/>
                <w:szCs w:val="14"/>
                <w:color w:val="0000EE"/>
              </w:rPr>
              <w:t>PROSPECTUS SUMMARY</w:t>
            </w:r>
          </w:p>
        </w:tc>
        <w:tc>
          <w:tcPr>
            <w:tcW w:w="2060" w:type="dxa"/>
            <w:vAlign w:val="bottom"/>
          </w:tcPr>
          <w:p>
            <w:pPr>
              <w:spacing w:after="0"/>
              <w:rPr>
                <w:sz w:val="12"/>
                <w:szCs w:val="12"/>
                <w:color w:val="auto"/>
              </w:rPr>
            </w:pP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w:t>
            </w:r>
          </w:p>
        </w:tc>
      </w:tr>
      <w:tr>
        <w:trPr>
          <w:trHeight w:val="146"/>
        </w:trPr>
        <w:tc>
          <w:tcPr>
            <w:tcW w:w="1600" w:type="dxa"/>
            <w:vAlign w:val="bottom"/>
            <w:tcBorders>
              <w:top w:val="single" w:sz="8" w:color="0000EE"/>
            </w:tcBorders>
            <w:gridSpan w:val="6"/>
          </w:tcPr>
          <w:p>
            <w:pPr>
              <w:spacing w:after="0" w:line="147" w:lineRule="exact"/>
              <w:rPr>
                <w:sz w:val="20"/>
                <w:szCs w:val="20"/>
                <w:color w:val="auto"/>
              </w:rPr>
            </w:pPr>
            <w:r>
              <w:rPr>
                <w:rFonts w:ascii="Times New Roman" w:cs="Times New Roman" w:eastAsia="Times New Roman" w:hAnsi="Times New Roman"/>
                <w:sz w:val="14"/>
                <w:szCs w:val="14"/>
                <w:color w:val="0000EE"/>
              </w:rPr>
              <w:t>RISK FACTORS</w:t>
            </w:r>
          </w:p>
        </w:tc>
        <w:tc>
          <w:tcPr>
            <w:tcW w:w="4560" w:type="dxa"/>
            <w:vAlign w:val="bottom"/>
            <w:gridSpan w:val="5"/>
          </w:tcPr>
          <w:p>
            <w:pPr>
              <w:spacing w:after="0"/>
              <w:rPr>
                <w:sz w:val="12"/>
                <w:szCs w:val="12"/>
                <w:color w:val="auto"/>
              </w:rPr>
            </w:pP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w:t>
            </w:r>
          </w:p>
        </w:tc>
      </w:tr>
      <w:tr>
        <w:trPr>
          <w:trHeight w:val="20"/>
        </w:trPr>
        <w:tc>
          <w:tcPr>
            <w:tcW w:w="6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46"/>
        </w:trPr>
        <w:tc>
          <w:tcPr>
            <w:tcW w:w="1220" w:type="dxa"/>
            <w:vAlign w:val="bottom"/>
            <w:tcBorders>
              <w:bottom w:val="single" w:sz="8" w:color="0000EE"/>
            </w:tcBorders>
            <w:gridSpan w:val="4"/>
          </w:tcPr>
          <w:p>
            <w:pPr>
              <w:spacing w:after="0" w:line="147" w:lineRule="exact"/>
              <w:rPr>
                <w:sz w:val="20"/>
                <w:szCs w:val="20"/>
                <w:color w:val="auto"/>
              </w:rPr>
            </w:pPr>
            <w:r>
              <w:rPr>
                <w:rFonts w:ascii="Times New Roman" w:cs="Times New Roman" w:eastAsia="Times New Roman" w:hAnsi="Times New Roman"/>
                <w:sz w:val="14"/>
                <w:szCs w:val="14"/>
                <w:color w:val="0000EE"/>
                <w:w w:val="97"/>
              </w:rPr>
              <w:t>USE OF PROCEEDS</w:t>
            </w:r>
          </w:p>
        </w:tc>
        <w:tc>
          <w:tcPr>
            <w:tcW w:w="4940" w:type="dxa"/>
            <w:vAlign w:val="bottom"/>
            <w:gridSpan w:val="7"/>
          </w:tcPr>
          <w:p>
            <w:pPr>
              <w:spacing w:after="0"/>
              <w:rPr>
                <w:sz w:val="12"/>
                <w:szCs w:val="12"/>
                <w:color w:val="auto"/>
              </w:rPr>
            </w:pP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w:t>
            </w:r>
          </w:p>
        </w:tc>
      </w:tr>
      <w:tr>
        <w:trPr>
          <w:trHeight w:val="146"/>
        </w:trPr>
        <w:tc>
          <w:tcPr>
            <w:tcW w:w="1580" w:type="dxa"/>
            <w:vAlign w:val="bottom"/>
            <w:tcBorders>
              <w:bottom w:val="single" w:sz="8" w:color="0000EE"/>
            </w:tcBorders>
            <w:gridSpan w:val="5"/>
          </w:tcPr>
          <w:p>
            <w:pPr>
              <w:spacing w:after="0" w:line="147" w:lineRule="exact"/>
              <w:rPr>
                <w:sz w:val="20"/>
                <w:szCs w:val="20"/>
                <w:color w:val="auto"/>
              </w:rPr>
            </w:pPr>
            <w:r>
              <w:rPr>
                <w:rFonts w:ascii="Times New Roman" w:cs="Times New Roman" w:eastAsia="Times New Roman" w:hAnsi="Times New Roman"/>
                <w:sz w:val="14"/>
                <w:szCs w:val="14"/>
                <w:color w:val="0000EE"/>
                <w:w w:val="97"/>
              </w:rPr>
              <w:t>PLAN OF DISTRIBUTION</w:t>
            </w:r>
          </w:p>
        </w:tc>
        <w:tc>
          <w:tcPr>
            <w:tcW w:w="4580" w:type="dxa"/>
            <w:vAlign w:val="bottom"/>
            <w:gridSpan w:val="6"/>
          </w:tcPr>
          <w:p>
            <w:pPr>
              <w:spacing w:after="0"/>
              <w:rPr>
                <w:sz w:val="12"/>
                <w:szCs w:val="12"/>
                <w:color w:val="auto"/>
              </w:rPr>
            </w:pP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8</w:t>
            </w:r>
          </w:p>
        </w:tc>
      </w:tr>
      <w:tr>
        <w:trPr>
          <w:trHeight w:val="146"/>
        </w:trPr>
        <w:tc>
          <w:tcPr>
            <w:tcW w:w="6160" w:type="dxa"/>
            <w:vAlign w:val="bottom"/>
            <w:gridSpan w:val="11"/>
          </w:tcPr>
          <w:p>
            <w:pPr>
              <w:spacing w:after="0" w:line="147" w:lineRule="exact"/>
              <w:rPr>
                <w:sz w:val="20"/>
                <w:szCs w:val="20"/>
                <w:color w:val="auto"/>
              </w:rPr>
            </w:pPr>
            <w:r>
              <w:rPr>
                <w:rFonts w:ascii="Times New Roman" w:cs="Times New Roman" w:eastAsia="Times New Roman" w:hAnsi="Times New Roman"/>
                <w:sz w:val="14"/>
                <w:szCs w:val="14"/>
                <w:color w:val="0000EE"/>
              </w:rPr>
              <w:t>LEGAL MATTERS</w:t>
            </w: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10</w:t>
            </w:r>
          </w:p>
        </w:tc>
      </w:tr>
      <w:tr>
        <w:trPr>
          <w:trHeight w:val="146"/>
        </w:trPr>
        <w:tc>
          <w:tcPr>
            <w:tcW w:w="600" w:type="dxa"/>
            <w:vAlign w:val="bottom"/>
            <w:tcBorders>
              <w:top w:val="single" w:sz="8" w:color="0000EE"/>
              <w:bottom w:val="single" w:sz="8" w:color="0000EE"/>
            </w:tcBorders>
          </w:tcPr>
          <w:p>
            <w:pPr>
              <w:spacing w:after="0" w:line="147" w:lineRule="exact"/>
              <w:rPr>
                <w:sz w:val="20"/>
                <w:szCs w:val="20"/>
                <w:color w:val="auto"/>
              </w:rPr>
            </w:pPr>
            <w:r>
              <w:rPr>
                <w:rFonts w:ascii="Times New Roman" w:cs="Times New Roman" w:eastAsia="Times New Roman" w:hAnsi="Times New Roman"/>
                <w:sz w:val="14"/>
                <w:szCs w:val="14"/>
                <w:color w:val="0000EE"/>
                <w:w w:val="95"/>
              </w:rPr>
              <w:t>EXPERTS</w:t>
            </w:r>
          </w:p>
        </w:tc>
        <w:tc>
          <w:tcPr>
            <w:tcW w:w="520" w:type="dxa"/>
            <w:vAlign w:val="bottom"/>
            <w:tcBorders>
              <w:top w:val="single" w:sz="8" w:color="0000EE"/>
            </w:tcBorders>
            <w:gridSpan w:val="2"/>
          </w:tcPr>
          <w:p>
            <w:pPr>
              <w:spacing w:after="0"/>
              <w:rPr>
                <w:sz w:val="12"/>
                <w:szCs w:val="12"/>
                <w:color w:val="auto"/>
              </w:rPr>
            </w:pPr>
          </w:p>
        </w:tc>
        <w:tc>
          <w:tcPr>
            <w:tcW w:w="5040" w:type="dxa"/>
            <w:vAlign w:val="bottom"/>
            <w:gridSpan w:val="8"/>
          </w:tcPr>
          <w:p>
            <w:pPr>
              <w:spacing w:after="0"/>
              <w:rPr>
                <w:sz w:val="12"/>
                <w:szCs w:val="12"/>
                <w:color w:val="auto"/>
              </w:rPr>
            </w:pP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10</w:t>
            </w:r>
          </w:p>
        </w:tc>
      </w:tr>
      <w:tr>
        <w:trPr>
          <w:trHeight w:val="146"/>
        </w:trPr>
        <w:tc>
          <w:tcPr>
            <w:tcW w:w="2940" w:type="dxa"/>
            <w:vAlign w:val="bottom"/>
            <w:tcBorders>
              <w:bottom w:val="single" w:sz="8" w:color="0000EE"/>
            </w:tcBorders>
            <w:gridSpan w:val="8"/>
          </w:tcPr>
          <w:p>
            <w:pPr>
              <w:spacing w:after="0" w:line="147" w:lineRule="exact"/>
              <w:rPr>
                <w:sz w:val="20"/>
                <w:szCs w:val="20"/>
                <w:color w:val="auto"/>
              </w:rPr>
            </w:pPr>
            <w:r>
              <w:rPr>
                <w:rFonts w:ascii="Times New Roman" w:cs="Times New Roman" w:eastAsia="Times New Roman" w:hAnsi="Times New Roman"/>
                <w:sz w:val="14"/>
                <w:szCs w:val="14"/>
                <w:color w:val="0000EE"/>
                <w:w w:val="97"/>
              </w:rPr>
              <w:t>WHERE YOU CAN FIND MORE INFORMATION</w:t>
            </w:r>
          </w:p>
        </w:tc>
        <w:tc>
          <w:tcPr>
            <w:tcW w:w="3220" w:type="dxa"/>
            <w:vAlign w:val="bottom"/>
            <w:gridSpan w:val="3"/>
          </w:tcPr>
          <w:p>
            <w:pPr>
              <w:spacing w:after="0"/>
              <w:rPr>
                <w:sz w:val="12"/>
                <w:szCs w:val="12"/>
                <w:color w:val="auto"/>
              </w:rPr>
            </w:pP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10</w:t>
            </w:r>
          </w:p>
        </w:tc>
      </w:tr>
      <w:tr>
        <w:trPr>
          <w:trHeight w:val="146"/>
        </w:trPr>
        <w:tc>
          <w:tcPr>
            <w:tcW w:w="4000" w:type="dxa"/>
            <w:vAlign w:val="bottom"/>
            <w:tcBorders>
              <w:bottom w:val="single" w:sz="8" w:color="0000EE"/>
            </w:tcBorders>
            <w:gridSpan w:val="9"/>
          </w:tcPr>
          <w:p>
            <w:pPr>
              <w:spacing w:after="0" w:line="147" w:lineRule="exact"/>
              <w:rPr>
                <w:sz w:val="20"/>
                <w:szCs w:val="20"/>
                <w:color w:val="auto"/>
              </w:rPr>
            </w:pPr>
            <w:r>
              <w:rPr>
                <w:rFonts w:ascii="Times New Roman" w:cs="Times New Roman" w:eastAsia="Times New Roman" w:hAnsi="Times New Roman"/>
                <w:sz w:val="14"/>
                <w:szCs w:val="14"/>
                <w:color w:val="0000EE"/>
                <w:w w:val="97"/>
              </w:rPr>
              <w:t>INCORPORATION OF CERTAIN INFORMATION BY REFERENCE</w:t>
            </w:r>
          </w:p>
        </w:tc>
        <w:tc>
          <w:tcPr>
            <w:tcW w:w="2160" w:type="dxa"/>
            <w:vAlign w:val="bottom"/>
            <w:gridSpan w:val="2"/>
          </w:tcPr>
          <w:p>
            <w:pPr>
              <w:spacing w:after="0"/>
              <w:rPr>
                <w:sz w:val="12"/>
                <w:szCs w:val="12"/>
                <w:color w:val="auto"/>
              </w:rPr>
            </w:pPr>
          </w:p>
        </w:tc>
        <w:tc>
          <w:tcPr>
            <w:tcW w:w="2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11</w:t>
            </w:r>
          </w:p>
        </w:tc>
      </w:tr>
    </w:tbl>
    <w:p>
      <w:pPr>
        <w:sectPr>
          <w:pgSz w:w="11900" w:h="16838" w:orient="portrait"/>
          <w:cols w:equalWidth="0" w:num="1">
            <w:col w:w="10159"/>
          </w:cols>
          <w:pgMar w:left="300" w:top="383"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4" w:lineRule="exact"/>
        <w:rPr>
          <w:sz w:val="20"/>
          <w:szCs w:val="20"/>
          <w:color w:val="auto"/>
        </w:rPr>
      </w:pPr>
    </w:p>
    <w:p>
      <w:pPr>
        <w:ind w:left="1400" w:right="299" w:firstLine="339"/>
        <w:spacing w:after="0" w:line="278" w:lineRule="auto"/>
        <w:rPr>
          <w:sz w:val="20"/>
          <w:szCs w:val="20"/>
          <w:color w:val="auto"/>
        </w:rPr>
      </w:pPr>
      <w:r>
        <w:rPr>
          <w:rFonts w:ascii="Times New Roman" w:cs="Times New Roman" w:eastAsia="Times New Roman" w:hAnsi="Times New Roman"/>
          <w:sz w:val="14"/>
          <w:szCs w:val="14"/>
          <w:color w:val="auto"/>
        </w:rPr>
        <w:t>This prospectus is part of a registration statement on Form S-3 that we filed with the Securities and Exchange Commission (the “SEC”) utilizing a “shelf” registration process as a “well-known seasoned issuer” as defined in Rule 405 under the Securities Act.</w:t>
      </w:r>
    </w:p>
    <w:p>
      <w:pPr>
        <w:spacing w:after="0" w:line="126" w:lineRule="exact"/>
        <w:rPr>
          <w:sz w:val="20"/>
          <w:szCs w:val="20"/>
          <w:color w:val="auto"/>
        </w:rPr>
      </w:pPr>
    </w:p>
    <w:p>
      <w:pPr>
        <w:ind w:left="1400" w:right="279" w:firstLine="339"/>
        <w:spacing w:after="0" w:line="252" w:lineRule="auto"/>
        <w:rPr>
          <w:sz w:val="20"/>
          <w:szCs w:val="20"/>
          <w:color w:val="auto"/>
        </w:rPr>
      </w:pPr>
      <w:r>
        <w:rPr>
          <w:rFonts w:ascii="Times New Roman" w:cs="Times New Roman" w:eastAsia="Times New Roman" w:hAnsi="Times New Roman"/>
          <w:sz w:val="14"/>
          <w:szCs w:val="14"/>
          <w:color w:val="auto"/>
        </w:rPr>
        <w:t>In accordance with the terms of the sales agreement, we may offer and sell shares of our Class A common stock from time to time through or to Morgan Stanley, Cantor, TD Securities and/or Allen, acting as sales agent or principal, having an aggregate offering price of up to $500 million. We may also authorize one or more prospectus supplements or free writing prospectuses to be provided to you that may contain material information relating to this offering. Any prospectus supplement and any related free writing prospectus that we may authorize to be provided to you may also add, update or change any of the information contained in this prospectus or in the documents that we have incorporated by reference into this prospectus. We urge you to read carefully this prospectus, any applicable prospectus supplement and any free writing prospectuses we have authorized for use in connection with this offering, together with the information incorporated herein by reference as described in the section titled “Incorporation of Certain Information by Reference,” before buying any of the securities being offered.</w:t>
      </w:r>
    </w:p>
    <w:p>
      <w:pPr>
        <w:spacing w:after="0" w:line="145" w:lineRule="exact"/>
        <w:rPr>
          <w:sz w:val="20"/>
          <w:szCs w:val="20"/>
          <w:color w:val="auto"/>
        </w:rPr>
      </w:pPr>
    </w:p>
    <w:p>
      <w:pPr>
        <w:ind w:left="1400" w:right="339" w:firstLine="339"/>
        <w:spacing w:after="0" w:line="255" w:lineRule="auto"/>
        <w:rPr>
          <w:sz w:val="20"/>
          <w:szCs w:val="20"/>
          <w:color w:val="auto"/>
        </w:rPr>
      </w:pPr>
      <w:r>
        <w:rPr>
          <w:rFonts w:ascii="Times New Roman" w:cs="Times New Roman" w:eastAsia="Times New Roman" w:hAnsi="Times New Roman"/>
          <w:sz w:val="14"/>
          <w:szCs w:val="14"/>
          <w:color w:val="auto"/>
        </w:rPr>
        <w:t>We have not, and the sales agents have not, authorized anyone to provide you with any information or to make any representations other than those contained in this prospectus, any applicable prospectus supplement or any free writing prospectuses prepared by or on behalf of us or to which we have referred you. We and the sales agents take no responsibility for, and can provide no assurance as to the reliability of, any other information that others may give you. This prospectus is an offer to sell and a solicitation for offers to purchase only the securities offered hereby, but only under circumstances and in jurisdictions where it is lawful to do so.</w:t>
      </w:r>
    </w:p>
    <w:p>
      <w:pPr>
        <w:spacing w:after="0" w:line="143" w:lineRule="exact"/>
        <w:rPr>
          <w:sz w:val="20"/>
          <w:szCs w:val="20"/>
          <w:color w:val="auto"/>
        </w:rPr>
      </w:pPr>
    </w:p>
    <w:p>
      <w:pPr>
        <w:ind w:left="1400" w:right="359" w:firstLine="339"/>
        <w:spacing w:after="0" w:line="258" w:lineRule="auto"/>
        <w:rPr>
          <w:sz w:val="20"/>
          <w:szCs w:val="20"/>
          <w:color w:val="auto"/>
        </w:rPr>
      </w:pPr>
      <w:r>
        <w:rPr>
          <w:rFonts w:ascii="Times New Roman" w:cs="Times New Roman" w:eastAsia="Times New Roman" w:hAnsi="Times New Roman"/>
          <w:sz w:val="14"/>
          <w:szCs w:val="14"/>
          <w:color w:val="auto"/>
        </w:rPr>
        <w:t>The information appearing in this prospectus, any applicable prospectus supplement and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the applicable prospectus supplement or any related free writing prospectus, or any sale of a security. Our business, financial condition, results of operations and prospects may have changed since those dates.</w:t>
      </w:r>
    </w:p>
    <w:p>
      <w:pPr>
        <w:spacing w:after="0" w:line="140" w:lineRule="exact"/>
        <w:rPr>
          <w:sz w:val="20"/>
          <w:szCs w:val="20"/>
          <w:color w:val="auto"/>
        </w:rPr>
      </w:pPr>
    </w:p>
    <w:p>
      <w:pPr>
        <w:ind w:left="1400" w:right="279" w:firstLine="339"/>
        <w:spacing w:after="0" w:line="251" w:lineRule="auto"/>
        <w:rPr>
          <w:sz w:val="20"/>
          <w:szCs w:val="20"/>
          <w:color w:val="auto"/>
        </w:rPr>
      </w:pPr>
      <w:r>
        <w:rPr>
          <w:rFonts w:ascii="Times New Roman" w:cs="Times New Roman" w:eastAsia="Times New Roman" w:hAnsi="Times New Roman"/>
          <w:sz w:val="14"/>
          <w:szCs w:val="14"/>
          <w:color w:val="auto"/>
        </w:rPr>
        <w:t>This prospectus contains and incorporates by reference industry, market and competitive position data from our own internal estimates and research, as well as from independent market research, industry and general publications and surveys, governmental agencies and publicly available information in addition to research, surveys and studies conducted by third parties. The content of these third-party sources, except to the extent specifically set forth in this prospectus and the documents incorporated by reference in this prospectus, does not constitute a portion of this prospectus or the documents incorporated by reference in this prospectus and is not incorporated herein or therein. Internal estimates are derived from publicly available information released by industry analysts and third-party sources, our internal research and our industry experience, and are based on assumptions made by us based on such data and our knowledge of our industry and market, which we believe to be reasonable.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146" w:lineRule="exact"/>
        <w:rPr>
          <w:sz w:val="20"/>
          <w:szCs w:val="20"/>
          <w:color w:val="auto"/>
        </w:rPr>
      </w:pPr>
    </w:p>
    <w:p>
      <w:pPr>
        <w:ind w:left="1400" w:right="299" w:firstLine="339"/>
        <w:spacing w:after="0" w:line="254" w:lineRule="auto"/>
        <w:rPr>
          <w:sz w:val="20"/>
          <w:szCs w:val="20"/>
          <w:color w:val="auto"/>
        </w:rPr>
      </w:pPr>
      <w:r>
        <w:rPr>
          <w:rFonts w:ascii="Times New Roman" w:cs="Times New Roman" w:eastAsia="Times New Roman" w:hAnsi="Times New Roman"/>
          <w:sz w:val="14"/>
          <w:szCs w:val="14"/>
          <w:color w:val="auto"/>
        </w:rPr>
        <w:t>In addition, while we are responsible for all of the disclosure contained in this prospectus and the documents incorporated by reference in this prospectus and we believe the industry, market and competitive position data included in this prospectus and the documents incorporated by reference in this prospectus is reliable and based on reasonable assumptions, such data involve risks and uncertainties and are subject to change based on various factors, including those discussed in the section titled “Special Note Regarding Forward-Looking Statements” in this prospectus and in the section titled “Risk Factors” incorporated by reference in this prospectus from our most recent Annual Report on Form 10-K and subsequent Quarterly Reports on Form 10-Q. These and other factors</w:t>
      </w:r>
    </w:p>
    <w:p>
      <w:pPr>
        <w:spacing w:after="0" w:line="9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83"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79"/>
        <w:spacing w:after="0" w:line="278" w:lineRule="auto"/>
        <w:rPr>
          <w:sz w:val="20"/>
          <w:szCs w:val="20"/>
          <w:color w:val="auto"/>
        </w:rPr>
      </w:pPr>
      <w:r>
        <w:rPr>
          <w:rFonts w:ascii="Times New Roman" w:cs="Times New Roman" w:eastAsia="Times New Roman" w:hAnsi="Times New Roman"/>
          <w:sz w:val="14"/>
          <w:szCs w:val="14"/>
          <w:color w:val="auto"/>
        </w:rPr>
        <w:t>could cause results to differ materially from those expressed in the estimates made by the independent parties or by us. Accordingly, investors should not place undue reliance on this information.</w:t>
      </w:r>
    </w:p>
    <w:p>
      <w:pPr>
        <w:spacing w:after="0" w:line="126"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To the extent there is a conflict between the information contained in this prospectus, on the one hand, and the information contained in any document incorporated by reference into this prospectus that was filed with the SEC before the date of this prospectus, on the other hand, you should rely on the information in this prospectus. If any statement in one of these documents is inconsistent with a statement in another document having a later date — for example, a document incorporated by reference into this prospectus — the statement in the document having the later date modifies or supersedes the earlier statement.</w:t>
      </w:r>
    </w:p>
    <w:p>
      <w:pPr>
        <w:spacing w:after="0" w:line="143" w:lineRule="exact"/>
        <w:rPr>
          <w:sz w:val="20"/>
          <w:szCs w:val="20"/>
          <w:color w:val="auto"/>
        </w:rPr>
      </w:pPr>
    </w:p>
    <w:p>
      <w:pPr>
        <w:ind w:left="1400" w:right="299" w:firstLine="339"/>
        <w:spacing w:after="0" w:line="284" w:lineRule="auto"/>
        <w:rPr>
          <w:sz w:val="20"/>
          <w:szCs w:val="20"/>
          <w:color w:val="auto"/>
        </w:rPr>
      </w:pPr>
      <w:r>
        <w:rPr>
          <w:rFonts w:ascii="Times New Roman" w:cs="Times New Roman" w:eastAsia="Times New Roman" w:hAnsi="Times New Roman"/>
          <w:sz w:val="13"/>
          <w:szCs w:val="13"/>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“Where You Can Find More Information.”</w:t>
      </w:r>
    </w:p>
    <w:p>
      <w:pPr>
        <w:spacing w:after="0" w:line="124" w:lineRule="exact"/>
        <w:rPr>
          <w:sz w:val="20"/>
          <w:szCs w:val="20"/>
          <w:color w:val="auto"/>
        </w:rPr>
      </w:pPr>
    </w:p>
    <w:p>
      <w:pPr>
        <w:ind w:left="1400" w:right="699" w:firstLine="339"/>
        <w:spacing w:after="0" w:line="278" w:lineRule="auto"/>
        <w:rPr>
          <w:sz w:val="20"/>
          <w:szCs w:val="20"/>
          <w:color w:val="auto"/>
        </w:rPr>
      </w:pPr>
      <w:r>
        <w:rPr>
          <w:rFonts w:ascii="Times New Roman" w:cs="Times New Roman" w:eastAsia="Times New Roman" w:hAnsi="Times New Roman"/>
          <w:sz w:val="14"/>
          <w:szCs w:val="14"/>
          <w:color w:val="auto"/>
        </w:rPr>
        <w:t>Unless the context indicates otherwise, as used in this prospectus, all references to “Tempus,” the “Company,” “we,” “us,” “our,” or similar references refer to Tempus AI, Inc. and its consolidated subsidiaries.</w:t>
      </w:r>
    </w:p>
    <w:p>
      <w:pPr>
        <w:spacing w:after="0" w:line="7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10159"/>
          </w:cols>
          <w:pgMar w:left="300" w:top="383"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74" w:lineRule="exact"/>
        <w:rPr>
          <w:sz w:val="20"/>
          <w:szCs w:val="20"/>
          <w:color w:val="auto"/>
        </w:rPr>
      </w:pPr>
    </w:p>
    <w:p>
      <w:pPr>
        <w:ind w:left="1400" w:right="339" w:firstLine="339"/>
        <w:spacing w:after="0" w:line="251" w:lineRule="auto"/>
        <w:rPr>
          <w:sz w:val="20"/>
          <w:szCs w:val="20"/>
          <w:color w:val="auto"/>
        </w:rPr>
      </w:pPr>
      <w:r>
        <w:rPr>
          <w:rFonts w:ascii="Times New Roman" w:cs="Times New Roman" w:eastAsia="Times New Roman" w:hAnsi="Times New Roman"/>
          <w:sz w:val="14"/>
          <w:szCs w:val="14"/>
          <w:color w:val="auto"/>
        </w:rPr>
        <w:t>This prospectus, any applicable prospectus supplement and the documents incorporated by reference in this prospectus and any applicable prospectus supplement contain forward-looking statements about us and our industry that involve substantial risks and uncertainties. All statements other than statements of historical facts contained or incorporated in this prospectus and any applicable prospectus supplement,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Within the meaning of Section 27A of the Securities Act, and Section 21E of the Securities Exchange Act of 1934, as amended (the “Exchange Act”), these forward-looking statements include, but are not limited to, statements concerning the following:</w:t>
      </w:r>
    </w:p>
    <w:p>
      <w:pPr>
        <w:spacing w:after="0" w:line="76" w:lineRule="exact"/>
        <w:rPr>
          <w:sz w:val="20"/>
          <w:szCs w:val="20"/>
          <w:color w:val="auto"/>
        </w:rPr>
      </w:pPr>
    </w:p>
    <w:p>
      <w:pPr>
        <w:ind w:left="2160" w:right="299" w:hanging="342"/>
        <w:spacing w:after="0" w:line="278" w:lineRule="auto"/>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evolving treatment paradigm for cancer, including physicians’ use of molecular data and targeted oncology therapeutics and the market size for our current and future products;</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expand our business beyond oncology into new disease areas;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estimates of our addressable market and our expectations regarding our revenue, expenses, capital requirements and operating results;</w:t>
      </w:r>
    </w:p>
    <w:p>
      <w:pPr>
        <w:spacing w:after="0" w:line="98" w:lineRule="exact"/>
        <w:rPr>
          <w:rFonts w:ascii="Times New Roman" w:cs="Times New Roman" w:eastAsia="Times New Roman" w:hAnsi="Times New Roman"/>
          <w:sz w:val="14"/>
          <w:szCs w:val="14"/>
          <w:color w:val="auto"/>
        </w:rPr>
      </w:pPr>
    </w:p>
    <w:p>
      <w:pPr>
        <w:ind w:left="2160" w:right="319" w:hanging="342"/>
        <w:spacing w:after="0" w:line="278" w:lineRule="auto"/>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new products and services, including our goals and strategy regarding development and commercialization of our AI Applications product line;</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and grow our datasets, including in new disease areas and geographies;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expectation that the growth of our datasets will improve the quality of our products and services and accelerate their adoption;</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capture, aggregate, analyze or otherwise utilize genomic data in new ways and in additional diagnostic modalities;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expectation that we will continue to commercialize de-identified records and license them to multiple customers;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acceptance of our publications in peer-reviewed journals or of our presentations at scientific and medical conference presentations;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implementation of our business model and strategic plans for our products, technologies and businesses;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competitive companies and technologies and our industry;</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of intelligent diagnostics to be disruptive across a broad set of disease areas and the clinical trial process;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manage and grow our business by expanding our sales to existing customers or introducing our products to new customers;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macroeconomic conditions, including new and potential tariffs or other trade restrictions, on us and our customers;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third-party payer reimbursement and coverage decisions, including our strategy to increase reimbursement;</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and maintain intellectual property protection for our products or avoid claims of infringement;</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effects of evolving and/or extensive government regulation;</w:t>
      </w:r>
    </w:p>
    <w:p>
      <w:pPr>
        <w:spacing w:after="0" w:line="1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iii</w:t>
      </w:r>
    </w:p>
    <w:p>
      <w:pPr>
        <w:sectPr>
          <w:pgSz w:w="11900" w:h="16838" w:orient="portrait"/>
          <w:cols w:equalWidth="0" w:num="1">
            <w:col w:w="10159"/>
          </w:cols>
          <w:pgMar w:left="300" w:top="383"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hanging="342"/>
        <w:spacing w:after="0"/>
        <w:tabs>
          <w:tab w:leader="none" w:pos="21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or likelihood of regulatory filings and approvals;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hire and retain key personnel;</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expand internationally, including through our joint venture, SB Tempus Corp. in Japan;</w:t>
      </w:r>
    </w:p>
    <w:p>
      <w:pPr>
        <w:spacing w:after="0" w:line="98" w:lineRule="exact"/>
        <w:rPr>
          <w:rFonts w:ascii="Times New Roman" w:cs="Times New Roman" w:eastAsia="Times New Roman" w:hAnsi="Times New Roman"/>
          <w:sz w:val="14"/>
          <w:szCs w:val="14"/>
          <w:color w:val="auto"/>
        </w:rPr>
      </w:pPr>
    </w:p>
    <w:p>
      <w:pPr>
        <w:ind w:left="2160" w:right="359" w:hanging="342"/>
        <w:spacing w:after="0" w:line="278" w:lineRule="auto"/>
        <w:tabs>
          <w:tab w:leader="none" w:pos="21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acquire businesses, form joint ventures or make investments in companies or technologies, including our ability to realize the expected benefits of our acquisitions of Ambry Genetics Corporation and Deep 6 AI, Inc.;</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protect and enforce our intellectual property rights, including our trade secret protected proprietary rights in our platform;</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service or pay down existing or future debt obligations;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pending or threatened litigation;</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anticipated cash needs and our needs for additional financing; and</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trends and challenges in our business and the markets in which we operate.</w:t>
      </w:r>
    </w:p>
    <w:p>
      <w:pPr>
        <w:spacing w:after="0" w:line="172" w:lineRule="exact"/>
        <w:rPr>
          <w:sz w:val="20"/>
          <w:szCs w:val="20"/>
          <w:color w:val="auto"/>
        </w:rPr>
      </w:pPr>
    </w:p>
    <w:p>
      <w:pPr>
        <w:ind w:left="1400" w:right="279" w:firstLine="339"/>
        <w:spacing w:after="0" w:line="251" w:lineRule="auto"/>
        <w:rPr>
          <w:sz w:val="20"/>
          <w:szCs w:val="20"/>
          <w:color w:val="auto"/>
        </w:rPr>
      </w:pPr>
      <w:r>
        <w:rPr>
          <w:rFonts w:ascii="Times New Roman" w:cs="Times New Roman" w:eastAsia="Times New Roman" w:hAnsi="Times New Roman"/>
          <w:sz w:val="14"/>
          <w:szCs w:val="14"/>
          <w:color w:val="auto"/>
        </w:rPr>
        <w:t>You should not rely on forward-looking statements as predictions of future events. We have based the forward-looking statements contained in, or incorporated by reference into, this prospectus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or incorporated by reference into, the sections titled “Risk Factors” in this prospectus and any applicable prospectus supplement and the sections titled “Risk Factors” and “Management’s Discussion and Analysis of Financial Condition and Results of Operations” in our most recent Annual Report on Form 10-K and any subsequent Quarterly Reports on Form 10-Q, as well as any amendments thereto reflected in subsequent filings with the SEC, which are incorporated into this prospectus and any applicable prospectus supplement. Moreover, we operate in a very competitive and rapidly changing environment. New risks and uncertainties emerge from time to time, and it is not possible for us to predict all risks and uncertainties that could have an impact on the forward-looking statements contained in, or incorporated by reference into,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44" w:lineRule="exact"/>
        <w:rPr>
          <w:sz w:val="20"/>
          <w:szCs w:val="20"/>
          <w:color w:val="auto"/>
        </w:rPr>
      </w:pPr>
    </w:p>
    <w:p>
      <w:pPr>
        <w:ind w:left="1400" w:right="299" w:firstLine="339"/>
        <w:spacing w:after="0" w:line="284" w:lineRule="auto"/>
        <w:rPr>
          <w:sz w:val="20"/>
          <w:szCs w:val="20"/>
          <w:color w:val="auto"/>
        </w:rPr>
      </w:pPr>
      <w:r>
        <w:rPr>
          <w:rFonts w:ascii="Times New Roman" w:cs="Times New Roman" w:eastAsia="Times New Roman" w:hAnsi="Times New Roman"/>
          <w:sz w:val="13"/>
          <w:szCs w:val="13"/>
          <w:color w:val="auto"/>
        </w:rPr>
        <w:t>In addition, statements that “we believe” and similar statements reflect our beliefs and opinions on the relevant subject. These statements are based on information available to us as of the date of this prospectus.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24" w:lineRule="exact"/>
        <w:rPr>
          <w:sz w:val="20"/>
          <w:szCs w:val="20"/>
          <w:color w:val="auto"/>
        </w:rPr>
      </w:pPr>
    </w:p>
    <w:p>
      <w:pPr>
        <w:ind w:left="1400" w:right="359" w:firstLine="339"/>
        <w:spacing w:after="0" w:line="254" w:lineRule="auto"/>
        <w:rPr>
          <w:sz w:val="20"/>
          <w:szCs w:val="20"/>
          <w:color w:val="auto"/>
        </w:rPr>
      </w:pPr>
      <w:r>
        <w:rPr>
          <w:rFonts w:ascii="Times New Roman" w:cs="Times New Roman" w:eastAsia="Times New Roman" w:hAnsi="Times New Roman"/>
          <w:sz w:val="14"/>
          <w:szCs w:val="14"/>
          <w:color w:val="auto"/>
        </w:rPr>
        <w:t>The forward-looking statements made in, or incorporated by reference into, this prospectus and any applicable prospectus supplement relate only to events as of the date on which the statements are made. We undertake no obligation to update any forward-looking statements made or incorporated by reference in this prospectus and any applicable prospectus supplement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9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iv</w:t>
      </w:r>
    </w:p>
    <w:p>
      <w:pPr>
        <w:sectPr>
          <w:pgSz w:w="11900" w:h="16838" w:orient="portrait"/>
          <w:cols w:equalWidth="0" w:num="1">
            <w:col w:w="10159"/>
          </w:cols>
          <w:pgMar w:left="300" w:top="383"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4100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4">
                      <a:extLst>
                        <a:ext uri="{28A0092B-C50C-407E-A947-70E740481C1C}"/>
                      </a:extLst>
                    </a:blip>
                    <a:srcRect/>
                    <a:stretch>
                      <a:fillRect/>
                    </a:stretch>
                  </pic:blipFill>
                  <pic:spPr bwMode="auto">
                    <a:xfrm>
                      <a:off x="0" y="0"/>
                      <a:ext cx="5393690" cy="4410075"/>
                    </a:xfrm>
                    <a:prstGeom prst="rect">
                      <a:avLst/>
                    </a:prstGeom>
                    <a:noFill/>
                  </pic:spPr>
                </pic:pic>
              </a:graphicData>
            </a:graphic>
          </wp:anchor>
        </w:drawing>
      </w:r>
    </w:p>
    <w:p>
      <w:pPr>
        <w:spacing w:after="0" w:line="3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72" w:lineRule="exact"/>
        <w:rPr>
          <w:sz w:val="20"/>
          <w:szCs w:val="20"/>
          <w:color w:val="auto"/>
        </w:rPr>
      </w:pPr>
    </w:p>
    <w:p>
      <w:pPr>
        <w:ind w:left="1540" w:right="419" w:firstLine="328"/>
        <w:spacing w:after="0" w:line="253"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contained elsewhere in this prospectus or incorporated by reference in this prospectus, and does not contain all of the information that you need to consider in making your investment decision. You should carefully read the entire prospectus, any applicable prospectus supplement and any related free writing prospectus, including the risks of investing in our Class A common stock discussed in the section titled “Risk Factors” contained in this prospectus and in any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22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1" w:lineRule="exact"/>
        <w:rPr>
          <w:sz w:val="20"/>
          <w:szCs w:val="20"/>
          <w:color w:val="auto"/>
        </w:rPr>
      </w:pPr>
    </w:p>
    <w:p>
      <w:pPr>
        <w:ind w:left="1540" w:right="419" w:firstLine="328"/>
        <w:spacing w:after="0" w:line="251" w:lineRule="auto"/>
        <w:rPr>
          <w:sz w:val="20"/>
          <w:szCs w:val="20"/>
          <w:color w:val="auto"/>
        </w:rPr>
      </w:pPr>
      <w:r>
        <w:rPr>
          <w:rFonts w:ascii="Times New Roman" w:cs="Times New Roman" w:eastAsia="Times New Roman" w:hAnsi="Times New Roman"/>
          <w:sz w:val="14"/>
          <w:szCs w:val="14"/>
          <w:color w:val="auto"/>
        </w:rPr>
        <w:t>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personalize medicine. We endeavor to unlock the true power of precision medicine by creating Intelligent Diagnostics through the practical application of artificial intelligence (“AI”) in healthcare. Intelligent Diagnostics use AI, including generative AI, to make laboratory tests more accurate, tailored, and personal. Unlike traditional diagnostic labs, we can incorporate unique patient information, such as clinical, molecular, and imaging data, with the goal of making our tests more intelligent and our results more insightful. Unlike other technology companies, we are deeply rooted in clinical care delivery as one of the largest sequencers of cancer patients, and patients with other diseases, in the United States. Straddling both worlds is advantageous as we believe Intelligent Diagnostics represent the future of precision medicine, informing more personalized and data-driven therapy selection and development. We believe their adoption could empower physicians to deliver better care and researchers to develop more precise therapies, with the potential to save millions of lives.</w:t>
      </w:r>
    </w:p>
    <w:p>
      <w:pPr>
        <w:spacing w:after="0" w:line="146" w:lineRule="exact"/>
        <w:rPr>
          <w:sz w:val="20"/>
          <w:szCs w:val="20"/>
          <w:color w:val="auto"/>
        </w:rPr>
      </w:pPr>
    </w:p>
    <w:p>
      <w:pPr>
        <w:ind w:left="1540" w:right="419" w:firstLine="328"/>
        <w:spacing w:after="0" w:line="273" w:lineRule="auto"/>
        <w:rPr>
          <w:sz w:val="20"/>
          <w:szCs w:val="20"/>
          <w:color w:val="auto"/>
        </w:rPr>
      </w:pPr>
      <w:r>
        <w:rPr>
          <w:rFonts w:ascii="Times New Roman" w:cs="Times New Roman" w:eastAsia="Times New Roman" w:hAnsi="Times New Roman"/>
          <w:sz w:val="13"/>
          <w:szCs w:val="13"/>
          <w:color w:val="auto"/>
        </w:rPr>
        <w:t>In order to bring AI to healthcare at scale, we believe the foundation of how data flows throughout the ecosystem needs to be rebuilt. We established new data pipes, going to and from providers, to allow for the free exchange of data between physicians, who interpret data, and diagnostic and life science companies, who provide data, integrating relevant clinical data, such as outcomes, or adverse events, which are essential for many clinical decisions. Without this capability, we believe that data would continue to accumulate without impacting patient care. To accomplish this, we built both a technology platform to free healthcare data from silos and an operating system to make this data useful, the combination of which we refer to as our Platform. Our Platform connects multiple stakeholders within the larger healthcare ecosystem, often in real time, to assemble and integrate the data we collect, thereby providing an opportunity for physicians to make data-driven decisions in the clinic and for researchers to discover and develop therapeutics. We aim to help physicians find the best therapies for their patients, help pharmaceutical and biotechnology companies make the best drugs possible, and enable patients to access emerging therapies and clinical trials when appropriate.</w:t>
      </w:r>
    </w:p>
    <w:p>
      <w:pPr>
        <w:spacing w:after="0" w:line="133" w:lineRule="exact"/>
        <w:rPr>
          <w:sz w:val="20"/>
          <w:szCs w:val="20"/>
          <w:color w:val="auto"/>
        </w:rPr>
      </w:pPr>
    </w:p>
    <w:p>
      <w:pPr>
        <w:ind w:left="1540" w:right="439" w:firstLine="328"/>
        <w:spacing w:after="0" w:line="253" w:lineRule="auto"/>
        <w:rPr>
          <w:sz w:val="20"/>
          <w:szCs w:val="20"/>
          <w:color w:val="auto"/>
        </w:rPr>
      </w:pPr>
      <w:r>
        <w:rPr>
          <w:rFonts w:ascii="Times New Roman" w:cs="Times New Roman" w:eastAsia="Times New Roman" w:hAnsi="Times New Roman"/>
          <w:sz w:val="14"/>
          <w:szCs w:val="14"/>
          <w:color w:val="auto"/>
        </w:rPr>
        <w:t>We currently offer three product lines: Genomics, Data and AI Applications. Each product line is designed to enable and enhance the others, thereby creating network effects in each of the markets in which we operate. We are able to commercialize records multiple times, both at the time a test is run and thereafter. Our Genomics product line leverages our state-of-the-art laboratories to provide next generation sequencing diagnostics, polymerase chain reaction profiling, molecular genotyping and other anatomic and molecular pathology testing to healthcare providers, pharmaceutical companies, biotechnology companies, researchers, and other third parties. The data generated in our lab or ingested into our platform as part of the Genomics product line is structured and de-identified, prior to commercialization. This de-identified database is then commercialized to our pharmaceutical and biotechnology partners to facilitate drug discovery and development through two primary</w:t>
      </w:r>
    </w:p>
    <w:p>
      <w:pPr>
        <w:spacing w:after="0" w:line="23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3"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198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6">
                      <a:extLst>
                        <a:ext uri="{28A0092B-C50C-407E-A947-70E740481C1C}"/>
                      </a:extLst>
                    </a:blip>
                    <a:srcRect/>
                    <a:stretch>
                      <a:fillRect/>
                    </a:stretch>
                  </pic:blipFill>
                  <pic:spPr bwMode="auto">
                    <a:xfrm>
                      <a:off x="0" y="0"/>
                      <a:ext cx="5393690" cy="4198620"/>
                    </a:xfrm>
                    <a:prstGeom prst="rect">
                      <a:avLst/>
                    </a:prstGeom>
                    <a:noFill/>
                  </pic:spPr>
                </pic:pic>
              </a:graphicData>
            </a:graphic>
          </wp:anchor>
        </w:drawing>
      </w:r>
    </w:p>
    <w:p>
      <w:pPr>
        <w:spacing w:after="0" w:line="362" w:lineRule="exact"/>
        <w:rPr>
          <w:sz w:val="20"/>
          <w:szCs w:val="20"/>
          <w:color w:val="auto"/>
        </w:rPr>
      </w:pPr>
    </w:p>
    <w:p>
      <w:pPr>
        <w:ind w:left="1540" w:right="599"/>
        <w:spacing w:after="0" w:line="278" w:lineRule="auto"/>
        <w:rPr>
          <w:sz w:val="20"/>
          <w:szCs w:val="20"/>
          <w:color w:val="auto"/>
        </w:rPr>
      </w:pPr>
      <w:r>
        <w:rPr>
          <w:rFonts w:ascii="Times New Roman" w:cs="Times New Roman" w:eastAsia="Times New Roman" w:hAnsi="Times New Roman"/>
          <w:sz w:val="14"/>
          <w:szCs w:val="14"/>
          <w:color w:val="auto"/>
        </w:rPr>
        <w:t>Data and Services products, Insights and Trials. Our third product line, AI Applications, is focused on developing and providing diagnostics that are algorithmic in nature, implementing new software as a medical device, and building and deploying clinical decision support tools.</w:t>
      </w:r>
    </w:p>
    <w:p>
      <w:pPr>
        <w:spacing w:after="0" w:line="20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1" w:lineRule="exact"/>
        <w:rPr>
          <w:sz w:val="20"/>
          <w:szCs w:val="20"/>
          <w:color w:val="auto"/>
        </w:rPr>
      </w:pPr>
    </w:p>
    <w:p>
      <w:pPr>
        <w:ind w:left="1540" w:right="499" w:firstLine="328"/>
        <w:spacing w:after="0" w:line="273" w:lineRule="auto"/>
        <w:rPr>
          <w:sz w:val="20"/>
          <w:szCs w:val="20"/>
          <w:color w:val="auto"/>
        </w:rPr>
      </w:pPr>
      <w:r>
        <w:rPr>
          <w:rFonts w:ascii="Times New Roman" w:cs="Times New Roman" w:eastAsia="Times New Roman" w:hAnsi="Times New Roman"/>
          <w:sz w:val="13"/>
          <w:szCs w:val="13"/>
          <w:color w:val="auto"/>
        </w:rPr>
        <w:t>We were founded by Eric Lefkofsky under the name Bioin, LLC in Delaware in August 2015. We converted to a Delaware corporation in September 2015 under the name Bioin, Inc., and later changed our name to Tempus Health, Inc. in 2015, to Tempus Labs, Inc. in 2016, and to Tempus AI, Inc. in 2023. Effective as of August 7, 2025, we reincorporated, by conversion, from a Delaware corporation to a Nevada corporation. Our principal executive offices are located at 600 West Chicago Avenue, Suite 510 Chicago, Illinois 60654, and our telephone number is (800)</w:t>
      </w:r>
    </w:p>
    <w:p>
      <w:pPr>
        <w:ind w:left="1540" w:right="499"/>
        <w:spacing w:after="0" w:line="252" w:lineRule="auto"/>
        <w:rPr>
          <w:sz w:val="20"/>
          <w:szCs w:val="20"/>
          <w:color w:val="auto"/>
        </w:rPr>
      </w:pPr>
      <w:r>
        <w:rPr>
          <w:rFonts w:ascii="Times New Roman" w:cs="Times New Roman" w:eastAsia="Times New Roman" w:hAnsi="Times New Roman"/>
          <w:sz w:val="14"/>
          <w:szCs w:val="14"/>
          <w:color w:val="auto"/>
        </w:rPr>
        <w:t>976-5448. Our website address is www.tempus.com. Information contained on, or that can be accessed through, our website is not incorporated by reference into this prospectus, and you should not consider information on, or that can be accessed through, our website to be part hereof. We completed our initial public offering in June 2024, and our Class A common stock is listed on the Nasdaq under the symbol “TEM.”</w:t>
      </w:r>
    </w:p>
    <w:p>
      <w:pPr>
        <w:spacing w:after="0" w:line="143" w:lineRule="exact"/>
        <w:rPr>
          <w:sz w:val="20"/>
          <w:szCs w:val="20"/>
          <w:color w:val="auto"/>
        </w:rPr>
      </w:pPr>
    </w:p>
    <w:p>
      <w:pPr>
        <w:ind w:left="1540" w:right="759" w:firstLine="328"/>
        <w:spacing w:after="0" w:line="318" w:lineRule="auto"/>
        <w:rPr>
          <w:sz w:val="20"/>
          <w:szCs w:val="20"/>
          <w:color w:val="auto"/>
        </w:rPr>
      </w:pPr>
      <w:r>
        <w:rPr>
          <w:rFonts w:ascii="Times New Roman" w:cs="Times New Roman" w:eastAsia="Times New Roman" w:hAnsi="Times New Roman"/>
          <w:sz w:val="13"/>
          <w:szCs w:val="13"/>
          <w:color w:val="auto"/>
        </w:rPr>
        <w:t>The Tempus logo, “Tempus” and our other registered and common law trade names, trademarks and service marks are the property of Tempus AI, Inc. or our subsidiaries. Other trade names, trademarks and service marks used herein are the property of their respective owners.</w:t>
      </w:r>
    </w:p>
    <w:p>
      <w:pPr>
        <w:spacing w:after="0" w:line="18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Implications of Being an Emerging Growth Company</w:t>
      </w:r>
    </w:p>
    <w:p>
      <w:pPr>
        <w:spacing w:after="0" w:line="91" w:lineRule="exact"/>
        <w:rPr>
          <w:sz w:val="20"/>
          <w:szCs w:val="20"/>
          <w:color w:val="auto"/>
        </w:rPr>
      </w:pPr>
    </w:p>
    <w:p>
      <w:pPr>
        <w:ind w:left="1540" w:right="459" w:firstLine="328"/>
        <w:spacing w:after="0" w:line="253" w:lineRule="auto"/>
        <w:rPr>
          <w:sz w:val="20"/>
          <w:szCs w:val="20"/>
          <w:color w:val="auto"/>
        </w:rPr>
      </w:pPr>
      <w:r>
        <w:rPr>
          <w:rFonts w:ascii="Times New Roman" w:cs="Times New Roman" w:eastAsia="Times New Roman" w:hAnsi="Times New Roman"/>
          <w:sz w:val="14"/>
          <w:szCs w:val="14"/>
          <w:color w:val="auto"/>
        </w:rPr>
        <w:t>We are an emerging growth company, as defined in the Jumpstart Our Business Startups Act of 2012 (the “JOBS Act”). For so long as we remain an emerging growth company, we are permitted and intend to rely on certain exemptions from various public company reporting requirements that are applicable to other public companies that are not emerging growth companies, including not being required to have our internal control over financial reporting audited by our independent registered public accounting firm pursuant to Section 404 of the Sarbanes-Oxley Act of 2002, reduced disclosure obligations regarding executive compensation in our periodic reports and proxy statements, and exemptions from the requirements of holding a nonbinding advisory vote on executive compensation and any golden parachute payments not previously approved.</w:t>
      </w:r>
    </w:p>
    <w:p>
      <w:pPr>
        <w:spacing w:after="0" w:line="143" w:lineRule="exact"/>
        <w:rPr>
          <w:sz w:val="20"/>
          <w:szCs w:val="20"/>
          <w:color w:val="auto"/>
        </w:rPr>
      </w:pPr>
    </w:p>
    <w:p>
      <w:pPr>
        <w:ind w:left="1540" w:right="419" w:firstLine="328"/>
        <w:spacing w:after="0" w:line="254" w:lineRule="auto"/>
        <w:rPr>
          <w:sz w:val="20"/>
          <w:szCs w:val="20"/>
          <w:color w:val="auto"/>
        </w:rPr>
      </w:pPr>
      <w:r>
        <w:rPr>
          <w:rFonts w:ascii="Times New Roman" w:cs="Times New Roman" w:eastAsia="Times New Roman" w:hAnsi="Times New Roman"/>
          <w:sz w:val="14"/>
          <w:szCs w:val="14"/>
          <w:color w:val="auto"/>
        </w:rPr>
        <w:t>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certain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142" w:lineRule="exact"/>
        <w:rPr>
          <w:sz w:val="20"/>
          <w:szCs w:val="20"/>
          <w:color w:val="auto"/>
        </w:rPr>
      </w:pPr>
    </w:p>
    <w:p>
      <w:pPr>
        <w:ind w:left="1540" w:right="639" w:firstLine="328"/>
        <w:spacing w:after="0" w:line="279" w:lineRule="auto"/>
        <w:rPr>
          <w:sz w:val="20"/>
          <w:szCs w:val="20"/>
          <w:color w:val="auto"/>
        </w:rPr>
      </w:pPr>
      <w:r>
        <w:rPr>
          <w:rFonts w:ascii="Times New Roman" w:cs="Times New Roman" w:eastAsia="Times New Roman" w:hAnsi="Times New Roman"/>
          <w:sz w:val="13"/>
          <w:szCs w:val="13"/>
          <w:color w:val="auto"/>
        </w:rPr>
        <w:t>We will remain an emerging growth company until the earliest to occur of: (i) the last day of the fiscal year in which we have at least $1.235 billion in annual revenue; (ii) the date upon which we are deemed to be a “large accelerated filer,” as defined in Rule 12b-2 under the Exchange Act; (iii) the date on which we have issued more than $1.0 billion in nonconvertible debt securities during the prior three-year period; and (iv) December 31, 2029. Based on the aggregate market value of shares of our Class A common stock held by non-affiliates as of June 30, 2025, we expect to become a “large accelerated filer” and no longer qualify as an emerging growth company as of December 31, 2025.</w:t>
      </w:r>
    </w:p>
    <w:p>
      <w:pPr>
        <w:spacing w:after="0" w:line="22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83"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170180</wp:posOffset>
            </wp:positionV>
            <wp:extent cx="5393690" cy="44297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8">
                      <a:extLst>
                        <a:ext uri="{28A0092B-C50C-407E-A947-70E740481C1C}"/>
                      </a:extLst>
                    </a:blip>
                    <a:srcRect/>
                    <a:stretch>
                      <a:fillRect/>
                    </a:stretch>
                  </pic:blipFill>
                  <pic:spPr bwMode="auto">
                    <a:xfrm>
                      <a:off x="0" y="0"/>
                      <a:ext cx="5393690" cy="4429760"/>
                    </a:xfrm>
                    <a:prstGeom prst="rect">
                      <a:avLst/>
                    </a:prstGeom>
                    <a:noFill/>
                  </pic:spPr>
                </pic:pic>
              </a:graphicData>
            </a:graphic>
          </wp:anchor>
        </w:drawing>
      </w:r>
    </w:p>
    <w:p>
      <w:pPr>
        <w:sectPr>
          <w:pgSz w:w="11900" w:h="16838" w:orient="portrait"/>
          <w:cols w:equalWidth="0" w:num="1">
            <w:col w:w="10159"/>
          </w:cols>
          <w:pgMar w:left="300" w:top="3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Class A common stock offered by us</w:t>
      </w:r>
    </w:p>
    <w:p>
      <w:pPr>
        <w:spacing w:after="0" w:line="203" w:lineRule="exact"/>
        <w:rPr>
          <w:sz w:val="20"/>
          <w:szCs w:val="20"/>
          <w:color w:val="auto"/>
        </w:rPr>
      </w:pPr>
    </w:p>
    <w:p>
      <w:pPr>
        <w:ind w:left="1600" w:hanging="60"/>
        <w:spacing w:after="0" w:line="281" w:lineRule="auto"/>
        <w:rPr>
          <w:sz w:val="20"/>
          <w:szCs w:val="20"/>
          <w:color w:val="auto"/>
        </w:rPr>
      </w:pPr>
      <w:r>
        <w:rPr>
          <w:rFonts w:ascii="Times New Roman" w:cs="Times New Roman" w:eastAsia="Times New Roman" w:hAnsi="Times New Roman"/>
          <w:sz w:val="14"/>
          <w:szCs w:val="14"/>
          <w:b w:val="1"/>
          <w:bCs w:val="1"/>
          <w:color w:val="auto"/>
        </w:rPr>
        <w:t>Class A common stock outstanding before this offering</w:t>
      </w:r>
    </w:p>
    <w:p>
      <w:pPr>
        <w:spacing w:after="0" w:line="153" w:lineRule="exact"/>
        <w:rPr>
          <w:sz w:val="20"/>
          <w:szCs w:val="20"/>
          <w:color w:val="auto"/>
        </w:rPr>
      </w:pPr>
    </w:p>
    <w:p>
      <w:pPr>
        <w:ind w:left="1600" w:right="340" w:hanging="60"/>
        <w:spacing w:after="0" w:line="321" w:lineRule="auto"/>
        <w:rPr>
          <w:sz w:val="20"/>
          <w:szCs w:val="20"/>
          <w:color w:val="auto"/>
        </w:rPr>
      </w:pPr>
      <w:r>
        <w:rPr>
          <w:rFonts w:ascii="Times New Roman" w:cs="Times New Roman" w:eastAsia="Times New Roman" w:hAnsi="Times New Roman"/>
          <w:sz w:val="13"/>
          <w:szCs w:val="13"/>
          <w:b w:val="1"/>
          <w:bCs w:val="1"/>
          <w:color w:val="auto"/>
        </w:rPr>
        <w:t>Class A common stock to be outstanding immediately after this offering</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Shares of Class A common stock having an aggregate offering price of up to $500 million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168,580,827 shares</w:t>
      </w:r>
    </w:p>
    <w:p>
      <w:pPr>
        <w:spacing w:after="0" w:line="369" w:lineRule="exact"/>
        <w:rPr>
          <w:sz w:val="20"/>
          <w:szCs w:val="20"/>
          <w:color w:val="auto"/>
        </w:rPr>
      </w:pPr>
    </w:p>
    <w:p>
      <w:pPr>
        <w:ind w:right="559"/>
        <w:spacing w:after="0" w:line="254" w:lineRule="auto"/>
        <w:rPr>
          <w:sz w:val="20"/>
          <w:szCs w:val="20"/>
          <w:color w:val="auto"/>
        </w:rPr>
      </w:pPr>
      <w:r>
        <w:rPr>
          <w:rFonts w:ascii="Times New Roman" w:cs="Times New Roman" w:eastAsia="Times New Roman" w:hAnsi="Times New Roman"/>
          <w:sz w:val="14"/>
          <w:szCs w:val="14"/>
          <w:color w:val="auto"/>
        </w:rPr>
        <w:t>Up to 177,689,954 shares, assuming sales of up to 9,109,127 shares of Class A common stock in this offering at a price of $54.89 per share, which was the last reported sale price of our Class A common stock on the Nasdaq on August 1, 2025. The actual number of shares of Class A common stock outstanding will vary depending on the sales prices at which our Class A common stock is sold in this offering and the total amount of sales of Class A common stock in this offering.</w:t>
      </w:r>
    </w:p>
    <w:p>
      <w:pPr>
        <w:spacing w:after="0" w:line="161" w:lineRule="exact"/>
        <w:rPr>
          <w:sz w:val="20"/>
          <w:szCs w:val="20"/>
          <w:color w:val="auto"/>
        </w:rPr>
      </w:pPr>
    </w:p>
    <w:p>
      <w:pPr>
        <w:sectPr>
          <w:pgSz w:w="11900" w:h="16838" w:orient="portrait"/>
          <w:cols w:equalWidth="0" w:num="2">
            <w:col w:w="4280" w:space="380"/>
            <w:col w:w="5499"/>
          </w:cols>
          <w:pgMar w:left="300" w:top="383" w:right="1440" w:bottom="1440" w:gutter="0" w:footer="0" w:header="0"/>
          <w:type w:val="continuous"/>
        </w:sectPr>
      </w:pPr>
    </w:p>
    <w:p>
      <w:pPr>
        <w:ind w:left="1600" w:right="560" w:hanging="60"/>
        <w:spacing w:after="0" w:line="321" w:lineRule="auto"/>
        <w:rPr>
          <w:sz w:val="20"/>
          <w:szCs w:val="20"/>
          <w:color w:val="auto"/>
        </w:rPr>
      </w:pPr>
      <w:r>
        <w:rPr>
          <w:rFonts w:ascii="Times New Roman" w:cs="Times New Roman" w:eastAsia="Times New Roman" w:hAnsi="Times New Roman"/>
          <w:sz w:val="13"/>
          <w:szCs w:val="13"/>
          <w:b w:val="1"/>
          <w:bCs w:val="1"/>
          <w:color w:val="auto"/>
        </w:rPr>
        <w:t>Class B common stock to be outstanding immediately after this offering</w:t>
      </w:r>
    </w:p>
    <w:p>
      <w:pPr>
        <w:spacing w:after="0" w:line="130" w:lineRule="exact"/>
        <w:rPr>
          <w:sz w:val="20"/>
          <w:szCs w:val="20"/>
          <w:color w:val="auto"/>
        </w:rPr>
      </w:pPr>
    </w:p>
    <w:p>
      <w:pPr>
        <w:ind w:left="1600" w:hanging="60"/>
        <w:spacing w:after="0" w:line="264" w:lineRule="auto"/>
        <w:rPr>
          <w:sz w:val="20"/>
          <w:szCs w:val="20"/>
          <w:color w:val="auto"/>
        </w:rPr>
      </w:pPr>
      <w:r>
        <w:rPr>
          <w:rFonts w:ascii="Times New Roman" w:cs="Times New Roman" w:eastAsia="Times New Roman" w:hAnsi="Times New Roman"/>
          <w:sz w:val="14"/>
          <w:szCs w:val="14"/>
          <w:b w:val="1"/>
          <w:bCs w:val="1"/>
          <w:color w:val="auto"/>
        </w:rPr>
        <w:t>Total Class A common stock and Class B common stock to be outstanding immediately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5,043,789 shares</w:t>
      </w:r>
    </w:p>
    <w:p>
      <w:pPr>
        <w:spacing w:after="0" w:line="369" w:lineRule="exact"/>
        <w:rPr>
          <w:sz w:val="20"/>
          <w:szCs w:val="20"/>
          <w:color w:val="auto"/>
        </w:rPr>
      </w:pPr>
    </w:p>
    <w:p>
      <w:pPr>
        <w:ind w:right="559"/>
        <w:spacing w:after="0" w:line="254" w:lineRule="auto"/>
        <w:rPr>
          <w:sz w:val="20"/>
          <w:szCs w:val="20"/>
          <w:color w:val="auto"/>
        </w:rPr>
      </w:pPr>
      <w:r>
        <w:rPr>
          <w:rFonts w:ascii="Times New Roman" w:cs="Times New Roman" w:eastAsia="Times New Roman" w:hAnsi="Times New Roman"/>
          <w:sz w:val="14"/>
          <w:szCs w:val="14"/>
          <w:color w:val="auto"/>
        </w:rPr>
        <w:t>Up to 182,733,743 shares, assuming sales of up to 9,109,127 shares of Class A common stock in this offering at a price of $54.89 per share, which was the last reported sale price of our Class A common stock on the Nasdaq on August 1, 2025. The actual number of shares of Class A common stock outstanding will vary depending on the sales prices at which our Class A common stock is sold in this offering and the total amount of sales of Class A common stock in this offering.</w:t>
      </w:r>
    </w:p>
    <w:p>
      <w:pPr>
        <w:spacing w:after="0" w:line="161" w:lineRule="exact"/>
        <w:rPr>
          <w:sz w:val="20"/>
          <w:szCs w:val="20"/>
          <w:color w:val="auto"/>
        </w:rPr>
      </w:pPr>
    </w:p>
    <w:p>
      <w:pPr>
        <w:sectPr>
          <w:pgSz w:w="11900" w:h="16838" w:orient="portrait"/>
          <w:cols w:equalWidth="0" w:num="2">
            <w:col w:w="4500" w:space="160"/>
            <w:col w:w="5499"/>
          </w:cols>
          <w:pgMar w:left="300" w:top="383" w:right="1440" w:bottom="1440" w:gutter="0" w:footer="0" w:header="0"/>
          <w:type w:val="continuous"/>
        </w:sectPr>
      </w:pPr>
    </w:p>
    <w:tbl>
      <w:tblPr>
        <w:tblLayout w:type="fixed"/>
        <w:tblInd w:w="1400" w:type="dxa"/>
        <w:tblCellMar>
          <w:top w:w="0" w:type="dxa"/>
          <w:left w:w="0" w:type="dxa"/>
          <w:bottom w:w="0" w:type="dxa"/>
          <w:right w:w="0" w:type="dxa"/>
        </w:tblCellMar>
      </w:tblPr>
      <w:tr>
        <w:trPr>
          <w:trHeight w:val="168"/>
        </w:trPr>
        <w:tc>
          <w:tcPr>
            <w:tcW w:w="22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Plan of Distribution</w:t>
            </w:r>
          </w:p>
        </w:tc>
        <w:tc>
          <w:tcPr>
            <w:tcW w:w="622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“At the market offering” that may be made from time to time through or to Morgan</w:t>
            </w:r>
          </w:p>
        </w:tc>
      </w:tr>
      <w:tr>
        <w:trPr>
          <w:trHeight w:val="166"/>
        </w:trPr>
        <w:tc>
          <w:tcPr>
            <w:tcW w:w="2280" w:type="dxa"/>
            <w:vAlign w:val="bottom"/>
          </w:tcPr>
          <w:p>
            <w:pPr>
              <w:spacing w:after="0"/>
              <w:rPr>
                <w:sz w:val="14"/>
                <w:szCs w:val="14"/>
                <w:color w:val="auto"/>
              </w:rPr>
            </w:pPr>
          </w:p>
        </w:tc>
        <w:tc>
          <w:tcPr>
            <w:tcW w:w="622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Stanley, Cantor, TD Securities and/or Allen as sales agent or principal. See “Plan of</w:t>
            </w:r>
          </w:p>
        </w:tc>
      </w:tr>
      <w:tr>
        <w:trPr>
          <w:trHeight w:val="181"/>
        </w:trPr>
        <w:tc>
          <w:tcPr>
            <w:tcW w:w="2280" w:type="dxa"/>
            <w:vAlign w:val="bottom"/>
          </w:tcPr>
          <w:p>
            <w:pPr>
              <w:spacing w:after="0"/>
              <w:rPr>
                <w:sz w:val="15"/>
                <w:szCs w:val="15"/>
                <w:color w:val="auto"/>
              </w:rPr>
            </w:pPr>
          </w:p>
        </w:tc>
        <w:tc>
          <w:tcPr>
            <w:tcW w:w="622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Distribution.”</w:t>
            </w:r>
          </w:p>
        </w:tc>
      </w:tr>
      <w:tr>
        <w:trPr>
          <w:trHeight w:val="338"/>
        </w:trPr>
        <w:tc>
          <w:tcPr>
            <w:tcW w:w="22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Use of Proceeds</w:t>
            </w:r>
          </w:p>
        </w:tc>
        <w:tc>
          <w:tcPr>
            <w:tcW w:w="622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We intend to use the net proceeds from the sale of the securities under this prospectus for</w:t>
            </w:r>
          </w:p>
        </w:tc>
      </w:tr>
      <w:tr>
        <w:trPr>
          <w:trHeight w:val="166"/>
        </w:trPr>
        <w:tc>
          <w:tcPr>
            <w:tcW w:w="2280" w:type="dxa"/>
            <w:vAlign w:val="bottom"/>
          </w:tcPr>
          <w:p>
            <w:pPr>
              <w:spacing w:after="0"/>
              <w:rPr>
                <w:sz w:val="14"/>
                <w:szCs w:val="14"/>
                <w:color w:val="auto"/>
              </w:rPr>
            </w:pPr>
          </w:p>
        </w:tc>
        <w:tc>
          <w:tcPr>
            <w:tcW w:w="622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general corporate purposes, which may include acquisitions or strategic investments in</w:t>
            </w:r>
          </w:p>
        </w:tc>
      </w:tr>
      <w:tr>
        <w:trPr>
          <w:trHeight w:val="166"/>
        </w:trPr>
        <w:tc>
          <w:tcPr>
            <w:tcW w:w="2280" w:type="dxa"/>
            <w:vAlign w:val="bottom"/>
          </w:tcPr>
          <w:p>
            <w:pPr>
              <w:spacing w:after="0"/>
              <w:rPr>
                <w:sz w:val="14"/>
                <w:szCs w:val="14"/>
                <w:color w:val="auto"/>
              </w:rPr>
            </w:pPr>
          </w:p>
        </w:tc>
        <w:tc>
          <w:tcPr>
            <w:tcW w:w="622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complementary businesses or technologies, working capital, operating expenses and capital</w:t>
            </w:r>
          </w:p>
        </w:tc>
      </w:tr>
      <w:tr>
        <w:trPr>
          <w:trHeight w:val="181"/>
        </w:trPr>
        <w:tc>
          <w:tcPr>
            <w:tcW w:w="2280" w:type="dxa"/>
            <w:vAlign w:val="bottom"/>
          </w:tcPr>
          <w:p>
            <w:pPr>
              <w:spacing w:after="0"/>
              <w:rPr>
                <w:sz w:val="15"/>
                <w:szCs w:val="15"/>
                <w:color w:val="auto"/>
              </w:rPr>
            </w:pPr>
          </w:p>
        </w:tc>
        <w:tc>
          <w:tcPr>
            <w:tcW w:w="622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expenditures. See “Use of Proceeds.”</w:t>
            </w:r>
          </w:p>
        </w:tc>
      </w:tr>
      <w:tr>
        <w:trPr>
          <w:trHeight w:val="338"/>
        </w:trPr>
        <w:tc>
          <w:tcPr>
            <w:tcW w:w="22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Risk Factors</w:t>
            </w:r>
          </w:p>
        </w:tc>
        <w:tc>
          <w:tcPr>
            <w:tcW w:w="622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Investing in our Class A common stock involves a high degree of risk. Before deciding</w:t>
            </w:r>
          </w:p>
        </w:tc>
      </w:tr>
      <w:tr>
        <w:trPr>
          <w:trHeight w:val="166"/>
        </w:trPr>
        <w:tc>
          <w:tcPr>
            <w:tcW w:w="2280" w:type="dxa"/>
            <w:vAlign w:val="bottom"/>
          </w:tcPr>
          <w:p>
            <w:pPr>
              <w:spacing w:after="0"/>
              <w:rPr>
                <w:sz w:val="14"/>
                <w:szCs w:val="14"/>
                <w:color w:val="auto"/>
              </w:rPr>
            </w:pPr>
          </w:p>
        </w:tc>
        <w:tc>
          <w:tcPr>
            <w:tcW w:w="622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whether to invest in our Class A common stock, please read the information contained</w:t>
            </w:r>
          </w:p>
        </w:tc>
      </w:tr>
      <w:tr>
        <w:trPr>
          <w:trHeight w:val="166"/>
        </w:trPr>
        <w:tc>
          <w:tcPr>
            <w:tcW w:w="2280" w:type="dxa"/>
            <w:vAlign w:val="bottom"/>
          </w:tcPr>
          <w:p>
            <w:pPr>
              <w:spacing w:after="0"/>
              <w:rPr>
                <w:sz w:val="14"/>
                <w:szCs w:val="14"/>
                <w:color w:val="auto"/>
              </w:rPr>
            </w:pPr>
          </w:p>
        </w:tc>
        <w:tc>
          <w:tcPr>
            <w:tcW w:w="622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under the heading “Risk Factors” and in the section title “Risk Factors” contained in our</w:t>
            </w:r>
          </w:p>
        </w:tc>
      </w:tr>
      <w:tr>
        <w:trPr>
          <w:trHeight w:val="166"/>
        </w:trPr>
        <w:tc>
          <w:tcPr>
            <w:tcW w:w="2280" w:type="dxa"/>
            <w:vAlign w:val="bottom"/>
          </w:tcPr>
          <w:p>
            <w:pPr>
              <w:spacing w:after="0"/>
              <w:rPr>
                <w:sz w:val="14"/>
                <w:szCs w:val="14"/>
                <w:color w:val="auto"/>
              </w:rPr>
            </w:pPr>
          </w:p>
        </w:tc>
        <w:tc>
          <w:tcPr>
            <w:tcW w:w="622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most recent Annual Report on Form 10-K and subsequent Quarterly Reports on Form 10-</w:t>
            </w:r>
          </w:p>
        </w:tc>
      </w:tr>
      <w:tr>
        <w:trPr>
          <w:trHeight w:val="166"/>
        </w:trPr>
        <w:tc>
          <w:tcPr>
            <w:tcW w:w="2280" w:type="dxa"/>
            <w:vAlign w:val="bottom"/>
          </w:tcPr>
          <w:p>
            <w:pPr>
              <w:spacing w:after="0"/>
              <w:rPr>
                <w:sz w:val="14"/>
                <w:szCs w:val="14"/>
                <w:color w:val="auto"/>
              </w:rPr>
            </w:pPr>
          </w:p>
        </w:tc>
        <w:tc>
          <w:tcPr>
            <w:tcW w:w="622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Q, as well as any amendments thereto reflected in subsequent filings with the SEC, which</w:t>
            </w:r>
          </w:p>
        </w:tc>
      </w:tr>
      <w:tr>
        <w:trPr>
          <w:trHeight w:val="181"/>
        </w:trPr>
        <w:tc>
          <w:tcPr>
            <w:tcW w:w="2280" w:type="dxa"/>
            <w:vAlign w:val="bottom"/>
          </w:tcPr>
          <w:p>
            <w:pPr>
              <w:spacing w:after="0"/>
              <w:rPr>
                <w:sz w:val="15"/>
                <w:szCs w:val="15"/>
                <w:color w:val="auto"/>
              </w:rPr>
            </w:pPr>
          </w:p>
        </w:tc>
        <w:tc>
          <w:tcPr>
            <w:tcW w:w="622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are incorporated by reference into this prospectus in their entirety.</w:t>
            </w:r>
          </w:p>
        </w:tc>
      </w:tr>
      <w:tr>
        <w:trPr>
          <w:trHeight w:val="130"/>
        </w:trPr>
        <w:tc>
          <w:tcPr>
            <w:tcW w:w="2280" w:type="dxa"/>
            <w:vAlign w:val="bottom"/>
            <w:tcBorders>
              <w:bottom w:val="single" w:sz="8" w:color="auto"/>
            </w:tcBorders>
          </w:tcPr>
          <w:p>
            <w:pPr>
              <w:spacing w:after="0"/>
              <w:rPr>
                <w:sz w:val="11"/>
                <w:szCs w:val="11"/>
                <w:color w:val="auto"/>
              </w:rPr>
            </w:pPr>
          </w:p>
        </w:tc>
        <w:tc>
          <w:tcPr>
            <w:tcW w:w="6220" w:type="dxa"/>
            <w:vAlign w:val="bottom"/>
            <w:tcBorders>
              <w:bottom w:val="single" w:sz="8" w:color="auto"/>
            </w:tcBorders>
          </w:tcPr>
          <w:p>
            <w:pPr>
              <w:spacing w:after="0"/>
              <w:rPr>
                <w:sz w:val="11"/>
                <w:szCs w:val="11"/>
                <w:color w:val="auto"/>
              </w:rPr>
            </w:pPr>
          </w:p>
        </w:tc>
      </w:tr>
      <w:tr>
        <w:trPr>
          <w:trHeight w:val="276"/>
        </w:trPr>
        <w:tc>
          <w:tcPr>
            <w:tcW w:w="2280" w:type="dxa"/>
            <w:vAlign w:val="bottom"/>
          </w:tcPr>
          <w:p>
            <w:pPr>
              <w:spacing w:after="0"/>
              <w:rPr>
                <w:sz w:val="24"/>
                <w:szCs w:val="24"/>
                <w:color w:val="auto"/>
              </w:rPr>
            </w:pPr>
          </w:p>
        </w:tc>
        <w:tc>
          <w:tcPr>
            <w:tcW w:w="6220" w:type="dxa"/>
            <w:vAlign w:val="bottom"/>
          </w:tcPr>
          <w:p>
            <w:pPr>
              <w:ind w:left="1920"/>
              <w:spacing w:after="0"/>
              <w:rPr>
                <w:sz w:val="20"/>
                <w:szCs w:val="20"/>
                <w:color w:val="auto"/>
              </w:rPr>
            </w:pPr>
            <w:r>
              <w:rPr>
                <w:rFonts w:ascii="Times New Roman" w:cs="Times New Roman" w:eastAsia="Times New Roman" w:hAnsi="Times New Roman"/>
                <w:sz w:val="14"/>
                <w:szCs w:val="14"/>
                <w:color w:val="auto"/>
              </w:rPr>
              <w:t>3</w:t>
            </w:r>
          </w:p>
        </w:tc>
      </w:tr>
    </w:tbl>
    <w:p>
      <w:pPr>
        <w:sectPr>
          <w:pgSz w:w="11900" w:h="16838" w:orient="portrait"/>
          <w:cols w:equalWidth="0" w:num="1">
            <w:col w:w="10159"/>
          </w:cols>
          <w:pgMar w:left="300" w:top="383" w:right="1440"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24491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0">
                      <a:extLst>
                        <a:ext uri="{28A0092B-C50C-407E-A947-70E740481C1C}"/>
                      </a:extLst>
                    </a:blip>
                    <a:srcRect/>
                    <a:stretch>
                      <a:fillRect/>
                    </a:stretch>
                  </pic:blipFill>
                  <pic:spPr bwMode="auto">
                    <a:xfrm>
                      <a:off x="0" y="0"/>
                      <a:ext cx="5393690" cy="2449195"/>
                    </a:xfrm>
                    <a:prstGeom prst="rect">
                      <a:avLst/>
                    </a:prstGeom>
                    <a:noFill/>
                  </pic:spPr>
                </pic:pic>
              </a:graphicData>
            </a:graphic>
          </wp:anchor>
        </w:drawing>
      </w:r>
    </w:p>
    <w:p>
      <w:pPr>
        <w:spacing w:after="0" w:line="360" w:lineRule="exact"/>
        <w:rPr>
          <w:sz w:val="20"/>
          <w:szCs w:val="20"/>
          <w:color w:val="auto"/>
        </w:rPr>
      </w:pPr>
    </w:p>
    <w:p>
      <w:pPr>
        <w:ind w:left="1540"/>
        <w:spacing w:after="0"/>
        <w:tabs>
          <w:tab w:leader="none" w:pos="4640" w:val="left"/>
        </w:tabs>
        <w:rPr>
          <w:sz w:val="20"/>
          <w:szCs w:val="20"/>
          <w:color w:val="auto"/>
        </w:rPr>
      </w:pPr>
      <w:r>
        <w:rPr>
          <w:rFonts w:ascii="Times New Roman" w:cs="Times New Roman" w:eastAsia="Times New Roman" w:hAnsi="Times New Roman"/>
          <w:sz w:val="14"/>
          <w:szCs w:val="14"/>
          <w:b w:val="1"/>
          <w:bCs w:val="1"/>
          <w:color w:val="auto"/>
        </w:rPr>
        <w:t>Nasdaq Global Select Trading Symbol</w:t>
      </w:r>
      <w:r>
        <w:rPr>
          <w:sz w:val="20"/>
          <w:szCs w:val="20"/>
          <w:color w:val="auto"/>
        </w:rPr>
        <w:tab/>
      </w:r>
      <w:r>
        <w:rPr>
          <w:rFonts w:ascii="Times New Roman" w:cs="Times New Roman" w:eastAsia="Times New Roman" w:hAnsi="Times New Roman"/>
          <w:sz w:val="13"/>
          <w:szCs w:val="13"/>
          <w:color w:val="auto"/>
        </w:rPr>
        <w:t>“TEM”</w:t>
      </w:r>
    </w:p>
    <w:p>
      <w:pPr>
        <w:spacing w:after="0" w:line="184" w:lineRule="exact"/>
        <w:rPr>
          <w:sz w:val="20"/>
          <w:szCs w:val="20"/>
          <w:color w:val="auto"/>
        </w:rPr>
      </w:pPr>
    </w:p>
    <w:p>
      <w:pPr>
        <w:ind w:left="1540" w:right="519" w:firstLine="328"/>
        <w:spacing w:after="0" w:line="318" w:lineRule="auto"/>
        <w:rPr>
          <w:sz w:val="20"/>
          <w:szCs w:val="20"/>
          <w:color w:val="auto"/>
        </w:rPr>
      </w:pPr>
      <w:r>
        <w:rPr>
          <w:rFonts w:ascii="Times New Roman" w:cs="Times New Roman" w:eastAsia="Times New Roman" w:hAnsi="Times New Roman"/>
          <w:sz w:val="13"/>
          <w:szCs w:val="13"/>
          <w:color w:val="auto"/>
        </w:rPr>
        <w:t>The number of shares of Class A common stock and Class B common stock that will be outstanding immediately after this offering is based on 168,580,827 shares of Class A common stock and 5,043,789 shares of Class B common stock outstanding as of June 30, 2025 and excludes:</w:t>
      </w:r>
    </w:p>
    <w:p>
      <w:pPr>
        <w:spacing w:after="0" w:line="30" w:lineRule="exact"/>
        <w:rPr>
          <w:sz w:val="20"/>
          <w:szCs w:val="20"/>
          <w:color w:val="auto"/>
        </w:rPr>
      </w:pPr>
    </w:p>
    <w:p>
      <w:pPr>
        <w:ind w:left="2260" w:right="559" w:hanging="312"/>
        <w:spacing w:after="0" w:line="278" w:lineRule="auto"/>
        <w:tabs>
          <w:tab w:leader="none" w:pos="22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3,122,720 shares of Class A common stock issuable on the vesting and settlement of restricted stock units outstanding as of June 30, 2025 under our 2015 Equity Incentive Plan (“2015 EIP”);</w:t>
      </w:r>
    </w:p>
    <w:p>
      <w:pPr>
        <w:spacing w:after="0" w:line="53" w:lineRule="exact"/>
        <w:rPr>
          <w:rFonts w:ascii="Times New Roman" w:cs="Times New Roman" w:eastAsia="Times New Roman" w:hAnsi="Times New Roman"/>
          <w:sz w:val="14"/>
          <w:szCs w:val="14"/>
          <w:color w:val="auto"/>
        </w:rPr>
      </w:pPr>
    </w:p>
    <w:p>
      <w:pPr>
        <w:ind w:left="2260" w:right="499" w:hanging="312"/>
        <w:spacing w:after="0" w:line="278" w:lineRule="auto"/>
        <w:tabs>
          <w:tab w:leader="none" w:pos="22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3,693,885 shares of Class A common stock issuable on the vesting and settlement of restricted stock units and restricted stock awards outstanding as of June 30, 2025 under our 2024 Equity Incentive Plan (the “2024 EIP”);</w:t>
      </w:r>
    </w:p>
    <w:p>
      <w:pPr>
        <w:spacing w:after="0" w:line="53"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6,355,699 shares of our Class A common stock reserved for future issuance under the 2024 EIP;</w:t>
      </w:r>
    </w:p>
    <w:p>
      <w:pPr>
        <w:spacing w:after="0" w:line="98" w:lineRule="exact"/>
        <w:rPr>
          <w:rFonts w:ascii="Times New Roman" w:cs="Times New Roman" w:eastAsia="Times New Roman" w:hAnsi="Times New Roman"/>
          <w:sz w:val="14"/>
          <w:szCs w:val="14"/>
          <w:color w:val="auto"/>
        </w:rPr>
      </w:pPr>
    </w:p>
    <w:p>
      <w:pPr>
        <w:ind w:left="2260" w:right="859" w:hanging="312"/>
        <w:spacing w:after="0" w:line="278" w:lineRule="auto"/>
        <w:tabs>
          <w:tab w:leader="none" w:pos="22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3,000,000 shares of Class A common stock reserved for future issuance under our 2024 Employee Stock Purchase Plan (“2024 ESPP”);</w:t>
      </w:r>
    </w:p>
    <w:p>
      <w:pPr>
        <w:spacing w:after="0" w:line="53" w:lineRule="exact"/>
        <w:rPr>
          <w:rFonts w:ascii="Times New Roman" w:cs="Times New Roman" w:eastAsia="Times New Roman" w:hAnsi="Times New Roman"/>
          <w:sz w:val="14"/>
          <w:szCs w:val="14"/>
          <w:color w:val="auto"/>
        </w:rPr>
      </w:pPr>
    </w:p>
    <w:p>
      <w:pPr>
        <w:ind w:left="2260" w:right="719" w:hanging="312"/>
        <w:spacing w:after="0" w:line="278" w:lineRule="auto"/>
        <w:tabs>
          <w:tab w:leader="none" w:pos="22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11,803,575 shares of Class A common stock reserved for issuance upon the conversion of our 0.75% convertible senior notes due 2030 as of June 30, 2025; and</w:t>
      </w:r>
    </w:p>
    <w:p>
      <w:pPr>
        <w:spacing w:after="0" w:line="53" w:lineRule="exact"/>
        <w:rPr>
          <w:rFonts w:ascii="Times New Roman" w:cs="Times New Roman" w:eastAsia="Times New Roman" w:hAnsi="Times New Roman"/>
          <w:sz w:val="14"/>
          <w:szCs w:val="14"/>
          <w:color w:val="auto"/>
        </w:rPr>
      </w:pPr>
    </w:p>
    <w:p>
      <w:pPr>
        <w:ind w:left="2260" w:right="539" w:hanging="312"/>
        <w:spacing w:after="0" w:line="255" w:lineRule="auto"/>
        <w:tabs>
          <w:tab w:leader="none" w:pos="22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Class A common stock issuable upon conversion of the convertible promissory note we issued to Google LLC, which note was most recently amended in February 2025, and is convertible beginning in December 2030 into a number of shares of Class A common stock equal to the quotient obtained by dividing (1) the then outstanding principal amount of such note (which was $238.3 million as of the time of the latest amendment), by (2) the average of the last trading price on each trading day during the twenty-day period ending immediately prior to December 31, 2030.</w:t>
      </w:r>
    </w:p>
    <w:p>
      <w:pPr>
        <w:spacing w:after="0" w:line="23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83"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2" w:lineRule="exact"/>
        <w:rPr>
          <w:sz w:val="20"/>
          <w:szCs w:val="20"/>
          <w:color w:val="auto"/>
        </w:rPr>
      </w:pPr>
    </w:p>
    <w:p>
      <w:pPr>
        <w:ind w:left="1400" w:right="279" w:firstLine="339"/>
        <w:spacing w:after="0" w:line="250" w:lineRule="auto"/>
        <w:rPr>
          <w:sz w:val="20"/>
          <w:szCs w:val="20"/>
          <w:color w:val="auto"/>
        </w:rPr>
      </w:pPr>
      <w:r>
        <w:rPr>
          <w:rFonts w:ascii="Times New Roman" w:cs="Times New Roman" w:eastAsia="Times New Roman" w:hAnsi="Times New Roman"/>
          <w:sz w:val="14"/>
          <w:szCs w:val="14"/>
          <w:i w:val="1"/>
          <w:iCs w:val="1"/>
          <w:color w:val="auto"/>
        </w:rPr>
        <w:t>Investing in our Class A common stock involves a high degree of risk. Before deciding whether to invest in our Class A common stock, you should consider carefully the risks and uncertainties described below together with all of the other information contained in this prospectus and in the section titled “Risk Factors” contained in any applicable prospectus supplement and any related free writing prospectus, and described under the section titled “Risk Factors” contained in our most recent Annual Report on Form 10-K and subsequent Quarterly Reports on Form 10-Q, as well as any amendments thereto reflected in subsequent filings with the SEC, which are incorporated by reference into this prospectus in their entirety, together with other information in this prospectus, the documents incorporated by reference in this prospectus, any applicable prospectus supplement and any free writing prospectus that we may authorize for use in connection with a specific offering. See the sections titled “Where You Can Find More Information” and “Incorporation of Certain Information by Reference.” The risks described in these documents are not the only ones we face, but those that we consider to be material. There may be other unknown or unpredictable economic, business, competitive, regulatory or other factors that could have material adverse effects on our business, financial condition, results of operations and prospects.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Class A common stock to decline, resulting in a loss of all or part of your investment. Please also carefully read the section titled “Special Note Regarding Forward-Looking Statements.”</w:t>
      </w:r>
    </w:p>
    <w:p>
      <w:pPr>
        <w:spacing w:after="0" w:line="23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Risks Related to This Offering</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Future sales of our Class A common stock in the public market could cause the market price of our Class A common stock to decline.</w:t>
      </w:r>
    </w:p>
    <w:p>
      <w:pPr>
        <w:spacing w:after="0" w:line="91" w:lineRule="exact"/>
        <w:rPr>
          <w:sz w:val="20"/>
          <w:szCs w:val="20"/>
          <w:color w:val="auto"/>
        </w:rPr>
      </w:pPr>
    </w:p>
    <w:p>
      <w:pPr>
        <w:ind w:left="1400" w:right="279" w:firstLine="339"/>
        <w:spacing w:after="0" w:line="253" w:lineRule="auto"/>
        <w:rPr>
          <w:sz w:val="20"/>
          <w:szCs w:val="20"/>
          <w:color w:val="auto"/>
        </w:rPr>
      </w:pPr>
      <w:r>
        <w:rPr>
          <w:rFonts w:ascii="Times New Roman" w:cs="Times New Roman" w:eastAsia="Times New Roman" w:hAnsi="Times New Roman"/>
          <w:sz w:val="14"/>
          <w:szCs w:val="14"/>
          <w:color w:val="auto"/>
        </w:rPr>
        <w:t>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Many of our existing equity holders have substantial unrecognized gains on the value of the equity they hold based upon the price of our initial public offering (“IPO”), and therefore they may take steps to sell their shares or otherwise secure the unrecognized gains on those shares. All of the Class A common stock sold in our IPO is freely tradable without restrictions or further registration under the Securities Act, except for any shares held by our affiliates as defined in Rule 144 under the Securities Act (“Rule 144”). We are unable to predict the timing of or the effect that such sales may have on the prevailing market price of our Class A common stock.</w:t>
      </w:r>
    </w:p>
    <w:p>
      <w:pPr>
        <w:spacing w:after="0" w:line="143" w:lineRule="exact"/>
        <w:rPr>
          <w:sz w:val="20"/>
          <w:szCs w:val="20"/>
          <w:color w:val="auto"/>
        </w:rPr>
      </w:pPr>
    </w:p>
    <w:p>
      <w:pPr>
        <w:ind w:left="1400" w:right="359" w:firstLine="339"/>
        <w:spacing w:after="0" w:line="278" w:lineRule="auto"/>
        <w:rPr>
          <w:sz w:val="20"/>
          <w:szCs w:val="20"/>
          <w:color w:val="auto"/>
        </w:rPr>
      </w:pPr>
      <w:r>
        <w:rPr>
          <w:rFonts w:ascii="Times New Roman" w:cs="Times New Roman" w:eastAsia="Times New Roman" w:hAnsi="Times New Roman"/>
          <w:sz w:val="14"/>
          <w:szCs w:val="14"/>
          <w:color w:val="auto"/>
        </w:rPr>
        <w:t>Sales, short sales, or hedging transactions involving our equity securities, whether or not we believe them to be prohibited, could adversely affect the price of our Class A common stock.</w:t>
      </w:r>
    </w:p>
    <w:p>
      <w:pPr>
        <w:spacing w:after="0" w:line="126" w:lineRule="exact"/>
        <w:rPr>
          <w:sz w:val="20"/>
          <w:szCs w:val="20"/>
          <w:color w:val="auto"/>
        </w:rPr>
      </w:pPr>
    </w:p>
    <w:p>
      <w:pPr>
        <w:jc w:val="both"/>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In addition, we have filed a universal shelf registration statement (which allows us to offer and sell securities from time to time pursuant to one or more offerings at prices and terms to be determined at the time of sale), as well as registration statements registering all shares of Class A common stock that we has been issued under our 2015 EIP or has or may be issued under our 2024 EIP and 2024 ESPP. All of the Class A common stock sold pursuant to such plans is freely tradable without restrictions or further registration under the Securities Act, except for any shares held by our affiliates as defined in Rule 144.</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We will have broad discretion in the use of the net proceeds from this offering and may not use them effectively.</w:t>
      </w:r>
    </w:p>
    <w:p>
      <w:pPr>
        <w:spacing w:after="0" w:line="91" w:lineRule="exact"/>
        <w:rPr>
          <w:sz w:val="20"/>
          <w:szCs w:val="20"/>
          <w:color w:val="auto"/>
        </w:rPr>
      </w:pPr>
    </w:p>
    <w:p>
      <w:pPr>
        <w:ind w:left="1400" w:right="419" w:firstLine="339"/>
        <w:spacing w:after="0" w:line="292" w:lineRule="auto"/>
        <w:rPr>
          <w:sz w:val="20"/>
          <w:szCs w:val="20"/>
          <w:color w:val="auto"/>
        </w:rPr>
      </w:pPr>
      <w:r>
        <w:rPr>
          <w:rFonts w:ascii="Times New Roman" w:cs="Times New Roman" w:eastAsia="Times New Roman" w:hAnsi="Times New Roman"/>
          <w:sz w:val="13"/>
          <w:szCs w:val="13"/>
          <w:color w:val="auto"/>
        </w:rPr>
        <w:t>We will have broad discretion in the application of the net proceeds from this offering,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our ultimate use may</w:t>
      </w:r>
    </w:p>
    <w:p>
      <w:pPr>
        <w:spacing w:after="0" w:line="6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3"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spacing w:after="0" w:line="254" w:lineRule="auto"/>
        <w:rPr>
          <w:sz w:val="20"/>
          <w:szCs w:val="20"/>
          <w:color w:val="auto"/>
        </w:rPr>
      </w:pPr>
      <w:r>
        <w:rPr>
          <w:rFonts w:ascii="Times New Roman" w:cs="Times New Roman" w:eastAsia="Times New Roman" w:hAnsi="Times New Roman"/>
          <w:sz w:val="14"/>
          <w:szCs w:val="14"/>
          <w:color w:val="auto"/>
        </w:rPr>
        <w:t>vary substantially from our currently intended use. Investors will need to rely upon the judgment of our management with respect to the use of proceeds. Pending use, we may invest the net proceeds from this offering in short-term, investment-grade, interest-bearing securities, such as money market accounts, certificates of deposit, commercial paper, and guaranteed obligations of the U.S. government that may not generate a high yield for our stockholders. We may also use a portion of the net proceeds to acquire complementary businesses, products, services, or technologies, or to pay down existing or future debt obligations. If we do not use the net proceeds that we receive in this offering effectively, our business, financial condition and results of operations and prospects could be harmed and the market price of our Class A common stock could decline.</w:t>
      </w:r>
    </w:p>
    <w:p>
      <w:pPr>
        <w:spacing w:after="0" w:line="223" w:lineRule="exact"/>
        <w:rPr>
          <w:sz w:val="20"/>
          <w:szCs w:val="20"/>
          <w:color w:val="auto"/>
        </w:rPr>
      </w:pPr>
    </w:p>
    <w:p>
      <w:pPr>
        <w:ind w:left="1400" w:right="47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You will experience immediate and substantial dilution in the net tangible book value of the shares of Class A common stock you purchase in this offering.</w:t>
      </w:r>
    </w:p>
    <w:p>
      <w:pPr>
        <w:spacing w:after="0" w:line="41" w:lineRule="exact"/>
        <w:rPr>
          <w:sz w:val="20"/>
          <w:szCs w:val="20"/>
          <w:color w:val="auto"/>
        </w:rPr>
      </w:pPr>
    </w:p>
    <w:p>
      <w:pPr>
        <w:ind w:left="1400" w:right="339" w:firstLine="339"/>
        <w:spacing w:after="0" w:line="251" w:lineRule="auto"/>
        <w:rPr>
          <w:sz w:val="20"/>
          <w:szCs w:val="20"/>
          <w:color w:val="auto"/>
        </w:rPr>
      </w:pPr>
      <w:r>
        <w:rPr>
          <w:rFonts w:ascii="Times New Roman" w:cs="Times New Roman" w:eastAsia="Times New Roman" w:hAnsi="Times New Roman"/>
          <w:sz w:val="14"/>
          <w:szCs w:val="14"/>
          <w:color w:val="auto"/>
        </w:rPr>
        <w:t>The shares of Class A common stock sold in this offering, if any, will be sold from time to time at various prices. However, we anticipate the offering price of our Class A common stock will be substantially higher than the net tangible book value per share of our Class A common stock immediately after this offering. After giving effect to the sale of shares of our Class A common stock in the aggregate amount of $500,000,000 at an assumed public offering price of $54.89, which was the last reported sale price of our Class A common stock on the Nasdaq Global Select Market on August 1, 2025, our as adjusted net tangible book value as of June 30, 2025 would have been approximately $80.8 million, or approximately $0.44 per share. This represents an immediate increase in as adjusted net tangible book value of approximately $2.77 per share to the existing holders of our Class A common stock and an immediate dilution in as adjusted net tangible book value of approximately $54.45 per share to purchasers of our Class A common stock in this offering. The actual amount of dilution to investors in this offering will depend on the sales price at which we sell shares of our common stock and our net tangible book value per share at the of any sale.</w:t>
      </w:r>
    </w:p>
    <w:p>
      <w:pPr>
        <w:spacing w:after="0" w:line="230" w:lineRule="exact"/>
        <w:rPr>
          <w:sz w:val="20"/>
          <w:szCs w:val="20"/>
          <w:color w:val="auto"/>
        </w:rPr>
      </w:pPr>
    </w:p>
    <w:p>
      <w:pPr>
        <w:ind w:left="1400" w:right="63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We do not intend to pay dividends for the foreseeable future and, as a result, your ability to achieve a return on your investment will depend on appreciation in the price of our Class A common stock.</w:t>
      </w:r>
    </w:p>
    <w:p>
      <w:pPr>
        <w:spacing w:after="0" w:line="41" w:lineRule="exact"/>
        <w:rPr>
          <w:sz w:val="20"/>
          <w:szCs w:val="20"/>
          <w:color w:val="auto"/>
        </w:rPr>
      </w:pPr>
    </w:p>
    <w:p>
      <w:pPr>
        <w:ind w:left="1400" w:right="519" w:firstLine="339"/>
        <w:spacing w:after="0" w:line="258" w:lineRule="auto"/>
        <w:rPr>
          <w:sz w:val="20"/>
          <w:szCs w:val="20"/>
          <w:color w:val="auto"/>
        </w:rPr>
      </w:pPr>
      <w:r>
        <w:rPr>
          <w:rFonts w:ascii="Times New Roman" w:cs="Times New Roman" w:eastAsia="Times New Roman" w:hAnsi="Times New Roman"/>
          <w:sz w:val="14"/>
          <w:szCs w:val="14"/>
          <w:color w:val="auto"/>
        </w:rPr>
        <w:t>While we have in the past paid dividends to holders of our convertible preferred stock, we do not intend to pay any cash dividends in the foreseeable future. Any determination to pay dividends in the future will be at the discretion of our board of directors. Accordingly, you may need to rely on sales of our Class A common stock after price appreciation, which may never occur, as the only way to realize any future gains on your investment.</w:t>
      </w:r>
    </w:p>
    <w:p>
      <w:pPr>
        <w:spacing w:after="0" w:line="221" w:lineRule="exact"/>
        <w:rPr>
          <w:sz w:val="20"/>
          <w:szCs w:val="20"/>
          <w:color w:val="auto"/>
        </w:rPr>
      </w:pPr>
    </w:p>
    <w:p>
      <w:pPr>
        <w:ind w:left="1400" w:right="29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The actual number of shares we will issue under the sales agreement, at any one time or in total, and the gross proceeds resulting from those sales is uncertain.</w:t>
      </w:r>
    </w:p>
    <w:p>
      <w:pPr>
        <w:spacing w:after="0" w:line="41" w:lineRule="exact"/>
        <w:rPr>
          <w:sz w:val="20"/>
          <w:szCs w:val="20"/>
          <w:color w:val="auto"/>
        </w:rPr>
      </w:pPr>
    </w:p>
    <w:p>
      <w:pPr>
        <w:ind w:left="1400" w:right="279" w:firstLine="339"/>
        <w:spacing w:after="0" w:line="253" w:lineRule="auto"/>
        <w:rPr>
          <w:sz w:val="20"/>
          <w:szCs w:val="20"/>
          <w:color w:val="auto"/>
        </w:rPr>
      </w:pPr>
      <w:r>
        <w:rPr>
          <w:rFonts w:ascii="Times New Roman" w:cs="Times New Roman" w:eastAsia="Times New Roman" w:hAnsi="Times New Roman"/>
          <w:sz w:val="14"/>
          <w:szCs w:val="14"/>
          <w:color w:val="auto"/>
        </w:rPr>
        <w:t>Subject to certain limitations in the sales agreement and compliance with applicable law, we have the discretion to deliver a placement notice to the sales agents at any time throughout the term of the sales agreement. The number of shares that are sold by the sales agents after delivering a placement notice will fluctuate based on a number of factors, including the market price of the Class A common shares during the sales period, the limits we set with the sales agents in any applicable placement notice, and the demand for our Class A common stock during the sales period. Because the price per share of each share sold will fluctuate based on the market price of our Class A common stock during the sales period, it is not possible at this stage to predict the number of shares of Class A common stock that will be ultimately issued or sold or the gross proceeds to be raised in connection with those sales.</w:t>
      </w:r>
    </w:p>
    <w:p>
      <w:pPr>
        <w:spacing w:after="0" w:line="224" w:lineRule="exact"/>
        <w:rPr>
          <w:sz w:val="20"/>
          <w:szCs w:val="20"/>
          <w:color w:val="auto"/>
        </w:rPr>
      </w:pPr>
    </w:p>
    <w:p>
      <w:pPr>
        <w:ind w:left="1400" w:right="47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The Class A common stock offered hereby will be sold in “at the market offerings,” and investors who buy shares at different times will likely pay different prices.</w:t>
      </w:r>
    </w:p>
    <w:p>
      <w:pPr>
        <w:spacing w:after="0" w:line="41" w:lineRule="exact"/>
        <w:rPr>
          <w:sz w:val="20"/>
          <w:szCs w:val="20"/>
          <w:color w:val="auto"/>
        </w:rPr>
      </w:pPr>
    </w:p>
    <w:p>
      <w:pPr>
        <w:jc w:val="both"/>
        <w:ind w:left="1400" w:right="359" w:firstLine="339"/>
        <w:spacing w:after="0" w:line="258" w:lineRule="auto"/>
        <w:rPr>
          <w:sz w:val="20"/>
          <w:szCs w:val="20"/>
          <w:color w:val="auto"/>
        </w:rPr>
      </w:pPr>
      <w:r>
        <w:rPr>
          <w:rFonts w:ascii="Times New Roman" w:cs="Times New Roman" w:eastAsia="Times New Roman" w:hAnsi="Times New Roman"/>
          <w:sz w:val="14"/>
          <w:szCs w:val="14"/>
          <w:color w:val="auto"/>
        </w:rPr>
        <w:t>Investors who purchase shares in this offering at different times will likely pay different prices, and so may experience different levels of dilution and different outcomes in their investment results. We will have discretion, subject to market demand, to vary the timing, prices, and numbers of shares sold in this offering. In addition, there is no minimum or maximum sales price for shares to be sold in this offering. Investors may experience a decline in the value of their shares as a result of share sales made at prices lower than the prices they paid.</w:t>
      </w:r>
    </w:p>
    <w:p>
      <w:pPr>
        <w:spacing w:after="0" w:line="8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3"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4" w:lineRule="exact"/>
        <w:rPr>
          <w:sz w:val="20"/>
          <w:szCs w:val="20"/>
          <w:color w:val="auto"/>
        </w:rPr>
      </w:pPr>
    </w:p>
    <w:p>
      <w:pPr>
        <w:ind w:left="1400" w:right="399" w:firstLine="339"/>
        <w:spacing w:after="0" w:line="255" w:lineRule="auto"/>
        <w:rPr>
          <w:sz w:val="20"/>
          <w:szCs w:val="20"/>
          <w:color w:val="auto"/>
        </w:rPr>
      </w:pPr>
      <w:r>
        <w:rPr>
          <w:rFonts w:ascii="Times New Roman" w:cs="Times New Roman" w:eastAsia="Times New Roman" w:hAnsi="Times New Roman"/>
          <w:sz w:val="14"/>
          <w:szCs w:val="14"/>
          <w:color w:val="auto"/>
        </w:rPr>
        <w:t>We may issue and sell shares of our Class A common stock having aggregate gross sales proceeds of up to $500 million from time to time. Because there is no minimum offering amount required as a condition to close this offering and because the amount of proceeds from this offering will depend upon the number of shares of our Class A common stock sold and the market price at which they are sold, the actual total public offering amount, commissions and proceeds to us, if any, are not determinable at this time. There can be no assurance that we will be able to sell any shares under the sales agreement or fully utilize the sales agreement with the sales agents as a source of financing.</w:t>
      </w:r>
    </w:p>
    <w:p>
      <w:pPr>
        <w:spacing w:after="0" w:line="143" w:lineRule="exact"/>
        <w:rPr>
          <w:sz w:val="20"/>
          <w:szCs w:val="20"/>
          <w:color w:val="auto"/>
        </w:rPr>
      </w:pPr>
    </w:p>
    <w:p>
      <w:pPr>
        <w:ind w:left="1400" w:right="299" w:firstLine="339"/>
        <w:spacing w:after="0" w:line="318" w:lineRule="auto"/>
        <w:rPr>
          <w:sz w:val="20"/>
          <w:szCs w:val="20"/>
          <w:color w:val="auto"/>
        </w:rPr>
      </w:pPr>
      <w:r>
        <w:rPr>
          <w:rFonts w:ascii="Times New Roman" w:cs="Times New Roman" w:eastAsia="Times New Roman" w:hAnsi="Times New Roman"/>
          <w:sz w:val="13"/>
          <w:szCs w:val="13"/>
          <w:color w:val="auto"/>
        </w:rPr>
        <w:t>We currently intend to use the net proceeds from the sale of the securities under this prospectus for general corporate purposes, which may include acquisitions or strategic investments in complementary businesses or technologies, working capital, operating expenses and capital expenditures.</w:t>
      </w:r>
    </w:p>
    <w:p>
      <w:pPr>
        <w:spacing w:after="0" w:line="103" w:lineRule="exact"/>
        <w:rPr>
          <w:sz w:val="20"/>
          <w:szCs w:val="20"/>
          <w:color w:val="auto"/>
        </w:rPr>
      </w:pPr>
    </w:p>
    <w:p>
      <w:pPr>
        <w:ind w:left="1400" w:right="499" w:firstLine="339"/>
        <w:spacing w:after="0" w:line="278" w:lineRule="auto"/>
        <w:rPr>
          <w:sz w:val="20"/>
          <w:szCs w:val="20"/>
          <w:color w:val="auto"/>
        </w:rPr>
      </w:pPr>
      <w:r>
        <w:rPr>
          <w:rFonts w:ascii="Times New Roman" w:cs="Times New Roman" w:eastAsia="Times New Roman" w:hAnsi="Times New Roman"/>
          <w:sz w:val="14"/>
          <w:szCs w:val="14"/>
          <w:color w:val="auto"/>
        </w:rPr>
        <w:t>We will have broad discretion over how to use the net proceeds from this offering. We intend to invest the net proceeds to us from this offering that are not used as described above in investment-grade, interest-bearing instruments.</w:t>
      </w:r>
    </w:p>
    <w:p>
      <w:pPr>
        <w:spacing w:after="0" w:line="7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3"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4" w:lineRule="exact"/>
        <w:rPr>
          <w:sz w:val="20"/>
          <w:szCs w:val="20"/>
          <w:color w:val="auto"/>
        </w:rPr>
      </w:pPr>
    </w:p>
    <w:p>
      <w:pPr>
        <w:ind w:left="1400" w:right="299" w:firstLine="339"/>
        <w:spacing w:after="0" w:line="258" w:lineRule="auto"/>
        <w:rPr>
          <w:sz w:val="20"/>
          <w:szCs w:val="20"/>
          <w:color w:val="auto"/>
        </w:rPr>
      </w:pPr>
      <w:r>
        <w:rPr>
          <w:rFonts w:ascii="Times New Roman" w:cs="Times New Roman" w:eastAsia="Times New Roman" w:hAnsi="Times New Roman"/>
          <w:sz w:val="14"/>
          <w:szCs w:val="14"/>
          <w:color w:val="auto"/>
        </w:rPr>
        <w:t>We entered into the sales agreement with the sales agents on August 8, 2025, which we filed as an exhibit to a report filed under the Exchange Act and incorporate by reference herein. In accordance with the terms of the sales agreement, we may issue and sell shares of our Class A common stock under this prospectus having an aggregate offering price of up to $500,000,000, from time to time through or to Morgan Stanley, Cantor, TD Securities and/or Allen, as sales agent or principal, in each case severally and not jointly.</w:t>
      </w:r>
    </w:p>
    <w:p>
      <w:pPr>
        <w:spacing w:after="0" w:line="140" w:lineRule="exact"/>
        <w:rPr>
          <w:sz w:val="20"/>
          <w:szCs w:val="20"/>
          <w:color w:val="auto"/>
        </w:rPr>
      </w:pPr>
    </w:p>
    <w:p>
      <w:pPr>
        <w:ind w:left="1400" w:right="399" w:firstLine="339"/>
        <w:spacing w:after="0" w:line="254" w:lineRule="auto"/>
        <w:rPr>
          <w:sz w:val="20"/>
          <w:szCs w:val="20"/>
          <w:color w:val="auto"/>
        </w:rPr>
      </w:pPr>
      <w:r>
        <w:rPr>
          <w:rFonts w:ascii="Times New Roman" w:cs="Times New Roman" w:eastAsia="Times New Roman" w:hAnsi="Times New Roman"/>
          <w:sz w:val="14"/>
          <w:szCs w:val="14"/>
          <w:color w:val="auto"/>
        </w:rPr>
        <w:t>Sales of shares of our Class A common stock, if any, under this prospectus may be made in negotiated transactions, including block trades sales Class A common stock that would constitute a “block” within the meaning of Rule 10b-18(a)(5) under the Exchange Act , or by any method permitted by law deemed to be an “at the market” offering as defined in Rule 415(a)(4) of the Securities Act, including without limitation sales made through Nasdaq or on any other existing trading market for the Class A common Stock, or by any other method permitted by law. We may instruct the sales agents not to sell Class A common stock if the sales cannot be effected at or above the price designated by us from time to time. We or the sales agents may suspend the offering of Class A common stock upon notice and subject to other conditions.</w:t>
      </w:r>
    </w:p>
    <w:p>
      <w:pPr>
        <w:spacing w:after="0" w:line="142" w:lineRule="exact"/>
        <w:rPr>
          <w:sz w:val="20"/>
          <w:szCs w:val="20"/>
          <w:color w:val="auto"/>
        </w:rPr>
      </w:pPr>
    </w:p>
    <w:p>
      <w:pPr>
        <w:ind w:left="1400" w:right="379" w:firstLine="339"/>
        <w:spacing w:after="0" w:line="253" w:lineRule="auto"/>
        <w:rPr>
          <w:sz w:val="20"/>
          <w:szCs w:val="20"/>
          <w:color w:val="auto"/>
        </w:rPr>
      </w:pPr>
      <w:r>
        <w:rPr>
          <w:rFonts w:ascii="Times New Roman" w:cs="Times New Roman" w:eastAsia="Times New Roman" w:hAnsi="Times New Roman"/>
          <w:sz w:val="14"/>
          <w:szCs w:val="14"/>
          <w:color w:val="auto"/>
        </w:rPr>
        <w:t>The sales agents will offer our Class A common stock subject to the terms and conditions of the sales agreement as agreed upon by us and the sales agents. Each time we wish to issue and sell Class A common stock under the sales agreement, we will notify a sales agent of the number or dollar value of shares to be issued, the time period during which such sales are requested to be made, any limitation on the number of shares that may be sold in one day, any minimum price below which sales may not be made and other sales parameters as we deem appropriate. Once we have so instructed such sales agent, unless the sales agent declines to accept the terms of the notice, such sales agent has agreed to use its commercially reasonable efforts consistent with its normal trading and sales practices, to sell such shares up to the amount specified on such terms. The obligations of the sales agents under the sales agreement to purchase or sell our common stock are subject to a number of conditions that we must meet.</w:t>
      </w:r>
    </w:p>
    <w:p>
      <w:pPr>
        <w:spacing w:after="0" w:line="143" w:lineRule="exact"/>
        <w:rPr>
          <w:sz w:val="20"/>
          <w:szCs w:val="20"/>
          <w:color w:val="auto"/>
        </w:rPr>
      </w:pPr>
    </w:p>
    <w:p>
      <w:pPr>
        <w:ind w:left="1400" w:right="319" w:firstLine="339"/>
        <w:spacing w:after="0" w:line="252" w:lineRule="auto"/>
        <w:rPr>
          <w:sz w:val="20"/>
          <w:szCs w:val="20"/>
          <w:color w:val="auto"/>
        </w:rPr>
      </w:pPr>
      <w:r>
        <w:rPr>
          <w:rFonts w:ascii="Times New Roman" w:cs="Times New Roman" w:eastAsia="Times New Roman" w:hAnsi="Times New Roman"/>
          <w:sz w:val="14"/>
          <w:szCs w:val="14"/>
          <w:color w:val="auto"/>
        </w:rPr>
        <w:t>We will pay the sales agents commissions for their services in the sale of our Class A common stock at a commission rate equal to up to 3.0% of the aggregate gross proceeds from each sale of Class A common stock. We estimate that the total expenses for the offering, excluding any commissions or expense reimbursement payable to the sales agents under the terms of the sales agreement, will be approximately $400,000. The remaining sale proceeds, after deducting any other transaction fees, will equal our net proceeds from the sale of such shares. Except as we and the sales agents otherwise agree, we will reimburse the sales agents for their reasonable out-of-pocket expenses, including attorney’s fees, in an amount not to exceed an aggregate of $125,000 incurred in connection with the execution of the sales agreement and up to $50,000 per calendar quarter, for ongoing diligence arising from the transactions contemplated by the sales agreement. We have agreed to provide indemnification and contribution to the sales agents against certain civil liabilities, including liabilities under the Securities Act.</w:t>
      </w:r>
    </w:p>
    <w:p>
      <w:pPr>
        <w:spacing w:after="0" w:line="145" w:lineRule="exact"/>
        <w:rPr>
          <w:sz w:val="20"/>
          <w:szCs w:val="20"/>
          <w:color w:val="auto"/>
        </w:rPr>
      </w:pPr>
    </w:p>
    <w:p>
      <w:pPr>
        <w:ind w:left="1400" w:right="279" w:firstLine="339"/>
        <w:spacing w:after="0" w:line="258" w:lineRule="auto"/>
        <w:rPr>
          <w:sz w:val="20"/>
          <w:szCs w:val="20"/>
          <w:color w:val="auto"/>
        </w:rPr>
      </w:pPr>
      <w:r>
        <w:rPr>
          <w:rFonts w:ascii="Times New Roman" w:cs="Times New Roman" w:eastAsia="Times New Roman" w:hAnsi="Times New Roman"/>
          <w:sz w:val="14"/>
          <w:szCs w:val="14"/>
          <w:color w:val="auto"/>
        </w:rPr>
        <w:t>Under the terms of the sales agreement, we may, if agreed to by the sales agents, also sell shares of our Class A common stock to each of the sales agents, as principal for its own account, at a price per share and such other terms to be agreed upon at the time of sale. However, the sales agents have no obligation to agree to purchase shares of our Class A common stock as principal. If we sell to any sales agent as principal, we will enter into a separate terms agreement with such sales agent.</w:t>
      </w:r>
    </w:p>
    <w:p>
      <w:pPr>
        <w:spacing w:after="0" w:line="140" w:lineRule="exact"/>
        <w:rPr>
          <w:sz w:val="20"/>
          <w:szCs w:val="20"/>
          <w:color w:val="auto"/>
        </w:rPr>
      </w:pPr>
    </w:p>
    <w:p>
      <w:pPr>
        <w:ind w:left="1400" w:right="379" w:firstLine="339"/>
        <w:spacing w:after="0" w:line="263" w:lineRule="auto"/>
        <w:rPr>
          <w:sz w:val="20"/>
          <w:szCs w:val="20"/>
          <w:color w:val="auto"/>
        </w:rPr>
      </w:pPr>
      <w:r>
        <w:rPr>
          <w:rFonts w:ascii="Times New Roman" w:cs="Times New Roman" w:eastAsia="Times New Roman" w:hAnsi="Times New Roman"/>
          <w:sz w:val="14"/>
          <w:szCs w:val="14"/>
          <w:color w:val="auto"/>
        </w:rPr>
        <w:t>Settlement for sales of Class A common stock will occur on the first business day that is also a trading day following the date on which any sales are made, or on some other date that is agreed upon by us and the sales agents in connection with a particular transaction, in return for payment of the net proceeds to us. There is no arrangement for funds to be received in an escrow, trust or similar arrangement.</w:t>
      </w:r>
    </w:p>
    <w:p>
      <w:pPr>
        <w:spacing w:after="0" w:line="8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3"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59" w:firstLine="339"/>
        <w:spacing w:after="0" w:line="278" w:lineRule="auto"/>
        <w:rPr>
          <w:sz w:val="20"/>
          <w:szCs w:val="20"/>
          <w:color w:val="auto"/>
        </w:rPr>
      </w:pPr>
      <w:r>
        <w:rPr>
          <w:rFonts w:ascii="Times New Roman" w:cs="Times New Roman" w:eastAsia="Times New Roman" w:hAnsi="Times New Roman"/>
          <w:sz w:val="14"/>
          <w:szCs w:val="14"/>
          <w:color w:val="auto"/>
        </w:rPr>
        <w:t>In connection with the sale of the Class A common stock on our behalf, each sales agent may be deemed to be an underwriter within the meaning of the Securities Act, and its compensation as sales agent may be deemed to be underwriting commissions or discounts.</w:t>
      </w:r>
    </w:p>
    <w:p>
      <w:pPr>
        <w:spacing w:after="0" w:line="126" w:lineRule="exact"/>
        <w:rPr>
          <w:sz w:val="20"/>
          <w:szCs w:val="20"/>
          <w:color w:val="auto"/>
        </w:rPr>
      </w:pPr>
    </w:p>
    <w:p>
      <w:pPr>
        <w:ind w:left="1400" w:right="419" w:firstLine="339"/>
        <w:spacing w:after="0" w:line="278" w:lineRule="auto"/>
        <w:rPr>
          <w:sz w:val="20"/>
          <w:szCs w:val="20"/>
          <w:color w:val="auto"/>
        </w:rPr>
      </w:pPr>
      <w:r>
        <w:rPr>
          <w:rFonts w:ascii="Times New Roman" w:cs="Times New Roman" w:eastAsia="Times New Roman" w:hAnsi="Times New Roman"/>
          <w:sz w:val="14"/>
          <w:szCs w:val="14"/>
          <w:color w:val="auto"/>
        </w:rPr>
        <w:t>The offering pursuant to the sales agreement will terminate upon the termination of the sales agreement as permitted therein. We and each of the sales agents have the right to terminate the sales agreement at any time upon two days’ prior written notice.</w:t>
      </w:r>
    </w:p>
    <w:p>
      <w:pPr>
        <w:spacing w:after="0" w:line="126" w:lineRule="exact"/>
        <w:rPr>
          <w:sz w:val="20"/>
          <w:szCs w:val="20"/>
          <w:color w:val="auto"/>
        </w:rPr>
      </w:pPr>
    </w:p>
    <w:p>
      <w:pPr>
        <w:jc w:val="both"/>
        <w:ind w:left="1400" w:right="539" w:firstLine="339"/>
        <w:spacing w:after="0" w:line="263" w:lineRule="auto"/>
        <w:rPr>
          <w:sz w:val="20"/>
          <w:szCs w:val="20"/>
          <w:color w:val="auto"/>
        </w:rPr>
      </w:pPr>
      <w:r>
        <w:rPr>
          <w:rFonts w:ascii="Times New Roman" w:cs="Times New Roman" w:eastAsia="Times New Roman" w:hAnsi="Times New Roman"/>
          <w:sz w:val="14"/>
          <w:szCs w:val="14"/>
          <w:color w:val="auto"/>
        </w:rPr>
        <w:t>Each of Morgan Stanley, Cantor, TD Securities and Allen and their respective affiliates have in the past and may in the future provide various investment banking, commercial banking, financial advisory and other financial services for us and our affiliates, for which services they may in the future receive customary fees and reimbursement for expenses.</w:t>
      </w:r>
    </w:p>
    <w:p>
      <w:pPr>
        <w:spacing w:after="0" w:line="136" w:lineRule="exact"/>
        <w:rPr>
          <w:sz w:val="20"/>
          <w:szCs w:val="20"/>
          <w:color w:val="auto"/>
        </w:rPr>
      </w:pPr>
    </w:p>
    <w:p>
      <w:pPr>
        <w:ind w:left="1400" w:right="699" w:firstLine="339"/>
        <w:spacing w:after="0" w:line="284" w:lineRule="auto"/>
        <w:rPr>
          <w:sz w:val="20"/>
          <w:szCs w:val="20"/>
          <w:color w:val="auto"/>
        </w:rPr>
      </w:pPr>
      <w:r>
        <w:rPr>
          <w:rFonts w:ascii="Times New Roman" w:cs="Times New Roman" w:eastAsia="Times New Roman" w:hAnsi="Times New Roman"/>
          <w:sz w:val="13"/>
          <w:szCs w:val="13"/>
          <w:color w:val="auto"/>
        </w:rPr>
        <w:t>In the course of its business, the sales agents may actively trade our securities for their own accounts or for the accounts of clients, and, accordingly, the sales agents may at any time hold long or short positions in such securities. The sales agents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2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4"/>
          <w:szCs w:val="14"/>
          <w:color w:val="auto"/>
        </w:rPr>
        <w:t>This summary of the material provisions of the sales agreement does not purport to be a complete statement of its terms and conditions.</w:t>
      </w:r>
    </w:p>
    <w:p>
      <w:pPr>
        <w:spacing w:after="0" w:line="12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3"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4" w:lineRule="exact"/>
        <w:rPr>
          <w:sz w:val="20"/>
          <w:szCs w:val="20"/>
          <w:color w:val="auto"/>
        </w:rPr>
      </w:pPr>
    </w:p>
    <w:p>
      <w:pPr>
        <w:ind w:left="1400" w:right="379" w:firstLine="339"/>
        <w:spacing w:after="0" w:line="263" w:lineRule="auto"/>
        <w:rPr>
          <w:sz w:val="20"/>
          <w:szCs w:val="20"/>
          <w:color w:val="auto"/>
        </w:rPr>
      </w:pPr>
      <w:r>
        <w:rPr>
          <w:rFonts w:ascii="Times New Roman" w:cs="Times New Roman" w:eastAsia="Times New Roman" w:hAnsi="Times New Roman"/>
          <w:sz w:val="14"/>
          <w:szCs w:val="14"/>
          <w:color w:val="auto"/>
        </w:rPr>
        <w:t>Certain legal matters in connection with the offering and the validity of the securities offered by this prospectus, will be passed upon by Cooley LLP, Chicago, Illinois and, with respect to matters of Nevada law, by Brownstein Hyatt Farber Schreck, LLP, Las Vegas, Nevada. Certain legal matters in connection with this offering will be passed upon for the sales agents by Davis Polk &amp; Wardwell LLP, Redwood City, California.</w:t>
      </w:r>
    </w:p>
    <w:p>
      <w:pPr>
        <w:spacing w:after="0" w:line="30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4" w:lineRule="exact"/>
        <w:rPr>
          <w:sz w:val="20"/>
          <w:szCs w:val="20"/>
          <w:color w:val="auto"/>
        </w:rPr>
      </w:pPr>
    </w:p>
    <w:p>
      <w:pPr>
        <w:ind w:left="1400" w:right="399" w:firstLine="339"/>
        <w:spacing w:after="0" w:line="263" w:lineRule="auto"/>
        <w:rPr>
          <w:sz w:val="20"/>
          <w:szCs w:val="20"/>
          <w:color w:val="auto"/>
        </w:rPr>
      </w:pPr>
      <w:r>
        <w:rPr>
          <w:rFonts w:ascii="Times New Roman" w:cs="Times New Roman" w:eastAsia="Times New Roman" w:hAnsi="Times New Roman"/>
          <w:sz w:val="14"/>
          <w:szCs w:val="14"/>
          <w:color w:val="auto"/>
        </w:rPr>
        <w:t>The financial statements incorporated in this Prospectus by reference to the Annual Report on Form 10-K for the year ended December 31, 2024 have been so incorporated in reliance on the report of PricewaterhouseCoopers LLP, an independent registered public accounting firm, given on the authority of said firm as experts in auditing and accounting.</w:t>
      </w:r>
    </w:p>
    <w:p>
      <w:pPr>
        <w:spacing w:after="0" w:line="30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4"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This prospectus is part of a registration statement on Form S-3 we filed with the SEC under the Securities Act and does not contain all the information set forth or incorporated by reference in the registration statement and the accompanying exhibits.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w:t>
      </w:r>
    </w:p>
    <w:p>
      <w:pPr>
        <w:spacing w:after="0" w:line="143" w:lineRule="exact"/>
        <w:rPr>
          <w:sz w:val="20"/>
          <w:szCs w:val="20"/>
          <w:color w:val="auto"/>
        </w:rPr>
      </w:pPr>
    </w:p>
    <w:p>
      <w:pPr>
        <w:ind w:left="1400" w:right="319" w:firstLine="339"/>
        <w:spacing w:after="0" w:line="255" w:lineRule="auto"/>
        <w:rPr>
          <w:sz w:val="20"/>
          <w:szCs w:val="20"/>
          <w:color w:val="auto"/>
        </w:rPr>
      </w:pPr>
      <w:r>
        <w:rPr>
          <w:rFonts w:ascii="Times New Roman" w:cs="Times New Roman" w:eastAsia="Times New Roman" w:hAnsi="Times New Roman"/>
          <w:sz w:val="14"/>
          <w:szCs w:val="14"/>
          <w:color w:val="auto"/>
        </w:rPr>
        <w:t>Because we are subject to the information and reporting requirements of the Exchange Act, 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investors.tempus.com. Information contained in or accessible through our website does not constitute a part of this prospectus and is not incorporated by reference in this prospectus. We have included our website address as an inactive textual reference only.</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3"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INCORPORATION OF CERTAIN INFORMATION BY REFERENCE</w:t>
      </w:r>
    </w:p>
    <w:p>
      <w:pPr>
        <w:spacing w:after="0" w:line="174" w:lineRule="exact"/>
        <w:rPr>
          <w:sz w:val="20"/>
          <w:szCs w:val="20"/>
          <w:color w:val="auto"/>
        </w:rPr>
      </w:pPr>
    </w:p>
    <w:p>
      <w:pPr>
        <w:ind w:left="1400" w:right="279" w:firstLine="339"/>
        <w:spacing w:after="0" w:line="251" w:lineRule="auto"/>
        <w:rPr>
          <w:sz w:val="20"/>
          <w:szCs w:val="20"/>
          <w:color w:val="auto"/>
        </w:rPr>
      </w:pPr>
      <w:r>
        <w:rPr>
          <w:rFonts w:ascii="Times New Roman" w:cs="Times New Roman" w:eastAsia="Times New Roman" w:hAnsi="Times New Roman"/>
          <w:sz w:val="14"/>
          <w:szCs w:val="14"/>
          <w:color w:val="auto"/>
        </w:rPr>
        <w:t>The SEC allows us to “incorporate by reference” information into this prospectus, which means that we can disclose important information to you by referring you to another document filed separately with the SEC. The information incorporated by reference is an important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also incorporate by reference into this prospectus the documents listed below and any future filings made by us with the SEC (other than Current Reports or portions thereof furnished under Item 2.02 or Item 7.01 of Form 8-K and exhibits filed on such form that are related to such items and other portions of documents that are deemed to have been furnished, but not filed, or are otherwise not incorporated into registration statements pursuant to applicable rules promulgated by the SEC) pursuant to Sections 13(a), 13(c), 14 or 15(d) of the Exchange Act after the filing and concurrent effectiveness of the registration statement but prior to the termination of all offerings covered by this prospectus:</w:t>
      </w:r>
    </w:p>
    <w:p>
      <w:pPr>
        <w:spacing w:after="0" w:line="76" w:lineRule="exact"/>
        <w:rPr>
          <w:sz w:val="20"/>
          <w:szCs w:val="20"/>
          <w:color w:val="auto"/>
        </w:rPr>
      </w:pPr>
    </w:p>
    <w:p>
      <w:pPr>
        <w:ind w:left="2160" w:hanging="342"/>
        <w:spacing w:after="0"/>
        <w:tabs>
          <w:tab w:leader="none" w:pos="21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64">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2024, filed with the SEC on February 24, 2025;</w:t>
      </w:r>
    </w:p>
    <w:p>
      <w:pPr>
        <w:spacing w:after="0" w:line="98" w:lineRule="exact"/>
        <w:rPr>
          <w:rFonts w:ascii="Times New Roman" w:cs="Times New Roman" w:eastAsia="Times New Roman" w:hAnsi="Times New Roman"/>
          <w:sz w:val="14"/>
          <w:szCs w:val="14"/>
          <w:color w:val="auto"/>
        </w:rPr>
      </w:pPr>
    </w:p>
    <w:p>
      <w:pPr>
        <w:ind w:left="2160" w:right="379" w:hanging="342"/>
        <w:spacing w:after="0" w:line="278" w:lineRule="auto"/>
        <w:tabs>
          <w:tab w:leader="none" w:pos="21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Reports on Form 10-Q for the quarter ended March 31, 2025, filed with the SEC on </w:t>
      </w:r>
      <w:hyperlink r:id="rId65">
        <w:r>
          <w:rPr>
            <w:rFonts w:ascii="Times New Roman" w:cs="Times New Roman" w:eastAsia="Times New Roman" w:hAnsi="Times New Roman"/>
            <w:sz w:val="14"/>
            <w:szCs w:val="14"/>
            <w:u w:val="single" w:color="auto"/>
            <w:color w:val="0000EE"/>
          </w:rPr>
          <w:t>May 6, 2025</w:t>
        </w:r>
      </w:hyperlink>
      <w:r>
        <w:rPr>
          <w:rFonts w:ascii="Times New Roman" w:cs="Times New Roman" w:eastAsia="Times New Roman" w:hAnsi="Times New Roman"/>
          <w:sz w:val="14"/>
          <w:szCs w:val="14"/>
          <w:color w:val="auto"/>
        </w:rPr>
        <w:t xml:space="preserve">, and for the quarter ended June 30, 2025, filed with the SEC on </w:t>
      </w:r>
      <w:hyperlink r:id="rId66">
        <w:r>
          <w:rPr>
            <w:rFonts w:ascii="Times New Roman" w:cs="Times New Roman" w:eastAsia="Times New Roman" w:hAnsi="Times New Roman"/>
            <w:sz w:val="14"/>
            <w:szCs w:val="14"/>
            <w:u w:val="single" w:color="auto"/>
            <w:color w:val="0000EE"/>
          </w:rPr>
          <w:t>August 8, 2025</w:t>
        </w:r>
      </w:hyperlink>
      <w:r>
        <w:rPr>
          <w:rFonts w:ascii="Times New Roman" w:cs="Times New Roman" w:eastAsia="Times New Roman" w:hAnsi="Times New Roman"/>
          <w:sz w:val="14"/>
          <w:szCs w:val="14"/>
          <w:color w:val="auto"/>
        </w:rPr>
        <w:t>;</w:t>
      </w:r>
    </w:p>
    <w:p>
      <w:pPr>
        <w:spacing w:after="0" w:line="53" w:lineRule="exact"/>
        <w:rPr>
          <w:rFonts w:ascii="Times New Roman" w:cs="Times New Roman" w:eastAsia="Times New Roman" w:hAnsi="Times New Roman"/>
          <w:sz w:val="14"/>
          <w:szCs w:val="14"/>
          <w:color w:val="auto"/>
        </w:rPr>
      </w:pPr>
    </w:p>
    <w:p>
      <w:pPr>
        <w:ind w:left="2160" w:right="419" w:hanging="342"/>
        <w:spacing w:after="0" w:line="278" w:lineRule="auto"/>
        <w:tabs>
          <w:tab w:leader="none" w:pos="21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Definitive Proxy Statement on </w:t>
      </w:r>
      <w:hyperlink r:id="rId67">
        <w:r>
          <w:rPr>
            <w:rFonts w:ascii="Times New Roman" w:cs="Times New Roman" w:eastAsia="Times New Roman" w:hAnsi="Times New Roman"/>
            <w:sz w:val="14"/>
            <w:szCs w:val="14"/>
            <w:u w:val="single" w:color="auto"/>
            <w:color w:val="0000EE"/>
          </w:rPr>
          <w:t>Schedule 14A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filed with the SEC on April 7, 2025 (solely with respect to those portions incorporated by reference into our Annual Report on </w:t>
      </w:r>
      <w:hyperlink r:id="rId64">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2024);</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with the SEC on </w:t>
      </w:r>
      <w:hyperlink r:id="rId138">
        <w:r>
          <w:rPr>
            <w:rFonts w:ascii="Times New Roman" w:cs="Times New Roman" w:eastAsia="Times New Roman" w:hAnsi="Times New Roman"/>
            <w:sz w:val="14"/>
            <w:szCs w:val="14"/>
            <w:u w:val="single" w:color="auto"/>
            <w:color w:val="0000EE"/>
          </w:rPr>
          <w:t>February 3, 2025</w:t>
        </w:r>
      </w:hyperlink>
      <w:r>
        <w:rPr>
          <w:rFonts w:ascii="Times New Roman" w:cs="Times New Roman" w:eastAsia="Times New Roman" w:hAnsi="Times New Roman"/>
          <w:sz w:val="14"/>
          <w:szCs w:val="14"/>
          <w:color w:val="auto"/>
        </w:rPr>
        <w:t xml:space="preserve">, </w:t>
      </w:r>
      <w:hyperlink r:id="rId139">
        <w:r>
          <w:rPr>
            <w:rFonts w:ascii="Times New Roman" w:cs="Times New Roman" w:eastAsia="Times New Roman" w:hAnsi="Times New Roman"/>
            <w:sz w:val="14"/>
            <w:szCs w:val="14"/>
            <w:u w:val="single" w:color="auto"/>
            <w:color w:val="0000EE"/>
          </w:rPr>
          <w:t>April 23, 2025</w:t>
        </w:r>
      </w:hyperlink>
      <w:r>
        <w:rPr>
          <w:rFonts w:ascii="Times New Roman" w:cs="Times New Roman" w:eastAsia="Times New Roman" w:hAnsi="Times New Roman"/>
          <w:sz w:val="14"/>
          <w:szCs w:val="14"/>
          <w:color w:val="auto"/>
        </w:rPr>
        <w:t xml:space="preserve">, </w:t>
      </w:r>
      <w:hyperlink r:id="rId140">
        <w:r>
          <w:rPr>
            <w:rFonts w:ascii="Times New Roman" w:cs="Times New Roman" w:eastAsia="Times New Roman" w:hAnsi="Times New Roman"/>
            <w:sz w:val="14"/>
            <w:szCs w:val="14"/>
            <w:u w:val="single" w:color="auto"/>
            <w:color w:val="0000EE"/>
          </w:rPr>
          <w:t>May 23,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71">
        <w:r>
          <w:rPr>
            <w:rFonts w:ascii="Times New Roman" w:cs="Times New Roman" w:eastAsia="Times New Roman" w:hAnsi="Times New Roman"/>
            <w:sz w:val="14"/>
            <w:szCs w:val="14"/>
            <w:u w:val="single" w:color="auto"/>
            <w:color w:val="0000EE"/>
          </w:rPr>
          <w:t>July 3, 2025</w:t>
        </w:r>
      </w:hyperlink>
      <w:r>
        <w:rPr>
          <w:rFonts w:ascii="Times New Roman" w:cs="Times New Roman" w:eastAsia="Times New Roman" w:hAnsi="Times New Roman"/>
          <w:sz w:val="14"/>
          <w:szCs w:val="14"/>
          <w:color w:val="auto"/>
        </w:rPr>
        <w:t>; and</w:t>
      </w:r>
    </w:p>
    <w:p>
      <w:pPr>
        <w:spacing w:after="0" w:line="98" w:lineRule="exact"/>
        <w:rPr>
          <w:rFonts w:ascii="Times New Roman" w:cs="Times New Roman" w:eastAsia="Times New Roman" w:hAnsi="Times New Roman"/>
          <w:sz w:val="14"/>
          <w:szCs w:val="14"/>
          <w:color w:val="auto"/>
        </w:rPr>
      </w:pPr>
    </w:p>
    <w:p>
      <w:pPr>
        <w:ind w:left="2160" w:right="319" w:hanging="342"/>
        <w:spacing w:after="0" w:line="263" w:lineRule="auto"/>
        <w:tabs>
          <w:tab w:leader="none" w:pos="21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Class A common stock in our registration statement on </w:t>
      </w:r>
      <w:hyperlink r:id="rId72">
        <w:r>
          <w:rPr>
            <w:rFonts w:ascii="Times New Roman" w:cs="Times New Roman" w:eastAsia="Times New Roman" w:hAnsi="Times New Roman"/>
            <w:sz w:val="14"/>
            <w:szCs w:val="14"/>
            <w:u w:val="single" w:color="auto"/>
            <w:color w:val="0000EE"/>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filed with the SEC on June 11, 2024, including any amendments or reports filed for the purpose of updating such description, including </w:t>
      </w:r>
      <w:hyperlink r:id="rId73">
        <w:r>
          <w:rPr>
            <w:rFonts w:ascii="Times New Roman" w:cs="Times New Roman" w:eastAsia="Times New Roman" w:hAnsi="Times New Roman"/>
            <w:sz w:val="14"/>
            <w:szCs w:val="14"/>
            <w:u w:val="single" w:color="auto"/>
            <w:color w:val="0000EE"/>
          </w:rPr>
          <w:t>Exhibit 4.3</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Quarterly Report on Form 10-Q for the period ended June 30, 2025.</w:t>
      </w:r>
    </w:p>
    <w:p>
      <w:pPr>
        <w:spacing w:after="0" w:line="136" w:lineRule="exact"/>
        <w:rPr>
          <w:rFonts w:ascii="Times New Roman" w:cs="Times New Roman" w:eastAsia="Times New Roman" w:hAnsi="Times New Roman"/>
          <w:sz w:val="14"/>
          <w:szCs w:val="14"/>
          <w:color w:val="auto"/>
        </w:rPr>
      </w:pPr>
    </w:p>
    <w:p>
      <w:pPr>
        <w:jc w:val="center"/>
        <w:ind w:right="-140"/>
        <w:spacing w:after="0"/>
        <w:rPr>
          <w:sz w:val="20"/>
          <w:szCs w:val="20"/>
          <w:color w:val="auto"/>
        </w:rPr>
      </w:pPr>
      <w:r>
        <w:rPr>
          <w:rFonts w:ascii="Times New Roman" w:cs="Times New Roman" w:eastAsia="Times New Roman" w:hAnsi="Times New Roman"/>
          <w:sz w:val="14"/>
          <w:szCs w:val="14"/>
          <w:color w:val="auto"/>
        </w:rPr>
        <w:t>You may request a copy of these filings, at no cost, by writing or telephoning us at the following address or phone number:</w:t>
      </w:r>
    </w:p>
    <w:p>
      <w:pPr>
        <w:spacing w:after="0" w:line="172"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Tempus AI, Inc.</w:t>
      </w:r>
    </w:p>
    <w:p>
      <w:pPr>
        <w:spacing w:after="0" w:line="21"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600 West Chicago Avenue, Suite 510</w:t>
      </w:r>
    </w:p>
    <w:p>
      <w:pPr>
        <w:spacing w:after="0" w:line="5"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Illinois, 60654</w:t>
      </w:r>
    </w:p>
    <w:p>
      <w:pPr>
        <w:spacing w:after="0" w:line="5"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Attn: Corporate Secretary</w:t>
      </w:r>
    </w:p>
    <w:p>
      <w:pPr>
        <w:spacing w:after="0" w:line="5"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(800) 976-5448</w:t>
      </w:r>
    </w:p>
    <w:p>
      <w:pPr>
        <w:spacing w:after="0" w:line="157" w:lineRule="exact"/>
        <w:rPr>
          <w:rFonts w:ascii="Times New Roman" w:cs="Times New Roman" w:eastAsia="Times New Roman" w:hAnsi="Times New Roman"/>
          <w:sz w:val="14"/>
          <w:szCs w:val="14"/>
          <w:color w:val="auto"/>
        </w:rPr>
      </w:pPr>
    </w:p>
    <w:p>
      <w:pPr>
        <w:ind w:left="1400" w:right="419" w:firstLine="339"/>
        <w:spacing w:after="0" w:line="263" w:lineRule="auto"/>
        <w:rPr>
          <w:sz w:val="20"/>
          <w:szCs w:val="20"/>
          <w:color w:val="auto"/>
        </w:rPr>
      </w:pPr>
      <w:r>
        <w:rPr>
          <w:rFonts w:ascii="Times New Roman" w:cs="Times New Roman" w:eastAsia="Times New Roman" w:hAnsi="Times New Roman"/>
          <w:sz w:val="14"/>
          <w:szCs w:val="14"/>
          <w:color w:val="auto"/>
        </w:rPr>
        <w:t>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84" w:lineRule="exact"/>
        <w:rPr>
          <w:rFonts w:ascii="Times New Roman" w:cs="Times New Roman" w:eastAsia="Times New Roman" w:hAnsi="Times New Roman"/>
          <w:sz w:val="14"/>
          <w:szCs w:val="14"/>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3"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193040</wp:posOffset>
            </wp:positionV>
            <wp:extent cx="5387975" cy="133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5387975" cy="13335"/>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232410</wp:posOffset>
            </wp:positionV>
            <wp:extent cx="5387975"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5387975" cy="635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503555</wp:posOffset>
            </wp:positionV>
            <wp:extent cx="1776095" cy="6864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1776095" cy="686435"/>
                    </a:xfrm>
                    <a:prstGeom prst="rect">
                      <a:avLst/>
                    </a:prstGeom>
                    <a:noFill/>
                  </pic:spPr>
                </pic:pic>
              </a:graphicData>
            </a:graphic>
          </wp:anchor>
        </w:drawing>
      </w:r>
    </w:p>
    <w:p>
      <w:pPr>
        <w:sectPr>
          <w:pgSz w:w="11900" w:h="16838" w:orient="portrait"/>
          <w:cols w:equalWidth="0" w:num="1">
            <w:col w:w="10159"/>
          </w:cols>
          <w:pgMar w:left="300" w:top="3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Up to $500,000,000</w:t>
      </w:r>
    </w:p>
    <w:p>
      <w:pPr>
        <w:spacing w:after="0" w:line="9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3019425</wp:posOffset>
            </wp:positionH>
            <wp:positionV relativeFrom="paragraph">
              <wp:posOffset>1301750</wp:posOffset>
            </wp:positionV>
            <wp:extent cx="112903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3019425</wp:posOffset>
            </wp:positionH>
            <wp:positionV relativeFrom="paragraph">
              <wp:posOffset>182245</wp:posOffset>
            </wp:positionV>
            <wp:extent cx="1129030"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Morgan Stanley</w:t>
      </w:r>
    </w:p>
    <w:p>
      <w:pPr>
        <w:spacing w:after="0" w:line="9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Cantor</w:t>
      </w:r>
    </w:p>
    <w:p>
      <w:pPr>
        <w:spacing w:after="0" w:line="9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TD Securities</w:t>
      </w:r>
    </w:p>
    <w:p>
      <w:pPr>
        <w:spacing w:after="0" w:line="9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Allen &amp; Company LLC</w:t>
      </w:r>
    </w:p>
    <w:p>
      <w:pPr>
        <w:spacing w:after="0" w:line="1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August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330835</wp:posOffset>
            </wp:positionV>
            <wp:extent cx="5387975"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5387975" cy="635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383540</wp:posOffset>
            </wp:positionV>
            <wp:extent cx="5387975" cy="133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5387975" cy="13335"/>
                    </a:xfrm>
                    <a:prstGeom prst="rect">
                      <a:avLst/>
                    </a:prstGeom>
                    <a:noFill/>
                  </pic:spPr>
                </pic:pic>
              </a:graphicData>
            </a:graphic>
          </wp:anchor>
        </w:drawing>
      </w:r>
    </w:p>
    <w:p>
      <w:pPr>
        <w:sectPr>
          <w:pgSz w:w="11900" w:h="16838" w:orient="portrait"/>
          <w:cols w:equalWidth="0" w:num="1">
            <w:col w:w="10159"/>
          </w:cols>
          <w:pgMar w:left="300" w:top="383" w:right="1440"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8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INFORMATION NOT REQUIRED IN THE PROSPECTUS</w:t>
      </w:r>
    </w:p>
    <w:p>
      <w:pPr>
        <w:spacing w:after="0" w:line="17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Item 14. Other Expenses of Issuance and Distribution</w:t>
      </w:r>
    </w:p>
    <w:p>
      <w:pPr>
        <w:spacing w:after="0" w:line="91" w:lineRule="exact"/>
        <w:rPr>
          <w:sz w:val="20"/>
          <w:szCs w:val="20"/>
          <w:color w:val="auto"/>
        </w:rPr>
      </w:pPr>
    </w:p>
    <w:p>
      <w:pPr>
        <w:ind w:left="1400" w:right="619" w:firstLine="339"/>
        <w:spacing w:after="0" w:line="278" w:lineRule="auto"/>
        <w:rPr>
          <w:sz w:val="20"/>
          <w:szCs w:val="20"/>
          <w:color w:val="auto"/>
        </w:rPr>
      </w:pPr>
      <w:r>
        <w:rPr>
          <w:rFonts w:ascii="Times New Roman" w:cs="Times New Roman" w:eastAsia="Times New Roman" w:hAnsi="Times New Roman"/>
          <w:sz w:val="14"/>
          <w:szCs w:val="14"/>
          <w:color w:val="auto"/>
        </w:rPr>
        <w:t>The following table sets forth an estimate of the fees and expenses, other than the underwriting discounts and commissions, payable by us in connection with the issuance and distribution of the securities being registered.</w:t>
      </w:r>
    </w:p>
    <w:p>
      <w:pPr>
        <w:sectPr>
          <w:pgSz w:w="11900" w:h="16838" w:orient="portrait"/>
          <w:cols w:equalWidth="0" w:num="1">
            <w:col w:w="10159"/>
          </w:cols>
          <w:pgMar w:left="300" w:top="383" w:right="1440" w:bottom="1440" w:gutter="0" w:footer="0" w:header="0"/>
        </w:sectPr>
      </w:pPr>
    </w:p>
    <w:p>
      <w:pPr>
        <w:spacing w:after="0" w:line="26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4"/>
          <w:szCs w:val="14"/>
          <w:color w:val="auto"/>
        </w:rPr>
        <w:t>SEC registration fee(1)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1758315</wp:posOffset>
            </wp:positionH>
            <wp:positionV relativeFrom="paragraph">
              <wp:posOffset>-92075</wp:posOffset>
            </wp:positionV>
            <wp:extent cx="3657600" cy="1123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3657600" cy="112395"/>
                    </a:xfrm>
                    <a:prstGeom prst="rect">
                      <a:avLst/>
                    </a:prstGeom>
                    <a:noFill/>
                  </pic:spPr>
                </pic:pic>
              </a:graphicData>
            </a:graphic>
          </wp:anchor>
        </w:drawing>
      </w:r>
    </w:p>
    <w:p>
      <w:pPr>
        <w:spacing w:after="0" w:line="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4"/>
          <w:szCs w:val="14"/>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1758315</wp:posOffset>
            </wp:positionH>
            <wp:positionV relativeFrom="paragraph">
              <wp:posOffset>9525</wp:posOffset>
            </wp:positionV>
            <wp:extent cx="3657600" cy="1054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3657600" cy="105410"/>
                    </a:xfrm>
                    <a:prstGeom prst="rect">
                      <a:avLst/>
                    </a:prstGeom>
                    <a:noFill/>
                  </pic:spPr>
                </pic:pic>
              </a:graphicData>
            </a:graphic>
          </wp:anchor>
        </w:drawing>
      </w:r>
    </w:p>
    <w:p>
      <w:pPr>
        <w:ind w:left="2760"/>
        <w:spacing w:after="0"/>
        <w:rPr>
          <w:sz w:val="20"/>
          <w:szCs w:val="20"/>
          <w:color w:val="auto"/>
        </w:rPr>
      </w:pPr>
      <w:r>
        <w:rPr>
          <w:rFonts w:ascii="Times New Roman" w:cs="Times New Roman" w:eastAsia="Times New Roman" w:hAnsi="Times New Roman"/>
          <w:sz w:val="14"/>
          <w:szCs w:val="14"/>
          <w:color w:val="auto"/>
        </w:rPr>
        <w:t>Accounting fees and expenses</w:t>
      </w:r>
    </w:p>
    <w:p>
      <w:pPr>
        <w:spacing w:after="0" w:line="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4"/>
          <w:szCs w:val="14"/>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1758315</wp:posOffset>
            </wp:positionH>
            <wp:positionV relativeFrom="paragraph">
              <wp:posOffset>3175</wp:posOffset>
            </wp:positionV>
            <wp:extent cx="3657600" cy="1054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3657600" cy="105410"/>
                    </a:xfrm>
                    <a:prstGeom prst="rect">
                      <a:avLst/>
                    </a:prstGeom>
                    <a:noFill/>
                  </pic:spPr>
                </pic:pic>
              </a:graphicData>
            </a:graphic>
          </wp:anchor>
        </w:drawing>
      </w:r>
    </w:p>
    <w:p>
      <w:pPr>
        <w:ind w:left="2760"/>
        <w:spacing w:after="0"/>
        <w:rPr>
          <w:sz w:val="20"/>
          <w:szCs w:val="20"/>
          <w:color w:val="auto"/>
        </w:rPr>
      </w:pPr>
      <w:r>
        <w:rPr>
          <w:rFonts w:ascii="Times New Roman" w:cs="Times New Roman" w:eastAsia="Times New Roman" w:hAnsi="Times New Roman"/>
          <w:sz w:val="14"/>
          <w:szCs w:val="14"/>
          <w:color w:val="auto"/>
        </w:rPr>
        <w:t>Transfer agent and registrar fees and expenses</w:t>
      </w:r>
    </w:p>
    <w:p>
      <w:pPr>
        <w:spacing w:after="0" w:line="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4"/>
          <w:szCs w:val="14"/>
          <w:color w:val="auto"/>
        </w:rPr>
        <w:t>Trustee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1758315</wp:posOffset>
            </wp:positionH>
            <wp:positionV relativeFrom="paragraph">
              <wp:posOffset>3175</wp:posOffset>
            </wp:positionV>
            <wp:extent cx="3657600" cy="1054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3657600" cy="105410"/>
                    </a:xfrm>
                    <a:prstGeom prst="rect">
                      <a:avLst/>
                    </a:prstGeom>
                    <a:noFill/>
                  </pic:spPr>
                </pic:pic>
              </a:graphicData>
            </a:graphic>
          </wp:anchor>
        </w:drawing>
      </w:r>
    </w:p>
    <w:p>
      <w:pPr>
        <w:ind w:left="2760"/>
        <w:spacing w:after="0"/>
        <w:rPr>
          <w:sz w:val="20"/>
          <w:szCs w:val="20"/>
          <w:color w:val="auto"/>
        </w:rPr>
      </w:pPr>
      <w:r>
        <w:rPr>
          <w:rFonts w:ascii="Times New Roman" w:cs="Times New Roman" w:eastAsia="Times New Roman" w:hAnsi="Times New Roman"/>
          <w:sz w:val="13"/>
          <w:szCs w:val="13"/>
          <w:color w:val="auto"/>
        </w:rPr>
        <w:t>Blue sky fees and expenses (including legal fees)</w:t>
      </w:r>
    </w:p>
    <w:p>
      <w:pPr>
        <w:spacing w:after="0" w:line="1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4"/>
          <w:szCs w:val="14"/>
          <w:color w:val="auto"/>
        </w:rPr>
        <w:t>Printing and miscellaneous fees and expenses</w:t>
      </w:r>
    </w:p>
    <w:p>
      <w:pPr>
        <w:spacing w:after="0" w:line="1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1758315</wp:posOffset>
            </wp:positionH>
            <wp:positionV relativeFrom="paragraph">
              <wp:posOffset>-92075</wp:posOffset>
            </wp:positionV>
            <wp:extent cx="3657600" cy="1054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3657600" cy="10541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105410</wp:posOffset>
            </wp:positionV>
            <wp:extent cx="587375"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58737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69"/>
        <w:spacing w:after="0"/>
        <w:rPr>
          <w:sz w:val="20"/>
          <w:szCs w:val="20"/>
          <w:color w:val="auto"/>
        </w:rPr>
      </w:pPr>
      <w:r>
        <w:rPr>
          <w:rFonts w:ascii="Times New Roman" w:cs="Times New Roman" w:eastAsia="Times New Roman" w:hAnsi="Times New Roman"/>
          <w:sz w:val="11"/>
          <w:szCs w:val="11"/>
          <w:b w:val="1"/>
          <w:bCs w:val="1"/>
          <w:color w:val="auto"/>
        </w:rPr>
        <w:t>Amount</w:t>
      </w:r>
    </w:p>
    <w:p>
      <w:pPr>
        <w:spacing w:after="0" w:line="18" w:lineRule="exact"/>
        <w:rPr>
          <w:sz w:val="20"/>
          <w:szCs w:val="20"/>
          <w:color w:val="auto"/>
        </w:rPr>
      </w:pPr>
    </w:p>
    <w:p>
      <w:pPr>
        <w:jc w:val="both"/>
        <w:ind w:left="9" w:right="1719" w:hanging="9"/>
        <w:spacing w:after="0" w:line="266" w:lineRule="auto"/>
        <w:tabs>
          <w:tab w:leader="none" w:pos="158"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96,985 $270,000</w:t>
      </w:r>
    </w:p>
    <w:p>
      <w:pPr>
        <w:ind w:left="409"/>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w:t>
      </w:r>
    </w:p>
    <w:p>
      <w:pPr>
        <w:spacing w:after="0" w:line="16" w:lineRule="exact"/>
        <w:rPr>
          <w:rFonts w:ascii="Times New Roman" w:cs="Times New Roman" w:eastAsia="Times New Roman" w:hAnsi="Times New Roman"/>
          <w:sz w:val="13"/>
          <w:szCs w:val="13"/>
          <w:color w:val="auto"/>
        </w:rPr>
      </w:pPr>
    </w:p>
    <w:p>
      <w:pPr>
        <w:ind w:left="409"/>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w:t>
      </w:r>
    </w:p>
    <w:p>
      <w:pPr>
        <w:spacing w:after="0" w:line="16" w:lineRule="exact"/>
        <w:rPr>
          <w:rFonts w:ascii="Times New Roman" w:cs="Times New Roman" w:eastAsia="Times New Roman" w:hAnsi="Times New Roman"/>
          <w:sz w:val="13"/>
          <w:szCs w:val="13"/>
          <w:color w:val="auto"/>
        </w:rPr>
      </w:pPr>
    </w:p>
    <w:p>
      <w:pPr>
        <w:ind w:left="409"/>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w:t>
      </w:r>
    </w:p>
    <w:p>
      <w:pPr>
        <w:spacing w:after="0" w:line="16" w:lineRule="exact"/>
        <w:rPr>
          <w:rFonts w:ascii="Times New Roman" w:cs="Times New Roman" w:eastAsia="Times New Roman" w:hAnsi="Times New Roman"/>
          <w:sz w:val="13"/>
          <w:szCs w:val="13"/>
          <w:color w:val="auto"/>
        </w:rPr>
      </w:pPr>
    </w:p>
    <w:p>
      <w:pPr>
        <w:ind w:left="409"/>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w:t>
      </w:r>
    </w:p>
    <w:p>
      <w:pPr>
        <w:spacing w:after="0" w:line="16" w:lineRule="exact"/>
        <w:rPr>
          <w:rFonts w:ascii="Times New Roman" w:cs="Times New Roman" w:eastAsia="Times New Roman" w:hAnsi="Times New Roman"/>
          <w:sz w:val="13"/>
          <w:szCs w:val="13"/>
          <w:color w:val="auto"/>
        </w:rPr>
      </w:pPr>
    </w:p>
    <w:p>
      <w:pPr>
        <w:ind w:left="409"/>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w:t>
      </w:r>
    </w:p>
    <w:p>
      <w:pPr>
        <w:spacing w:after="0" w:line="16" w:lineRule="exact"/>
        <w:rPr>
          <w:rFonts w:ascii="Times New Roman" w:cs="Times New Roman" w:eastAsia="Times New Roman" w:hAnsi="Times New Roman"/>
          <w:sz w:val="13"/>
          <w:szCs w:val="13"/>
          <w:color w:val="auto"/>
        </w:rPr>
      </w:pPr>
    </w:p>
    <w:p>
      <w:pPr>
        <w:ind w:left="409"/>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w:t>
      </w:r>
    </w:p>
    <w:p>
      <w:pPr>
        <w:spacing w:after="0" w:line="22" w:lineRule="exact"/>
        <w:rPr>
          <w:rFonts w:ascii="Times New Roman" w:cs="Times New Roman" w:eastAsia="Times New Roman" w:hAnsi="Times New Roman"/>
          <w:sz w:val="13"/>
          <w:szCs w:val="13"/>
          <w:color w:val="auto"/>
        </w:rPr>
      </w:pPr>
    </w:p>
    <w:p>
      <w:pPr>
        <w:ind w:left="409" w:hanging="409"/>
        <w:spacing w:after="0"/>
        <w:tabs>
          <w:tab w:leader="none" w:pos="409"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336550"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33655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20320</wp:posOffset>
            </wp:positionV>
            <wp:extent cx="336550"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33655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33020</wp:posOffset>
            </wp:positionV>
            <wp:extent cx="336550"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extLst>
                        <a:ext uri="{28A0092B-C50C-407E-A947-70E740481C1C}"/>
                      </a:extLst>
                    </a:blip>
                    <a:srcRect/>
                    <a:stretch>
                      <a:fillRect/>
                    </a:stretch>
                  </pic:blipFill>
                  <pic:spPr bwMode="auto">
                    <a:xfrm>
                      <a:off x="0" y="0"/>
                      <a:ext cx="336550" cy="6350"/>
                    </a:xfrm>
                    <a:prstGeom prst="rect">
                      <a:avLst/>
                    </a:prstGeom>
                    <a:noFill/>
                  </pic:spPr>
                </pic:pic>
              </a:graphicData>
            </a:graphic>
          </wp:anchor>
        </w:drawing>
      </w:r>
    </w:p>
    <w:p>
      <w:pPr>
        <w:spacing w:after="0" w:line="204" w:lineRule="exact"/>
        <w:rPr>
          <w:sz w:val="20"/>
          <w:szCs w:val="20"/>
          <w:color w:val="auto"/>
        </w:rPr>
      </w:pPr>
    </w:p>
    <w:p>
      <w:pPr>
        <w:sectPr>
          <w:pgSz w:w="11900" w:h="16838" w:orient="portrait"/>
          <w:cols w:equalWidth="0" w:num="2">
            <w:col w:w="7191" w:space="720"/>
            <w:col w:w="2248"/>
          </w:cols>
          <w:pgMar w:left="300" w:top="383" w:right="1440" w:bottom="1440" w:gutter="0" w:footer="0" w:header="0"/>
          <w:type w:val="continuous"/>
        </w:sectPr>
      </w:pPr>
    </w:p>
    <w:p>
      <w:pPr>
        <w:ind w:left="1740" w:right="279" w:hanging="338"/>
        <w:spacing w:after="0" w:line="232" w:lineRule="auto"/>
        <w:tabs>
          <w:tab w:leader="none" w:pos="17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Rules 456(b) and 457(r), the registrant is deferring payment of all registration fees for the securities offered by this registration statement, other than with respect to the registration fees applicable to (i) the offering of up to 2,439,155 shares of Class A common stock pursuant to the Selling Stockholder Prospectus and (ii) the offering of up to $500,000,000 of shares of Class A common stock under the Controlled Equity Offering</w:t>
      </w:r>
      <w:r>
        <w:rPr>
          <w:rFonts w:ascii="Times New Roman" w:cs="Times New Roman" w:eastAsia="Times New Roman" w:hAnsi="Times New Roman"/>
          <w:sz w:val="20"/>
          <w:szCs w:val="20"/>
          <w:color w:val="auto"/>
          <w:vertAlign w:val="superscript"/>
        </w:rPr>
        <w:t>SM</w:t>
      </w:r>
      <w:r>
        <w:rPr>
          <w:rFonts w:ascii="Times New Roman" w:cs="Times New Roman" w:eastAsia="Times New Roman" w:hAnsi="Times New Roman"/>
          <w:sz w:val="14"/>
          <w:szCs w:val="14"/>
          <w:color w:val="auto"/>
        </w:rPr>
        <w:t xml:space="preserve"> sales agreement with Morgan Stanley &amp; Co. LLC, Cantor Fitzgerald &amp; Co., TD Securities (USA) LLC and Allen &amp; Company LLC pursuant to the ATM Prospectus.</w:t>
      </w:r>
    </w:p>
    <w:p>
      <w:pPr>
        <w:spacing w:after="0" w:line="2" w:lineRule="exact"/>
        <w:rPr>
          <w:rFonts w:ascii="Times New Roman" w:cs="Times New Roman" w:eastAsia="Times New Roman" w:hAnsi="Times New Roman"/>
          <w:sz w:val="14"/>
          <w:szCs w:val="14"/>
          <w:color w:val="auto"/>
        </w:rPr>
      </w:pPr>
    </w:p>
    <w:p>
      <w:pPr>
        <w:jc w:val="both"/>
        <w:ind w:left="1740" w:right="759" w:hanging="338"/>
        <w:spacing w:after="0" w:line="252" w:lineRule="auto"/>
        <w:tabs>
          <w:tab w:leader="none" w:pos="17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securities and number of offerings are indeterminable and the expenses cannot be estimated at this time. An estimate of the aggregate expenses in connection with the sale and distribution of securities being offered will be included in the applicable prospectus or prospectus supplement.</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Item 15. Indemnification of Directors and Officers</w:t>
      </w:r>
    </w:p>
    <w:p>
      <w:pPr>
        <w:spacing w:after="0" w:line="91" w:lineRule="exact"/>
        <w:rPr>
          <w:sz w:val="20"/>
          <w:szCs w:val="20"/>
          <w:color w:val="auto"/>
        </w:rPr>
      </w:pPr>
    </w:p>
    <w:p>
      <w:pPr>
        <w:ind w:left="1400" w:right="279" w:firstLine="339"/>
        <w:spacing w:after="0" w:line="250" w:lineRule="auto"/>
        <w:rPr>
          <w:sz w:val="20"/>
          <w:szCs w:val="20"/>
          <w:color w:val="auto"/>
        </w:rPr>
      </w:pPr>
      <w:r>
        <w:rPr>
          <w:rFonts w:ascii="Times New Roman" w:cs="Times New Roman" w:eastAsia="Times New Roman" w:hAnsi="Times New Roman"/>
          <w:sz w:val="14"/>
          <w:szCs w:val="14"/>
          <w:color w:val="auto"/>
        </w:rPr>
        <w:t>Nevada Revised Statutes (“NRS”) 78.7502(1) provides that a corporation may indemnify, pursuant to that statutory provision,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or other enterprise or as a manager of a limited liability company, against expenses (including attorneys’ fees), judgments, fines and amounts paid in settlement actually and reasonably incurred by such person in connection with such action, suit or proceeding if such person is not liable pursuant to NRS 78.138 or if such person acted in good faith and in a manner he or she reasonably believed to be in or not opposed to the best interests of the corporation, and, with respect to any criminal action or proceeding, had no reasonable cause to believe his or her conduct was unlawful. NRS 78.7502(2) permits a corporation to indemnify, pursuant to that statutory provision,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amounts paid in settlement and attorneys’ fees actually and reasonably incurred by him or her in connection with the defense or settlement of such action or suit if he or she acted under similar standards, except that no indemnification pursuant to NRS 78.7502 may be made in respect of any claim, issue or matter as to which such person shall have been adjudged by a court of competent jurisdiction, after any appeals taken therefrom, to be liable to the corporation or for amounts paid in settlement to the corporation, unless and only to the extent that the court in which such action or suit was brought or other court of competent</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0159"/>
          </w:cols>
          <w:pgMar w:left="300" w:top="383" w:right="1440"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59"/>
        <w:spacing w:after="0" w:line="252" w:lineRule="auto"/>
        <w:rPr>
          <w:sz w:val="20"/>
          <w:szCs w:val="20"/>
          <w:color w:val="auto"/>
        </w:rPr>
      </w:pPr>
      <w:r>
        <w:rPr>
          <w:rFonts w:ascii="Times New Roman" w:cs="Times New Roman" w:eastAsia="Times New Roman" w:hAnsi="Times New Roman"/>
          <w:sz w:val="14"/>
          <w:szCs w:val="14"/>
          <w:color w:val="auto"/>
        </w:rPr>
        <w:t>jurisdiction determines that, in view of all the circumstances of the case, such person is fairly and reasonably entitled to indemnity for such expenses as the court deems proper. NRS 78.751(1) provides that a corporation shall indemnify any person who is a director, officer, employee or agent of the corporation, against expenses actually and reasonably incurred by the person in connection with defending an action (including, without limitation, attorney’s fees), to the extent that the person is successful on the merits or otherwise in defense of any threatened, pending or completed action, suit or proceeding, whether civil, criminal, administrative or investigative, including, without limitation,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or as a manager of a limited liability company, or any claim, issue or matter in such action.</w:t>
      </w:r>
    </w:p>
    <w:p>
      <w:pPr>
        <w:spacing w:after="0" w:line="145" w:lineRule="exact"/>
        <w:rPr>
          <w:sz w:val="20"/>
          <w:szCs w:val="20"/>
          <w:color w:val="auto"/>
        </w:rPr>
      </w:pPr>
    </w:p>
    <w:p>
      <w:pPr>
        <w:ind w:left="1400" w:right="339" w:firstLine="339"/>
        <w:spacing w:after="0" w:line="258" w:lineRule="auto"/>
        <w:rPr>
          <w:sz w:val="20"/>
          <w:szCs w:val="20"/>
          <w:color w:val="auto"/>
        </w:rPr>
      </w:pPr>
      <w:r>
        <w:rPr>
          <w:rFonts w:ascii="Times New Roman" w:cs="Times New Roman" w:eastAsia="Times New Roman" w:hAnsi="Times New Roman"/>
          <w:sz w:val="14"/>
          <w:szCs w:val="14"/>
          <w:color w:val="auto"/>
        </w:rPr>
        <w:t>Our articles of incorporation permit indemnification of, and advancement of expenses to, our directors, officers and other agents, and any other persons to which applicable law permits us to provide indemnification, to the fullest extent permitted by applicable law, including the NRS. Our bylaws provide that we will so indemnify our directors and executive officers and permit us to indemnify other officers, employees, and other agents, in each case to the full extent permitted and in any manner permitted under the NRS or other applicable law.</w:t>
      </w:r>
    </w:p>
    <w:p>
      <w:pPr>
        <w:spacing w:after="0" w:line="140" w:lineRule="exact"/>
        <w:rPr>
          <w:sz w:val="20"/>
          <w:szCs w:val="20"/>
          <w:color w:val="auto"/>
        </w:rPr>
      </w:pPr>
    </w:p>
    <w:p>
      <w:pPr>
        <w:ind w:left="1400" w:right="379" w:firstLine="339"/>
        <w:spacing w:after="0" w:line="252" w:lineRule="auto"/>
        <w:rPr>
          <w:sz w:val="20"/>
          <w:szCs w:val="20"/>
          <w:color w:val="auto"/>
        </w:rPr>
      </w:pPr>
      <w:r>
        <w:rPr>
          <w:rFonts w:ascii="Times New Roman" w:cs="Times New Roman" w:eastAsia="Times New Roman" w:hAnsi="Times New Roman"/>
          <w:sz w:val="14"/>
          <w:szCs w:val="14"/>
          <w:color w:val="auto"/>
        </w:rPr>
        <w:t>We have entered into indemnification agreements with our directors and executive officers, whereby we have agreed to indemnify the directors and executive officers to the fullest extent permitted by law, including indemnification against expenses and liabilities incurred in legal proceedings to which the director or executive officer was, or is threatened to be made, a party by reason of the fact that such director or executive officer is or was a director, executive officer, employee or agent of our company, provided that such director or executive officer is not liable pursuant to NRS 78.138 or acted in good faith and in a manner that the director or executive officer reasonably believed to be in, or not opposed to, the best interests of the Registrant (and with respect to any criminal action or proceeding, had no reasonable cause to believe that his or her conduct was unlawful). At present, there is no pending litigation or proceeding involving a director or executive officer of us regarding which indemnification is sought, nor are we aware of any threatened litigation that may result in claims for indemnification.</w:t>
      </w:r>
    </w:p>
    <w:p>
      <w:pPr>
        <w:spacing w:after="0" w:line="145" w:lineRule="exact"/>
        <w:rPr>
          <w:sz w:val="20"/>
          <w:szCs w:val="20"/>
          <w:color w:val="auto"/>
        </w:rPr>
      </w:pPr>
    </w:p>
    <w:p>
      <w:pPr>
        <w:ind w:left="1400" w:right="579" w:firstLine="339"/>
        <w:spacing w:after="0" w:line="318" w:lineRule="auto"/>
        <w:rPr>
          <w:sz w:val="20"/>
          <w:szCs w:val="20"/>
          <w:color w:val="auto"/>
        </w:rPr>
      </w:pPr>
      <w:r>
        <w:rPr>
          <w:rFonts w:ascii="Times New Roman" w:cs="Times New Roman" w:eastAsia="Times New Roman" w:hAnsi="Times New Roman"/>
          <w:sz w:val="13"/>
          <w:szCs w:val="13"/>
          <w:color w:val="auto"/>
        </w:rPr>
        <w:t>We maintain insurance policies that indemnify our directors and officers against various liabilities arising under the Securities Act and the Securities Exchange Act of 1934, as amended (the “Exchange Act”), that might be incurred by any director or officer in his or her capacity as such.</w:t>
      </w:r>
    </w:p>
    <w:p>
      <w:pPr>
        <w:spacing w:after="0" w:line="5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10159"/>
          </w:cols>
          <w:pgMar w:left="300" w:top="383"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Item 16. Exhibits</w:t>
      </w:r>
    </w:p>
    <w:p>
      <w:pPr>
        <w:spacing w:after="0" w:line="284" w:lineRule="exact"/>
        <w:rPr>
          <w:sz w:val="20"/>
          <w:szCs w:val="20"/>
          <w:color w:val="auto"/>
        </w:rPr>
      </w:pPr>
    </w:p>
    <w:tbl>
      <w:tblPr>
        <w:tblLayout w:type="fixed"/>
        <w:tblInd w:w="1480" w:type="dxa"/>
        <w:tblCellMar>
          <w:top w:w="0" w:type="dxa"/>
          <w:left w:w="0" w:type="dxa"/>
          <w:bottom w:w="0" w:type="dxa"/>
          <w:right w:w="0" w:type="dxa"/>
        </w:tblCellMar>
      </w:tblPr>
      <w:tr>
        <w:trPr>
          <w:trHeight w:val="144"/>
        </w:trPr>
        <w:tc>
          <w:tcPr>
            <w:tcW w:w="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9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3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4560" w:type="dxa"/>
            <w:vAlign w:val="bottom"/>
            <w:vMerge w:val="restart"/>
          </w:tcPr>
          <w:p>
            <w:pPr>
              <w:ind w:left="200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80" w:type="dxa"/>
            <w:vAlign w:val="bottom"/>
            <w:vMerge w:val="restart"/>
          </w:tcPr>
          <w:p>
            <w:pPr>
              <w:spacing w:after="0"/>
              <w:rPr>
                <w:sz w:val="7"/>
                <w:szCs w:val="7"/>
                <w:color w:val="auto"/>
              </w:rPr>
            </w:pPr>
          </w:p>
        </w:tc>
        <w:tc>
          <w:tcPr>
            <w:tcW w:w="680" w:type="dxa"/>
            <w:vAlign w:val="bottom"/>
            <w:gridSpan w:val="2"/>
          </w:tcPr>
          <w:p>
            <w:pPr>
              <w:jc w:val="center"/>
              <w:ind w:right="100"/>
              <w:spacing w:after="0" w:line="86" w:lineRule="exact"/>
              <w:rPr>
                <w:sz w:val="20"/>
                <w:szCs w:val="20"/>
                <w:color w:val="auto"/>
              </w:rPr>
            </w:pPr>
            <w:r>
              <w:rPr>
                <w:rFonts w:ascii="Times New Roman" w:cs="Times New Roman" w:eastAsia="Times New Roman" w:hAnsi="Times New Roman"/>
                <w:sz w:val="9"/>
                <w:szCs w:val="9"/>
                <w:b w:val="1"/>
                <w:bCs w:val="1"/>
                <w:color w:val="auto"/>
              </w:rPr>
              <w:t>Schedule/</w:t>
            </w:r>
          </w:p>
        </w:tc>
        <w:tc>
          <w:tcPr>
            <w:tcW w:w="820" w:type="dxa"/>
            <w:vAlign w:val="bottom"/>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80" w:type="dxa"/>
            <w:vAlign w:val="bottom"/>
            <w:vMerge w:val="restart"/>
          </w:tcPr>
          <w:p>
            <w:pPr>
              <w:spacing w:after="0"/>
              <w:rPr>
                <w:sz w:val="7"/>
                <w:szCs w:val="7"/>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80" w:type="dxa"/>
            <w:vAlign w:val="bottom"/>
            <w:vMerge w:val="restart"/>
          </w:tcPr>
          <w:p>
            <w:pPr>
              <w:spacing w:after="0"/>
              <w:rPr>
                <w:sz w:val="7"/>
                <w:szCs w:val="7"/>
                <w:color w:val="auto"/>
              </w:rPr>
            </w:pPr>
          </w:p>
        </w:tc>
        <w:tc>
          <w:tcPr>
            <w:tcW w:w="180" w:type="dxa"/>
            <w:vAlign w:val="bottom"/>
            <w:vMerge w:val="restart"/>
          </w:tcPr>
          <w:p>
            <w:pPr>
              <w:spacing w:after="0"/>
              <w:rPr>
                <w:sz w:val="7"/>
                <w:szCs w:val="7"/>
                <w:color w:val="auto"/>
              </w:rPr>
            </w:pPr>
          </w:p>
        </w:tc>
        <w:tc>
          <w:tcPr>
            <w:tcW w:w="920" w:type="dxa"/>
            <w:vAlign w:val="bottom"/>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Filing Date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No.</w:t>
            </w:r>
          </w:p>
        </w:tc>
        <w:tc>
          <w:tcPr>
            <w:tcW w:w="160" w:type="dxa"/>
            <w:vAlign w:val="bottom"/>
          </w:tcPr>
          <w:p>
            <w:pPr>
              <w:spacing w:after="0"/>
              <w:rPr>
                <w:sz w:val="11"/>
                <w:szCs w:val="11"/>
                <w:color w:val="auto"/>
              </w:rPr>
            </w:pPr>
          </w:p>
        </w:tc>
        <w:tc>
          <w:tcPr>
            <w:tcW w:w="456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Form</w:t>
            </w:r>
          </w:p>
        </w:tc>
        <w:tc>
          <w:tcPr>
            <w:tcW w:w="100" w:type="dxa"/>
            <w:vAlign w:val="bottom"/>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80" w:type="dxa"/>
            <w:vAlign w:val="bottom"/>
            <w:tcBorders>
              <w:bottom w:val="single" w:sz="8" w:color="auto"/>
            </w:tcBorders>
            <w:vMerge w:val="continue"/>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480" w:hanging="78"/>
        <w:spacing w:after="0"/>
        <w:tabs>
          <w:tab w:leader="none" w:pos="14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1.1**  Form of Underwriting Agreement.</w:t>
      </w:r>
    </w:p>
    <w:p>
      <w:pPr>
        <w:spacing w:after="0" w:line="88" w:lineRule="exact"/>
        <w:rPr>
          <w:rFonts w:ascii="Times New Roman" w:cs="Times New Roman" w:eastAsia="Times New Roman" w:hAnsi="Times New Roman"/>
          <w:sz w:val="14"/>
          <w:szCs w:val="14"/>
          <w:color w:val="auto"/>
        </w:rPr>
      </w:pPr>
    </w:p>
    <w:p>
      <w:pPr>
        <w:jc w:val="right"/>
        <w:ind w:left="2000" w:right="3639" w:hanging="598"/>
        <w:spacing w:after="0" w:line="226" w:lineRule="auto"/>
        <w:tabs>
          <w:tab w:leader="none" w:pos="1477" w:val="left"/>
        </w:tabs>
        <w:numPr>
          <w:ilvl w:val="0"/>
          <w:numId w:val="42"/>
        </w:numPr>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4"/>
          <w:szCs w:val="14"/>
          <w:color w:val="auto"/>
        </w:rPr>
        <w:t>  1.2</w:t>
      </w:r>
      <w:hyperlink r:id="rId161">
        <w:r>
          <w:rPr>
            <w:rFonts w:ascii="Times New Roman" w:cs="Times New Roman" w:eastAsia="Times New Roman" w:hAnsi="Times New Roman"/>
            <w:sz w:val="13"/>
            <w:szCs w:val="13"/>
            <w:u w:val="single" w:color="auto"/>
            <w:color w:val="0000EE"/>
          </w:rPr>
          <w:t>Controlled Equity Offering</w:t>
        </w:r>
        <w:r>
          <w:rPr>
            <w:rFonts w:ascii="Times New Roman" w:cs="Times New Roman" w:eastAsia="Times New Roman" w:hAnsi="Times New Roman"/>
            <w:sz w:val="19"/>
            <w:szCs w:val="19"/>
            <w:u w:val="single" w:color="auto"/>
            <w:color w:val="0000EE"/>
            <w:vertAlign w:val="superscript"/>
          </w:rPr>
          <w:t>SM</w:t>
        </w:r>
        <w:r>
          <w:rPr>
            <w:rFonts w:ascii="Times New Roman" w:cs="Times New Roman" w:eastAsia="Times New Roman" w:hAnsi="Times New Roman"/>
            <w:sz w:val="13"/>
            <w:szCs w:val="13"/>
            <w:u w:val="single" w:color="auto"/>
            <w:color w:val="0000EE"/>
          </w:rPr>
          <w:t xml:space="preserve"> Sales Agreement, by and among the Registrant and</w:t>
        </w:r>
      </w:hyperlink>
      <w:r>
        <w:rPr>
          <w:rFonts w:ascii="Times New Roman" w:cs="Times New Roman" w:eastAsia="Times New Roman" w:hAnsi="Times New Roman"/>
          <w:sz w:val="13"/>
          <w:szCs w:val="13"/>
          <w:u w:val="single" w:color="auto"/>
          <w:color w:val="0000EE"/>
        </w:rPr>
        <w:t xml:space="preserve"> </w:t>
      </w:r>
      <w:hyperlink r:id="rId161">
        <w:r>
          <w:rPr>
            <w:rFonts w:ascii="Times New Roman" w:cs="Times New Roman" w:eastAsia="Times New Roman" w:hAnsi="Times New Roman"/>
            <w:sz w:val="13"/>
            <w:szCs w:val="13"/>
            <w:u w:val="single" w:color="auto"/>
            <w:color w:val="0000EE"/>
          </w:rPr>
          <w:t>Morgan Stanley &amp; Co. LLC, Cantor Fitzgerald &amp; Co., TD Securities (USA) LLC</w:t>
        </w:r>
      </w:hyperlink>
    </w:p>
    <w:tbl>
      <w:tblPr>
        <w:tblLayout w:type="fixed"/>
        <w:tblInd w:w="1400" w:type="dxa"/>
        <w:tblCellMar>
          <w:top w:w="0" w:type="dxa"/>
          <w:left w:w="0" w:type="dxa"/>
          <w:bottom w:w="0" w:type="dxa"/>
          <w:right w:w="0" w:type="dxa"/>
        </w:tblCellMar>
      </w:tblPr>
      <w:tr>
        <w:trPr>
          <w:trHeight w:val="136"/>
        </w:trPr>
        <w:tc>
          <w:tcPr>
            <w:tcW w:w="600" w:type="dxa"/>
            <w:vAlign w:val="bottom"/>
          </w:tcPr>
          <w:p>
            <w:pPr>
              <w:spacing w:after="0"/>
              <w:rPr>
                <w:sz w:val="11"/>
                <w:szCs w:val="11"/>
                <w:color w:val="auto"/>
              </w:rPr>
            </w:pPr>
          </w:p>
        </w:tc>
        <w:tc>
          <w:tcPr>
            <w:tcW w:w="2840" w:type="dxa"/>
            <w:vAlign w:val="bottom"/>
            <w:tcBorders>
              <w:bottom w:val="single" w:sz="8" w:color="0000EE"/>
            </w:tcBorders>
            <w:gridSpan w:val="5"/>
          </w:tcPr>
          <w:p>
            <w:pPr>
              <w:spacing w:after="0" w:line="136" w:lineRule="exact"/>
              <w:rPr>
                <w:rFonts w:ascii="Times New Roman" w:cs="Times New Roman" w:eastAsia="Times New Roman" w:hAnsi="Times New Roman"/>
                <w:sz w:val="14"/>
                <w:szCs w:val="14"/>
                <w:color w:val="0000EE"/>
                <w:w w:val="98"/>
              </w:rPr>
            </w:pPr>
            <w:hyperlink r:id="rId161">
              <w:r>
                <w:rPr>
                  <w:rFonts w:ascii="Times New Roman" w:cs="Times New Roman" w:eastAsia="Times New Roman" w:hAnsi="Times New Roman"/>
                  <w:sz w:val="14"/>
                  <w:szCs w:val="14"/>
                  <w:color w:val="0000EE"/>
                  <w:w w:val="98"/>
                </w:rPr>
                <w:t>and Allen &amp; Company LLC, dated August 8, 2025.</w:t>
              </w:r>
            </w:hyperlink>
          </w:p>
        </w:tc>
        <w:tc>
          <w:tcPr>
            <w:tcW w:w="2540" w:type="dxa"/>
            <w:vAlign w:val="bottom"/>
          </w:tcPr>
          <w:p>
            <w:pPr>
              <w:ind w:left="2100"/>
              <w:spacing w:after="0" w:line="136" w:lineRule="exact"/>
              <w:rPr>
                <w:sz w:val="20"/>
                <w:szCs w:val="20"/>
                <w:color w:val="auto"/>
              </w:rPr>
            </w:pPr>
            <w:r>
              <w:rPr>
                <w:rFonts w:ascii="Times New Roman" w:cs="Times New Roman" w:eastAsia="Times New Roman" w:hAnsi="Times New Roman"/>
                <w:sz w:val="14"/>
                <w:szCs w:val="14"/>
                <w:color w:val="auto"/>
              </w:rPr>
              <w:t>10-Q</w:t>
            </w:r>
          </w:p>
        </w:tc>
        <w:tc>
          <w:tcPr>
            <w:tcW w:w="920" w:type="dxa"/>
            <w:vAlign w:val="bottom"/>
          </w:tcPr>
          <w:p>
            <w:pPr>
              <w:jc w:val="right"/>
              <w:ind w:right="111"/>
              <w:spacing w:after="0" w:line="136" w:lineRule="exact"/>
              <w:rPr>
                <w:sz w:val="20"/>
                <w:szCs w:val="20"/>
                <w:color w:val="auto"/>
              </w:rPr>
            </w:pPr>
            <w:r>
              <w:rPr>
                <w:rFonts w:ascii="Times New Roman" w:cs="Times New Roman" w:eastAsia="Times New Roman" w:hAnsi="Times New Roman"/>
                <w:sz w:val="14"/>
                <w:szCs w:val="14"/>
                <w:color w:val="auto"/>
              </w:rPr>
              <w:t>001-42130</w:t>
            </w:r>
          </w:p>
        </w:tc>
        <w:tc>
          <w:tcPr>
            <w:tcW w:w="580" w:type="dxa"/>
            <w:vAlign w:val="bottom"/>
          </w:tcPr>
          <w:p>
            <w:pPr>
              <w:jc w:val="right"/>
              <w:ind w:right="91"/>
              <w:spacing w:after="0" w:line="136" w:lineRule="exact"/>
              <w:rPr>
                <w:sz w:val="20"/>
                <w:szCs w:val="20"/>
                <w:color w:val="auto"/>
              </w:rPr>
            </w:pPr>
            <w:r>
              <w:rPr>
                <w:rFonts w:ascii="Times New Roman" w:cs="Times New Roman" w:eastAsia="Times New Roman" w:hAnsi="Times New Roman"/>
                <w:sz w:val="14"/>
                <w:szCs w:val="14"/>
                <w:color w:val="auto"/>
              </w:rPr>
              <w:t>10.3</w:t>
            </w:r>
          </w:p>
        </w:tc>
        <w:tc>
          <w:tcPr>
            <w:tcW w:w="1000" w:type="dxa"/>
            <w:vAlign w:val="bottom"/>
          </w:tcPr>
          <w:p>
            <w:pPr>
              <w:ind w:left="160"/>
              <w:spacing w:after="0" w:line="136" w:lineRule="exact"/>
              <w:rPr>
                <w:sz w:val="20"/>
                <w:szCs w:val="20"/>
                <w:color w:val="auto"/>
              </w:rPr>
            </w:pPr>
            <w:r>
              <w:rPr>
                <w:rFonts w:ascii="Times New Roman" w:cs="Times New Roman" w:eastAsia="Times New Roman" w:hAnsi="Times New Roman"/>
                <w:sz w:val="14"/>
                <w:szCs w:val="14"/>
                <w:color w:val="auto"/>
                <w:w w:val="95"/>
              </w:rPr>
              <w:t>August 8, 2025</w:t>
            </w:r>
          </w:p>
        </w:tc>
      </w:tr>
      <w:tr>
        <w:trPr>
          <w:trHeight w:val="230"/>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    2.1</w:t>
            </w:r>
          </w:p>
        </w:tc>
        <w:tc>
          <w:tcPr>
            <w:tcW w:w="1100" w:type="dxa"/>
            <w:vAlign w:val="bottom"/>
            <w:tcBorders>
              <w:bottom w:val="single" w:sz="8" w:color="0000EE"/>
            </w:tcBorders>
          </w:tcPr>
          <w:p>
            <w:pPr>
              <w:spacing w:after="0"/>
              <w:rPr>
                <w:rFonts w:ascii="Times New Roman" w:cs="Times New Roman" w:eastAsia="Times New Roman" w:hAnsi="Times New Roman"/>
                <w:sz w:val="14"/>
                <w:szCs w:val="14"/>
                <w:color w:val="0000EE"/>
                <w:w w:val="96"/>
              </w:rPr>
            </w:pPr>
            <w:hyperlink r:id="rId162">
              <w:r>
                <w:rPr>
                  <w:rFonts w:ascii="Times New Roman" w:cs="Times New Roman" w:eastAsia="Times New Roman" w:hAnsi="Times New Roman"/>
                  <w:sz w:val="14"/>
                  <w:szCs w:val="14"/>
                  <w:color w:val="0000EE"/>
                  <w:w w:val="96"/>
                </w:rPr>
                <w:t>Plan of Conversion.</w:t>
              </w:r>
            </w:hyperlink>
          </w:p>
        </w:tc>
        <w:tc>
          <w:tcPr>
            <w:tcW w:w="1740" w:type="dxa"/>
            <w:vAlign w:val="bottom"/>
            <w:gridSpan w:val="4"/>
          </w:tcPr>
          <w:p>
            <w:pPr>
              <w:spacing w:after="0"/>
              <w:rPr>
                <w:sz w:val="19"/>
                <w:szCs w:val="19"/>
                <w:color w:val="auto"/>
              </w:rPr>
            </w:pPr>
          </w:p>
        </w:tc>
        <w:tc>
          <w:tcPr>
            <w:tcW w:w="2540" w:type="dxa"/>
            <w:vAlign w:val="bottom"/>
          </w:tcPr>
          <w:p>
            <w:pPr>
              <w:ind w:left="2100"/>
              <w:spacing w:after="0"/>
              <w:rPr>
                <w:sz w:val="20"/>
                <w:szCs w:val="20"/>
                <w:color w:val="auto"/>
              </w:rPr>
            </w:pPr>
            <w:r>
              <w:rPr>
                <w:rFonts w:ascii="Times New Roman" w:cs="Times New Roman" w:eastAsia="Times New Roman" w:hAnsi="Times New Roman"/>
                <w:sz w:val="14"/>
                <w:szCs w:val="14"/>
                <w:color w:val="auto"/>
              </w:rPr>
              <w:t>10-Q</w:t>
            </w:r>
          </w:p>
        </w:tc>
        <w:tc>
          <w:tcPr>
            <w:tcW w:w="9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001-42130</w:t>
            </w:r>
          </w:p>
        </w:tc>
        <w:tc>
          <w:tcPr>
            <w:tcW w:w="5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2.1</w:t>
            </w:r>
          </w:p>
        </w:tc>
        <w:tc>
          <w:tcPr>
            <w:tcW w:w="100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5"/>
              </w:rPr>
              <w:t>August 8, 2025</w:t>
            </w:r>
          </w:p>
        </w:tc>
      </w:tr>
      <w:tr>
        <w:trPr>
          <w:trHeight w:val="230"/>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    4.1</w:t>
            </w:r>
          </w:p>
        </w:tc>
        <w:tc>
          <w:tcPr>
            <w:tcW w:w="2840" w:type="dxa"/>
            <w:vAlign w:val="bottom"/>
            <w:gridSpan w:val="5"/>
          </w:tcPr>
          <w:p>
            <w:pPr>
              <w:spacing w:after="0"/>
              <w:rPr>
                <w:rFonts w:ascii="Times New Roman" w:cs="Times New Roman" w:eastAsia="Times New Roman" w:hAnsi="Times New Roman"/>
                <w:sz w:val="14"/>
                <w:szCs w:val="14"/>
                <w:color w:val="0000EE"/>
              </w:rPr>
            </w:pPr>
            <w:hyperlink r:id="rId163">
              <w:r>
                <w:rPr>
                  <w:rFonts w:ascii="Times New Roman" w:cs="Times New Roman" w:eastAsia="Times New Roman" w:hAnsi="Times New Roman"/>
                  <w:sz w:val="14"/>
                  <w:szCs w:val="14"/>
                  <w:color w:val="0000EE"/>
                </w:rPr>
                <w:t>Articles of Incorporation of the Registrant.</w:t>
              </w:r>
            </w:hyperlink>
          </w:p>
        </w:tc>
        <w:tc>
          <w:tcPr>
            <w:tcW w:w="2540" w:type="dxa"/>
            <w:vAlign w:val="bottom"/>
          </w:tcPr>
          <w:p>
            <w:pPr>
              <w:ind w:left="2100"/>
              <w:spacing w:after="0"/>
              <w:rPr>
                <w:sz w:val="20"/>
                <w:szCs w:val="20"/>
                <w:color w:val="auto"/>
              </w:rPr>
            </w:pPr>
            <w:r>
              <w:rPr>
                <w:rFonts w:ascii="Times New Roman" w:cs="Times New Roman" w:eastAsia="Times New Roman" w:hAnsi="Times New Roman"/>
                <w:sz w:val="14"/>
                <w:szCs w:val="14"/>
                <w:color w:val="auto"/>
              </w:rPr>
              <w:t>10-Q</w:t>
            </w:r>
          </w:p>
        </w:tc>
        <w:tc>
          <w:tcPr>
            <w:tcW w:w="9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001-42130</w:t>
            </w:r>
          </w:p>
        </w:tc>
        <w:tc>
          <w:tcPr>
            <w:tcW w:w="5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3.1</w:t>
            </w:r>
          </w:p>
        </w:tc>
        <w:tc>
          <w:tcPr>
            <w:tcW w:w="100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5"/>
              </w:rPr>
              <w:t>August 8, 2025</w:t>
            </w:r>
          </w:p>
        </w:tc>
      </w:tr>
      <w:tr>
        <w:trPr>
          <w:trHeight w:val="20"/>
        </w:trPr>
        <w:tc>
          <w:tcPr>
            <w:tcW w:w="60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30"/>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    4.2</w:t>
            </w:r>
          </w:p>
        </w:tc>
        <w:tc>
          <w:tcPr>
            <w:tcW w:w="2840" w:type="dxa"/>
            <w:vAlign w:val="bottom"/>
            <w:gridSpan w:val="5"/>
          </w:tcPr>
          <w:p>
            <w:pPr>
              <w:spacing w:after="0"/>
              <w:rPr>
                <w:rFonts w:ascii="Times New Roman" w:cs="Times New Roman" w:eastAsia="Times New Roman" w:hAnsi="Times New Roman"/>
                <w:sz w:val="14"/>
                <w:szCs w:val="14"/>
                <w:color w:val="0000EE"/>
              </w:rPr>
            </w:pPr>
            <w:hyperlink r:id="rId164">
              <w:r>
                <w:rPr>
                  <w:rFonts w:ascii="Times New Roman" w:cs="Times New Roman" w:eastAsia="Times New Roman" w:hAnsi="Times New Roman"/>
                  <w:sz w:val="14"/>
                  <w:szCs w:val="14"/>
                  <w:color w:val="0000EE"/>
                </w:rPr>
                <w:t>Amended and Restated Bylaws of the Registrant.</w:t>
              </w:r>
            </w:hyperlink>
          </w:p>
        </w:tc>
        <w:tc>
          <w:tcPr>
            <w:tcW w:w="2540" w:type="dxa"/>
            <w:vAlign w:val="bottom"/>
          </w:tcPr>
          <w:p>
            <w:pPr>
              <w:ind w:left="2100"/>
              <w:spacing w:after="0"/>
              <w:rPr>
                <w:sz w:val="20"/>
                <w:szCs w:val="20"/>
                <w:color w:val="auto"/>
              </w:rPr>
            </w:pPr>
            <w:r>
              <w:rPr>
                <w:rFonts w:ascii="Times New Roman" w:cs="Times New Roman" w:eastAsia="Times New Roman" w:hAnsi="Times New Roman"/>
                <w:sz w:val="14"/>
                <w:szCs w:val="14"/>
                <w:color w:val="auto"/>
              </w:rPr>
              <w:t>10-Q</w:t>
            </w:r>
          </w:p>
        </w:tc>
        <w:tc>
          <w:tcPr>
            <w:tcW w:w="9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001-42130</w:t>
            </w:r>
          </w:p>
        </w:tc>
        <w:tc>
          <w:tcPr>
            <w:tcW w:w="5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3.2</w:t>
            </w:r>
          </w:p>
        </w:tc>
        <w:tc>
          <w:tcPr>
            <w:tcW w:w="100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5"/>
              </w:rPr>
              <w:t>August 8, 2025</w:t>
            </w:r>
          </w:p>
        </w:tc>
      </w:tr>
      <w:tr>
        <w:trPr>
          <w:trHeight w:val="230"/>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    4.3</w:t>
            </w:r>
          </w:p>
        </w:tc>
        <w:tc>
          <w:tcPr>
            <w:tcW w:w="2720" w:type="dxa"/>
            <w:vAlign w:val="bottom"/>
            <w:tcBorders>
              <w:top w:val="single" w:sz="8" w:color="0000EE"/>
            </w:tcBorders>
            <w:gridSpan w:val="4"/>
          </w:tcPr>
          <w:p>
            <w:pPr>
              <w:spacing w:after="0"/>
              <w:rPr>
                <w:rFonts w:ascii="Times New Roman" w:cs="Times New Roman" w:eastAsia="Times New Roman" w:hAnsi="Times New Roman"/>
                <w:sz w:val="14"/>
                <w:szCs w:val="14"/>
                <w:color w:val="0000EE"/>
              </w:rPr>
            </w:pPr>
            <w:hyperlink r:id="rId165">
              <w:r>
                <w:rPr>
                  <w:rFonts w:ascii="Times New Roman" w:cs="Times New Roman" w:eastAsia="Times New Roman" w:hAnsi="Times New Roman"/>
                  <w:sz w:val="14"/>
                  <w:szCs w:val="14"/>
                  <w:color w:val="0000EE"/>
                </w:rPr>
                <w:t>Specimen Class A Common Stock Certificate.</w:t>
              </w:r>
            </w:hyperlink>
          </w:p>
        </w:tc>
        <w:tc>
          <w:tcPr>
            <w:tcW w:w="120" w:type="dxa"/>
            <w:vAlign w:val="bottom"/>
          </w:tcPr>
          <w:p>
            <w:pPr>
              <w:spacing w:after="0"/>
              <w:rPr>
                <w:sz w:val="19"/>
                <w:szCs w:val="19"/>
                <w:color w:val="auto"/>
              </w:rPr>
            </w:pPr>
          </w:p>
        </w:tc>
        <w:tc>
          <w:tcPr>
            <w:tcW w:w="2540" w:type="dxa"/>
            <w:vAlign w:val="bottom"/>
          </w:tcPr>
          <w:p>
            <w:pPr>
              <w:ind w:left="2100"/>
              <w:spacing w:after="0"/>
              <w:rPr>
                <w:sz w:val="20"/>
                <w:szCs w:val="20"/>
                <w:color w:val="auto"/>
              </w:rPr>
            </w:pPr>
            <w:r>
              <w:rPr>
                <w:rFonts w:ascii="Times New Roman" w:cs="Times New Roman" w:eastAsia="Times New Roman" w:hAnsi="Times New Roman"/>
                <w:sz w:val="14"/>
                <w:szCs w:val="14"/>
                <w:color w:val="auto"/>
              </w:rPr>
              <w:t>10-Q</w:t>
            </w:r>
          </w:p>
        </w:tc>
        <w:tc>
          <w:tcPr>
            <w:tcW w:w="9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001-42130</w:t>
            </w:r>
          </w:p>
        </w:tc>
        <w:tc>
          <w:tcPr>
            <w:tcW w:w="5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4.4</w:t>
            </w:r>
          </w:p>
        </w:tc>
        <w:tc>
          <w:tcPr>
            <w:tcW w:w="100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5"/>
              </w:rPr>
              <w:t>August 8, 2025</w:t>
            </w:r>
          </w:p>
        </w:tc>
      </w:tr>
      <w:tr>
        <w:trPr>
          <w:trHeight w:val="20"/>
        </w:trPr>
        <w:tc>
          <w:tcPr>
            <w:tcW w:w="60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89" w:lineRule="exact"/>
        <w:rPr>
          <w:sz w:val="20"/>
          <w:szCs w:val="20"/>
          <w:color w:val="auto"/>
        </w:rPr>
      </w:pPr>
    </w:p>
    <w:p>
      <w:pPr>
        <w:ind w:left="1480" w:hanging="78"/>
        <w:spacing w:after="0"/>
        <w:tabs>
          <w:tab w:leader="none" w:pos="14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4.4**  Certificate and Certificate of Designations of Preferred Stock</w:t>
      </w:r>
    </w:p>
    <w:p>
      <w:pPr>
        <w:spacing w:after="0" w:line="88" w:lineRule="exact"/>
        <w:rPr>
          <w:rFonts w:ascii="Times New Roman" w:cs="Times New Roman" w:eastAsia="Times New Roman" w:hAnsi="Times New Roman"/>
          <w:sz w:val="14"/>
          <w:szCs w:val="14"/>
          <w:color w:val="auto"/>
        </w:rPr>
      </w:pPr>
    </w:p>
    <w:p>
      <w:pPr>
        <w:ind w:left="1480" w:hanging="78"/>
        <w:spacing w:after="0"/>
        <w:tabs>
          <w:tab w:leader="none" w:pos="14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4.5*   </w:t>
      </w:r>
      <w:r>
        <w:rPr>
          <w:rFonts w:ascii="Times New Roman" w:cs="Times New Roman" w:eastAsia="Times New Roman" w:hAnsi="Times New Roman"/>
          <w:sz w:val="14"/>
          <w:szCs w:val="14"/>
          <w:u w:val="single" w:color="auto"/>
          <w:color w:val="0000EE"/>
        </w:rPr>
        <w:t>Form of Indenture.</w:t>
      </w:r>
    </w:p>
    <w:p>
      <w:pPr>
        <w:spacing w:after="0" w:line="88" w:lineRule="exact"/>
        <w:rPr>
          <w:rFonts w:ascii="Times New Roman" w:cs="Times New Roman" w:eastAsia="Times New Roman" w:hAnsi="Times New Roman"/>
          <w:sz w:val="14"/>
          <w:szCs w:val="14"/>
          <w:color w:val="auto"/>
        </w:rPr>
      </w:pPr>
    </w:p>
    <w:p>
      <w:pPr>
        <w:ind w:left="1480" w:hanging="78"/>
        <w:spacing w:after="0"/>
        <w:tabs>
          <w:tab w:leader="none" w:pos="14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4.6**  Form of Debt Securities.</w:t>
      </w:r>
    </w:p>
    <w:p>
      <w:pPr>
        <w:spacing w:after="0" w:line="88" w:lineRule="exact"/>
        <w:rPr>
          <w:rFonts w:ascii="Times New Roman" w:cs="Times New Roman" w:eastAsia="Times New Roman" w:hAnsi="Times New Roman"/>
          <w:sz w:val="14"/>
          <w:szCs w:val="14"/>
          <w:color w:val="auto"/>
        </w:rPr>
      </w:pPr>
    </w:p>
    <w:p>
      <w:pPr>
        <w:ind w:left="1480" w:hanging="78"/>
        <w:spacing w:after="0"/>
        <w:tabs>
          <w:tab w:leader="none" w:pos="14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4.7*   </w:t>
      </w:r>
      <w:r>
        <w:rPr>
          <w:rFonts w:ascii="Times New Roman" w:cs="Times New Roman" w:eastAsia="Times New Roman" w:hAnsi="Times New Roman"/>
          <w:sz w:val="14"/>
          <w:szCs w:val="14"/>
          <w:u w:val="single" w:color="auto"/>
          <w:color w:val="0000EE"/>
        </w:rPr>
        <w:t>Form of Class A Common Stock Warrant Agreement and Warrant Certificate.</w:t>
      </w:r>
    </w:p>
    <w:p>
      <w:pPr>
        <w:spacing w:after="0" w:line="88" w:lineRule="exact"/>
        <w:rPr>
          <w:rFonts w:ascii="Times New Roman" w:cs="Times New Roman" w:eastAsia="Times New Roman" w:hAnsi="Times New Roman"/>
          <w:sz w:val="14"/>
          <w:szCs w:val="14"/>
          <w:color w:val="auto"/>
        </w:rPr>
      </w:pPr>
    </w:p>
    <w:p>
      <w:pPr>
        <w:ind w:left="1480" w:hanging="78"/>
        <w:spacing w:after="0"/>
        <w:tabs>
          <w:tab w:leader="none" w:pos="14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4.8*   </w:t>
      </w:r>
      <w:r>
        <w:rPr>
          <w:rFonts w:ascii="Times New Roman" w:cs="Times New Roman" w:eastAsia="Times New Roman" w:hAnsi="Times New Roman"/>
          <w:sz w:val="14"/>
          <w:szCs w:val="14"/>
          <w:u w:val="single" w:color="auto"/>
          <w:color w:val="0000EE"/>
        </w:rPr>
        <w:t>Form of Preferred Stock Warrant Agreement and Warrant Certificate.</w:t>
      </w:r>
    </w:p>
    <w:p>
      <w:pPr>
        <w:spacing w:after="0" w:line="88" w:lineRule="exact"/>
        <w:rPr>
          <w:rFonts w:ascii="Times New Roman" w:cs="Times New Roman" w:eastAsia="Times New Roman" w:hAnsi="Times New Roman"/>
          <w:sz w:val="14"/>
          <w:szCs w:val="14"/>
          <w:color w:val="auto"/>
        </w:rPr>
      </w:pPr>
    </w:p>
    <w:p>
      <w:pPr>
        <w:ind w:left="1480" w:hanging="78"/>
        <w:spacing w:after="0"/>
        <w:tabs>
          <w:tab w:leader="none" w:pos="14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4.9*   </w:t>
      </w:r>
      <w:r>
        <w:rPr>
          <w:rFonts w:ascii="Times New Roman" w:cs="Times New Roman" w:eastAsia="Times New Roman" w:hAnsi="Times New Roman"/>
          <w:sz w:val="14"/>
          <w:szCs w:val="14"/>
          <w:u w:val="single" w:color="auto"/>
          <w:color w:val="0000EE"/>
        </w:rPr>
        <w:t>Form of Debt Securities Warrant Agreement and Warrant Certificate.</w:t>
      </w:r>
    </w:p>
    <w:p>
      <w:pPr>
        <w:spacing w:after="0" w:line="88" w:lineRule="exact"/>
        <w:rPr>
          <w:rFonts w:ascii="Times New Roman" w:cs="Times New Roman" w:eastAsia="Times New Roman" w:hAnsi="Times New Roman"/>
          <w:sz w:val="14"/>
          <w:szCs w:val="14"/>
          <w:color w:val="auto"/>
        </w:rPr>
      </w:pPr>
    </w:p>
    <w:p>
      <w:pPr>
        <w:ind w:left="1480" w:hanging="78"/>
        <w:spacing w:after="0"/>
        <w:tabs>
          <w:tab w:leader="none" w:pos="14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5.1*   </w:t>
      </w:r>
      <w:r>
        <w:rPr>
          <w:rFonts w:ascii="Times New Roman" w:cs="Times New Roman" w:eastAsia="Times New Roman" w:hAnsi="Times New Roman"/>
          <w:sz w:val="14"/>
          <w:szCs w:val="14"/>
          <w:u w:val="single" w:color="auto"/>
          <w:color w:val="0000EE"/>
        </w:rPr>
        <w:t>Opinion of Brownstein Hyatt Farber Schreck, LLP.</w:t>
      </w:r>
    </w:p>
    <w:p>
      <w:pPr>
        <w:spacing w:after="0" w:line="88" w:lineRule="exact"/>
        <w:rPr>
          <w:rFonts w:ascii="Times New Roman" w:cs="Times New Roman" w:eastAsia="Times New Roman" w:hAnsi="Times New Roman"/>
          <w:sz w:val="14"/>
          <w:szCs w:val="14"/>
          <w:color w:val="auto"/>
        </w:rPr>
      </w:pPr>
    </w:p>
    <w:p>
      <w:pPr>
        <w:ind w:left="1480" w:hanging="78"/>
        <w:spacing w:after="0"/>
        <w:tabs>
          <w:tab w:leader="none" w:pos="14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5.2*   </w:t>
      </w:r>
      <w:r>
        <w:rPr>
          <w:rFonts w:ascii="Times New Roman" w:cs="Times New Roman" w:eastAsia="Times New Roman" w:hAnsi="Times New Roman"/>
          <w:sz w:val="14"/>
          <w:szCs w:val="14"/>
          <w:u w:val="single" w:color="auto"/>
          <w:color w:val="0000EE"/>
        </w:rPr>
        <w:t>Opinion of Cooley LLP.</w:t>
      </w:r>
    </w:p>
    <w:p>
      <w:pPr>
        <w:spacing w:after="0" w:line="88" w:lineRule="exact"/>
        <w:rPr>
          <w:rFonts w:ascii="Times New Roman" w:cs="Times New Roman" w:eastAsia="Times New Roman" w:hAnsi="Times New Roman"/>
          <w:sz w:val="14"/>
          <w:szCs w:val="14"/>
          <w:color w:val="auto"/>
        </w:rPr>
      </w:pPr>
    </w:p>
    <w:p>
      <w:pPr>
        <w:ind w:left="2000" w:right="4139" w:hanging="598"/>
        <w:spacing w:after="0" w:line="278" w:lineRule="auto"/>
        <w:tabs>
          <w:tab w:leader="none" w:pos="1477"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23.1* </w:t>
      </w:r>
      <w:r>
        <w:rPr>
          <w:rFonts w:ascii="Times New Roman" w:cs="Times New Roman" w:eastAsia="Times New Roman" w:hAnsi="Times New Roman"/>
          <w:sz w:val="14"/>
          <w:szCs w:val="14"/>
          <w:u w:val="single" w:color="auto"/>
          <w:color w:val="0000EE"/>
        </w:rPr>
        <w:t>Consent of PricewaterhouseCoopers, LLP, independent registered public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accounting firm.</w:t>
      </w:r>
    </w:p>
    <w:p>
      <w:pPr>
        <w:spacing w:after="0" w:line="42" w:lineRule="exact"/>
        <w:rPr>
          <w:rFonts w:ascii="Times New Roman" w:cs="Times New Roman" w:eastAsia="Times New Roman" w:hAnsi="Times New Roman"/>
          <w:sz w:val="14"/>
          <w:szCs w:val="14"/>
          <w:color w:val="auto"/>
        </w:rPr>
      </w:pPr>
    </w:p>
    <w:p>
      <w:pPr>
        <w:ind w:left="1480" w:hanging="78"/>
        <w:spacing w:after="0"/>
        <w:tabs>
          <w:tab w:leader="none" w:pos="14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23.2*   </w:t>
      </w:r>
      <w:r>
        <w:rPr>
          <w:rFonts w:ascii="Times New Roman" w:cs="Times New Roman" w:eastAsia="Times New Roman" w:hAnsi="Times New Roman"/>
          <w:sz w:val="14"/>
          <w:szCs w:val="14"/>
          <w:u w:val="single" w:color="auto"/>
          <w:color w:val="0000EE"/>
        </w:rPr>
        <w:t>Consent of Brownstein Hyatt Farber Schreck, LLP (included in Exhibit 5.1).</w:t>
      </w:r>
    </w:p>
    <w:p>
      <w:pPr>
        <w:spacing w:after="0" w:line="88" w:lineRule="exact"/>
        <w:rPr>
          <w:rFonts w:ascii="Times New Roman" w:cs="Times New Roman" w:eastAsia="Times New Roman" w:hAnsi="Times New Roman"/>
          <w:sz w:val="14"/>
          <w:szCs w:val="14"/>
          <w:color w:val="auto"/>
        </w:rPr>
      </w:pPr>
    </w:p>
    <w:p>
      <w:pPr>
        <w:ind w:left="1480" w:hanging="78"/>
        <w:spacing w:after="0"/>
        <w:tabs>
          <w:tab w:leader="none" w:pos="14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23.3*   </w:t>
      </w:r>
      <w:r>
        <w:rPr>
          <w:rFonts w:ascii="Times New Roman" w:cs="Times New Roman" w:eastAsia="Times New Roman" w:hAnsi="Times New Roman"/>
          <w:sz w:val="14"/>
          <w:szCs w:val="14"/>
          <w:u w:val="single" w:color="auto"/>
          <w:color w:val="0000EE"/>
        </w:rPr>
        <w:t>Consent of Cooley LLP (included in Exhibit 5.2).</w:t>
      </w:r>
    </w:p>
    <w:p>
      <w:pPr>
        <w:spacing w:after="0" w:line="88" w:lineRule="exact"/>
        <w:rPr>
          <w:rFonts w:ascii="Times New Roman" w:cs="Times New Roman" w:eastAsia="Times New Roman" w:hAnsi="Times New Roman"/>
          <w:sz w:val="14"/>
          <w:szCs w:val="14"/>
          <w:color w:val="auto"/>
        </w:rPr>
      </w:pPr>
    </w:p>
    <w:p>
      <w:pPr>
        <w:ind w:left="1480" w:hanging="78"/>
        <w:spacing w:after="0"/>
        <w:tabs>
          <w:tab w:leader="none" w:pos="14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24.1*   </w:t>
      </w:r>
      <w:r>
        <w:rPr>
          <w:rFonts w:ascii="Times New Roman" w:cs="Times New Roman" w:eastAsia="Times New Roman" w:hAnsi="Times New Roman"/>
          <w:sz w:val="14"/>
          <w:szCs w:val="14"/>
          <w:u w:val="single" w:color="auto"/>
          <w:color w:val="0000EE"/>
        </w:rPr>
        <w:t>Power of Attorney (included on the signature page hereto).</w:t>
      </w:r>
    </w:p>
    <w:p>
      <w:pPr>
        <w:spacing w:after="0" w:line="88" w:lineRule="exact"/>
        <w:rPr>
          <w:rFonts w:ascii="Times New Roman" w:cs="Times New Roman" w:eastAsia="Times New Roman" w:hAnsi="Times New Roman"/>
          <w:sz w:val="14"/>
          <w:szCs w:val="14"/>
          <w:color w:val="auto"/>
        </w:rPr>
      </w:pPr>
    </w:p>
    <w:p>
      <w:pPr>
        <w:ind w:left="2000" w:right="3679" w:hanging="598"/>
        <w:spacing w:after="0" w:line="278" w:lineRule="auto"/>
        <w:tabs>
          <w:tab w:leader="none" w:pos="1477"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25.1*** Statement of Eligibility of Trustee for Indenture under the Trust Indenture Act of 1939, as amended.</w:t>
      </w:r>
    </w:p>
    <w:p>
      <w:pPr>
        <w:spacing w:after="0" w:line="43" w:lineRule="exact"/>
        <w:rPr>
          <w:sz w:val="20"/>
          <w:szCs w:val="20"/>
          <w:color w:val="auto"/>
        </w:rPr>
      </w:pPr>
    </w:p>
    <w:p>
      <w:pPr>
        <w:ind w:left="1400"/>
        <w:spacing w:after="0"/>
        <w:tabs>
          <w:tab w:leader="none" w:pos="1980" w:val="left"/>
        </w:tabs>
        <w:rPr>
          <w:sz w:val="20"/>
          <w:szCs w:val="20"/>
          <w:color w:val="auto"/>
        </w:rPr>
      </w:pPr>
      <w:r>
        <w:rPr>
          <w:rFonts w:ascii="Times New Roman" w:cs="Times New Roman" w:eastAsia="Times New Roman" w:hAnsi="Times New Roman"/>
          <w:sz w:val="14"/>
          <w:szCs w:val="14"/>
          <w:color w:val="auto"/>
        </w:rPr>
        <w:t>107*</w:t>
      </w:r>
      <w:r>
        <w:rPr>
          <w:sz w:val="20"/>
          <w:szCs w:val="20"/>
          <w:color w:val="auto"/>
        </w:rPr>
        <w:tab/>
      </w:r>
      <w:r>
        <w:rPr>
          <w:rFonts w:ascii="Times New Roman" w:cs="Times New Roman" w:eastAsia="Times New Roman" w:hAnsi="Times New Roman"/>
          <w:sz w:val="14"/>
          <w:szCs w:val="14"/>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78740</wp:posOffset>
            </wp:positionV>
            <wp:extent cx="587375"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6">
                      <a:extLst>
                        <a:ext uri="{28A0092B-C50C-407E-A947-70E740481C1C}"/>
                      </a:extLst>
                    </a:blip>
                    <a:srcRect/>
                    <a:stretch>
                      <a:fillRect/>
                    </a:stretch>
                  </pic:blipFill>
                  <pic:spPr bwMode="auto">
                    <a:xfrm>
                      <a:off x="0" y="0"/>
                      <a:ext cx="587375" cy="6350"/>
                    </a:xfrm>
                    <a:prstGeom prst="rect">
                      <a:avLst/>
                    </a:prstGeom>
                    <a:noFill/>
                  </pic:spPr>
                </pic:pic>
              </a:graphicData>
            </a:graphic>
          </wp:anchor>
        </w:drawing>
      </w:r>
    </w:p>
    <w:p>
      <w:pPr>
        <w:spacing w:after="0" w:line="131" w:lineRule="exact"/>
        <w:rPr>
          <w:sz w:val="20"/>
          <w:szCs w:val="20"/>
          <w:color w:val="auto"/>
        </w:rPr>
      </w:pPr>
    </w:p>
    <w:p>
      <w:pPr>
        <w:ind w:left="1740" w:hanging="338"/>
        <w:spacing w:after="0"/>
        <w:tabs>
          <w:tab w:leader="none" w:pos="17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1" w:lineRule="exact"/>
        <w:rPr>
          <w:sz w:val="20"/>
          <w:szCs w:val="20"/>
          <w:color w:val="auto"/>
        </w:rPr>
      </w:pPr>
    </w:p>
    <w:p>
      <w:pPr>
        <w:ind w:left="1740" w:hanging="338"/>
        <w:spacing w:after="0"/>
        <w:tabs>
          <w:tab w:leader="none" w:pos="17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 or by a report filed under the Exchange Act, and incorporated herein by reference, if applicable.</w:t>
      </w:r>
    </w:p>
    <w:p>
      <w:pPr>
        <w:spacing w:after="0" w:line="5" w:lineRule="exact"/>
        <w:rPr>
          <w:rFonts w:ascii="Times New Roman" w:cs="Times New Roman" w:eastAsia="Times New Roman" w:hAnsi="Times New Roman"/>
          <w:sz w:val="14"/>
          <w:szCs w:val="14"/>
          <w:color w:val="auto"/>
        </w:rPr>
      </w:pPr>
    </w:p>
    <w:p>
      <w:pPr>
        <w:ind w:left="1740" w:right="319" w:hanging="338"/>
        <w:spacing w:after="0" w:line="256" w:lineRule="auto"/>
        <w:tabs>
          <w:tab w:leader="none" w:pos="17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if applicable, in accordance with the requirements of Section 305(b)(2) of the Trust Indenture Act of 1939, as amended, and Rule 5b-3 thereunder.</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10159"/>
          </w:cols>
          <w:pgMar w:left="300" w:top="383"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Item 17. Undertaking</w:t>
      </w:r>
    </w:p>
    <w:p>
      <w:pPr>
        <w:spacing w:after="0" w:line="91" w:lineRule="exact"/>
        <w:rPr>
          <w:sz w:val="20"/>
          <w:szCs w:val="20"/>
          <w:color w:val="auto"/>
        </w:rPr>
      </w:pPr>
    </w:p>
    <w:p>
      <w:pPr>
        <w:ind w:left="1920" w:hanging="179"/>
        <w:spacing w:after="0"/>
        <w:tabs>
          <w:tab w:leader="none" w:pos="19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88" w:lineRule="exact"/>
        <w:rPr>
          <w:rFonts w:ascii="Times New Roman" w:cs="Times New Roman" w:eastAsia="Times New Roman" w:hAnsi="Times New Roman"/>
          <w:sz w:val="14"/>
          <w:szCs w:val="14"/>
          <w:color w:val="auto"/>
        </w:rPr>
      </w:pPr>
    </w:p>
    <w:p>
      <w:pPr>
        <w:ind w:left="2360" w:hanging="195"/>
        <w:spacing w:after="0"/>
        <w:tabs>
          <w:tab w:leader="none" w:pos="236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88" w:lineRule="exact"/>
        <w:rPr>
          <w:rFonts w:ascii="Times New Roman" w:cs="Times New Roman" w:eastAsia="Times New Roman" w:hAnsi="Times New Roman"/>
          <w:sz w:val="14"/>
          <w:szCs w:val="14"/>
          <w:color w:val="auto"/>
        </w:rPr>
      </w:pPr>
    </w:p>
    <w:p>
      <w:pPr>
        <w:ind w:left="2680" w:hanging="175"/>
        <w:spacing w:after="0"/>
        <w:tabs>
          <w:tab w:leader="none" w:pos="2680" w:val="left"/>
        </w:tabs>
        <w:numPr>
          <w:ilvl w:val="2"/>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w:t>
      </w:r>
    </w:p>
    <w:p>
      <w:pPr>
        <w:spacing w:after="0" w:line="171" w:lineRule="exact"/>
        <w:rPr>
          <w:rFonts w:ascii="Times New Roman" w:cs="Times New Roman" w:eastAsia="Times New Roman" w:hAnsi="Times New Roman"/>
          <w:sz w:val="14"/>
          <w:szCs w:val="14"/>
          <w:color w:val="auto"/>
        </w:rPr>
      </w:pPr>
    </w:p>
    <w:p>
      <w:pPr>
        <w:ind w:left="1400" w:right="279" w:firstLine="1105"/>
        <w:spacing w:after="0" w:line="277" w:lineRule="auto"/>
        <w:tabs>
          <w:tab w:leader="none" w:pos="2707" w:val="left"/>
        </w:tabs>
        <w:numPr>
          <w:ilvl w:val="2"/>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“Filing Fee Table” in the exhibit to the effective registration statement; and</w:t>
      </w:r>
    </w:p>
    <w:p>
      <w:pPr>
        <w:spacing w:after="0" w:line="108" w:lineRule="exact"/>
        <w:rPr>
          <w:rFonts w:ascii="Times New Roman" w:cs="Times New Roman" w:eastAsia="Times New Roman" w:hAnsi="Times New Roman"/>
          <w:sz w:val="13"/>
          <w:szCs w:val="13"/>
          <w:color w:val="auto"/>
        </w:rPr>
      </w:pPr>
    </w:p>
    <w:p>
      <w:pPr>
        <w:ind w:left="1400" w:right="339" w:firstLine="1105"/>
        <w:spacing w:after="0" w:line="278" w:lineRule="auto"/>
        <w:tabs>
          <w:tab w:leader="none" w:pos="2746" w:val="left"/>
        </w:tabs>
        <w:numPr>
          <w:ilvl w:val="2"/>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14" w:lineRule="exact"/>
        <w:rPr>
          <w:sz w:val="20"/>
          <w:szCs w:val="20"/>
          <w:color w:val="auto"/>
        </w:rPr>
      </w:pPr>
    </w:p>
    <w:p>
      <w:pPr>
        <w:ind w:left="1400" w:right="359" w:firstLine="339"/>
        <w:spacing w:after="0" w:line="259" w:lineRule="auto"/>
        <w:rPr>
          <w:sz w:val="20"/>
          <w:szCs w:val="20"/>
          <w:color w:val="auto"/>
        </w:rPr>
      </w:pP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paragraphs (a)(1)(i), (a)(1)(ii) and (a)(1)(iii) do not apply if the information required to be included in a post-effective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amendment by those paragraphs is contained in reports filed with or furnished to the Commission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29" w:lineRule="exact"/>
        <w:rPr>
          <w:sz w:val="20"/>
          <w:szCs w:val="20"/>
          <w:color w:val="auto"/>
        </w:rPr>
      </w:pPr>
    </w:p>
    <w:p>
      <w:pPr>
        <w:ind w:left="1400" w:right="299" w:firstLine="765"/>
        <w:spacing w:after="0" w:line="263" w:lineRule="auto"/>
        <w:tabs>
          <w:tab w:leader="none" w:pos="23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15" w:lineRule="exact"/>
        <w:rPr>
          <w:rFonts w:ascii="Times New Roman" w:cs="Times New Roman" w:eastAsia="Times New Roman" w:hAnsi="Times New Roman"/>
          <w:sz w:val="14"/>
          <w:szCs w:val="14"/>
          <w:color w:val="auto"/>
        </w:rPr>
      </w:pPr>
    </w:p>
    <w:p>
      <w:pPr>
        <w:ind w:left="1400" w:right="339" w:firstLine="765"/>
        <w:spacing w:after="0" w:line="278" w:lineRule="auto"/>
        <w:tabs>
          <w:tab w:leader="none" w:pos="23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15" w:lineRule="exact"/>
        <w:rPr>
          <w:rFonts w:ascii="Times New Roman" w:cs="Times New Roman" w:eastAsia="Times New Roman" w:hAnsi="Times New Roman"/>
          <w:sz w:val="14"/>
          <w:szCs w:val="14"/>
          <w:color w:val="auto"/>
        </w:rPr>
      </w:pPr>
    </w:p>
    <w:p>
      <w:pPr>
        <w:ind w:left="2360" w:hanging="195"/>
        <w:spacing w:after="0"/>
        <w:tabs>
          <w:tab w:leader="none" w:pos="23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88" w:lineRule="exact"/>
        <w:rPr>
          <w:rFonts w:ascii="Times New Roman" w:cs="Times New Roman" w:eastAsia="Times New Roman" w:hAnsi="Times New Roman"/>
          <w:sz w:val="14"/>
          <w:szCs w:val="14"/>
          <w:color w:val="auto"/>
        </w:rPr>
      </w:pPr>
    </w:p>
    <w:p>
      <w:pPr>
        <w:ind w:left="1400" w:right="479" w:firstLine="1105"/>
        <w:spacing w:after="0" w:line="278" w:lineRule="auto"/>
        <w:tabs>
          <w:tab w:leader="none" w:pos="2669"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05" w:lineRule="exact"/>
        <w:rPr>
          <w:rFonts w:ascii="Times New Roman" w:cs="Times New Roman" w:eastAsia="Times New Roman" w:hAnsi="Times New Roman"/>
          <w:sz w:val="14"/>
          <w:szCs w:val="14"/>
          <w:color w:val="auto"/>
        </w:rPr>
      </w:pPr>
    </w:p>
    <w:p>
      <w:pPr>
        <w:ind w:left="1400" w:right="339" w:firstLine="1105"/>
        <w:spacing w:after="0" w:line="251" w:lineRule="auto"/>
        <w:tabs>
          <w:tab w:leader="none" w:pos="2707"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0159"/>
          </w:cols>
          <w:pgMar w:left="300" w:top="383"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59" w:firstLine="765"/>
        <w:spacing w:after="0" w:line="255" w:lineRule="auto"/>
        <w:tabs>
          <w:tab w:leader="none" w:pos="236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59" w:lineRule="exact"/>
        <w:rPr>
          <w:rFonts w:ascii="Times New Roman" w:cs="Times New Roman" w:eastAsia="Times New Roman" w:hAnsi="Times New Roman"/>
          <w:sz w:val="14"/>
          <w:szCs w:val="14"/>
          <w:color w:val="auto"/>
        </w:rPr>
      </w:pPr>
    </w:p>
    <w:p>
      <w:pPr>
        <w:ind w:left="2680" w:hanging="175"/>
        <w:spacing w:after="0"/>
        <w:tabs>
          <w:tab w:leader="none" w:pos="2680" w:val="left"/>
        </w:tabs>
        <w:numPr>
          <w:ilvl w:val="2"/>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w:t>
      </w:r>
    </w:p>
    <w:p>
      <w:pPr>
        <w:spacing w:after="0" w:line="20" w:lineRule="exact"/>
        <w:rPr>
          <w:rFonts w:ascii="Times New Roman" w:cs="Times New Roman" w:eastAsia="Times New Roman" w:hAnsi="Times New Roman"/>
          <w:sz w:val="14"/>
          <w:szCs w:val="14"/>
          <w:color w:val="auto"/>
        </w:rPr>
      </w:pPr>
    </w:p>
    <w:p>
      <w:pPr>
        <w:ind w:left="14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Rule 424;</w:t>
      </w:r>
    </w:p>
    <w:p>
      <w:pPr>
        <w:spacing w:after="0" w:line="156" w:lineRule="exact"/>
        <w:rPr>
          <w:rFonts w:ascii="Times New Roman" w:cs="Times New Roman" w:eastAsia="Times New Roman" w:hAnsi="Times New Roman"/>
          <w:sz w:val="14"/>
          <w:szCs w:val="14"/>
          <w:color w:val="auto"/>
        </w:rPr>
      </w:pPr>
    </w:p>
    <w:p>
      <w:pPr>
        <w:ind w:left="1400" w:right="399" w:firstLine="1105"/>
        <w:spacing w:after="0" w:line="278" w:lineRule="auto"/>
        <w:tabs>
          <w:tab w:leader="none" w:pos="2707" w:val="left"/>
        </w:tabs>
        <w:numPr>
          <w:ilvl w:val="2"/>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126" w:lineRule="exact"/>
        <w:rPr>
          <w:rFonts w:ascii="Times New Roman" w:cs="Times New Roman" w:eastAsia="Times New Roman" w:hAnsi="Times New Roman"/>
          <w:sz w:val="14"/>
          <w:szCs w:val="14"/>
          <w:color w:val="auto"/>
        </w:rPr>
      </w:pPr>
    </w:p>
    <w:p>
      <w:pPr>
        <w:ind w:left="1400" w:right="399" w:firstLine="1105"/>
        <w:spacing w:after="0" w:line="278" w:lineRule="auto"/>
        <w:tabs>
          <w:tab w:leader="none" w:pos="2746" w:val="left"/>
        </w:tabs>
        <w:numPr>
          <w:ilvl w:val="2"/>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126" w:lineRule="exact"/>
        <w:rPr>
          <w:rFonts w:ascii="Times New Roman" w:cs="Times New Roman" w:eastAsia="Times New Roman" w:hAnsi="Times New Roman"/>
          <w:sz w:val="14"/>
          <w:szCs w:val="14"/>
          <w:color w:val="auto"/>
        </w:rPr>
      </w:pPr>
    </w:p>
    <w:p>
      <w:pPr>
        <w:ind w:left="2740" w:hanging="235"/>
        <w:spacing w:after="0"/>
        <w:tabs>
          <w:tab w:leader="none" w:pos="2740" w:val="left"/>
        </w:tabs>
        <w:numPr>
          <w:ilvl w:val="2"/>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71" w:lineRule="exact"/>
        <w:rPr>
          <w:rFonts w:ascii="Times New Roman" w:cs="Times New Roman" w:eastAsia="Times New Roman" w:hAnsi="Times New Roman"/>
          <w:sz w:val="14"/>
          <w:szCs w:val="14"/>
          <w:color w:val="auto"/>
        </w:rPr>
      </w:pPr>
    </w:p>
    <w:p>
      <w:pPr>
        <w:ind w:left="1400" w:right="279" w:firstLine="341"/>
        <w:spacing w:after="0" w:line="255" w:lineRule="auto"/>
        <w:tabs>
          <w:tab w:leader="none" w:pos="1936"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 for the purpose of determining liability of the registrant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43" w:lineRule="exact"/>
        <w:rPr>
          <w:sz w:val="20"/>
          <w:szCs w:val="20"/>
          <w:color w:val="auto"/>
        </w:rPr>
      </w:pPr>
    </w:p>
    <w:p>
      <w:pPr>
        <w:ind w:left="1400" w:right="379" w:firstLine="341"/>
        <w:spacing w:after="0" w:line="252" w:lineRule="auto"/>
        <w:tabs>
          <w:tab w:leader="none" w:pos="1936"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45" w:lineRule="exact"/>
        <w:rPr>
          <w:sz w:val="20"/>
          <w:szCs w:val="20"/>
          <w:color w:val="auto"/>
        </w:rPr>
      </w:pPr>
    </w:p>
    <w:p>
      <w:pPr>
        <w:ind w:left="1400" w:right="299" w:firstLine="341"/>
        <w:spacing w:after="0" w:line="279" w:lineRule="auto"/>
        <w:tabs>
          <w:tab w:leader="none" w:pos="1905" w:val="left"/>
        </w:tabs>
        <w:numPr>
          <w:ilvl w:val="1"/>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w:t>
      </w:r>
    </w:p>
    <w:p>
      <w:pPr>
        <w:ind w:left="1600" w:hanging="198"/>
        <w:spacing w:after="0"/>
        <w:tabs>
          <w:tab w:leader="none" w:pos="16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Trust Indenture Act.</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II-5</w:t>
      </w:r>
    </w:p>
    <w:p>
      <w:pPr>
        <w:sectPr>
          <w:pgSz w:w="11900" w:h="16838" w:orient="portrait"/>
          <w:cols w:equalWidth="0" w:num="1">
            <w:col w:w="10159"/>
          </w:cols>
          <w:pgMar w:left="300" w:top="383"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4" w:lineRule="exact"/>
        <w:rPr>
          <w:sz w:val="20"/>
          <w:szCs w:val="20"/>
          <w:color w:val="auto"/>
        </w:rPr>
      </w:pPr>
    </w:p>
    <w:p>
      <w:pPr>
        <w:ind w:left="1400" w:right="579" w:firstLine="339"/>
        <w:spacing w:after="0" w:line="263"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Chicago, Illinois, on August 8, 2025.</w:t>
      </w:r>
    </w:p>
    <w:p>
      <w:pPr>
        <w:spacing w:after="0" w:line="15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TEMPUS AI, INC.</w:t>
      </w:r>
    </w:p>
    <w:p>
      <w:pPr>
        <w:spacing w:after="0" w:line="17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By: /s/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4307205</wp:posOffset>
            </wp:positionH>
            <wp:positionV relativeFrom="paragraph">
              <wp:posOffset>26035</wp:posOffset>
            </wp:positionV>
            <wp:extent cx="1974215"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0">
                      <a:extLst>
                        <a:ext uri="{28A0092B-C50C-407E-A947-70E740481C1C}"/>
                      </a:extLst>
                    </a:blip>
                    <a:srcRect/>
                    <a:stretch>
                      <a:fillRect/>
                    </a:stretch>
                  </pic:blipFill>
                  <pic:spPr bwMode="auto">
                    <a:xfrm>
                      <a:off x="0" y="0"/>
                      <a:ext cx="1974215" cy="6350"/>
                    </a:xfrm>
                    <a:prstGeom prst="rect">
                      <a:avLst/>
                    </a:prstGeom>
                    <a:noFill/>
                  </pic:spPr>
                </pic:pic>
              </a:graphicData>
            </a:graphic>
          </wp:anchor>
        </w:drawing>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Eric Lefkofsky</w:t>
      </w:r>
    </w:p>
    <w:p>
      <w:pPr>
        <w:spacing w:after="0" w:line="2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Chief Executive Officer, Founder and Chairman</w:t>
      </w:r>
    </w:p>
    <w:p>
      <w:pPr>
        <w:spacing w:after="0" w:line="32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2" w:lineRule="exact"/>
        <w:rPr>
          <w:sz w:val="20"/>
          <w:szCs w:val="20"/>
          <w:color w:val="auto"/>
        </w:rPr>
      </w:pPr>
    </w:p>
    <w:p>
      <w:pPr>
        <w:ind w:left="1400" w:right="299" w:firstLine="339"/>
        <w:spacing w:after="0" w:line="252" w:lineRule="auto"/>
        <w:rPr>
          <w:sz w:val="20"/>
          <w:szCs w:val="20"/>
          <w:color w:val="auto"/>
        </w:rPr>
      </w:pPr>
      <w:r>
        <w:rPr>
          <w:rFonts w:ascii="Times New Roman" w:cs="Times New Roman" w:eastAsia="Times New Roman" w:hAnsi="Times New Roman"/>
          <w:sz w:val="14"/>
          <w:szCs w:val="14"/>
          <w:b w:val="1"/>
          <w:bCs w:val="1"/>
          <w:color w:val="auto"/>
        </w:rPr>
        <w:t>KNOW ALL PERSONS BY THESE PRESENTS</w:t>
      </w:r>
      <w:r>
        <w:rPr>
          <w:rFonts w:ascii="Times New Roman" w:cs="Times New Roman" w:eastAsia="Times New Roman" w:hAnsi="Times New Roman"/>
          <w:sz w:val="14"/>
          <w:szCs w:val="14"/>
          <w:color w:val="auto"/>
        </w:rPr>
        <w:t>, that each person whose signature appears below constitutes and appoints Eric Lefkofsky,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James Rogers and Andrew Polovin, and each of them, as true and lawful attorneys-in-fact and agents, with full powers of substitution and resubstitution, for them and in their name, place and stead, in any and all capacities, to sign any and all amendments to this registration statement, and to file the same, with all exhibits thereto, and other documents in connection therewith, with the Securities and Exchange Commission, and generally to do all such things in their names and behalf in their capacities as officers and directors to enable Tempus AI, Inc. to comply with the provisions of the Securities Act, and all requirements of the SEC, granting unto said attorneys-in-fact and agents, and each of them, full power and authority to do and perform each and every act and thing requisite and necessary to be done in connection therewith, as fully to all intents and purposes as he or she might or could do in person, ratifying and confirming all that said attorneys-in-fact and agents, or any of them, or their or his or her substitutes or substitute, may lawfully do or cause to be done by virtue hereof.</w:t>
      </w:r>
    </w:p>
    <w:p>
      <w:pPr>
        <w:spacing w:after="0" w:line="144" w:lineRule="exact"/>
        <w:rPr>
          <w:sz w:val="20"/>
          <w:szCs w:val="20"/>
          <w:color w:val="auto"/>
        </w:rPr>
      </w:pPr>
    </w:p>
    <w:p>
      <w:pPr>
        <w:ind w:left="1400" w:right="279" w:firstLine="339"/>
        <w:spacing w:after="0" w:line="278"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below by the following persons in the capacities and on the dates indicated.</w:t>
      </w:r>
    </w:p>
    <w:p>
      <w:pPr>
        <w:spacing w:after="0" w:line="142" w:lineRule="exact"/>
        <w:rPr>
          <w:sz w:val="20"/>
          <w:szCs w:val="20"/>
          <w:color w:val="auto"/>
        </w:rPr>
      </w:pPr>
    </w:p>
    <w:tbl>
      <w:tblPr>
        <w:tblLayout w:type="fixed"/>
        <w:tblInd w:w="1400" w:type="dxa"/>
        <w:tblCellMar>
          <w:top w:w="0" w:type="dxa"/>
          <w:left w:w="0" w:type="dxa"/>
          <w:bottom w:w="0" w:type="dxa"/>
          <w:right w:w="0" w:type="dxa"/>
        </w:tblCellMar>
      </w:tblPr>
      <w:tr>
        <w:trPr>
          <w:trHeight w:val="134"/>
        </w:trPr>
        <w:tc>
          <w:tcPr>
            <w:tcW w:w="1680" w:type="dxa"/>
            <w:vAlign w:val="bottom"/>
          </w:tcPr>
          <w:p>
            <w:pPr>
              <w:spacing w:after="0"/>
              <w:rPr>
                <w:sz w:val="11"/>
                <w:szCs w:val="11"/>
                <w:color w:val="auto"/>
              </w:rPr>
            </w:pPr>
          </w:p>
        </w:tc>
        <w:tc>
          <w:tcPr>
            <w:tcW w:w="2160" w:type="dxa"/>
            <w:vAlign w:val="bottom"/>
            <w:gridSpan w:val="2"/>
          </w:tcPr>
          <w:p>
            <w:pPr>
              <w:jc w:val="center"/>
              <w:ind w:right="170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440" w:type="dxa"/>
            <w:vAlign w:val="bottom"/>
          </w:tcPr>
          <w:p>
            <w:pPr>
              <w:spacing w:after="0"/>
              <w:rPr>
                <w:sz w:val="11"/>
                <w:szCs w:val="11"/>
                <w:color w:val="auto"/>
              </w:rPr>
            </w:pP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240" w:type="dxa"/>
            <w:vAlign w:val="bottom"/>
            <w:gridSpan w:val="3"/>
          </w:tcPr>
          <w:p>
            <w:pPr>
              <w:jc w:val="center"/>
              <w:ind w:left="313"/>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20"/>
        </w:trPr>
        <w:tc>
          <w:tcPr>
            <w:tcW w:w="1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23"/>
        </w:trPr>
        <w:tc>
          <w:tcPr>
            <w:tcW w:w="3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w w:val="98"/>
              </w:rPr>
              <w:t>/s/ Eric Lefkofsky</w:t>
            </w:r>
          </w:p>
        </w:tc>
        <w:tc>
          <w:tcPr>
            <w:tcW w:w="31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Chief Executive Officer, Founder and Chairman</w:t>
            </w:r>
          </w:p>
        </w:tc>
        <w:tc>
          <w:tcPr>
            <w:tcW w:w="1240" w:type="dxa"/>
            <w:vAlign w:val="bottom"/>
            <w:gridSpan w:val="3"/>
          </w:tcPr>
          <w:p>
            <w:pPr>
              <w:jc w:val="center"/>
              <w:ind w:left="313"/>
              <w:spacing w:after="0"/>
              <w:rPr>
                <w:sz w:val="20"/>
                <w:szCs w:val="20"/>
                <w:color w:val="auto"/>
              </w:rPr>
            </w:pPr>
            <w:r>
              <w:rPr>
                <w:rFonts w:ascii="Times New Roman" w:cs="Times New Roman" w:eastAsia="Times New Roman" w:hAnsi="Times New Roman"/>
                <w:sz w:val="14"/>
                <w:szCs w:val="14"/>
                <w:color w:val="auto"/>
              </w:rPr>
              <w:t>August 8, 2025</w:t>
            </w:r>
          </w:p>
        </w:tc>
      </w:tr>
      <w:tr>
        <w:trPr>
          <w:trHeight w:val="172"/>
        </w:trPr>
        <w:tc>
          <w:tcPr>
            <w:tcW w:w="38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Eric Lefkofsky</w:t>
            </w:r>
          </w:p>
        </w:tc>
        <w:tc>
          <w:tcPr>
            <w:tcW w:w="31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Executive Officer</w:t>
            </w:r>
            <w:r>
              <w:rPr>
                <w:rFonts w:ascii="Times New Roman" w:cs="Times New Roman" w:eastAsia="Times New Roman" w:hAnsi="Times New Roman"/>
                <w:sz w:val="14"/>
                <w:szCs w:val="14"/>
                <w:color w:val="auto"/>
              </w:rPr>
              <w:t>)</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328"/>
        </w:trPr>
        <w:tc>
          <w:tcPr>
            <w:tcW w:w="38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color w:val="auto"/>
                <w:w w:val="99"/>
              </w:rPr>
              <w:t>/s/ James Rogers</w:t>
            </w:r>
          </w:p>
        </w:tc>
        <w:tc>
          <w:tcPr>
            <w:tcW w:w="31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Chief Financial Officer</w:t>
            </w:r>
          </w:p>
        </w:tc>
        <w:tc>
          <w:tcPr>
            <w:tcW w:w="1240" w:type="dxa"/>
            <w:vAlign w:val="bottom"/>
            <w:gridSpan w:val="3"/>
          </w:tcPr>
          <w:p>
            <w:pPr>
              <w:jc w:val="center"/>
              <w:ind w:left="313"/>
              <w:spacing w:after="0"/>
              <w:rPr>
                <w:sz w:val="20"/>
                <w:szCs w:val="20"/>
                <w:color w:val="auto"/>
              </w:rPr>
            </w:pPr>
            <w:r>
              <w:rPr>
                <w:rFonts w:ascii="Times New Roman" w:cs="Times New Roman" w:eastAsia="Times New Roman" w:hAnsi="Times New Roman"/>
                <w:sz w:val="14"/>
                <w:szCs w:val="14"/>
                <w:color w:val="auto"/>
              </w:rPr>
              <w:t>August 8, 2025</w:t>
            </w:r>
          </w:p>
        </w:tc>
      </w:tr>
      <w:tr>
        <w:trPr>
          <w:trHeight w:val="172"/>
        </w:trPr>
        <w:tc>
          <w:tcPr>
            <w:tcW w:w="38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8"/>
              </w:rPr>
              <w:t>James Rogers</w:t>
            </w:r>
          </w:p>
        </w:tc>
        <w:tc>
          <w:tcPr>
            <w:tcW w:w="31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Officer</w:t>
            </w:r>
            <w:r>
              <w:rPr>
                <w:rFonts w:ascii="Times New Roman" w:cs="Times New Roman" w:eastAsia="Times New Roman" w:hAnsi="Times New Roman"/>
                <w:sz w:val="14"/>
                <w:szCs w:val="14"/>
                <w:color w:val="auto"/>
              </w:rPr>
              <w:t>)</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328"/>
        </w:trPr>
        <w:tc>
          <w:tcPr>
            <w:tcW w:w="38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color w:val="auto"/>
                <w:w w:val="98"/>
              </w:rPr>
              <w:t>/s/ Ryan Bartolucci</w:t>
            </w:r>
          </w:p>
        </w:tc>
        <w:tc>
          <w:tcPr>
            <w:tcW w:w="31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Chief Accounting Officer</w:t>
            </w:r>
          </w:p>
        </w:tc>
        <w:tc>
          <w:tcPr>
            <w:tcW w:w="1240" w:type="dxa"/>
            <w:vAlign w:val="bottom"/>
            <w:gridSpan w:val="3"/>
          </w:tcPr>
          <w:p>
            <w:pPr>
              <w:jc w:val="center"/>
              <w:ind w:left="313"/>
              <w:spacing w:after="0"/>
              <w:rPr>
                <w:sz w:val="20"/>
                <w:szCs w:val="20"/>
                <w:color w:val="auto"/>
              </w:rPr>
            </w:pPr>
            <w:r>
              <w:rPr>
                <w:rFonts w:ascii="Times New Roman" w:cs="Times New Roman" w:eastAsia="Times New Roman" w:hAnsi="Times New Roman"/>
                <w:sz w:val="14"/>
                <w:szCs w:val="14"/>
                <w:color w:val="auto"/>
              </w:rPr>
              <w:t>August 8, 2025</w:t>
            </w:r>
          </w:p>
        </w:tc>
      </w:tr>
      <w:tr>
        <w:trPr>
          <w:trHeight w:val="172"/>
        </w:trPr>
        <w:tc>
          <w:tcPr>
            <w:tcW w:w="38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w w:val="98"/>
              </w:rPr>
              <w:t>Ryan Bartolucci</w:t>
            </w:r>
          </w:p>
        </w:tc>
        <w:tc>
          <w:tcPr>
            <w:tcW w:w="31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Accounting Officer</w:t>
            </w:r>
            <w:r>
              <w:rPr>
                <w:rFonts w:ascii="Times New Roman" w:cs="Times New Roman" w:eastAsia="Times New Roman" w:hAnsi="Times New Roman"/>
                <w:sz w:val="14"/>
                <w:szCs w:val="14"/>
                <w:color w:val="auto"/>
              </w:rPr>
              <w:t>)</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328"/>
        </w:trPr>
        <w:tc>
          <w:tcPr>
            <w:tcW w:w="38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color w:val="auto"/>
                <w:w w:val="98"/>
              </w:rPr>
              <w:t>/s/ Peter J. Barris</w:t>
            </w:r>
          </w:p>
        </w:tc>
        <w:tc>
          <w:tcPr>
            <w:tcW w:w="31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240" w:type="dxa"/>
            <w:vAlign w:val="bottom"/>
            <w:gridSpan w:val="3"/>
          </w:tcPr>
          <w:p>
            <w:pPr>
              <w:jc w:val="center"/>
              <w:ind w:left="313"/>
              <w:spacing w:after="0"/>
              <w:rPr>
                <w:sz w:val="20"/>
                <w:szCs w:val="20"/>
                <w:color w:val="auto"/>
              </w:rPr>
            </w:pPr>
            <w:r>
              <w:rPr>
                <w:rFonts w:ascii="Times New Roman" w:cs="Times New Roman" w:eastAsia="Times New Roman" w:hAnsi="Times New Roman"/>
                <w:sz w:val="14"/>
                <w:szCs w:val="14"/>
                <w:color w:val="auto"/>
              </w:rPr>
              <w:t>August 8, 2025</w:t>
            </w:r>
          </w:p>
        </w:tc>
      </w:tr>
      <w:tr>
        <w:trPr>
          <w:trHeight w:val="172"/>
        </w:trPr>
        <w:tc>
          <w:tcPr>
            <w:tcW w:w="38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w w:val="98"/>
              </w:rPr>
              <w:t>Peter J. Barris</w:t>
            </w:r>
          </w:p>
        </w:tc>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328"/>
        </w:trPr>
        <w:tc>
          <w:tcPr>
            <w:tcW w:w="3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w w:val="99"/>
              </w:rPr>
              <w:t>/s/ Eric D. Belcher</w:t>
            </w:r>
          </w:p>
        </w:tc>
        <w:tc>
          <w:tcPr>
            <w:tcW w:w="31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240" w:type="dxa"/>
            <w:vAlign w:val="bottom"/>
            <w:gridSpan w:val="3"/>
          </w:tcPr>
          <w:p>
            <w:pPr>
              <w:jc w:val="center"/>
              <w:ind w:left="313"/>
              <w:spacing w:after="0"/>
              <w:rPr>
                <w:sz w:val="20"/>
                <w:szCs w:val="20"/>
                <w:color w:val="auto"/>
              </w:rPr>
            </w:pPr>
            <w:r>
              <w:rPr>
                <w:rFonts w:ascii="Times New Roman" w:cs="Times New Roman" w:eastAsia="Times New Roman" w:hAnsi="Times New Roman"/>
                <w:sz w:val="14"/>
                <w:szCs w:val="14"/>
                <w:color w:val="auto"/>
              </w:rPr>
              <w:t>August 8, 2025</w:t>
            </w:r>
          </w:p>
        </w:tc>
      </w:tr>
      <w:tr>
        <w:trPr>
          <w:trHeight w:val="172"/>
        </w:trPr>
        <w:tc>
          <w:tcPr>
            <w:tcW w:w="38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w w:val="98"/>
              </w:rPr>
              <w:t>Eric D. Belcher</w:t>
            </w:r>
          </w:p>
        </w:tc>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328"/>
        </w:trPr>
        <w:tc>
          <w:tcPr>
            <w:tcW w:w="38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color w:val="auto"/>
                <w:w w:val="99"/>
              </w:rPr>
              <w:t>/s/ Jennifer A. Doudna</w:t>
            </w:r>
          </w:p>
        </w:tc>
        <w:tc>
          <w:tcPr>
            <w:tcW w:w="31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240" w:type="dxa"/>
            <w:vAlign w:val="bottom"/>
            <w:gridSpan w:val="3"/>
          </w:tcPr>
          <w:p>
            <w:pPr>
              <w:jc w:val="center"/>
              <w:ind w:left="313"/>
              <w:spacing w:after="0"/>
              <w:rPr>
                <w:sz w:val="20"/>
                <w:szCs w:val="20"/>
                <w:color w:val="auto"/>
              </w:rPr>
            </w:pPr>
            <w:r>
              <w:rPr>
                <w:rFonts w:ascii="Times New Roman" w:cs="Times New Roman" w:eastAsia="Times New Roman" w:hAnsi="Times New Roman"/>
                <w:sz w:val="14"/>
                <w:szCs w:val="14"/>
                <w:color w:val="auto"/>
              </w:rPr>
              <w:t>August 8, 2025</w:t>
            </w:r>
          </w:p>
        </w:tc>
      </w:tr>
      <w:tr>
        <w:trPr>
          <w:trHeight w:val="172"/>
        </w:trPr>
        <w:tc>
          <w:tcPr>
            <w:tcW w:w="38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Jennifer A. Doudna, Ph.D.</w:t>
            </w:r>
          </w:p>
        </w:tc>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276"/>
        </w:trPr>
        <w:tc>
          <w:tcPr>
            <w:tcW w:w="1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12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II-6</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0159"/>
          </w:cols>
          <w:pgMar w:left="300" w:top="383"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2" w:lineRule="exact"/>
        <w:rPr>
          <w:sz w:val="20"/>
          <w:szCs w:val="20"/>
          <w:color w:val="auto"/>
        </w:rPr>
      </w:pPr>
    </w:p>
    <w:p>
      <w:pPr>
        <w:ind w:left="3080"/>
        <w:spacing w:after="0"/>
        <w:tabs>
          <w:tab w:leader="none" w:pos="6680" w:val="left"/>
          <w:tab w:leader="none" w:pos="9040" w:val="left"/>
        </w:tabs>
        <w:rPr>
          <w:sz w:val="20"/>
          <w:szCs w:val="20"/>
          <w:color w:val="auto"/>
        </w:rPr>
      </w:pPr>
      <w:r>
        <w:rPr>
          <w:rFonts w:ascii="Times New Roman" w:cs="Times New Roman" w:eastAsia="Times New Roman" w:hAnsi="Times New Roman"/>
          <w:sz w:val="11"/>
          <w:szCs w:val="11"/>
          <w:b w:val="1"/>
          <w:bCs w:val="1"/>
          <w:u w:val="single" w:color="auto"/>
          <w:color w:val="auto"/>
        </w:rPr>
        <w:t>Signature</w:t>
      </w:r>
      <w:r>
        <w:rPr>
          <w:sz w:val="20"/>
          <w:szCs w:val="20"/>
          <w:color w:val="auto"/>
        </w:rPr>
        <w:tab/>
      </w:r>
      <w:r>
        <w:rPr>
          <w:rFonts w:ascii="Times New Roman" w:cs="Times New Roman" w:eastAsia="Times New Roman" w:hAnsi="Times New Roman"/>
          <w:sz w:val="11"/>
          <w:szCs w:val="11"/>
          <w:b w:val="1"/>
          <w:bCs w:val="1"/>
          <w:u w:val="single" w:color="auto"/>
          <w:color w:val="auto"/>
        </w:rPr>
        <w:t>Title</w:t>
      </w:r>
      <w:r>
        <w:rPr>
          <w:sz w:val="20"/>
          <w:szCs w:val="20"/>
          <w:color w:val="auto"/>
        </w:rPr>
        <w:tab/>
      </w:r>
      <w:r>
        <w:rPr>
          <w:rFonts w:ascii="Times New Roman" w:cs="Times New Roman" w:eastAsia="Times New Roman" w:hAnsi="Times New Roman"/>
          <w:sz w:val="11"/>
          <w:szCs w:val="11"/>
          <w:b w:val="1"/>
          <w:bCs w:val="1"/>
          <w:u w:val="single" w:color="auto"/>
          <w:color w:val="auto"/>
        </w:rPr>
        <w:t>Date</w:t>
      </w:r>
    </w:p>
    <w:p>
      <w:pPr>
        <w:spacing w:after="0" w:line="356" w:lineRule="exact"/>
        <w:rPr>
          <w:sz w:val="20"/>
          <w:szCs w:val="20"/>
          <w:color w:val="auto"/>
        </w:rPr>
      </w:pPr>
    </w:p>
    <w:tbl>
      <w:tblPr>
        <w:tblLayout w:type="fixed"/>
        <w:tblInd w:w="1400" w:type="dxa"/>
        <w:tblCellMar>
          <w:top w:w="0" w:type="dxa"/>
          <w:left w:w="0" w:type="dxa"/>
          <w:bottom w:w="0" w:type="dxa"/>
          <w:right w:w="0" w:type="dxa"/>
        </w:tblCellMar>
      </w:tblPr>
      <w:tr>
        <w:trPr>
          <w:trHeight w:val="181"/>
        </w:trPr>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David R. Epstein</w:t>
            </w:r>
          </w:p>
        </w:tc>
        <w:tc>
          <w:tcPr>
            <w:tcW w:w="20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2340" w:type="dxa"/>
            <w:vAlign w:val="bottom"/>
          </w:tcPr>
          <w:p>
            <w:pPr>
              <w:ind w:left="1480"/>
              <w:spacing w:after="0"/>
              <w:rPr>
                <w:sz w:val="20"/>
                <w:szCs w:val="20"/>
                <w:color w:val="auto"/>
              </w:rPr>
            </w:pPr>
            <w:r>
              <w:rPr>
                <w:rFonts w:ascii="Times New Roman" w:cs="Times New Roman" w:eastAsia="Times New Roman" w:hAnsi="Times New Roman"/>
                <w:sz w:val="14"/>
                <w:szCs w:val="14"/>
                <w:color w:val="auto"/>
                <w:w w:val="97"/>
              </w:rPr>
              <w:t>August 8, 2025</w:t>
            </w:r>
          </w:p>
        </w:tc>
      </w:tr>
      <w:tr>
        <w:trPr>
          <w:trHeight w:val="172"/>
        </w:trPr>
        <w:tc>
          <w:tcPr>
            <w:tcW w:w="3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David R. Epstein</w:t>
            </w:r>
          </w:p>
        </w:tc>
        <w:tc>
          <w:tcPr>
            <w:tcW w:w="202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328"/>
        </w:trPr>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/s/ Wayne A.I. Frederick</w:t>
            </w:r>
          </w:p>
        </w:tc>
        <w:tc>
          <w:tcPr>
            <w:tcW w:w="20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2340" w:type="dxa"/>
            <w:vAlign w:val="bottom"/>
          </w:tcPr>
          <w:p>
            <w:pPr>
              <w:ind w:left="1480"/>
              <w:spacing w:after="0"/>
              <w:rPr>
                <w:sz w:val="20"/>
                <w:szCs w:val="20"/>
                <w:color w:val="auto"/>
              </w:rPr>
            </w:pPr>
            <w:r>
              <w:rPr>
                <w:rFonts w:ascii="Times New Roman" w:cs="Times New Roman" w:eastAsia="Times New Roman" w:hAnsi="Times New Roman"/>
                <w:sz w:val="14"/>
                <w:szCs w:val="14"/>
                <w:color w:val="auto"/>
                <w:w w:val="97"/>
              </w:rPr>
              <w:t>August 8, 2025</w:t>
            </w:r>
          </w:p>
        </w:tc>
      </w:tr>
      <w:tr>
        <w:trPr>
          <w:trHeight w:val="172"/>
        </w:trPr>
        <w:tc>
          <w:tcPr>
            <w:tcW w:w="3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Wayne A.I. Frederick, M.D.</w:t>
            </w:r>
          </w:p>
        </w:tc>
        <w:tc>
          <w:tcPr>
            <w:tcW w:w="202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328"/>
        </w:trPr>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Scott Gottlieb</w:t>
            </w:r>
          </w:p>
        </w:tc>
        <w:tc>
          <w:tcPr>
            <w:tcW w:w="20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2340" w:type="dxa"/>
            <w:vAlign w:val="bottom"/>
          </w:tcPr>
          <w:p>
            <w:pPr>
              <w:ind w:left="1480"/>
              <w:spacing w:after="0"/>
              <w:rPr>
                <w:sz w:val="20"/>
                <w:szCs w:val="20"/>
                <w:color w:val="auto"/>
              </w:rPr>
            </w:pPr>
            <w:r>
              <w:rPr>
                <w:rFonts w:ascii="Times New Roman" w:cs="Times New Roman" w:eastAsia="Times New Roman" w:hAnsi="Times New Roman"/>
                <w:sz w:val="14"/>
                <w:szCs w:val="14"/>
                <w:color w:val="auto"/>
                <w:w w:val="97"/>
              </w:rPr>
              <w:t>August 8, 2025</w:t>
            </w:r>
          </w:p>
        </w:tc>
      </w:tr>
      <w:tr>
        <w:trPr>
          <w:trHeight w:val="172"/>
        </w:trPr>
        <w:tc>
          <w:tcPr>
            <w:tcW w:w="3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Scott Gottlieb</w:t>
            </w:r>
          </w:p>
        </w:tc>
        <w:tc>
          <w:tcPr>
            <w:tcW w:w="202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328"/>
        </w:trPr>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Theodore J. Leonsis</w:t>
            </w:r>
          </w:p>
        </w:tc>
        <w:tc>
          <w:tcPr>
            <w:tcW w:w="20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2340" w:type="dxa"/>
            <w:vAlign w:val="bottom"/>
          </w:tcPr>
          <w:p>
            <w:pPr>
              <w:ind w:left="1480"/>
              <w:spacing w:after="0"/>
              <w:rPr>
                <w:sz w:val="20"/>
                <w:szCs w:val="20"/>
                <w:color w:val="auto"/>
              </w:rPr>
            </w:pPr>
            <w:r>
              <w:rPr>
                <w:rFonts w:ascii="Times New Roman" w:cs="Times New Roman" w:eastAsia="Times New Roman" w:hAnsi="Times New Roman"/>
                <w:sz w:val="14"/>
                <w:szCs w:val="14"/>
                <w:color w:val="auto"/>
                <w:w w:val="97"/>
              </w:rPr>
              <w:t>August 8, 2025</w:t>
            </w:r>
          </w:p>
        </w:tc>
      </w:tr>
      <w:tr>
        <w:trPr>
          <w:trHeight w:val="172"/>
        </w:trPr>
        <w:tc>
          <w:tcPr>
            <w:tcW w:w="3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Theodore J. Leonsis</w:t>
            </w:r>
          </w:p>
        </w:tc>
        <w:tc>
          <w:tcPr>
            <w:tcW w:w="202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328"/>
        </w:trPr>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/s/ Nadja West</w:t>
            </w:r>
          </w:p>
        </w:tc>
        <w:tc>
          <w:tcPr>
            <w:tcW w:w="20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2340" w:type="dxa"/>
            <w:vAlign w:val="bottom"/>
          </w:tcPr>
          <w:p>
            <w:pPr>
              <w:ind w:left="1480"/>
              <w:spacing w:after="0"/>
              <w:rPr>
                <w:sz w:val="20"/>
                <w:szCs w:val="20"/>
                <w:color w:val="auto"/>
              </w:rPr>
            </w:pPr>
            <w:r>
              <w:rPr>
                <w:rFonts w:ascii="Times New Roman" w:cs="Times New Roman" w:eastAsia="Times New Roman" w:hAnsi="Times New Roman"/>
                <w:sz w:val="14"/>
                <w:szCs w:val="14"/>
                <w:color w:val="auto"/>
                <w:w w:val="97"/>
              </w:rPr>
              <w:t>August 8, 2025</w:t>
            </w:r>
          </w:p>
        </w:tc>
      </w:tr>
      <w:tr>
        <w:trPr>
          <w:trHeight w:val="172"/>
        </w:trPr>
        <w:tc>
          <w:tcPr>
            <w:tcW w:w="3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Nadja West</w:t>
            </w:r>
          </w:p>
        </w:tc>
        <w:tc>
          <w:tcPr>
            <w:tcW w:w="202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276"/>
        </w:trPr>
        <w:tc>
          <w:tcPr>
            <w:tcW w:w="3840" w:type="dxa"/>
            <w:vAlign w:val="bottom"/>
          </w:tcPr>
          <w:p>
            <w:pPr>
              <w:spacing w:after="0"/>
              <w:rPr>
                <w:sz w:val="24"/>
                <w:szCs w:val="24"/>
                <w:color w:val="auto"/>
              </w:rPr>
            </w:pPr>
          </w:p>
        </w:tc>
        <w:tc>
          <w:tcPr>
            <w:tcW w:w="20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II-7</w:t>
            </w:r>
          </w:p>
        </w:tc>
        <w:tc>
          <w:tcPr>
            <w:tcW w:w="2340" w:type="dxa"/>
            <w:vAlign w:val="bottom"/>
          </w:tcPr>
          <w:p>
            <w:pPr>
              <w:spacing w:after="0"/>
              <w:rPr>
                <w:sz w:val="24"/>
                <w:szCs w:val="24"/>
                <w:color w:val="auto"/>
              </w:rPr>
            </w:pPr>
          </w:p>
        </w:tc>
      </w:tr>
    </w:tbl>
    <w:p>
      <w:pPr>
        <w:sectPr>
          <w:pgSz w:w="11900" w:h="16838" w:orient="portrait"/>
          <w:cols w:equalWidth="0" w:num="1">
            <w:col w:w="10159"/>
          </w:cols>
          <w:pgMar w:left="300" w:top="382" w:right="1440" w:bottom="1440" w:gutter="0" w:footer="0" w:header="0"/>
        </w:sectPr>
      </w:pPr>
    </w:p>
    <w:bookmarkStart w:id="83" w:name="page84"/>
    <w:bookmarkEnd w:id="83"/>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Exhibit 4.5</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Tempus AI,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Iss</w:t>
      </w:r>
      <w:r>
        <w:rPr>
          <w:rFonts w:ascii="Times New Roman" w:cs="Times New Roman" w:eastAsia="Times New Roman" w:hAnsi="Times New Roman"/>
          <w:sz w:val="14"/>
          <w:szCs w:val="14"/>
          <w:color w:val="auto"/>
        </w:rPr>
        <w:t>u</w:t>
      </w:r>
      <w:r>
        <w:rPr>
          <w:rFonts w:ascii="Times New Roman" w:cs="Times New Roman" w:eastAsia="Times New Roman" w:hAnsi="Times New Roman"/>
          <w:sz w:val="14"/>
          <w:szCs w:val="14"/>
          <w:b w:val="1"/>
          <w:bCs w:val="1"/>
          <w:color w:val="auto"/>
        </w:rPr>
        <w:t>er</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[TRUSTEE],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2295525</wp:posOffset>
            </wp:positionH>
            <wp:positionV relativeFrom="paragraph">
              <wp:posOffset>174625</wp:posOffset>
            </wp:positionV>
            <wp:extent cx="1129030"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2">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INDENTURE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Dated as of [•],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2295525</wp:posOffset>
            </wp:positionH>
            <wp:positionV relativeFrom="paragraph">
              <wp:posOffset>199390</wp:posOffset>
            </wp:positionV>
            <wp:extent cx="112903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3">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Debt Securities</w:t>
      </w:r>
    </w:p>
    <w:p>
      <w:pPr>
        <w:sectPr>
          <w:pgSz w:w="11900" w:h="16838" w:orient="portrait"/>
          <w:cols w:equalWidth="0" w:num="1">
            <w:col w:w="9019"/>
          </w:cols>
          <w:pgMar w:left="1440" w:top="123" w:right="1440"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w:t>
      </w:r>
      <w:r>
        <w:rPr>
          <w:rFonts w:ascii="Times New Roman" w:cs="Times New Roman" w:eastAsia="Times New Roman" w:hAnsi="Times New Roman"/>
          <w:sz w:val="11"/>
          <w:szCs w:val="11"/>
          <w:b w:val="1"/>
          <w:bCs w:val="1"/>
          <w:color w:val="auto"/>
        </w:rPr>
        <w:t>ABLE</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11"/>
          <w:szCs w:val="11"/>
          <w:b w:val="1"/>
          <w:bCs w:val="1"/>
          <w:color w:val="auto"/>
        </w:rPr>
        <w:t>F</w:t>
      </w:r>
      <w:r>
        <w:rPr>
          <w:rFonts w:ascii="Times New Roman" w:cs="Times New Roman" w:eastAsia="Times New Roman" w:hAnsi="Times New Roman"/>
          <w:sz w:val="14"/>
          <w:szCs w:val="14"/>
          <w:b w:val="1"/>
          <w:bCs w:val="1"/>
          <w:color w:val="auto"/>
        </w:rPr>
        <w:t xml:space="preserve"> C</w:t>
      </w:r>
      <w:r>
        <w:rPr>
          <w:rFonts w:ascii="Times New Roman" w:cs="Times New Roman" w:eastAsia="Times New Roman" w:hAnsi="Times New Roman"/>
          <w:sz w:val="11"/>
          <w:szCs w:val="11"/>
          <w:b w:val="1"/>
          <w:bCs w:val="1"/>
          <w:color w:val="auto"/>
        </w:rPr>
        <w:t>ONTENTS</w:t>
      </w:r>
    </w:p>
    <w:p>
      <w:pPr>
        <w:spacing w:after="0" w:line="182" w:lineRule="exact"/>
        <w:rPr>
          <w:sz w:val="20"/>
          <w:szCs w:val="20"/>
          <w:color w:val="auto"/>
        </w:rPr>
      </w:pPr>
    </w:p>
    <w:tbl>
      <w:tblPr>
        <w:tblLayout w:type="fixed"/>
        <w:tblInd w:w="260" w:type="dxa"/>
        <w:tblCellMar>
          <w:top w:w="0" w:type="dxa"/>
          <w:left w:w="0" w:type="dxa"/>
          <w:bottom w:w="0" w:type="dxa"/>
          <w:right w:w="0" w:type="dxa"/>
        </w:tblCellMar>
      </w:tblPr>
      <w:tr>
        <w:trPr>
          <w:trHeight w:val="126"/>
        </w:trPr>
        <w:tc>
          <w:tcPr>
            <w:tcW w:w="116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w:t>
            </w:r>
            <w:r>
              <w:rPr>
                <w:rFonts w:ascii="Times New Roman" w:cs="Times New Roman" w:eastAsia="Times New Roman" w:hAnsi="Times New Roman"/>
                <w:sz w:val="9"/>
                <w:szCs w:val="9"/>
                <w:b w:val="1"/>
                <w:bCs w:val="1"/>
                <w:color w:val="auto"/>
              </w:rPr>
              <w:t>AGE</w:t>
            </w:r>
          </w:p>
        </w:tc>
      </w:tr>
      <w:tr>
        <w:trPr>
          <w:trHeight w:val="181"/>
        </w:trPr>
        <w:tc>
          <w:tcPr>
            <w:tcW w:w="7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1 DEFINITIONS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50"/>
        </w:trPr>
        <w:tc>
          <w:tcPr>
            <w:tcW w:w="73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Section 1.01  Definitions of Terms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50"/>
        </w:trPr>
        <w:tc>
          <w:tcPr>
            <w:tcW w:w="7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2 ISSUE, DESCRIPTION, TERMS, EXECUTION, REGISTRATION AND EXCHANGE OF SECURITIES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34"/>
        </w:trPr>
        <w:tc>
          <w:tcPr>
            <w:tcW w:w="73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Section 2.01  Designation and Terms of Securities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66"/>
        </w:trPr>
        <w:tc>
          <w:tcPr>
            <w:tcW w:w="73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Section 2.02  Form of Securities and Trustee’s Certificate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66"/>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       Section 2.03</w:t>
            </w:r>
          </w:p>
        </w:tc>
        <w:tc>
          <w:tcPr>
            <w:tcW w:w="6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Denominations: Provisions for Payment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66"/>
        </w:trPr>
        <w:tc>
          <w:tcPr>
            <w:tcW w:w="73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Section 2.04  Execution and Authentications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66"/>
        </w:trPr>
        <w:tc>
          <w:tcPr>
            <w:tcW w:w="73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Section 2.05  Registration of Transfer and Exchange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66"/>
        </w:trPr>
        <w:tc>
          <w:tcPr>
            <w:tcW w:w="11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2.06</w:t>
            </w:r>
          </w:p>
        </w:tc>
        <w:tc>
          <w:tcPr>
            <w:tcW w:w="6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Temporary Securities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66"/>
        </w:trPr>
        <w:tc>
          <w:tcPr>
            <w:tcW w:w="73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Section 2.07  Mutilated, Destroyed, Lost or Stolen Securities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66"/>
        </w:trPr>
        <w:tc>
          <w:tcPr>
            <w:tcW w:w="11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2.08</w:t>
            </w:r>
          </w:p>
        </w:tc>
        <w:tc>
          <w:tcPr>
            <w:tcW w:w="6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Cancellation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66"/>
        </w:trPr>
        <w:tc>
          <w:tcPr>
            <w:tcW w:w="73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Section 2.09  Benefits of Indenture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66"/>
        </w:trPr>
        <w:tc>
          <w:tcPr>
            <w:tcW w:w="11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2.10</w:t>
            </w:r>
          </w:p>
        </w:tc>
        <w:tc>
          <w:tcPr>
            <w:tcW w:w="6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Authenticating Agent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66"/>
        </w:trPr>
        <w:tc>
          <w:tcPr>
            <w:tcW w:w="11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2.11</w:t>
            </w:r>
          </w:p>
        </w:tc>
        <w:tc>
          <w:tcPr>
            <w:tcW w:w="6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Global Securities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1"/>
        </w:trPr>
        <w:tc>
          <w:tcPr>
            <w:tcW w:w="11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2.12</w:t>
            </w:r>
          </w:p>
        </w:tc>
        <w:tc>
          <w:tcPr>
            <w:tcW w:w="6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CUSIP Numbers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50"/>
        </w:trPr>
        <w:tc>
          <w:tcPr>
            <w:tcW w:w="7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3 REDEMPTION OF SECURITIES AND SINKING FUND PROVISIONS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34"/>
        </w:trPr>
        <w:tc>
          <w:tcPr>
            <w:tcW w:w="11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3.01</w:t>
            </w:r>
          </w:p>
        </w:tc>
        <w:tc>
          <w:tcPr>
            <w:tcW w:w="6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Redemption</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66"/>
        </w:trPr>
        <w:tc>
          <w:tcPr>
            <w:tcW w:w="73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Section 3.02  Notice of Redemption</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66"/>
        </w:trPr>
        <w:tc>
          <w:tcPr>
            <w:tcW w:w="73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Section 3.03  Payment Upon Redemption</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66"/>
        </w:trPr>
        <w:tc>
          <w:tcPr>
            <w:tcW w:w="11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3.04</w:t>
            </w:r>
          </w:p>
        </w:tc>
        <w:tc>
          <w:tcPr>
            <w:tcW w:w="6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Sinking Fund</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66"/>
        </w:trPr>
        <w:tc>
          <w:tcPr>
            <w:tcW w:w="73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Section 3.05  Satisfaction of Sinking Fund Payments with Securities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81"/>
        </w:trPr>
        <w:tc>
          <w:tcPr>
            <w:tcW w:w="73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Section 3.06  Redemption of Securities for Sinking Fund</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50"/>
        </w:trPr>
        <w:tc>
          <w:tcPr>
            <w:tcW w:w="7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4 COVENANTS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34"/>
        </w:trPr>
        <w:tc>
          <w:tcPr>
            <w:tcW w:w="73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Section 4.01  Payment of Principal, Premium and Interest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6"/>
        </w:trPr>
        <w:tc>
          <w:tcPr>
            <w:tcW w:w="73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Section 4.02  Maintenance of Office or Agency</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66"/>
        </w:trPr>
        <w:tc>
          <w:tcPr>
            <w:tcW w:w="11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4.03</w:t>
            </w:r>
          </w:p>
        </w:tc>
        <w:tc>
          <w:tcPr>
            <w:tcW w:w="6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Paying Agents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1"/>
        </w:trPr>
        <w:tc>
          <w:tcPr>
            <w:tcW w:w="73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Section 4.04  Appointment to Fill Vacancy in Office of Trustee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bl>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9019"/>
          </w:cols>
          <w:pgMar w:left="1440" w:top="237" w:right="1440" w:bottom="1440" w:gutter="0" w:footer="0" w:header="0"/>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w:t>
      </w:r>
      <w:r>
        <w:rPr>
          <w:rFonts w:ascii="Times New Roman" w:cs="Times New Roman" w:eastAsia="Times New Roman" w:hAnsi="Times New Roman"/>
          <w:sz w:val="11"/>
          <w:szCs w:val="11"/>
          <w:b w:val="1"/>
          <w:bCs w:val="1"/>
          <w:color w:val="auto"/>
        </w:rPr>
        <w:t>ABLE</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11"/>
          <w:szCs w:val="11"/>
          <w:b w:val="1"/>
          <w:bCs w:val="1"/>
          <w:color w:val="auto"/>
        </w:rPr>
        <w:t>F</w:t>
      </w:r>
      <w:r>
        <w:rPr>
          <w:rFonts w:ascii="Times New Roman" w:cs="Times New Roman" w:eastAsia="Times New Roman" w:hAnsi="Times New Roman"/>
          <w:sz w:val="14"/>
          <w:szCs w:val="14"/>
          <w:b w:val="1"/>
          <w:bCs w:val="1"/>
          <w:color w:val="auto"/>
        </w:rPr>
        <w:t xml:space="preserve"> C</w:t>
      </w:r>
      <w:r>
        <w:rPr>
          <w:rFonts w:ascii="Times New Roman" w:cs="Times New Roman" w:eastAsia="Times New Roman" w:hAnsi="Times New Roman"/>
          <w:sz w:val="11"/>
          <w:szCs w:val="11"/>
          <w:b w:val="1"/>
          <w:bCs w:val="1"/>
          <w:color w:val="auto"/>
        </w:rPr>
        <w:t>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(CONTINUED)</w:t>
      </w:r>
    </w:p>
    <w:p>
      <w:pPr>
        <w:spacing w:after="0" w:line="93" w:lineRule="exact"/>
        <w:rPr>
          <w:sz w:val="20"/>
          <w:szCs w:val="20"/>
          <w:color w:val="auto"/>
        </w:rPr>
      </w:pPr>
    </w:p>
    <w:tbl>
      <w:tblPr>
        <w:tblLayout w:type="fixed"/>
        <w:tblInd w:w="260" w:type="dxa"/>
        <w:tblCellMar>
          <w:top w:w="0" w:type="dxa"/>
          <w:left w:w="0" w:type="dxa"/>
          <w:bottom w:w="0" w:type="dxa"/>
          <w:right w:w="0" w:type="dxa"/>
        </w:tblCellMar>
      </w:tblPr>
      <w:tr>
        <w:trPr>
          <w:trHeight w:val="126"/>
        </w:trPr>
        <w:tc>
          <w:tcPr>
            <w:tcW w:w="7020" w:type="dxa"/>
            <w:vAlign w:val="bottom"/>
          </w:tcPr>
          <w:p>
            <w:pPr>
              <w:spacing w:after="0"/>
              <w:rPr>
                <w:sz w:val="11"/>
                <w:szCs w:val="1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w:t>
            </w:r>
            <w:r>
              <w:rPr>
                <w:rFonts w:ascii="Times New Roman" w:cs="Times New Roman" w:eastAsia="Times New Roman" w:hAnsi="Times New Roman"/>
                <w:sz w:val="9"/>
                <w:szCs w:val="9"/>
                <w:b w:val="1"/>
                <w:bCs w:val="1"/>
                <w:color w:val="auto"/>
              </w:rPr>
              <w:t>AGE</w:t>
            </w:r>
          </w:p>
        </w:tc>
      </w:tr>
      <w:tr>
        <w:trPr>
          <w:trHeight w:val="181"/>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ARTICLE 5 SECURITYHOLDERS’ LISTS AND REPORTS BY THE COMPANY AND THE TRUSTEE</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34"/>
        </w:trPr>
        <w:tc>
          <w:tcPr>
            <w:tcW w:w="70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5.01  Company to Furnish Trustee Names and Addresses of Securityholders</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66"/>
        </w:trPr>
        <w:tc>
          <w:tcPr>
            <w:tcW w:w="70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5.02  Preservation Of Information; Communications With Securityholders</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66"/>
        </w:trPr>
        <w:tc>
          <w:tcPr>
            <w:tcW w:w="70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5.03  Reports by the Company</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1"/>
        </w:trPr>
        <w:tc>
          <w:tcPr>
            <w:tcW w:w="70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5.04  Reports by the Trustee</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50"/>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ARTICLE 6 REMEDIES OF THE TRUSTEE AND SECURITYHOLDERS ON EVENT OF DEFAULT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34"/>
        </w:trPr>
        <w:tc>
          <w:tcPr>
            <w:tcW w:w="70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6.01  Events of Default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66"/>
        </w:trPr>
        <w:tc>
          <w:tcPr>
            <w:tcW w:w="70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6.02  Collection of Indebtedness and Suits for Enforcement by Trustee</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66"/>
        </w:trPr>
        <w:tc>
          <w:tcPr>
            <w:tcW w:w="70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6.03  Application of Moneys Collected</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66"/>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       Section 6.04  Limitation on Suits</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66"/>
        </w:trPr>
        <w:tc>
          <w:tcPr>
            <w:tcW w:w="70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6.05  Rights and Remedies Cumulative; Delay or Omission Not Waiver</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66"/>
        </w:trPr>
        <w:tc>
          <w:tcPr>
            <w:tcW w:w="70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6.06  Control by Securityholders</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81"/>
        </w:trPr>
        <w:tc>
          <w:tcPr>
            <w:tcW w:w="70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6.07  Undertaking to Pay Costs</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50"/>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ARTICLE 7 CONCERNING THE TRUSTEE</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34"/>
        </w:trPr>
        <w:tc>
          <w:tcPr>
            <w:tcW w:w="70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7.01  Certain Duties and Responsibilities of Trustee</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66"/>
        </w:trPr>
        <w:tc>
          <w:tcPr>
            <w:tcW w:w="70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7.02  Certain Rights of Trustee</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66"/>
        </w:trPr>
        <w:tc>
          <w:tcPr>
            <w:tcW w:w="70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7.03  Trustee Not Responsible for Recitals or Issuance or Securities</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66"/>
        </w:trPr>
        <w:tc>
          <w:tcPr>
            <w:tcW w:w="70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7.04  May Hold Securities</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66"/>
        </w:trPr>
        <w:tc>
          <w:tcPr>
            <w:tcW w:w="70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7.05  Moneys Held in Trust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66"/>
        </w:trPr>
        <w:tc>
          <w:tcPr>
            <w:tcW w:w="70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7.06  Compensation and Reimbursement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66"/>
        </w:trPr>
        <w:tc>
          <w:tcPr>
            <w:tcW w:w="70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7.07  Reliance on Officer’s Certificate</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66"/>
        </w:trPr>
        <w:tc>
          <w:tcPr>
            <w:tcW w:w="70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7.08  Disqualification; Conflicting Interests</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66"/>
        </w:trPr>
        <w:tc>
          <w:tcPr>
            <w:tcW w:w="70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7.09  Corporate Trustee Required; Eligibility</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66"/>
        </w:trPr>
        <w:tc>
          <w:tcPr>
            <w:tcW w:w="70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7.10  Resignation and Removal; Appointment of Successor</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66"/>
        </w:trPr>
        <w:tc>
          <w:tcPr>
            <w:tcW w:w="70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7.11  Acceptance of Appointment By Successor</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66"/>
        </w:trPr>
        <w:tc>
          <w:tcPr>
            <w:tcW w:w="70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7.12  Merger, Conversion, Consolidation or Succession to Business</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66"/>
        </w:trPr>
        <w:tc>
          <w:tcPr>
            <w:tcW w:w="70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7.13  Preferential Collection of Claims Against the Company</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81"/>
        </w:trPr>
        <w:tc>
          <w:tcPr>
            <w:tcW w:w="70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7.14  Notice of Default.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bl>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9019"/>
          </w:cols>
          <w:pgMar w:left="1440" w:top="237" w:right="1440" w:bottom="1440" w:gutter="0" w:footer="0" w:header="0"/>
        </w:sectPr>
      </w:pPr>
    </w:p>
    <w:bookmarkStart w:id="86" w:name="page87"/>
    <w:bookmarkEnd w:id="86"/>
    <w:tbl>
      <w:tblPr>
        <w:tblLayout w:type="fixed"/>
        <w:tblInd w:w="260" w:type="dxa"/>
        <w:tblCellMar>
          <w:top w:w="0" w:type="dxa"/>
          <w:left w:w="0" w:type="dxa"/>
          <w:bottom w:w="0" w:type="dxa"/>
          <w:right w:w="0" w:type="dxa"/>
        </w:tblCellMar>
      </w:tblPr>
      <w:tr>
        <w:trPr>
          <w:trHeight w:val="166"/>
        </w:trPr>
        <w:tc>
          <w:tcPr>
            <w:tcW w:w="1240" w:type="dxa"/>
            <w:vAlign w:val="bottom"/>
          </w:tcPr>
          <w:p>
            <w:pPr>
              <w:spacing w:after="0"/>
              <w:rPr>
                <w:sz w:val="14"/>
                <w:szCs w:val="14"/>
                <w:color w:val="auto"/>
              </w:rPr>
            </w:pPr>
          </w:p>
        </w:tc>
        <w:tc>
          <w:tcPr>
            <w:tcW w:w="5740" w:type="dxa"/>
            <w:vAlign w:val="bottom"/>
          </w:tcPr>
          <w:p>
            <w:pPr>
              <w:ind w:left="2360"/>
              <w:spacing w:after="0"/>
              <w:rPr>
                <w:sz w:val="20"/>
                <w:szCs w:val="20"/>
                <w:color w:val="auto"/>
              </w:rPr>
            </w:pP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ABLE</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11"/>
                <w:szCs w:val="11"/>
                <w:b w:val="1"/>
                <w:bCs w:val="1"/>
                <w:color w:val="auto"/>
              </w:rPr>
              <w:t>F</w:t>
            </w:r>
            <w:r>
              <w:rPr>
                <w:rFonts w:ascii="Times New Roman" w:cs="Times New Roman" w:eastAsia="Times New Roman" w:hAnsi="Times New Roman"/>
                <w:sz w:val="14"/>
                <w:szCs w:val="14"/>
                <w:b w:val="1"/>
                <w:bCs w:val="1"/>
                <w:color w:val="auto"/>
              </w:rPr>
              <w:t xml:space="preserve"> C</w:t>
            </w:r>
            <w:r>
              <w:rPr>
                <w:rFonts w:ascii="Times New Roman" w:cs="Times New Roman" w:eastAsia="Times New Roman" w:hAnsi="Times New Roman"/>
                <w:sz w:val="11"/>
                <w:szCs w:val="11"/>
                <w:b w:val="1"/>
                <w:bCs w:val="1"/>
                <w:color w:val="auto"/>
              </w:rPr>
              <w:t>ONTENTS</w:t>
            </w:r>
          </w:p>
        </w:tc>
        <w:tc>
          <w:tcPr>
            <w:tcW w:w="1340" w:type="dxa"/>
            <w:vAlign w:val="bottom"/>
          </w:tcPr>
          <w:p>
            <w:pPr>
              <w:spacing w:after="0"/>
              <w:rPr>
                <w:sz w:val="14"/>
                <w:szCs w:val="14"/>
                <w:color w:val="auto"/>
              </w:rPr>
            </w:pPr>
          </w:p>
        </w:tc>
      </w:tr>
      <w:tr>
        <w:trPr>
          <w:trHeight w:val="183"/>
        </w:trPr>
        <w:tc>
          <w:tcPr>
            <w:tcW w:w="1240" w:type="dxa"/>
            <w:vAlign w:val="bottom"/>
          </w:tcPr>
          <w:p>
            <w:pPr>
              <w:spacing w:after="0"/>
              <w:rPr>
                <w:sz w:val="15"/>
                <w:szCs w:val="15"/>
                <w:color w:val="auto"/>
              </w:rPr>
            </w:pPr>
          </w:p>
        </w:tc>
        <w:tc>
          <w:tcPr>
            <w:tcW w:w="5740" w:type="dxa"/>
            <w:vAlign w:val="bottom"/>
          </w:tcPr>
          <w:p>
            <w:pPr>
              <w:ind w:left="2540"/>
              <w:spacing w:after="0"/>
              <w:rPr>
                <w:sz w:val="20"/>
                <w:szCs w:val="20"/>
                <w:color w:val="auto"/>
              </w:rPr>
            </w:pPr>
            <w:r>
              <w:rPr>
                <w:rFonts w:ascii="Times New Roman" w:cs="Times New Roman" w:eastAsia="Times New Roman" w:hAnsi="Times New Roman"/>
                <w:sz w:val="14"/>
                <w:szCs w:val="14"/>
                <w:b w:val="1"/>
                <w:bCs w:val="1"/>
                <w:color w:val="auto"/>
              </w:rPr>
              <w:t>(CONTINUED)</w:t>
            </w:r>
          </w:p>
        </w:tc>
        <w:tc>
          <w:tcPr>
            <w:tcW w:w="1340" w:type="dxa"/>
            <w:vAlign w:val="bottom"/>
          </w:tcPr>
          <w:p>
            <w:pPr>
              <w:spacing w:after="0"/>
              <w:rPr>
                <w:sz w:val="15"/>
                <w:szCs w:val="15"/>
                <w:color w:val="auto"/>
              </w:rPr>
            </w:pPr>
          </w:p>
        </w:tc>
      </w:tr>
      <w:tr>
        <w:trPr>
          <w:trHeight w:val="214"/>
        </w:trPr>
        <w:tc>
          <w:tcPr>
            <w:tcW w:w="124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w:t>
            </w:r>
            <w:r>
              <w:rPr>
                <w:rFonts w:ascii="Times New Roman" w:cs="Times New Roman" w:eastAsia="Times New Roman" w:hAnsi="Times New Roman"/>
                <w:sz w:val="9"/>
                <w:szCs w:val="9"/>
                <w:b w:val="1"/>
                <w:bCs w:val="1"/>
                <w:color w:val="auto"/>
              </w:rPr>
              <w:t>AGE</w:t>
            </w:r>
          </w:p>
        </w:tc>
      </w:tr>
      <w:tr>
        <w:trPr>
          <w:trHeight w:val="181"/>
        </w:trPr>
        <w:tc>
          <w:tcPr>
            <w:tcW w:w="6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8 CONCERNING THE SECURITYHOLDERS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34"/>
        </w:trPr>
        <w:tc>
          <w:tcPr>
            <w:tcW w:w="12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8.01</w:t>
            </w:r>
          </w:p>
        </w:tc>
        <w:tc>
          <w:tcPr>
            <w:tcW w:w="5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Evidence of Action by Securityholders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66"/>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auto"/>
              </w:rPr>
              <w:t>       Section 8.02</w:t>
            </w:r>
          </w:p>
        </w:tc>
        <w:tc>
          <w:tcPr>
            <w:tcW w:w="5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Proof of Execution by Securityholders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66"/>
        </w:trPr>
        <w:tc>
          <w:tcPr>
            <w:tcW w:w="12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8.03</w:t>
            </w:r>
          </w:p>
        </w:tc>
        <w:tc>
          <w:tcPr>
            <w:tcW w:w="5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Who May be Deemed Owners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6"/>
        </w:trPr>
        <w:tc>
          <w:tcPr>
            <w:tcW w:w="12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8.04</w:t>
            </w:r>
          </w:p>
        </w:tc>
        <w:tc>
          <w:tcPr>
            <w:tcW w:w="5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Certain Securities Owned by Company Disregarded</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81"/>
        </w:trPr>
        <w:tc>
          <w:tcPr>
            <w:tcW w:w="12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8.05</w:t>
            </w:r>
          </w:p>
        </w:tc>
        <w:tc>
          <w:tcPr>
            <w:tcW w:w="5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Actions Binding on Future Securityholders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50"/>
        </w:trPr>
        <w:tc>
          <w:tcPr>
            <w:tcW w:w="6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9 SUPPLEMENTAL INDENTURES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34"/>
        </w:trPr>
        <w:tc>
          <w:tcPr>
            <w:tcW w:w="12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9.01</w:t>
            </w:r>
          </w:p>
        </w:tc>
        <w:tc>
          <w:tcPr>
            <w:tcW w:w="5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Supplemental Indentures Without the Consent of Securityholders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66"/>
        </w:trPr>
        <w:tc>
          <w:tcPr>
            <w:tcW w:w="12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9.02</w:t>
            </w:r>
          </w:p>
        </w:tc>
        <w:tc>
          <w:tcPr>
            <w:tcW w:w="5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Supplemental Indentures With Consent of Securityholders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6"/>
        </w:trPr>
        <w:tc>
          <w:tcPr>
            <w:tcW w:w="12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9.03</w:t>
            </w:r>
          </w:p>
        </w:tc>
        <w:tc>
          <w:tcPr>
            <w:tcW w:w="5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Effect of Supplemental Indentures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6"/>
        </w:trPr>
        <w:tc>
          <w:tcPr>
            <w:tcW w:w="12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9.04</w:t>
            </w:r>
          </w:p>
        </w:tc>
        <w:tc>
          <w:tcPr>
            <w:tcW w:w="5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Securities Affected by Supplemental Indentures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81"/>
        </w:trPr>
        <w:tc>
          <w:tcPr>
            <w:tcW w:w="12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9.05</w:t>
            </w:r>
          </w:p>
        </w:tc>
        <w:tc>
          <w:tcPr>
            <w:tcW w:w="5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Execution of Supplemental Indentures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250"/>
        </w:trPr>
        <w:tc>
          <w:tcPr>
            <w:tcW w:w="6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10 SUCCESSOR ENTITY</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234"/>
        </w:trPr>
        <w:tc>
          <w:tcPr>
            <w:tcW w:w="12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10.01</w:t>
            </w:r>
          </w:p>
        </w:tc>
        <w:tc>
          <w:tcPr>
            <w:tcW w:w="5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Company May Consolidate, Etc.</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81"/>
        </w:trPr>
        <w:tc>
          <w:tcPr>
            <w:tcW w:w="12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10.02</w:t>
            </w:r>
          </w:p>
        </w:tc>
        <w:tc>
          <w:tcPr>
            <w:tcW w:w="5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Successor Entity Substituted</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50"/>
        </w:trPr>
        <w:tc>
          <w:tcPr>
            <w:tcW w:w="6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11 SATISFACTION AND DISCHARGE</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34"/>
        </w:trPr>
        <w:tc>
          <w:tcPr>
            <w:tcW w:w="12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11.01</w:t>
            </w:r>
          </w:p>
        </w:tc>
        <w:tc>
          <w:tcPr>
            <w:tcW w:w="5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Satisfaction and Discharge of Indenture</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66"/>
        </w:trPr>
        <w:tc>
          <w:tcPr>
            <w:tcW w:w="12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11.02</w:t>
            </w:r>
          </w:p>
        </w:tc>
        <w:tc>
          <w:tcPr>
            <w:tcW w:w="5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Discharge of Obligations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66"/>
        </w:trPr>
        <w:tc>
          <w:tcPr>
            <w:tcW w:w="12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11.03</w:t>
            </w:r>
          </w:p>
        </w:tc>
        <w:tc>
          <w:tcPr>
            <w:tcW w:w="5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Deposited Moneys to be Held in Trust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66"/>
        </w:trPr>
        <w:tc>
          <w:tcPr>
            <w:tcW w:w="12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11.04</w:t>
            </w:r>
          </w:p>
        </w:tc>
        <w:tc>
          <w:tcPr>
            <w:tcW w:w="5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Payment of Moneys Held by Paying Agents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81"/>
        </w:trPr>
        <w:tc>
          <w:tcPr>
            <w:tcW w:w="12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11.05</w:t>
            </w:r>
          </w:p>
        </w:tc>
        <w:tc>
          <w:tcPr>
            <w:tcW w:w="5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Repayment to Company</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50"/>
        </w:trPr>
        <w:tc>
          <w:tcPr>
            <w:tcW w:w="6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12 IMMUNITY OF INCORPORATORS, STOCKHOLDERS, OFFICERS AND DIRECTORS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50"/>
        </w:trPr>
        <w:tc>
          <w:tcPr>
            <w:tcW w:w="12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12.01</w:t>
            </w:r>
          </w:p>
        </w:tc>
        <w:tc>
          <w:tcPr>
            <w:tcW w:w="5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No Recourse</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50"/>
        </w:trPr>
        <w:tc>
          <w:tcPr>
            <w:tcW w:w="6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13 MISCELLANEOUS PROVISIONS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234"/>
        </w:trPr>
        <w:tc>
          <w:tcPr>
            <w:tcW w:w="12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13.01</w:t>
            </w:r>
          </w:p>
        </w:tc>
        <w:tc>
          <w:tcPr>
            <w:tcW w:w="5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Effect on Successors and Assigns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66"/>
        </w:trPr>
        <w:tc>
          <w:tcPr>
            <w:tcW w:w="12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13.02</w:t>
            </w:r>
          </w:p>
        </w:tc>
        <w:tc>
          <w:tcPr>
            <w:tcW w:w="5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Actions by Successor</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81"/>
        </w:trPr>
        <w:tc>
          <w:tcPr>
            <w:tcW w:w="12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Section 13.03</w:t>
            </w:r>
          </w:p>
        </w:tc>
        <w:tc>
          <w:tcPr>
            <w:tcW w:w="5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Surrender of Company Powers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bl>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6">
                      <a:extLst>
                        <a:ext uri="{28A0092B-C50C-407E-A947-70E740481C1C}"/>
                      </a:extLst>
                    </a:blip>
                    <a:srcRect/>
                    <a:stretch>
                      <a:fillRect/>
                    </a:stretch>
                  </pic:blipFill>
                  <pic:spPr bwMode="auto">
                    <a:xfrm>
                      <a:off x="0" y="0"/>
                      <a:ext cx="7202170" cy="3238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iii.</w:t>
      </w:r>
    </w:p>
    <w:p>
      <w:pPr>
        <w:sectPr>
          <w:pgSz w:w="11900" w:h="16838" w:orient="portrait"/>
          <w:cols w:equalWidth="0" w:num="1">
            <w:col w:w="9019"/>
          </w:cols>
          <w:pgMar w:left="1440" w:top="237" w:right="1440"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w:t>
      </w:r>
      <w:r>
        <w:rPr>
          <w:rFonts w:ascii="Times New Roman" w:cs="Times New Roman" w:eastAsia="Times New Roman" w:hAnsi="Times New Roman"/>
          <w:sz w:val="11"/>
          <w:szCs w:val="11"/>
          <w:b w:val="1"/>
          <w:bCs w:val="1"/>
          <w:color w:val="auto"/>
        </w:rPr>
        <w:t>ABLE</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11"/>
          <w:szCs w:val="11"/>
          <w:b w:val="1"/>
          <w:bCs w:val="1"/>
          <w:color w:val="auto"/>
        </w:rPr>
        <w:t>F</w:t>
      </w:r>
      <w:r>
        <w:rPr>
          <w:rFonts w:ascii="Times New Roman" w:cs="Times New Roman" w:eastAsia="Times New Roman" w:hAnsi="Times New Roman"/>
          <w:sz w:val="14"/>
          <w:szCs w:val="14"/>
          <w:b w:val="1"/>
          <w:bCs w:val="1"/>
          <w:color w:val="auto"/>
        </w:rPr>
        <w:t xml:space="preserve"> C</w:t>
      </w:r>
      <w:r>
        <w:rPr>
          <w:rFonts w:ascii="Times New Roman" w:cs="Times New Roman" w:eastAsia="Times New Roman" w:hAnsi="Times New Roman"/>
          <w:sz w:val="11"/>
          <w:szCs w:val="11"/>
          <w:b w:val="1"/>
          <w:bCs w:val="1"/>
          <w:color w:val="auto"/>
        </w:rPr>
        <w:t>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(CONTINUED)</w:t>
      </w:r>
    </w:p>
    <w:p>
      <w:pPr>
        <w:spacing w:after="0" w:line="93" w:lineRule="exact"/>
        <w:rPr>
          <w:sz w:val="20"/>
          <w:szCs w:val="20"/>
          <w:color w:val="auto"/>
        </w:rPr>
      </w:pPr>
    </w:p>
    <w:tbl>
      <w:tblPr>
        <w:tblLayout w:type="fixed"/>
        <w:tblInd w:w="260" w:type="dxa"/>
        <w:tblCellMar>
          <w:top w:w="0" w:type="dxa"/>
          <w:left w:w="0" w:type="dxa"/>
          <w:bottom w:w="0" w:type="dxa"/>
          <w:right w:w="0" w:type="dxa"/>
        </w:tblCellMar>
      </w:tblPr>
      <w:tr>
        <w:trPr>
          <w:trHeight w:val="126"/>
        </w:trPr>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w:t>
            </w:r>
            <w:r>
              <w:rPr>
                <w:rFonts w:ascii="Times New Roman" w:cs="Times New Roman" w:eastAsia="Times New Roman" w:hAnsi="Times New Roman"/>
                <w:sz w:val="9"/>
                <w:szCs w:val="9"/>
                <w:b w:val="1"/>
                <w:bCs w:val="1"/>
                <w:color w:val="auto"/>
              </w:rPr>
              <w:t>AGE</w:t>
            </w:r>
          </w:p>
        </w:tc>
      </w:tr>
      <w:tr>
        <w:trPr>
          <w:trHeight w:val="166"/>
        </w:trPr>
        <w:tc>
          <w:tcPr>
            <w:tcW w:w="30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Section 13.04</w:t>
            </w:r>
          </w:p>
        </w:tc>
        <w:tc>
          <w:tcPr>
            <w:tcW w:w="49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Notices</w:t>
            </w: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66"/>
        </w:trPr>
        <w:tc>
          <w:tcPr>
            <w:tcW w:w="300" w:type="dxa"/>
            <w:vAlign w:val="bottom"/>
          </w:tcPr>
          <w:p>
            <w:pPr>
              <w:spacing w:after="0"/>
              <w:rPr>
                <w:sz w:val="14"/>
                <w:szCs w:val="14"/>
                <w:color w:val="auto"/>
              </w:rPr>
            </w:pPr>
          </w:p>
        </w:tc>
        <w:tc>
          <w:tcPr>
            <w:tcW w:w="58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Section 13.05  Governing Law; Jury Trial Waiver</w:t>
            </w: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66"/>
        </w:trPr>
        <w:tc>
          <w:tcPr>
            <w:tcW w:w="300" w:type="dxa"/>
            <w:vAlign w:val="bottom"/>
          </w:tcPr>
          <w:p>
            <w:pPr>
              <w:spacing w:after="0"/>
              <w:rPr>
                <w:sz w:val="14"/>
                <w:szCs w:val="14"/>
                <w:color w:val="auto"/>
              </w:rPr>
            </w:pPr>
          </w:p>
        </w:tc>
        <w:tc>
          <w:tcPr>
            <w:tcW w:w="58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Section 13.06  Treatment of Securities as Debt</w:t>
            </w: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66"/>
        </w:trPr>
        <w:tc>
          <w:tcPr>
            <w:tcW w:w="300" w:type="dxa"/>
            <w:vAlign w:val="bottom"/>
          </w:tcPr>
          <w:p>
            <w:pPr>
              <w:spacing w:after="0"/>
              <w:rPr>
                <w:sz w:val="14"/>
                <w:szCs w:val="14"/>
                <w:color w:val="auto"/>
              </w:rPr>
            </w:pPr>
          </w:p>
        </w:tc>
        <w:tc>
          <w:tcPr>
            <w:tcW w:w="58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Section 13.07  Certificates and Opinions as to Conditions Precedent</w:t>
            </w: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66"/>
        </w:trPr>
        <w:tc>
          <w:tcPr>
            <w:tcW w:w="300" w:type="dxa"/>
            <w:vAlign w:val="bottom"/>
          </w:tcPr>
          <w:p>
            <w:pPr>
              <w:spacing w:after="0"/>
              <w:rPr>
                <w:sz w:val="14"/>
                <w:szCs w:val="14"/>
                <w:color w:val="auto"/>
              </w:rPr>
            </w:pPr>
          </w:p>
        </w:tc>
        <w:tc>
          <w:tcPr>
            <w:tcW w:w="58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Section 13.08  Payments on Business Days</w:t>
            </w: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66"/>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Section 13.09</w:t>
            </w:r>
          </w:p>
        </w:tc>
        <w:tc>
          <w:tcPr>
            <w:tcW w:w="49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Conflict with Trust Indenture Act</w:t>
            </w: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66"/>
        </w:trPr>
        <w:tc>
          <w:tcPr>
            <w:tcW w:w="30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Section 13.10</w:t>
            </w:r>
          </w:p>
        </w:tc>
        <w:tc>
          <w:tcPr>
            <w:tcW w:w="49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Counterparts</w:t>
            </w: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66"/>
        </w:trPr>
        <w:tc>
          <w:tcPr>
            <w:tcW w:w="30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Section 13.11</w:t>
            </w:r>
          </w:p>
        </w:tc>
        <w:tc>
          <w:tcPr>
            <w:tcW w:w="49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Separability</w:t>
            </w: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66"/>
        </w:trPr>
        <w:tc>
          <w:tcPr>
            <w:tcW w:w="30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Section 13.12</w:t>
            </w:r>
          </w:p>
        </w:tc>
        <w:tc>
          <w:tcPr>
            <w:tcW w:w="49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Compliance Certificates</w:t>
            </w: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66"/>
        </w:trPr>
        <w:tc>
          <w:tcPr>
            <w:tcW w:w="30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Section 13.13</w:t>
            </w:r>
          </w:p>
        </w:tc>
        <w:tc>
          <w:tcPr>
            <w:tcW w:w="49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Patriot Act</w:t>
            </w: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66"/>
        </w:trPr>
        <w:tc>
          <w:tcPr>
            <w:tcW w:w="30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Section 13.14</w:t>
            </w:r>
          </w:p>
        </w:tc>
        <w:tc>
          <w:tcPr>
            <w:tcW w:w="49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Force Majeure</w:t>
            </w: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81"/>
        </w:trPr>
        <w:tc>
          <w:tcPr>
            <w:tcW w:w="300" w:type="dxa"/>
            <w:vAlign w:val="bottom"/>
          </w:tcPr>
          <w:p>
            <w:pPr>
              <w:spacing w:after="0"/>
              <w:rPr>
                <w:sz w:val="15"/>
                <w:szCs w:val="15"/>
                <w:color w:val="auto"/>
              </w:rPr>
            </w:pPr>
          </w:p>
        </w:tc>
        <w:tc>
          <w:tcPr>
            <w:tcW w:w="58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Section 13.15  Table of Contents; Headings</w:t>
            </w: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bl>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iv.</w:t>
      </w:r>
    </w:p>
    <w:p>
      <w:pPr>
        <w:sectPr>
          <w:pgSz w:w="11900" w:h="16838" w:orient="portrait"/>
          <w:cols w:equalWidth="0" w:num="1">
            <w:col w:w="9019"/>
          </w:cols>
          <w:pgMar w:left="1440" w:top="237" w:right="1440"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INDENTURE</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I</w:t>
      </w:r>
      <w:r>
        <w:rPr>
          <w:rFonts w:ascii="Times New Roman" w:cs="Times New Roman" w:eastAsia="Times New Roman" w:hAnsi="Times New Roman"/>
          <w:sz w:val="11"/>
          <w:szCs w:val="11"/>
          <w:b w:val="1"/>
          <w:bCs w:val="1"/>
          <w:color w:val="auto"/>
        </w:rPr>
        <w:t>NDENTURE</w:t>
      </w:r>
      <w:r>
        <w:rPr>
          <w:rFonts w:ascii="Times New Roman" w:cs="Times New Roman" w:eastAsia="Times New Roman" w:hAnsi="Times New Roman"/>
          <w:sz w:val="14"/>
          <w:szCs w:val="14"/>
          <w:color w:val="auto"/>
        </w:rPr>
        <w:t>, dated as of [•], 20__, among</w:t>
      </w:r>
      <w:r>
        <w:rPr>
          <w:rFonts w:ascii="Times New Roman" w:cs="Times New Roman" w:eastAsia="Times New Roman" w:hAnsi="Times New Roman"/>
          <w:sz w:val="14"/>
          <w:szCs w:val="14"/>
          <w:b w:val="1"/>
          <w:bCs w:val="1"/>
          <w:color w:val="auto"/>
        </w:rPr>
        <w:t xml:space="preserve"> T</w:t>
      </w:r>
      <w:r>
        <w:rPr>
          <w:rFonts w:ascii="Times New Roman" w:cs="Times New Roman" w:eastAsia="Times New Roman" w:hAnsi="Times New Roman"/>
          <w:sz w:val="11"/>
          <w:szCs w:val="11"/>
          <w:b w:val="1"/>
          <w:bCs w:val="1"/>
          <w:color w:val="auto"/>
        </w:rPr>
        <w:t>EMPUS</w:t>
      </w:r>
      <w:r>
        <w:rPr>
          <w:rFonts w:ascii="Times New Roman" w:cs="Times New Roman" w:eastAsia="Times New Roman" w:hAnsi="Times New Roman"/>
          <w:sz w:val="14"/>
          <w:szCs w:val="14"/>
          <w:b w:val="1"/>
          <w:bCs w:val="1"/>
          <w:color w:val="auto"/>
        </w:rPr>
        <w:t xml:space="preserve"> AI,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a Nevada corporation (the “Company”), and [</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RUSTEE</w:t>
      </w:r>
      <w:r>
        <w:rPr>
          <w:rFonts w:ascii="Times New Roman" w:cs="Times New Roman" w:eastAsia="Times New Roman" w:hAnsi="Times New Roman"/>
          <w:sz w:val="14"/>
          <w:szCs w:val="14"/>
          <w:color w:val="auto"/>
        </w:rPr>
        <w:t>], as trustee (the “Trustee”):</w:t>
      </w:r>
    </w:p>
    <w:p>
      <w:pPr>
        <w:spacing w:after="0" w:line="89" w:lineRule="exact"/>
        <w:rPr>
          <w:sz w:val="20"/>
          <w:szCs w:val="20"/>
          <w:color w:val="auto"/>
        </w:rPr>
      </w:pPr>
    </w:p>
    <w:p>
      <w:pPr>
        <w:ind w:left="260" w:right="379" w:firstLine="339"/>
        <w:spacing w:after="0" w:line="264" w:lineRule="auto"/>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HEREAS</w:t>
      </w:r>
      <w:r>
        <w:rPr>
          <w:rFonts w:ascii="Times New Roman" w:cs="Times New Roman" w:eastAsia="Times New Roman" w:hAnsi="Times New Roman"/>
          <w:sz w:val="14"/>
          <w:szCs w:val="14"/>
          <w:color w:val="auto"/>
        </w:rPr>
        <w:t>, for its lawful corporate purposes, the Company has duly authorized the execution and delivery of this Indenture to provide for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issuance 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34" w:lineRule="exact"/>
        <w:rPr>
          <w:sz w:val="20"/>
          <w:szCs w:val="20"/>
          <w:color w:val="auto"/>
        </w:rPr>
      </w:pPr>
    </w:p>
    <w:p>
      <w:pPr>
        <w:ind w:left="260" w:right="499" w:firstLine="339"/>
        <w:spacing w:after="0" w:line="281" w:lineRule="auto"/>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HEREAS</w:t>
      </w:r>
      <w:r>
        <w:rPr>
          <w:rFonts w:ascii="Times New Roman" w:cs="Times New Roman" w:eastAsia="Times New Roman" w:hAnsi="Times New Roman"/>
          <w:sz w:val="14"/>
          <w:szCs w:val="14"/>
          <w:color w:val="auto"/>
        </w:rPr>
        <w:t>, to provide the terms and conditions upon which the Securities are to be authenticated, issued and delivered, the Company has duly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authorized the execution of this Indenture; and</w:t>
      </w:r>
    </w:p>
    <w:p>
      <w:pPr>
        <w:spacing w:after="0" w:line="1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HEREAS</w:t>
      </w:r>
      <w:r>
        <w:rPr>
          <w:rFonts w:ascii="Times New Roman" w:cs="Times New Roman" w:eastAsia="Times New Roman" w:hAnsi="Times New Roman"/>
          <w:sz w:val="14"/>
          <w:szCs w:val="14"/>
          <w:color w:val="auto"/>
        </w:rPr>
        <w:t>, all things necessary to make this Indenture a valid agreement of the Company, in accordance with its terms, have been done.</w:t>
      </w:r>
    </w:p>
    <w:p>
      <w:pPr>
        <w:spacing w:after="0" w:line="172" w:lineRule="exact"/>
        <w:rPr>
          <w:sz w:val="20"/>
          <w:szCs w:val="20"/>
          <w:color w:val="auto"/>
        </w:rPr>
      </w:pPr>
    </w:p>
    <w:p>
      <w:pPr>
        <w:ind w:left="260" w:right="619" w:firstLine="339"/>
        <w:spacing w:after="0" w:line="281" w:lineRule="auto"/>
        <w:rPr>
          <w:sz w:val="20"/>
          <w:szCs w:val="20"/>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1"/>
          <w:szCs w:val="11"/>
          <w:b w:val="1"/>
          <w:bCs w:val="1"/>
          <w:color w:val="auto"/>
        </w:rPr>
        <w:t>OW</w:t>
      </w:r>
      <w:r>
        <w:rPr>
          <w:rFonts w:ascii="Times New Roman" w:cs="Times New Roman" w:eastAsia="Times New Roman" w:hAnsi="Times New Roman"/>
          <w:sz w:val="14"/>
          <w:szCs w:val="14"/>
          <w:b w:val="1"/>
          <w:bCs w:val="1"/>
          <w:color w:val="auto"/>
        </w:rPr>
        <w:t>, T</w:t>
      </w:r>
      <w:r>
        <w:rPr>
          <w:rFonts w:ascii="Times New Roman" w:cs="Times New Roman" w:eastAsia="Times New Roman" w:hAnsi="Times New Roman"/>
          <w:sz w:val="11"/>
          <w:szCs w:val="11"/>
          <w:b w:val="1"/>
          <w:bCs w:val="1"/>
          <w:color w:val="auto"/>
        </w:rPr>
        <w:t>HEREFORE</w:t>
      </w:r>
      <w:r>
        <w:rPr>
          <w:rFonts w:ascii="Times New Roman" w:cs="Times New Roman" w:eastAsia="Times New Roman" w:hAnsi="Times New Roman"/>
          <w:sz w:val="14"/>
          <w:szCs w:val="14"/>
          <w:color w:val="auto"/>
        </w:rPr>
        <w:t>, in consideration of the premises and the purchase of the Securities by the holders thereof, it is mutually covenanted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agreed as follows for the equal and ratable benefit of the holders of Securities: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1</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DEFINITIONS</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1.01 Definitions of Terms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319" w:firstLine="339"/>
        <w:spacing w:after="0" w:line="254" w:lineRule="auto"/>
        <w:rPr>
          <w:sz w:val="20"/>
          <w:szCs w:val="20"/>
          <w:color w:val="auto"/>
        </w:rPr>
      </w:pPr>
      <w:r>
        <w:rPr>
          <w:rFonts w:ascii="Times New Roman" w:cs="Times New Roman" w:eastAsia="Times New Roman" w:hAnsi="Times New Roman"/>
          <w:sz w:val="14"/>
          <w:szCs w:val="14"/>
          <w:color w:val="auto"/>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40" w:lineRule="exact"/>
        <w:rPr>
          <w:sz w:val="20"/>
          <w:szCs w:val="20"/>
          <w:color w:val="auto"/>
        </w:rPr>
      </w:pPr>
    </w:p>
    <w:p>
      <w:pPr>
        <w:ind w:left="260" w:right="319" w:firstLine="339"/>
        <w:spacing w:after="0" w:line="28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Authenticating Agent</w:t>
      </w:r>
      <w:r>
        <w:rPr>
          <w:rFonts w:ascii="Times New Roman" w:cs="Times New Roman" w:eastAsia="Times New Roman" w:hAnsi="Times New Roman"/>
          <w:sz w:val="14"/>
          <w:szCs w:val="14"/>
          <w:color w:val="auto"/>
        </w:rPr>
        <w:t>” means the Trustee or an authenticating agent with respect to all or any of the series of Securities appointed by the Trustee pursuant to Section 2.10.</w:t>
      </w:r>
    </w:p>
    <w:p>
      <w:pPr>
        <w:spacing w:after="0" w:line="1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Bankruptcy Law</w:t>
      </w:r>
      <w:r>
        <w:rPr>
          <w:rFonts w:ascii="Times New Roman" w:cs="Times New Roman" w:eastAsia="Times New Roman" w:hAnsi="Times New Roman"/>
          <w:sz w:val="14"/>
          <w:szCs w:val="14"/>
          <w:color w:val="auto"/>
        </w:rPr>
        <w:t>” means Title 11, U.S. Code, or any similar federal or state law for the relief of debtors.</w:t>
      </w:r>
    </w:p>
    <w:p>
      <w:pPr>
        <w:spacing w:after="0" w:line="172" w:lineRule="exact"/>
        <w:rPr>
          <w:sz w:val="20"/>
          <w:szCs w:val="20"/>
          <w:color w:val="auto"/>
        </w:rPr>
      </w:pPr>
    </w:p>
    <w:p>
      <w:pPr>
        <w:ind w:left="260" w:right="499" w:firstLine="339"/>
        <w:spacing w:after="0" w:line="28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Board of Directors</w:t>
      </w:r>
      <w:r>
        <w:rPr>
          <w:rFonts w:ascii="Times New Roman" w:cs="Times New Roman" w:eastAsia="Times New Roman" w:hAnsi="Times New Roman"/>
          <w:sz w:val="14"/>
          <w:szCs w:val="14"/>
          <w:color w:val="auto"/>
        </w:rPr>
        <w:t>” means the Board of Directors (or the functional equivalent thereof) of the Company or any duly authorized committee of such Board.</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37" w:right="1440" w:bottom="1440" w:gutter="0" w:footer="0" w:header="0"/>
        </w:sectPr>
      </w:pPr>
    </w:p>
    <w:bookmarkStart w:id="89" w:name="page90"/>
    <w:bookmarkEnd w:id="89"/>
    <w:p>
      <w:pPr>
        <w:ind w:left="260" w:right="399" w:firstLine="339"/>
        <w:spacing w:after="0" w:line="28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w:t>
      </w:r>
      <w:r>
        <w:rPr>
          <w:rFonts w:ascii="Times New Roman" w:cs="Times New Roman" w:eastAsia="Times New Roman" w:hAnsi="Times New Roman"/>
          <w:sz w:val="14"/>
          <w:szCs w:val="14"/>
          <w:b w:val="1"/>
          <w:bCs w:val="1"/>
          <w:i w:val="1"/>
          <w:iCs w:val="1"/>
          <w:color w:val="auto"/>
        </w:rPr>
        <w:t>Board Resolution</w:t>
      </w:r>
      <w:r>
        <w:rPr>
          <w:rFonts w:ascii="Times New Roman" w:cs="Times New Roman" w:eastAsia="Times New Roman" w:hAnsi="Times New Roman"/>
          <w:sz w:val="14"/>
          <w:szCs w:val="14"/>
          <w:color w:val="auto"/>
        </w:rPr>
        <w:t>” means a copy of a resolution certified by the Secretary or an Assistant Secretary of the Company to have been duly adopted by the Board of Directors (or duly authorized committee thereof) and to be in full force and effect on the date of such certification.</w:t>
      </w:r>
    </w:p>
    <w:p>
      <w:pPr>
        <w:spacing w:after="0" w:line="122" w:lineRule="exact"/>
        <w:rPr>
          <w:sz w:val="20"/>
          <w:szCs w:val="20"/>
          <w:color w:val="auto"/>
        </w:rPr>
      </w:pPr>
    </w:p>
    <w:p>
      <w:pPr>
        <w:ind w:left="260" w:right="459" w:firstLine="339"/>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Business Day</w:t>
      </w:r>
      <w:r>
        <w:rPr>
          <w:rFonts w:ascii="Times New Roman" w:cs="Times New Roman" w:eastAsia="Times New Roman" w:hAnsi="Times New Roman"/>
          <w:sz w:val="14"/>
          <w:szCs w:val="14"/>
          <w:color w:val="auto"/>
        </w:rPr>
        <w:t>”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spacing w:after="0" w:line="134" w:lineRule="exact"/>
        <w:rPr>
          <w:sz w:val="20"/>
          <w:szCs w:val="20"/>
          <w:color w:val="auto"/>
        </w:rPr>
      </w:pPr>
    </w:p>
    <w:p>
      <w:pPr>
        <w:ind w:left="260" w:right="379" w:firstLine="339"/>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Commission</w:t>
      </w:r>
      <w:r>
        <w:rPr>
          <w:rFonts w:ascii="Times New Roman" w:cs="Times New Roman" w:eastAsia="Times New Roman" w:hAnsi="Times New Roman"/>
          <w:sz w:val="14"/>
          <w:szCs w:val="14"/>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34" w:lineRule="exact"/>
        <w:rPr>
          <w:sz w:val="20"/>
          <w:szCs w:val="20"/>
          <w:color w:val="auto"/>
        </w:rPr>
      </w:pPr>
    </w:p>
    <w:p>
      <w:pPr>
        <w:ind w:left="260" w:right="759" w:firstLine="339"/>
        <w:spacing w:after="0" w:line="28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xml:space="preserve">” means </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EMPUS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AI,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a corporation duly organized and existing under the laws of the State of Nevada, and, subject to the provisions of Article Ten, shall also include its successors and assigns.</w:t>
      </w:r>
    </w:p>
    <w:p>
      <w:pPr>
        <w:spacing w:after="0" w:line="122" w:lineRule="exact"/>
        <w:rPr>
          <w:sz w:val="20"/>
          <w:szCs w:val="20"/>
          <w:color w:val="auto"/>
        </w:rPr>
      </w:pPr>
    </w:p>
    <w:p>
      <w:pPr>
        <w:ind w:left="260" w:right="839" w:firstLine="339"/>
        <w:spacing w:after="0" w:line="28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Corporate Trust Office</w:t>
      </w:r>
      <w:r>
        <w:rPr>
          <w:rFonts w:ascii="Times New Roman" w:cs="Times New Roman" w:eastAsia="Times New Roman" w:hAnsi="Times New Roman"/>
          <w:sz w:val="14"/>
          <w:szCs w:val="14"/>
          <w:color w:val="auto"/>
        </w:rPr>
        <w:t>” means the office of the Trustee at which, at any particular time, its corporate trust business shall be principally administered, which office at the date hereof is located at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-36830</wp:posOffset>
            </wp:positionV>
            <wp:extent cx="88011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0">
                      <a:extLst>
                        <a:ext uri="{28A0092B-C50C-407E-A947-70E740481C1C}"/>
                      </a:extLst>
                    </a:blip>
                    <a:srcRect/>
                    <a:stretch>
                      <a:fillRect/>
                    </a:stretch>
                  </pic:blipFill>
                  <pic:spPr bwMode="auto">
                    <a:xfrm>
                      <a:off x="0" y="0"/>
                      <a:ext cx="880110" cy="6350"/>
                    </a:xfrm>
                    <a:prstGeom prst="rect">
                      <a:avLst/>
                    </a:prstGeom>
                    <a:noFill/>
                  </pic:spPr>
                </pic:pic>
              </a:graphicData>
            </a:graphic>
          </wp:anchor>
        </w:drawing>
      </w:r>
    </w:p>
    <w:p>
      <w:pPr>
        <w:spacing w:after="0" w:line="1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Custodian</w:t>
      </w:r>
      <w:r>
        <w:rPr>
          <w:rFonts w:ascii="Times New Roman" w:cs="Times New Roman" w:eastAsia="Times New Roman" w:hAnsi="Times New Roman"/>
          <w:sz w:val="14"/>
          <w:szCs w:val="14"/>
          <w:color w:val="auto"/>
        </w:rPr>
        <w:t>” means any receiver, trustee, assignee, liquidator or similar official under any Bankruptcy Law.</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Defaulted Interest</w:t>
      </w:r>
      <w:r>
        <w:rPr>
          <w:rFonts w:ascii="Times New Roman" w:cs="Times New Roman" w:eastAsia="Times New Roman" w:hAnsi="Times New Roman"/>
          <w:sz w:val="14"/>
          <w:szCs w:val="14"/>
          <w:color w:val="auto"/>
        </w:rPr>
        <w:t>” has the meaning set forth in Section 2.03.</w:t>
      </w:r>
    </w:p>
    <w:p>
      <w:pPr>
        <w:spacing w:after="0" w:line="172" w:lineRule="exact"/>
        <w:rPr>
          <w:sz w:val="20"/>
          <w:szCs w:val="20"/>
          <w:color w:val="auto"/>
        </w:rPr>
      </w:pPr>
    </w:p>
    <w:p>
      <w:pPr>
        <w:ind w:left="260" w:right="299" w:firstLine="339"/>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Depositary</w:t>
      </w:r>
      <w:r>
        <w:rPr>
          <w:rFonts w:ascii="Times New Roman" w:cs="Times New Roman" w:eastAsia="Times New Roman" w:hAnsi="Times New Roman"/>
          <w:sz w:val="14"/>
          <w:szCs w:val="14"/>
          <w:color w:val="auto"/>
        </w:rPr>
        <w:t>”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w:t>
      </w:r>
    </w:p>
    <w:p>
      <w:pPr>
        <w:spacing w:after="0" w:line="134" w:lineRule="exact"/>
        <w:rPr>
          <w:sz w:val="20"/>
          <w:szCs w:val="20"/>
          <w:color w:val="auto"/>
        </w:rPr>
      </w:pPr>
    </w:p>
    <w:p>
      <w:pPr>
        <w:ind w:left="260" w:right="339" w:firstLine="339"/>
        <w:spacing w:after="0" w:line="28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Event of Default</w:t>
      </w:r>
      <w:r>
        <w:rPr>
          <w:rFonts w:ascii="Times New Roman" w:cs="Times New Roman" w:eastAsia="Times New Roman" w:hAnsi="Times New Roman"/>
          <w:sz w:val="14"/>
          <w:szCs w:val="14"/>
          <w:color w:val="auto"/>
        </w:rPr>
        <w:t>” means, with respect to Securities of a particular series, any event specified in Section 6.01, continued for the period of time, if any, therein designated.</w:t>
      </w:r>
    </w:p>
    <w:p>
      <w:pPr>
        <w:spacing w:after="0" w:line="122" w:lineRule="exact"/>
        <w:rPr>
          <w:sz w:val="20"/>
          <w:szCs w:val="20"/>
          <w:color w:val="auto"/>
        </w:rPr>
      </w:pPr>
    </w:p>
    <w:p>
      <w:pPr>
        <w:ind w:left="260" w:right="539" w:firstLine="339"/>
        <w:spacing w:after="0" w:line="28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Exchange Act</w:t>
      </w:r>
      <w:r>
        <w:rPr>
          <w:rFonts w:ascii="Times New Roman" w:cs="Times New Roman" w:eastAsia="Times New Roman" w:hAnsi="Times New Roman"/>
          <w:sz w:val="14"/>
          <w:szCs w:val="14"/>
          <w:color w:val="auto"/>
        </w:rPr>
        <w:t>” means the United States Securities and Exchange Act of 1934, as amended, and the rules and regulations promulgated by the Commission thereunder.</w:t>
      </w:r>
    </w:p>
    <w:p>
      <w:pPr>
        <w:spacing w:after="0" w:line="122" w:lineRule="exact"/>
        <w:rPr>
          <w:sz w:val="20"/>
          <w:szCs w:val="20"/>
          <w:color w:val="auto"/>
        </w:rPr>
      </w:pPr>
    </w:p>
    <w:p>
      <w:pPr>
        <w:ind w:left="260" w:right="299" w:firstLine="339"/>
        <w:spacing w:after="0" w:line="256" w:lineRule="auto"/>
        <w:rPr>
          <w:sz w:val="20"/>
          <w:szCs w:val="20"/>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b w:val="1"/>
          <w:bCs w:val="1"/>
          <w:i w:val="1"/>
          <w:iCs w:val="1"/>
          <w:color w:val="auto"/>
        </w:rPr>
        <w:t>given</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i w:val="1"/>
          <w:iCs w:val="1"/>
          <w:color w:val="auto"/>
        </w:rPr>
        <w:t>mailed</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i w:val="1"/>
          <w:iCs w:val="1"/>
          <w:color w:val="auto"/>
        </w:rPr>
        <w:t>notify</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i w:val="1"/>
          <w:iCs w:val="1"/>
          <w:color w:val="auto"/>
        </w:rPr>
        <w:t>sent</w:t>
      </w:r>
      <w:r>
        <w:rPr>
          <w:rFonts w:ascii="Times New Roman" w:cs="Times New Roman" w:eastAsia="Times New Roman" w:hAnsi="Times New Roman"/>
          <w:sz w:val="14"/>
          <w:szCs w:val="14"/>
          <w:color w:val="auto"/>
        </w:rPr>
        <w:t>” with respect to any notice to be given to a Securityholder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Security) or (y) mailed to such Securityholder by first class mail, postage prepaid, at its address as it appears on the Security Register (in the case of a definitive Security). Notice so “given” shall be deemed to include any notice to be “mailed” or “delivered,” as applicable, under this Indenture.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7" w:right="1440" w:bottom="1440" w:gutter="0" w:footer="0" w:header="0"/>
        </w:sectPr>
      </w:pPr>
    </w:p>
    <w:bookmarkStart w:id="90" w:name="page91"/>
    <w:bookmarkEnd w:id="90"/>
    <w:p>
      <w:pPr>
        <w:ind w:left="260" w:right="279" w:firstLine="339"/>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w:t>
      </w:r>
      <w:r>
        <w:rPr>
          <w:rFonts w:ascii="Times New Roman" w:cs="Times New Roman" w:eastAsia="Times New Roman" w:hAnsi="Times New Roman"/>
          <w:sz w:val="14"/>
          <w:szCs w:val="14"/>
          <w:b w:val="1"/>
          <w:bCs w:val="1"/>
          <w:i w:val="1"/>
          <w:iCs w:val="1"/>
          <w:color w:val="auto"/>
        </w:rPr>
        <w:t>Global Security</w:t>
      </w:r>
      <w:r>
        <w:rPr>
          <w:rFonts w:ascii="Times New Roman" w:cs="Times New Roman" w:eastAsia="Times New Roman" w:hAnsi="Times New Roman"/>
          <w:sz w:val="14"/>
          <w:szCs w:val="14"/>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spacing w:after="0" w:line="134" w:lineRule="exact"/>
        <w:rPr>
          <w:sz w:val="20"/>
          <w:szCs w:val="20"/>
          <w:color w:val="auto"/>
        </w:rPr>
      </w:pPr>
    </w:p>
    <w:p>
      <w:pPr>
        <w:ind w:left="260" w:right="299" w:firstLine="339"/>
        <w:spacing w:after="0" w:line="25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Governmental Obligations</w:t>
      </w:r>
      <w:r>
        <w:rPr>
          <w:rFonts w:ascii="Times New Roman" w:cs="Times New Roman" w:eastAsia="Times New Roman" w:hAnsi="Times New Roman"/>
          <w:sz w:val="14"/>
          <w:szCs w:val="14"/>
          <w:color w:val="auto"/>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42" w:lineRule="exact"/>
        <w:rPr>
          <w:sz w:val="20"/>
          <w:szCs w:val="20"/>
          <w:color w:val="auto"/>
        </w:rPr>
      </w:pPr>
    </w:p>
    <w:p>
      <w:pPr>
        <w:ind w:left="260" w:right="699" w:firstLine="339"/>
        <w:spacing w:after="0" w:line="28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herein</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i w:val="1"/>
          <w:iCs w:val="1"/>
          <w:color w:val="auto"/>
        </w:rPr>
        <w:t>hereof</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i w:val="1"/>
          <w:iCs w:val="1"/>
          <w:color w:val="auto"/>
        </w:rPr>
        <w:t>hereunder</w:t>
      </w:r>
      <w:r>
        <w:rPr>
          <w:rFonts w:ascii="Times New Roman" w:cs="Times New Roman" w:eastAsia="Times New Roman" w:hAnsi="Times New Roman"/>
          <w:sz w:val="14"/>
          <w:szCs w:val="14"/>
          <w:color w:val="auto"/>
        </w:rPr>
        <w:t>”, and other words of similar import, refer to this Indenture as a whole and not to any particular Article, Section or other subdivision.</w:t>
      </w:r>
    </w:p>
    <w:p>
      <w:pPr>
        <w:spacing w:after="0" w:line="122" w:lineRule="exact"/>
        <w:rPr>
          <w:sz w:val="20"/>
          <w:szCs w:val="20"/>
          <w:color w:val="auto"/>
        </w:rPr>
      </w:pPr>
    </w:p>
    <w:p>
      <w:pPr>
        <w:ind w:left="260" w:right="379" w:firstLine="339"/>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Indenture</w:t>
      </w:r>
      <w:r>
        <w:rPr>
          <w:rFonts w:ascii="Times New Roman" w:cs="Times New Roman" w:eastAsia="Times New Roman" w:hAnsi="Times New Roman"/>
          <w:sz w:val="14"/>
          <w:szCs w:val="14"/>
          <w:color w:val="auto"/>
        </w:rPr>
        <w:t>”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w:t>
      </w:r>
    </w:p>
    <w:p>
      <w:pPr>
        <w:spacing w:after="0" w:line="134" w:lineRule="exact"/>
        <w:rPr>
          <w:sz w:val="20"/>
          <w:szCs w:val="20"/>
          <w:color w:val="auto"/>
        </w:rPr>
      </w:pPr>
    </w:p>
    <w:p>
      <w:pPr>
        <w:jc w:val="both"/>
        <w:ind w:left="260" w:right="499" w:firstLine="339"/>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Interest Payment Date</w:t>
      </w:r>
      <w:r>
        <w:rPr>
          <w:rFonts w:ascii="Times New Roman" w:cs="Times New Roman" w:eastAsia="Times New Roman" w:hAnsi="Times New Roman"/>
          <w:sz w:val="14"/>
          <w:szCs w:val="14"/>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34" w:lineRule="exact"/>
        <w:rPr>
          <w:sz w:val="20"/>
          <w:szCs w:val="20"/>
          <w:color w:val="auto"/>
        </w:rPr>
      </w:pPr>
    </w:p>
    <w:p>
      <w:pPr>
        <w:ind w:left="260" w:right="419" w:firstLine="339"/>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Officer</w:t>
      </w:r>
      <w:r>
        <w:rPr>
          <w:rFonts w:ascii="Times New Roman" w:cs="Times New Roman" w:eastAsia="Times New Roman" w:hAnsi="Times New Roman"/>
          <w:sz w:val="14"/>
          <w:szCs w:val="14"/>
          <w:color w:val="auto"/>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spacing w:after="0" w:line="134" w:lineRule="exact"/>
        <w:rPr>
          <w:sz w:val="20"/>
          <w:szCs w:val="20"/>
          <w:color w:val="auto"/>
        </w:rPr>
      </w:pPr>
    </w:p>
    <w:p>
      <w:pPr>
        <w:ind w:left="260" w:right="379" w:firstLine="339"/>
        <w:spacing w:after="0" w:line="28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Officer’s Certificate</w:t>
      </w:r>
      <w:r>
        <w:rPr>
          <w:rFonts w:ascii="Times New Roman" w:cs="Times New Roman" w:eastAsia="Times New Roman" w:hAnsi="Times New Roman"/>
          <w:sz w:val="14"/>
          <w:szCs w:val="14"/>
          <w:color w:val="auto"/>
        </w:rPr>
        <w:t>” means a certificate signed by any Officer. Each such certificate shall include the statements provided for in Section 13.07, if and to the extent required by the provisions thereof.</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37" w:right="1440" w:bottom="1440" w:gutter="0" w:footer="0" w:header="0"/>
        </w:sectPr>
      </w:pPr>
    </w:p>
    <w:bookmarkStart w:id="91" w:name="page92"/>
    <w:bookmarkEnd w:id="91"/>
    <w:p>
      <w:pPr>
        <w:ind w:left="260" w:right="419" w:firstLine="339"/>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w:t>
      </w:r>
      <w:r>
        <w:rPr>
          <w:rFonts w:ascii="Times New Roman" w:cs="Times New Roman" w:eastAsia="Times New Roman" w:hAnsi="Times New Roman"/>
          <w:sz w:val="14"/>
          <w:szCs w:val="14"/>
          <w:b w:val="1"/>
          <w:bCs w:val="1"/>
          <w:i w:val="1"/>
          <w:iCs w:val="1"/>
          <w:color w:val="auto"/>
        </w:rPr>
        <w:t>Opinion of Counsel</w:t>
      </w:r>
      <w:r>
        <w:rPr>
          <w:rFonts w:ascii="Times New Roman" w:cs="Times New Roman" w:eastAsia="Times New Roman" w:hAnsi="Times New Roman"/>
          <w:sz w:val="14"/>
          <w:szCs w:val="14"/>
          <w:color w:val="auto"/>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spacing w:after="0" w:line="134" w:lineRule="exact"/>
        <w:rPr>
          <w:sz w:val="20"/>
          <w:szCs w:val="20"/>
          <w:color w:val="auto"/>
        </w:rPr>
      </w:pPr>
    </w:p>
    <w:p>
      <w:pPr>
        <w:ind w:left="260" w:right="299" w:firstLine="339"/>
        <w:spacing w:after="0" w:line="25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Outstanding</w:t>
      </w:r>
      <w:r>
        <w:rPr>
          <w:rFonts w:ascii="Times New Roman" w:cs="Times New Roman" w:eastAsia="Times New Roman" w:hAnsi="Times New Roman"/>
          <w:sz w:val="14"/>
          <w:szCs w:val="14"/>
          <w:color w:val="auto"/>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w:t>
      </w:r>
    </w:p>
    <w:p>
      <w:pPr>
        <w:spacing w:after="0" w:line="142" w:lineRule="exact"/>
        <w:rPr>
          <w:sz w:val="20"/>
          <w:szCs w:val="20"/>
          <w:color w:val="auto"/>
        </w:rPr>
      </w:pPr>
    </w:p>
    <w:p>
      <w:pPr>
        <w:jc w:val="center"/>
        <w:ind w:left="260" w:right="459"/>
        <w:spacing w:after="0" w:line="32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Person</w:t>
      </w:r>
      <w:r>
        <w:rPr>
          <w:rFonts w:ascii="Times New Roman" w:cs="Times New Roman" w:eastAsia="Times New Roman" w:hAnsi="Times New Roman"/>
          <w:sz w:val="13"/>
          <w:szCs w:val="13"/>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99" w:lineRule="exact"/>
        <w:rPr>
          <w:sz w:val="20"/>
          <w:szCs w:val="20"/>
          <w:color w:val="auto"/>
        </w:rPr>
      </w:pPr>
    </w:p>
    <w:p>
      <w:pPr>
        <w:jc w:val="both"/>
        <w:ind w:left="260" w:right="319" w:firstLine="339"/>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Predecessor Security</w:t>
      </w:r>
      <w:r>
        <w:rPr>
          <w:rFonts w:ascii="Times New Roman" w:cs="Times New Roman" w:eastAsia="Times New Roman" w:hAnsi="Times New Roman"/>
          <w:sz w:val="14"/>
          <w:szCs w:val="14"/>
          <w:color w:val="auto"/>
        </w:rPr>
        <w:t>”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spacing w:after="0" w:line="134" w:lineRule="exact"/>
        <w:rPr>
          <w:sz w:val="20"/>
          <w:szCs w:val="20"/>
          <w:color w:val="auto"/>
        </w:rPr>
      </w:pPr>
    </w:p>
    <w:p>
      <w:pPr>
        <w:ind w:left="260" w:right="339" w:firstLine="339"/>
        <w:spacing w:after="0" w:line="28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Responsible Officer</w:t>
      </w:r>
      <w:r>
        <w:rPr>
          <w:rFonts w:ascii="Times New Roman" w:cs="Times New Roman" w:eastAsia="Times New Roman" w:hAnsi="Times New Roman"/>
          <w:sz w:val="13"/>
          <w:szCs w:val="13"/>
          <w:color w:val="auto"/>
        </w:rPr>
        <w:t>” when used with respect to the Trustee means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 and in each case who shall have direct responsibility for the administration of this Indenture.</w:t>
      </w:r>
    </w:p>
    <w:p>
      <w:pPr>
        <w:spacing w:after="0" w:line="122" w:lineRule="exact"/>
        <w:rPr>
          <w:sz w:val="20"/>
          <w:szCs w:val="20"/>
          <w:color w:val="auto"/>
        </w:rPr>
      </w:pPr>
    </w:p>
    <w:p>
      <w:pPr>
        <w:ind w:left="260" w:right="519" w:firstLine="339"/>
        <w:spacing w:after="0" w:line="28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Securities</w:t>
      </w:r>
      <w:r>
        <w:rPr>
          <w:rFonts w:ascii="Times New Roman" w:cs="Times New Roman" w:eastAsia="Times New Roman" w:hAnsi="Times New Roman"/>
          <w:sz w:val="14"/>
          <w:szCs w:val="14"/>
          <w:color w:val="auto"/>
        </w:rPr>
        <w:t>” has the meaning stated in the first recital of this Indenture and more particularly means any Securities authenticated and delivered under this Indenture.</w:t>
      </w:r>
    </w:p>
    <w:p>
      <w:pPr>
        <w:spacing w:after="0" w:line="1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Securities Act</w:t>
      </w:r>
      <w:r>
        <w:rPr>
          <w:rFonts w:ascii="Times New Roman" w:cs="Times New Roman" w:eastAsia="Times New Roman" w:hAnsi="Times New Roman"/>
          <w:sz w:val="14"/>
          <w:szCs w:val="14"/>
          <w:color w:val="auto"/>
        </w:rPr>
        <w:t>” means the Securities Act of 1933, as amended.</w:t>
      </w:r>
    </w:p>
    <w:p>
      <w:pPr>
        <w:spacing w:after="0" w:line="172" w:lineRule="exact"/>
        <w:rPr>
          <w:sz w:val="20"/>
          <w:szCs w:val="20"/>
          <w:color w:val="auto"/>
        </w:rPr>
      </w:pPr>
    </w:p>
    <w:p>
      <w:pPr>
        <w:ind w:left="260" w:right="619" w:firstLine="339"/>
        <w:spacing w:after="0" w:line="28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Securityholder</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i w:val="1"/>
          <w:iCs w:val="1"/>
          <w:color w:val="auto"/>
        </w:rPr>
        <w:t>holder of Securities</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i w:val="1"/>
          <w:iCs w:val="1"/>
          <w:color w:val="auto"/>
        </w:rPr>
        <w:t>registered holder</w:t>
      </w:r>
      <w:r>
        <w:rPr>
          <w:rFonts w:ascii="Times New Roman" w:cs="Times New Roman" w:eastAsia="Times New Roman" w:hAnsi="Times New Roman"/>
          <w:sz w:val="14"/>
          <w:szCs w:val="14"/>
          <w:color w:val="auto"/>
        </w:rPr>
        <w:t>”, or other similar term, means the Person or Persons in whose name or names a particular Security is registered on the Security Register kept for that purpose in accordance with the terms of this Indenture.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7" w:right="1440" w:bottom="1440" w:gutter="0" w:footer="0" w:header="0"/>
        </w:sectPr>
      </w:pPr>
    </w:p>
    <w:bookmarkStart w:id="92" w:name="page93"/>
    <w:bookmarkEnd w:id="92"/>
    <w:p>
      <w:pPr>
        <w:ind w:left="6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w:t>
      </w:r>
      <w:r>
        <w:rPr>
          <w:rFonts w:ascii="Times New Roman" w:cs="Times New Roman" w:eastAsia="Times New Roman" w:hAnsi="Times New Roman"/>
          <w:sz w:val="14"/>
          <w:szCs w:val="14"/>
          <w:b w:val="1"/>
          <w:bCs w:val="1"/>
          <w:i w:val="1"/>
          <w:iCs w:val="1"/>
          <w:color w:val="auto"/>
        </w:rPr>
        <w:t>Security Register</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b w:val="1"/>
          <w:bCs w:val="1"/>
          <w:i w:val="1"/>
          <w:iCs w:val="1"/>
          <w:color w:val="auto"/>
        </w:rPr>
        <w:t>Security Registrar</w:t>
      </w:r>
      <w:r>
        <w:rPr>
          <w:rFonts w:ascii="Times New Roman" w:cs="Times New Roman" w:eastAsia="Times New Roman" w:hAnsi="Times New Roman"/>
          <w:sz w:val="14"/>
          <w:szCs w:val="14"/>
          <w:color w:val="auto"/>
        </w:rPr>
        <w:t>” shall have the meanings as set forth in Section 2.05.</w:t>
      </w:r>
    </w:p>
    <w:p>
      <w:pPr>
        <w:spacing w:after="0" w:line="172" w:lineRule="exact"/>
        <w:rPr>
          <w:sz w:val="20"/>
          <w:szCs w:val="20"/>
          <w:color w:val="auto"/>
        </w:rPr>
      </w:pPr>
    </w:p>
    <w:p>
      <w:pPr>
        <w:ind w:left="260" w:right="359" w:firstLine="339"/>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Subsidiary</w:t>
      </w:r>
      <w:r>
        <w:rPr>
          <w:rFonts w:ascii="Times New Roman" w:cs="Times New Roman" w:eastAsia="Times New Roman" w:hAnsi="Times New Roman"/>
          <w:sz w:val="14"/>
          <w:szCs w:val="14"/>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13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Trustee</w:t>
      </w:r>
      <w:r>
        <w:rPr>
          <w:rFonts w:ascii="Times New Roman" w:cs="Times New Roman" w:eastAsia="Times New Roman" w:hAnsi="Times New Roman"/>
          <w:sz w:val="13"/>
          <w:szCs w:val="13"/>
          <w:color w:val="auto"/>
        </w:rPr>
        <w:t>” means _________________________, and, subject to the provisions of Article Seven, shall also include its successors and assigns, and,</w:t>
      </w:r>
    </w:p>
    <w:p>
      <w:pPr>
        <w:spacing w:after="0" w:line="34" w:lineRule="exact"/>
        <w:rPr>
          <w:sz w:val="20"/>
          <w:szCs w:val="20"/>
          <w:color w:val="auto"/>
        </w:rPr>
      </w:pPr>
    </w:p>
    <w:p>
      <w:pPr>
        <w:ind w:left="260" w:right="379"/>
        <w:spacing w:after="0" w:line="256" w:lineRule="auto"/>
        <w:rPr>
          <w:sz w:val="20"/>
          <w:szCs w:val="20"/>
          <w:color w:val="auto"/>
        </w:rPr>
      </w:pPr>
      <w:r>
        <w:rPr>
          <w:rFonts w:ascii="Times New Roman" w:cs="Times New Roman" w:eastAsia="Times New Roman" w:hAnsi="Times New Roman"/>
          <w:sz w:val="14"/>
          <w:szCs w:val="14"/>
          <w:color w:val="auto"/>
        </w:rPr>
        <w:t>if at any time there is more than one Person acting in such capacity hereunder, “Trustee” shall mean each such Person. The term “Trustee” as used with respect to a particular series of the Securities shall mean the trustee with respect to that series.</w:t>
      </w:r>
    </w:p>
    <w:p>
      <w:pPr>
        <w:spacing w:after="0" w:line="1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Trust Indenture Act</w:t>
      </w:r>
      <w:r>
        <w:rPr>
          <w:rFonts w:ascii="Times New Roman" w:cs="Times New Roman" w:eastAsia="Times New Roman" w:hAnsi="Times New Roman"/>
          <w:sz w:val="14"/>
          <w:szCs w:val="14"/>
          <w:color w:val="auto"/>
        </w:rPr>
        <w:t>” means the Trust Indenture Act of 1939, as amended.</w:t>
      </w:r>
    </w:p>
    <w:p>
      <w:pPr>
        <w:spacing w:after="0" w:line="172" w:lineRule="exact"/>
        <w:rPr>
          <w:sz w:val="20"/>
          <w:szCs w:val="20"/>
          <w:color w:val="auto"/>
        </w:rPr>
      </w:pPr>
    </w:p>
    <w:p>
      <w:pPr>
        <w:ind w:left="260" w:right="299" w:firstLine="33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 xml:space="preserve">“U.S.A. Patriot Act” </w:t>
      </w:r>
      <w:r>
        <w:rPr>
          <w:rFonts w:ascii="Times New Roman" w:cs="Times New Roman" w:eastAsia="Times New Roman" w:hAnsi="Times New Roman"/>
          <w:sz w:val="14"/>
          <w:szCs w:val="14"/>
          <w:color w:val="auto"/>
        </w:rPr>
        <w:t>means the Uniting and Strengthening America by Providing Appropriate Tools Required to Intercept and Obstruct Terrorism</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Act of 2001, Pub. L. 107-56, as amended and signed into law October 26, 2001.</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2</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ISSUE, DESCRIPTION, TERMS, EXECUTION, REGISTRATION AND EXCHANGE OF SECURITIES</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2.01 Designation and Terms of Securities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359" w:firstLine="765"/>
        <w:spacing w:after="0" w:line="284" w:lineRule="auto"/>
        <w:tabs>
          <w:tab w:leader="none" w:pos="1220" w:val="left"/>
        </w:tabs>
        <w:numPr>
          <w:ilvl w:val="0"/>
          <w:numId w:val="5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41" w:lineRule="exact"/>
        <w:rPr>
          <w:rFonts w:ascii="Times New Roman" w:cs="Times New Roman" w:eastAsia="Times New Roman" w:hAnsi="Times New Roman"/>
          <w:sz w:val="13"/>
          <w:szCs w:val="13"/>
          <w:b w:val="1"/>
          <w:bCs w:val="1"/>
          <w:color w:val="auto"/>
        </w:rPr>
      </w:pPr>
    </w:p>
    <w:p>
      <w:pPr>
        <w:ind w:left="1560" w:hanging="195"/>
        <w:spacing w:after="0"/>
        <w:tabs>
          <w:tab w:leader="none" w:pos="1560" w:val="left"/>
        </w:tabs>
        <w:numPr>
          <w:ilvl w:val="1"/>
          <w:numId w:val="5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title of the Securities of the series (which shall distinguish the Securities of that series from all other Securities);</w:t>
      </w:r>
    </w:p>
    <w:p>
      <w:pPr>
        <w:spacing w:after="0" w:line="171" w:lineRule="exact"/>
        <w:rPr>
          <w:rFonts w:ascii="Times New Roman" w:cs="Times New Roman" w:eastAsia="Times New Roman" w:hAnsi="Times New Roman"/>
          <w:sz w:val="14"/>
          <w:szCs w:val="14"/>
          <w:b w:val="1"/>
          <w:bCs w:val="1"/>
          <w:color w:val="auto"/>
        </w:rPr>
      </w:pPr>
    </w:p>
    <w:p>
      <w:pPr>
        <w:ind w:left="260" w:right="399" w:firstLine="1105"/>
        <w:spacing w:after="0" w:line="263" w:lineRule="auto"/>
        <w:tabs>
          <w:tab w:leader="none" w:pos="1559" w:val="left"/>
        </w:tabs>
        <w:numPr>
          <w:ilvl w:val="1"/>
          <w:numId w:val="5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37" w:right="1440" w:bottom="1440" w:gutter="0" w:footer="0" w:header="0"/>
        </w:sectPr>
      </w:pPr>
    </w:p>
    <w:bookmarkStart w:id="93" w:name="page94"/>
    <w:bookmarkEnd w:id="93"/>
    <w:p>
      <w:pPr>
        <w:ind w:left="1560" w:hanging="195"/>
        <w:spacing w:after="0"/>
        <w:tabs>
          <w:tab w:leader="none" w:pos="1560" w:val="left"/>
        </w:tabs>
        <w:numPr>
          <w:ilvl w:val="0"/>
          <w:numId w:val="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maturity date or dates on which the principal of the Securities of the series is payable;</w:t>
      </w:r>
    </w:p>
    <w:p>
      <w:pPr>
        <w:spacing w:after="0" w:line="171" w:lineRule="exact"/>
        <w:rPr>
          <w:rFonts w:ascii="Times New Roman" w:cs="Times New Roman" w:eastAsia="Times New Roman" w:hAnsi="Times New Roman"/>
          <w:sz w:val="14"/>
          <w:szCs w:val="14"/>
          <w:b w:val="1"/>
          <w:bCs w:val="1"/>
          <w:color w:val="auto"/>
        </w:rPr>
      </w:pPr>
    </w:p>
    <w:p>
      <w:pPr>
        <w:ind w:left="1560" w:hanging="195"/>
        <w:spacing w:after="0"/>
        <w:tabs>
          <w:tab w:leader="none" w:pos="1560" w:val="left"/>
        </w:tabs>
        <w:numPr>
          <w:ilvl w:val="0"/>
          <w:numId w:val="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form of the Securities of the series including the form of the certificate of authentication for such series;</w:t>
      </w:r>
    </w:p>
    <w:p>
      <w:pPr>
        <w:spacing w:after="0" w:line="171" w:lineRule="exact"/>
        <w:rPr>
          <w:rFonts w:ascii="Times New Roman" w:cs="Times New Roman" w:eastAsia="Times New Roman" w:hAnsi="Times New Roman"/>
          <w:sz w:val="14"/>
          <w:szCs w:val="14"/>
          <w:b w:val="1"/>
          <w:bCs w:val="1"/>
          <w:color w:val="auto"/>
        </w:rPr>
      </w:pPr>
    </w:p>
    <w:p>
      <w:pPr>
        <w:ind w:left="1560" w:hanging="195"/>
        <w:spacing w:after="0"/>
        <w:tabs>
          <w:tab w:leader="none" w:pos="1560" w:val="left"/>
        </w:tabs>
        <w:numPr>
          <w:ilvl w:val="0"/>
          <w:numId w:val="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applicability of any guarantees;</w:t>
      </w:r>
    </w:p>
    <w:p>
      <w:pPr>
        <w:spacing w:after="0" w:line="171" w:lineRule="exact"/>
        <w:rPr>
          <w:rFonts w:ascii="Times New Roman" w:cs="Times New Roman" w:eastAsia="Times New Roman" w:hAnsi="Times New Roman"/>
          <w:sz w:val="14"/>
          <w:szCs w:val="14"/>
          <w:b w:val="1"/>
          <w:bCs w:val="1"/>
          <w:color w:val="auto"/>
        </w:rPr>
      </w:pPr>
    </w:p>
    <w:p>
      <w:pPr>
        <w:ind w:left="1560" w:hanging="195"/>
        <w:spacing w:after="0"/>
        <w:tabs>
          <w:tab w:leader="none" w:pos="1560" w:val="left"/>
        </w:tabs>
        <w:numPr>
          <w:ilvl w:val="0"/>
          <w:numId w:val="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whether or not the Securities will be secured or unsecured, and the terms of any secured debt;</w:t>
      </w:r>
    </w:p>
    <w:p>
      <w:pPr>
        <w:spacing w:after="0" w:line="171" w:lineRule="exact"/>
        <w:rPr>
          <w:rFonts w:ascii="Times New Roman" w:cs="Times New Roman" w:eastAsia="Times New Roman" w:hAnsi="Times New Roman"/>
          <w:sz w:val="14"/>
          <w:szCs w:val="14"/>
          <w:b w:val="1"/>
          <w:bCs w:val="1"/>
          <w:color w:val="auto"/>
        </w:rPr>
      </w:pPr>
    </w:p>
    <w:p>
      <w:pPr>
        <w:ind w:left="1560" w:hanging="195"/>
        <w:spacing w:after="0"/>
        <w:tabs>
          <w:tab w:leader="none" w:pos="1560" w:val="left"/>
        </w:tabs>
        <w:numPr>
          <w:ilvl w:val="0"/>
          <w:numId w:val="5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whether the Securities rank as senior debt, senior subordinated debt, subordinated debt or any combination thereof, and the terms</w:t>
      </w:r>
    </w:p>
    <w:p>
      <w:pPr>
        <w:spacing w:after="0" w:line="32" w:lineRule="exact"/>
        <w:rPr>
          <w:rFonts w:ascii="Times New Roman" w:cs="Times New Roman" w:eastAsia="Times New Roman" w:hAnsi="Times New Roman"/>
          <w:sz w:val="13"/>
          <w:szCs w:val="13"/>
          <w:b w:val="1"/>
          <w:bCs w:val="1"/>
          <w:color w:val="auto"/>
        </w:rPr>
      </w:pPr>
    </w:p>
    <w:p>
      <w:pPr>
        <w:ind w:left="26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4"/>
          <w:szCs w:val="14"/>
          <w:color w:val="auto"/>
        </w:rPr>
        <w:t>of any subordination;</w:t>
      </w:r>
    </w:p>
    <w:p>
      <w:pPr>
        <w:spacing w:after="0" w:line="156" w:lineRule="exact"/>
        <w:rPr>
          <w:rFonts w:ascii="Times New Roman" w:cs="Times New Roman" w:eastAsia="Times New Roman" w:hAnsi="Times New Roman"/>
          <w:sz w:val="13"/>
          <w:szCs w:val="13"/>
          <w:b w:val="1"/>
          <w:bCs w:val="1"/>
          <w:color w:val="auto"/>
        </w:rPr>
      </w:pPr>
    </w:p>
    <w:p>
      <w:pPr>
        <w:ind w:left="260" w:right="359" w:firstLine="1105"/>
        <w:spacing w:after="0" w:line="258" w:lineRule="auto"/>
        <w:tabs>
          <w:tab w:leader="none" w:pos="1559" w:val="left"/>
        </w:tabs>
        <w:numPr>
          <w:ilvl w:val="0"/>
          <w:numId w:val="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spacing w:after="0" w:line="139" w:lineRule="exact"/>
        <w:rPr>
          <w:rFonts w:ascii="Times New Roman" w:cs="Times New Roman" w:eastAsia="Times New Roman" w:hAnsi="Times New Roman"/>
          <w:sz w:val="14"/>
          <w:szCs w:val="14"/>
          <w:b w:val="1"/>
          <w:bCs w:val="1"/>
          <w:color w:val="auto"/>
        </w:rPr>
      </w:pPr>
    </w:p>
    <w:p>
      <w:pPr>
        <w:ind w:left="260" w:right="299" w:firstLine="1105"/>
        <w:spacing w:after="0" w:line="278" w:lineRule="auto"/>
        <w:tabs>
          <w:tab w:leader="none" w:pos="1559" w:val="left"/>
        </w:tabs>
        <w:numPr>
          <w:ilvl w:val="0"/>
          <w:numId w:val="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126" w:lineRule="exact"/>
        <w:rPr>
          <w:rFonts w:ascii="Times New Roman" w:cs="Times New Roman" w:eastAsia="Times New Roman" w:hAnsi="Times New Roman"/>
          <w:sz w:val="14"/>
          <w:szCs w:val="14"/>
          <w:b w:val="1"/>
          <w:bCs w:val="1"/>
          <w:color w:val="auto"/>
        </w:rPr>
      </w:pPr>
    </w:p>
    <w:p>
      <w:pPr>
        <w:ind w:left="1640" w:hanging="275"/>
        <w:spacing w:after="0"/>
        <w:tabs>
          <w:tab w:leader="none" w:pos="1640" w:val="left"/>
        </w:tabs>
        <w:numPr>
          <w:ilvl w:val="0"/>
          <w:numId w:val="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Company’s right, if any, to defer the payment of interest and the maximum length of any such deferral period;</w:t>
      </w:r>
    </w:p>
    <w:p>
      <w:pPr>
        <w:spacing w:after="0" w:line="171" w:lineRule="exact"/>
        <w:rPr>
          <w:rFonts w:ascii="Times New Roman" w:cs="Times New Roman" w:eastAsia="Times New Roman" w:hAnsi="Times New Roman"/>
          <w:sz w:val="14"/>
          <w:szCs w:val="14"/>
          <w:b w:val="1"/>
          <w:bCs w:val="1"/>
          <w:color w:val="auto"/>
        </w:rPr>
      </w:pPr>
    </w:p>
    <w:p>
      <w:pPr>
        <w:ind w:left="260" w:right="319" w:firstLine="1105"/>
        <w:spacing w:after="0" w:line="263" w:lineRule="auto"/>
        <w:tabs>
          <w:tab w:leader="none" w:pos="1621" w:val="left"/>
        </w:tabs>
        <w:numPr>
          <w:ilvl w:val="0"/>
          <w:numId w:val="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applicable, the date or dates after which, or the period or periods during which, and the price or prices at which, the Company may at its option, redeem the series of Securities pursuant to any optional or provisional redemption provisions and the terms of those redemption provisions;</w:t>
      </w:r>
    </w:p>
    <w:p>
      <w:pPr>
        <w:spacing w:after="0" w:line="136" w:lineRule="exact"/>
        <w:rPr>
          <w:rFonts w:ascii="Times New Roman" w:cs="Times New Roman" w:eastAsia="Times New Roman" w:hAnsi="Times New Roman"/>
          <w:sz w:val="14"/>
          <w:szCs w:val="14"/>
          <w:b w:val="1"/>
          <w:bCs w:val="1"/>
          <w:color w:val="auto"/>
        </w:rPr>
      </w:pPr>
    </w:p>
    <w:p>
      <w:pPr>
        <w:ind w:left="260" w:right="719" w:firstLine="1105"/>
        <w:spacing w:after="0" w:line="263" w:lineRule="auto"/>
        <w:tabs>
          <w:tab w:leader="none" w:pos="1629" w:val="left"/>
        </w:tabs>
        <w:numPr>
          <w:ilvl w:val="0"/>
          <w:numId w:val="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date or dates, if any, on which, and the price or prices at which the Company is obligated, pursuant to any mandatory sinking fund or analogous fund provisions or otherwise, to redeem, or at the Securityholder’s option to purchase, the series of Securities and the currency or currency unit in which the Securities are payable;</w:t>
      </w:r>
    </w:p>
    <w:p>
      <w:pPr>
        <w:spacing w:after="0" w:line="136" w:lineRule="exact"/>
        <w:rPr>
          <w:rFonts w:ascii="Times New Roman" w:cs="Times New Roman" w:eastAsia="Times New Roman" w:hAnsi="Times New Roman"/>
          <w:sz w:val="14"/>
          <w:szCs w:val="14"/>
          <w:b w:val="1"/>
          <w:bCs w:val="1"/>
          <w:color w:val="auto"/>
        </w:rPr>
      </w:pPr>
    </w:p>
    <w:p>
      <w:pPr>
        <w:ind w:left="260" w:right="619" w:firstLine="1105"/>
        <w:spacing w:after="0" w:line="278" w:lineRule="auto"/>
        <w:tabs>
          <w:tab w:leader="none" w:pos="1629" w:val="left"/>
        </w:tabs>
        <w:numPr>
          <w:ilvl w:val="0"/>
          <w:numId w:val="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denominations in which the Securities of the series shall be issuable, if other than denominations of one thousand U.S. dollars ($1,000) or any integral multiple thereof;</w:t>
      </w:r>
    </w:p>
    <w:p>
      <w:pPr>
        <w:spacing w:after="0" w:line="126" w:lineRule="exact"/>
        <w:rPr>
          <w:rFonts w:ascii="Times New Roman" w:cs="Times New Roman" w:eastAsia="Times New Roman" w:hAnsi="Times New Roman"/>
          <w:sz w:val="14"/>
          <w:szCs w:val="14"/>
          <w:b w:val="1"/>
          <w:bCs w:val="1"/>
          <w:color w:val="auto"/>
        </w:rPr>
      </w:pPr>
    </w:p>
    <w:p>
      <w:pPr>
        <w:ind w:left="260" w:right="399" w:firstLine="1105"/>
        <w:spacing w:after="0" w:line="263" w:lineRule="auto"/>
        <w:tabs>
          <w:tab w:leader="none" w:pos="1629" w:val="left"/>
        </w:tabs>
        <w:numPr>
          <w:ilvl w:val="0"/>
          <w:numId w:val="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and all terms, if applicable, relating to any auction or remarketing of the Securities of that series and any security for the obligations of the Company with respect to such Securities and any other terms which may be advisable in connection with the marketing of Securities of that series;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39" w:right="1440" w:bottom="1440" w:gutter="0" w:footer="0" w:header="0"/>
        </w:sectPr>
      </w:pPr>
    </w:p>
    <w:bookmarkStart w:id="94" w:name="page95"/>
    <w:bookmarkEnd w:id="94"/>
    <w:p>
      <w:pPr>
        <w:ind w:left="260" w:right="439" w:firstLine="1105"/>
        <w:spacing w:after="0" w:line="263" w:lineRule="auto"/>
        <w:tabs>
          <w:tab w:leader="none" w:pos="1629" w:val="left"/>
        </w:tabs>
        <w:numPr>
          <w:ilvl w:val="0"/>
          <w:numId w:val="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136" w:lineRule="exact"/>
        <w:rPr>
          <w:rFonts w:ascii="Times New Roman" w:cs="Times New Roman" w:eastAsia="Times New Roman" w:hAnsi="Times New Roman"/>
          <w:sz w:val="14"/>
          <w:szCs w:val="14"/>
          <w:b w:val="1"/>
          <w:bCs w:val="1"/>
          <w:color w:val="auto"/>
        </w:rPr>
      </w:pPr>
    </w:p>
    <w:p>
      <w:pPr>
        <w:jc w:val="both"/>
        <w:ind w:left="260" w:right="279" w:firstLine="1105"/>
        <w:spacing w:after="0" w:line="255" w:lineRule="auto"/>
        <w:tabs>
          <w:tab w:leader="none" w:pos="1629" w:val="left"/>
        </w:tabs>
        <w:numPr>
          <w:ilvl w:val="0"/>
          <w:numId w:val="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applicable, the provisions relating to conversion or exchange of any Securities of the series and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the applicable conversion or exchange period and the manner of settlement for any conversion or exchange, which may, without limitation, include the payment of cash as well as the delivery of securities;</w:t>
      </w:r>
    </w:p>
    <w:p>
      <w:pPr>
        <w:spacing w:after="0" w:line="142" w:lineRule="exact"/>
        <w:rPr>
          <w:rFonts w:ascii="Times New Roman" w:cs="Times New Roman" w:eastAsia="Times New Roman" w:hAnsi="Times New Roman"/>
          <w:sz w:val="14"/>
          <w:szCs w:val="14"/>
          <w:b w:val="1"/>
          <w:bCs w:val="1"/>
          <w:color w:val="auto"/>
        </w:rPr>
      </w:pPr>
    </w:p>
    <w:p>
      <w:pPr>
        <w:ind w:left="260" w:right="599" w:firstLine="1105"/>
        <w:spacing w:after="0" w:line="278" w:lineRule="auto"/>
        <w:tabs>
          <w:tab w:leader="none" w:pos="1629" w:val="left"/>
        </w:tabs>
        <w:numPr>
          <w:ilvl w:val="0"/>
          <w:numId w:val="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other than the full principal amount thereof, the portion of the principal amount of Securities of the series which shall be payable upon declaration of acceleration of the maturity thereof pursuant to Section 6.01;</w:t>
      </w:r>
    </w:p>
    <w:p>
      <w:pPr>
        <w:spacing w:after="0" w:line="126" w:lineRule="exact"/>
        <w:rPr>
          <w:rFonts w:ascii="Times New Roman" w:cs="Times New Roman" w:eastAsia="Times New Roman" w:hAnsi="Times New Roman"/>
          <w:sz w:val="14"/>
          <w:szCs w:val="14"/>
          <w:b w:val="1"/>
          <w:bCs w:val="1"/>
          <w:color w:val="auto"/>
        </w:rPr>
      </w:pPr>
    </w:p>
    <w:p>
      <w:pPr>
        <w:ind w:left="260" w:right="759" w:firstLine="1105"/>
        <w:spacing w:after="0" w:line="278" w:lineRule="auto"/>
        <w:tabs>
          <w:tab w:leader="none" w:pos="1629" w:val="left"/>
        </w:tabs>
        <w:numPr>
          <w:ilvl w:val="0"/>
          <w:numId w:val="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additions to or changes in the covenants applicable to the series of Securities being issued, including, among others, the consolidation, merger or sale covenant;</w:t>
      </w:r>
    </w:p>
    <w:p>
      <w:pPr>
        <w:spacing w:after="0" w:line="126" w:lineRule="exact"/>
        <w:rPr>
          <w:rFonts w:ascii="Times New Roman" w:cs="Times New Roman" w:eastAsia="Times New Roman" w:hAnsi="Times New Roman"/>
          <w:sz w:val="14"/>
          <w:szCs w:val="14"/>
          <w:b w:val="1"/>
          <w:bCs w:val="1"/>
          <w:color w:val="auto"/>
        </w:rPr>
      </w:pPr>
    </w:p>
    <w:p>
      <w:pPr>
        <w:ind w:left="260" w:right="419" w:firstLine="1105"/>
        <w:spacing w:after="0" w:line="278" w:lineRule="auto"/>
        <w:tabs>
          <w:tab w:leader="none" w:pos="1629" w:val="left"/>
        </w:tabs>
        <w:numPr>
          <w:ilvl w:val="0"/>
          <w:numId w:val="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additions to or changes in the Events of Default with respect to the Securities and any change in the right of the Trustee or the Securityholders to declare the principal, premium, if any, and interest, if any, with respect to such Securities to be due and payable;</w:t>
      </w:r>
    </w:p>
    <w:p>
      <w:pPr>
        <w:spacing w:after="0" w:line="126" w:lineRule="exact"/>
        <w:rPr>
          <w:rFonts w:ascii="Times New Roman" w:cs="Times New Roman" w:eastAsia="Times New Roman" w:hAnsi="Times New Roman"/>
          <w:sz w:val="14"/>
          <w:szCs w:val="14"/>
          <w:b w:val="1"/>
          <w:bCs w:val="1"/>
          <w:color w:val="auto"/>
        </w:rPr>
      </w:pPr>
    </w:p>
    <w:p>
      <w:pPr>
        <w:ind w:left="1640" w:hanging="275"/>
        <w:spacing w:after="0"/>
        <w:tabs>
          <w:tab w:leader="none" w:pos="1640" w:val="left"/>
        </w:tabs>
        <w:numPr>
          <w:ilvl w:val="0"/>
          <w:numId w:val="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additions to or changes in or deletions of the provisions relating to covenant defeasance and legal defeasance;</w:t>
      </w:r>
    </w:p>
    <w:p>
      <w:pPr>
        <w:spacing w:after="0" w:line="171" w:lineRule="exact"/>
        <w:rPr>
          <w:rFonts w:ascii="Times New Roman" w:cs="Times New Roman" w:eastAsia="Times New Roman" w:hAnsi="Times New Roman"/>
          <w:sz w:val="14"/>
          <w:szCs w:val="14"/>
          <w:b w:val="1"/>
          <w:bCs w:val="1"/>
          <w:color w:val="auto"/>
        </w:rPr>
      </w:pPr>
    </w:p>
    <w:p>
      <w:pPr>
        <w:ind w:left="1640" w:hanging="275"/>
        <w:spacing w:after="0"/>
        <w:tabs>
          <w:tab w:leader="none" w:pos="1640" w:val="left"/>
        </w:tabs>
        <w:numPr>
          <w:ilvl w:val="0"/>
          <w:numId w:val="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additions to or changes in the provisions relating to satisfaction and discharge of this Indenture;</w:t>
      </w:r>
    </w:p>
    <w:p>
      <w:pPr>
        <w:spacing w:after="0" w:line="171" w:lineRule="exact"/>
        <w:rPr>
          <w:rFonts w:ascii="Times New Roman" w:cs="Times New Roman" w:eastAsia="Times New Roman" w:hAnsi="Times New Roman"/>
          <w:sz w:val="14"/>
          <w:szCs w:val="14"/>
          <w:b w:val="1"/>
          <w:bCs w:val="1"/>
          <w:color w:val="auto"/>
        </w:rPr>
      </w:pPr>
    </w:p>
    <w:p>
      <w:pPr>
        <w:ind w:left="260" w:right="579" w:firstLine="1105"/>
        <w:spacing w:after="0" w:line="278" w:lineRule="auto"/>
        <w:tabs>
          <w:tab w:leader="none" w:pos="1629" w:val="left"/>
        </w:tabs>
        <w:numPr>
          <w:ilvl w:val="0"/>
          <w:numId w:val="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additions to or changes in the provisions relating to the modification of this Indenture both with and without the consent of Securityholders of Securities issued under this Indenture;</w:t>
      </w:r>
    </w:p>
    <w:p>
      <w:pPr>
        <w:spacing w:after="0" w:line="126" w:lineRule="exact"/>
        <w:rPr>
          <w:rFonts w:ascii="Times New Roman" w:cs="Times New Roman" w:eastAsia="Times New Roman" w:hAnsi="Times New Roman"/>
          <w:sz w:val="14"/>
          <w:szCs w:val="14"/>
          <w:b w:val="1"/>
          <w:bCs w:val="1"/>
          <w:color w:val="auto"/>
        </w:rPr>
      </w:pPr>
    </w:p>
    <w:p>
      <w:pPr>
        <w:ind w:left="1640" w:hanging="275"/>
        <w:spacing w:after="0"/>
        <w:tabs>
          <w:tab w:leader="none" w:pos="1640" w:val="left"/>
        </w:tabs>
        <w:numPr>
          <w:ilvl w:val="0"/>
          <w:numId w:val="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currency of payment of Securities if other than U.S. dollars and the manner of determining the equivalent amount in U.S.</w:t>
      </w:r>
    </w:p>
    <w:p>
      <w:pPr>
        <w:spacing w:after="0" w:line="20"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dollars;</w:t>
      </w:r>
    </w:p>
    <w:p>
      <w:pPr>
        <w:spacing w:after="0" w:line="156" w:lineRule="exact"/>
        <w:rPr>
          <w:rFonts w:ascii="Times New Roman" w:cs="Times New Roman" w:eastAsia="Times New Roman" w:hAnsi="Times New Roman"/>
          <w:sz w:val="14"/>
          <w:szCs w:val="14"/>
          <w:b w:val="1"/>
          <w:bCs w:val="1"/>
          <w:color w:val="auto"/>
        </w:rPr>
      </w:pPr>
    </w:p>
    <w:p>
      <w:pPr>
        <w:ind w:left="260" w:right="399" w:firstLine="1105"/>
        <w:spacing w:after="0" w:line="278" w:lineRule="auto"/>
        <w:tabs>
          <w:tab w:leader="none" w:pos="1629" w:val="left"/>
        </w:tabs>
        <w:numPr>
          <w:ilvl w:val="0"/>
          <w:numId w:val="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whether interest will be payable in cash or additional Securities at the Company’s or the Securityholders’ option and the terms and conditions upon which the election may be made;</w:t>
      </w:r>
    </w:p>
    <w:p>
      <w:pPr>
        <w:spacing w:after="0" w:line="126" w:lineRule="exact"/>
        <w:rPr>
          <w:rFonts w:ascii="Times New Roman" w:cs="Times New Roman" w:eastAsia="Times New Roman" w:hAnsi="Times New Roman"/>
          <w:sz w:val="14"/>
          <w:szCs w:val="14"/>
          <w:b w:val="1"/>
          <w:bCs w:val="1"/>
          <w:color w:val="auto"/>
        </w:rPr>
      </w:pPr>
    </w:p>
    <w:p>
      <w:pPr>
        <w:ind w:left="260" w:right="379" w:firstLine="1105"/>
        <w:spacing w:after="0" w:line="278" w:lineRule="auto"/>
        <w:tabs>
          <w:tab w:leader="none" w:pos="1629" w:val="left"/>
        </w:tabs>
        <w:numPr>
          <w:ilvl w:val="0"/>
          <w:numId w:val="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39" w:right="1440" w:bottom="1440" w:gutter="0" w:footer="0" w:header="0"/>
        </w:sectPr>
      </w:pPr>
    </w:p>
    <w:bookmarkStart w:id="95" w:name="page96"/>
    <w:bookmarkEnd w:id="95"/>
    <w:p>
      <w:pPr>
        <w:ind w:left="1640" w:hanging="275"/>
        <w:spacing w:after="0"/>
        <w:tabs>
          <w:tab w:leader="none" w:pos="1640" w:val="left"/>
        </w:tabs>
        <w:numPr>
          <w:ilvl w:val="0"/>
          <w:numId w:val="5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any restrictions on transfer, sale or assignment of the Securities of the series; and</w:t>
      </w:r>
    </w:p>
    <w:p>
      <w:pPr>
        <w:spacing w:after="0" w:line="171" w:lineRule="exact"/>
        <w:rPr>
          <w:rFonts w:ascii="Times New Roman" w:cs="Times New Roman" w:eastAsia="Times New Roman" w:hAnsi="Times New Roman"/>
          <w:sz w:val="14"/>
          <w:szCs w:val="14"/>
          <w:b w:val="1"/>
          <w:bCs w:val="1"/>
          <w:color w:val="auto"/>
        </w:rPr>
      </w:pPr>
    </w:p>
    <w:p>
      <w:pPr>
        <w:ind w:left="260" w:right="299" w:firstLine="1105"/>
        <w:spacing w:after="0" w:line="278" w:lineRule="auto"/>
        <w:tabs>
          <w:tab w:leader="none" w:pos="1629" w:val="left"/>
        </w:tabs>
        <w:numPr>
          <w:ilvl w:val="0"/>
          <w:numId w:val="5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other specific terms, preferences, rights or limitations of, or restrictions on, the Securities, any other additions or changes in the provisions of this Indenture, and any terms that may be required by us or advisable under applicable laws or regulations.</w:t>
      </w:r>
    </w:p>
    <w:p>
      <w:pPr>
        <w:spacing w:after="0" w:line="126" w:lineRule="exact"/>
        <w:rPr>
          <w:sz w:val="20"/>
          <w:szCs w:val="20"/>
          <w:color w:val="auto"/>
        </w:rPr>
      </w:pPr>
    </w:p>
    <w:p>
      <w:pPr>
        <w:ind w:left="260" w:right="419" w:firstLine="339"/>
        <w:spacing w:after="0" w:line="278" w:lineRule="auto"/>
        <w:rPr>
          <w:sz w:val="20"/>
          <w:szCs w:val="20"/>
          <w:color w:val="auto"/>
        </w:rPr>
      </w:pPr>
      <w:r>
        <w:rPr>
          <w:rFonts w:ascii="Times New Roman" w:cs="Times New Roman" w:eastAsia="Times New Roman" w:hAnsi="Times New Roman"/>
          <w:sz w:val="14"/>
          <w:szCs w:val="14"/>
          <w:color w:val="auto"/>
        </w:rPr>
        <w:t>All Securities of any one series shall be substantially identical except as may otherwise be provided in or pursuant to any such Board Resolution or in any indentures supplemental hereto.</w:t>
      </w:r>
    </w:p>
    <w:p>
      <w:pPr>
        <w:spacing w:after="0" w:line="126" w:lineRule="exact"/>
        <w:rPr>
          <w:sz w:val="20"/>
          <w:szCs w:val="20"/>
          <w:color w:val="auto"/>
        </w:rPr>
      </w:pPr>
    </w:p>
    <w:p>
      <w:pPr>
        <w:ind w:left="260" w:right="319" w:firstLine="339"/>
        <w:spacing w:after="0" w:line="263" w:lineRule="auto"/>
        <w:rPr>
          <w:sz w:val="20"/>
          <w:szCs w:val="20"/>
          <w:color w:val="auto"/>
        </w:rPr>
      </w:pPr>
      <w:r>
        <w:rPr>
          <w:rFonts w:ascii="Times New Roman" w:cs="Times New Roman" w:eastAsia="Times New Roman" w:hAnsi="Times New Roman"/>
          <w:sz w:val="14"/>
          <w:szCs w:val="14"/>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36" w:lineRule="exact"/>
        <w:rPr>
          <w:sz w:val="20"/>
          <w:szCs w:val="20"/>
          <w:color w:val="auto"/>
        </w:rPr>
      </w:pPr>
    </w:p>
    <w:p>
      <w:pPr>
        <w:jc w:val="both"/>
        <w:ind w:left="260" w:right="519" w:firstLine="339"/>
        <w:spacing w:after="0" w:line="263" w:lineRule="auto"/>
        <w:rPr>
          <w:sz w:val="20"/>
          <w:szCs w:val="20"/>
          <w:color w:val="auto"/>
        </w:rPr>
      </w:pPr>
      <w:r>
        <w:rPr>
          <w:rFonts w:ascii="Times New Roman" w:cs="Times New Roman" w:eastAsia="Times New Roman" w:hAnsi="Times New Roman"/>
          <w:sz w:val="14"/>
          <w:szCs w:val="14"/>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3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2.02 Form of Securities and Trustee’s Certificate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339" w:firstLine="339"/>
        <w:spacing w:after="0" w:line="254" w:lineRule="auto"/>
        <w:rPr>
          <w:sz w:val="20"/>
          <w:szCs w:val="20"/>
          <w:color w:val="auto"/>
        </w:rPr>
      </w:pPr>
      <w:r>
        <w:rPr>
          <w:rFonts w:ascii="Times New Roman" w:cs="Times New Roman" w:eastAsia="Times New Roman" w:hAnsi="Times New Roman"/>
          <w:sz w:val="14"/>
          <w:szCs w:val="14"/>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4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2.03 Denominations: Provisions for Payment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379" w:firstLine="339"/>
        <w:spacing w:after="0" w:line="253" w:lineRule="auto"/>
        <w:rPr>
          <w:sz w:val="20"/>
          <w:szCs w:val="20"/>
          <w:color w:val="auto"/>
        </w:rPr>
      </w:pPr>
      <w:r>
        <w:rPr>
          <w:rFonts w:ascii="Times New Roman" w:cs="Times New Roman" w:eastAsia="Times New Roman" w:hAnsi="Times New Roman"/>
          <w:sz w:val="14"/>
          <w:szCs w:val="14"/>
          <w:color w:val="auto"/>
        </w:rPr>
        <w:t>The Securities shall be issuable as registered Securities and in the denominations of one thousand U.S. dollars ($1,000) or any integral multiple thereof, subject to Section 2.01(a)(13). The Securities of a particular series shall bear interest payable on the dates and at the rate specified with respect to that series. Subject to Section 2.01(a)(23), the principal of and the interest on the Securities of any series, as well as any premium thereon in case of redemption or repurchase thereof prior to maturity, and any cash amount due upon conversion or exchange thereof,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39" w:right="1440" w:bottom="1440" w:gutter="0" w:footer="0" w:header="0"/>
        </w:sectPr>
      </w:pPr>
    </w:p>
    <w:bookmarkStart w:id="96" w:name="page97"/>
    <w:bookmarkEnd w:id="96"/>
    <w:p>
      <w:pPr>
        <w:ind w:left="260" w:right="299" w:firstLine="33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143" w:lineRule="exact"/>
        <w:rPr>
          <w:sz w:val="20"/>
          <w:szCs w:val="20"/>
          <w:color w:val="auto"/>
        </w:rPr>
      </w:pPr>
    </w:p>
    <w:p>
      <w:pPr>
        <w:ind w:left="260" w:right="379" w:firstLine="339"/>
        <w:spacing w:after="0" w:line="292" w:lineRule="auto"/>
        <w:rPr>
          <w:sz w:val="20"/>
          <w:szCs w:val="20"/>
          <w:color w:val="auto"/>
        </w:rPr>
      </w:pPr>
      <w:r>
        <w:rPr>
          <w:rFonts w:ascii="Times New Roman" w:cs="Times New Roman" w:eastAsia="Times New Roman" w:hAnsi="Times New Roman"/>
          <w:sz w:val="13"/>
          <w:szCs w:val="13"/>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37" w:lineRule="exact"/>
        <w:rPr>
          <w:sz w:val="20"/>
          <w:szCs w:val="20"/>
          <w:color w:val="auto"/>
        </w:rPr>
      </w:pPr>
    </w:p>
    <w:p>
      <w:pPr>
        <w:ind w:left="260" w:right="279" w:firstLine="1105"/>
        <w:spacing w:after="0" w:line="250" w:lineRule="auto"/>
        <w:tabs>
          <w:tab w:leader="none" w:pos="1559" w:val="left"/>
        </w:tabs>
        <w:numPr>
          <w:ilvl w:val="0"/>
          <w:numId w:val="5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may make payment of any Defaulted Interest on Securities to the Persons in whose names such Securities (or their respective Predecessor Securities) are registered in the Security Register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sent, to each Securityholder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in the Security Register on such special record date.</w:t>
      </w:r>
    </w:p>
    <w:p>
      <w:pPr>
        <w:spacing w:after="0" w:line="149" w:lineRule="exact"/>
        <w:rPr>
          <w:rFonts w:ascii="Times New Roman" w:cs="Times New Roman" w:eastAsia="Times New Roman" w:hAnsi="Times New Roman"/>
          <w:sz w:val="14"/>
          <w:szCs w:val="14"/>
          <w:b w:val="1"/>
          <w:bCs w:val="1"/>
          <w:color w:val="auto"/>
        </w:rPr>
      </w:pPr>
    </w:p>
    <w:p>
      <w:pPr>
        <w:ind w:left="260" w:right="279" w:firstLine="1105"/>
        <w:spacing w:after="0" w:line="258" w:lineRule="auto"/>
        <w:tabs>
          <w:tab w:leader="none" w:pos="1559" w:val="left"/>
        </w:tabs>
        <w:numPr>
          <w:ilvl w:val="0"/>
          <w:numId w:val="5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39" w:right="1440" w:bottom="1440" w:gutter="0" w:footer="0" w:header="0"/>
        </w:sectPr>
      </w:pPr>
    </w:p>
    <w:bookmarkStart w:id="97" w:name="page98"/>
    <w:bookmarkEnd w:id="97"/>
    <w:p>
      <w:pPr>
        <w:ind w:left="260" w:right="279" w:firstLine="33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spacing w:after="0" w:line="142" w:lineRule="exact"/>
        <w:rPr>
          <w:sz w:val="20"/>
          <w:szCs w:val="20"/>
          <w:color w:val="auto"/>
        </w:rPr>
      </w:pPr>
    </w:p>
    <w:p>
      <w:pPr>
        <w:jc w:val="both"/>
        <w:ind w:left="260" w:right="399" w:firstLine="339"/>
        <w:spacing w:after="0" w:line="318" w:lineRule="auto"/>
        <w:rPr>
          <w:sz w:val="20"/>
          <w:szCs w:val="20"/>
          <w:color w:val="auto"/>
        </w:rPr>
      </w:pPr>
      <w:r>
        <w:rPr>
          <w:rFonts w:ascii="Times New Roman" w:cs="Times New Roman" w:eastAsia="Times New Roman" w:hAnsi="Times New Roman"/>
          <w:sz w:val="13"/>
          <w:szCs w:val="13"/>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0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2.04 Execution and Authentications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The Securities shall be signed on behalf of the Company by one of its Officers. Signatures may be in the form of a manual or facsimile signature.</w:t>
      </w:r>
    </w:p>
    <w:p>
      <w:pPr>
        <w:spacing w:after="0" w:line="172" w:lineRule="exact"/>
        <w:rPr>
          <w:sz w:val="20"/>
          <w:szCs w:val="20"/>
          <w:color w:val="auto"/>
        </w:rPr>
      </w:pPr>
    </w:p>
    <w:p>
      <w:pPr>
        <w:ind w:left="260" w:right="299" w:firstLine="339"/>
        <w:spacing w:after="0" w:line="258" w:lineRule="auto"/>
        <w:rPr>
          <w:sz w:val="20"/>
          <w:szCs w:val="20"/>
          <w:color w:val="auto"/>
        </w:rPr>
      </w:pPr>
      <w:r>
        <w:rPr>
          <w:rFonts w:ascii="Times New Roman" w:cs="Times New Roman" w:eastAsia="Times New Roman" w:hAnsi="Times New Roman"/>
          <w:sz w:val="14"/>
          <w:szCs w:val="14"/>
          <w:color w:val="auto"/>
        </w:rPr>
        <w:t>The Company may use the facsimile signature of any Person who shall have been an Officer (at the time of execution),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40" w:lineRule="exact"/>
        <w:rPr>
          <w:sz w:val="20"/>
          <w:szCs w:val="20"/>
          <w:color w:val="auto"/>
        </w:rPr>
      </w:pPr>
    </w:p>
    <w:p>
      <w:pPr>
        <w:ind w:left="260" w:right="359" w:firstLine="339"/>
        <w:spacing w:after="0" w:line="254" w:lineRule="auto"/>
        <w:rPr>
          <w:sz w:val="20"/>
          <w:szCs w:val="20"/>
          <w:color w:val="auto"/>
        </w:rPr>
      </w:pPr>
      <w:r>
        <w:rPr>
          <w:rFonts w:ascii="Times New Roman" w:cs="Times New Roman" w:eastAsia="Times New Roman" w:hAnsi="Times New Roman"/>
          <w:sz w:val="14"/>
          <w:szCs w:val="14"/>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spacing w:after="0" w:line="142" w:lineRule="exact"/>
        <w:rPr>
          <w:sz w:val="20"/>
          <w:szCs w:val="20"/>
          <w:color w:val="auto"/>
        </w:rPr>
      </w:pPr>
    </w:p>
    <w:p>
      <w:pPr>
        <w:ind w:left="260" w:right="639" w:firstLine="339"/>
        <w:spacing w:after="0" w:line="258" w:lineRule="auto"/>
        <w:rPr>
          <w:sz w:val="20"/>
          <w:szCs w:val="20"/>
          <w:color w:val="auto"/>
        </w:rPr>
      </w:pPr>
      <w:r>
        <w:rPr>
          <w:rFonts w:ascii="Times New Roman" w:cs="Times New Roman" w:eastAsia="Times New Roman" w:hAnsi="Times New Roman"/>
          <w:sz w:val="14"/>
          <w:szCs w:val="14"/>
          <w:color w:val="auto"/>
        </w:rPr>
        <w:t>Upon the Company’s delivery of any such authentication order to the Trustee at any time after the initial issuance of Securities under this Indenture, the Trustee shall be provided with, and (subject to Sections 315(a) through 315(d) of the Trust Indenture Act) shall be fully protected in relying upon, (1) an Opinion of Counsel or reliance letter and (2) an Officer’s Certificate stating that all conditions precedent to the execution, authentication and delivery of such Securities are in conformity with the provisions of this Indenture.</w:t>
      </w:r>
    </w:p>
    <w:p>
      <w:pPr>
        <w:spacing w:after="0" w:line="140" w:lineRule="exact"/>
        <w:rPr>
          <w:sz w:val="20"/>
          <w:szCs w:val="20"/>
          <w:color w:val="auto"/>
        </w:rPr>
      </w:pPr>
    </w:p>
    <w:p>
      <w:pPr>
        <w:ind w:left="260" w:right="419" w:firstLine="339"/>
        <w:spacing w:after="0" w:line="318" w:lineRule="auto"/>
        <w:rPr>
          <w:sz w:val="20"/>
          <w:szCs w:val="20"/>
          <w:color w:val="auto"/>
        </w:rPr>
      </w:pPr>
      <w:r>
        <w:rPr>
          <w:rFonts w:ascii="Times New Roman" w:cs="Times New Roman" w:eastAsia="Times New Roman" w:hAnsi="Times New Roman"/>
          <w:sz w:val="13"/>
          <w:szCs w:val="13"/>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39" w:right="1440" w:bottom="1440" w:gutter="0" w:footer="0" w:header="0"/>
        </w:sectPr>
      </w:pPr>
    </w:p>
    <w:bookmarkStart w:id="98" w:name="page99"/>
    <w:bookmarkEnd w:id="98"/>
    <w:p>
      <w:pPr>
        <w:ind w:left="6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Section 2.05 Registration of Transfer and Exchange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359" w:firstLine="765"/>
        <w:spacing w:after="0" w:line="279" w:lineRule="auto"/>
        <w:tabs>
          <w:tab w:leader="none" w:pos="1220" w:val="left"/>
        </w:tabs>
        <w:numPr>
          <w:ilvl w:val="0"/>
          <w:numId w:val="5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129" w:lineRule="exact"/>
        <w:rPr>
          <w:rFonts w:ascii="Times New Roman" w:cs="Times New Roman" w:eastAsia="Times New Roman" w:hAnsi="Times New Roman"/>
          <w:sz w:val="13"/>
          <w:szCs w:val="13"/>
          <w:b w:val="1"/>
          <w:bCs w:val="1"/>
          <w:color w:val="auto"/>
        </w:rPr>
      </w:pPr>
    </w:p>
    <w:p>
      <w:pPr>
        <w:ind w:left="260" w:right="339" w:firstLine="765"/>
        <w:spacing w:after="0" w:line="255" w:lineRule="auto"/>
        <w:tabs>
          <w:tab w:leader="none" w:pos="1228" w:val="left"/>
        </w:tabs>
        <w:numPr>
          <w:ilvl w:val="0"/>
          <w:numId w:val="5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shall keep, or cause to be kept, at its office or agency designated for such purpose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or Supplemental Indenture (the “Security Registrar”).</w:t>
      </w:r>
    </w:p>
    <w:p>
      <w:pPr>
        <w:spacing w:after="0" w:line="143" w:lineRule="exact"/>
        <w:rPr>
          <w:sz w:val="20"/>
          <w:szCs w:val="20"/>
          <w:color w:val="auto"/>
        </w:rPr>
      </w:pPr>
    </w:p>
    <w:p>
      <w:pPr>
        <w:ind w:left="260" w:right="419" w:firstLine="339"/>
        <w:spacing w:after="0" w:line="263" w:lineRule="auto"/>
        <w:rPr>
          <w:sz w:val="20"/>
          <w:szCs w:val="20"/>
          <w:color w:val="auto"/>
        </w:rPr>
      </w:pPr>
      <w:r>
        <w:rPr>
          <w:rFonts w:ascii="Times New Roman" w:cs="Times New Roman" w:eastAsia="Times New Roman" w:hAnsi="Times New Roman"/>
          <w:sz w:val="14"/>
          <w:szCs w:val="14"/>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3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The Company initially appoints the Trustee as Security Registrar for each series of Securities.</w:t>
      </w:r>
    </w:p>
    <w:p>
      <w:pPr>
        <w:spacing w:after="0" w:line="172" w:lineRule="exact"/>
        <w:rPr>
          <w:sz w:val="20"/>
          <w:szCs w:val="20"/>
          <w:color w:val="auto"/>
        </w:rPr>
      </w:pPr>
    </w:p>
    <w:p>
      <w:pPr>
        <w:jc w:val="both"/>
        <w:ind w:left="260" w:right="279" w:firstLine="339"/>
        <w:spacing w:after="0" w:line="263" w:lineRule="auto"/>
        <w:rPr>
          <w:sz w:val="20"/>
          <w:szCs w:val="20"/>
          <w:color w:val="auto"/>
        </w:rPr>
      </w:pPr>
      <w:r>
        <w:rPr>
          <w:rFonts w:ascii="Times New Roman" w:cs="Times New Roman" w:eastAsia="Times New Roman" w:hAnsi="Times New Roman"/>
          <w:sz w:val="14"/>
          <w:szCs w:val="14"/>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136" w:lineRule="exact"/>
        <w:rPr>
          <w:sz w:val="20"/>
          <w:szCs w:val="20"/>
          <w:color w:val="auto"/>
        </w:rPr>
      </w:pPr>
    </w:p>
    <w:p>
      <w:pPr>
        <w:ind w:left="260" w:right="279" w:firstLine="765"/>
        <w:spacing w:after="0" w:line="255" w:lineRule="auto"/>
        <w:tabs>
          <w:tab w:leader="none" w:pos="1212" w:val="left"/>
        </w:tabs>
        <w:numPr>
          <w:ilvl w:val="0"/>
          <w:numId w:val="6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or repurchase, conversion or exchange of less than the entire principal amount of a Security, but the Company may require payment of a sum sufficient to cover any tax or other governmental charge in relation thereto, other than exchanges pursuant to Section 2.06, Section 3.03(b) and Section 9.04 not involving any transfer.</w:t>
      </w:r>
    </w:p>
    <w:p>
      <w:pPr>
        <w:spacing w:after="0" w:line="142" w:lineRule="exact"/>
        <w:rPr>
          <w:rFonts w:ascii="Times New Roman" w:cs="Times New Roman" w:eastAsia="Times New Roman" w:hAnsi="Times New Roman"/>
          <w:sz w:val="14"/>
          <w:szCs w:val="14"/>
          <w:b w:val="1"/>
          <w:bCs w:val="1"/>
          <w:color w:val="auto"/>
        </w:rPr>
      </w:pPr>
    </w:p>
    <w:p>
      <w:pPr>
        <w:ind w:left="260" w:right="319" w:firstLine="765"/>
        <w:spacing w:after="0" w:line="254" w:lineRule="auto"/>
        <w:tabs>
          <w:tab w:leader="none" w:pos="1228" w:val="left"/>
        </w:tabs>
        <w:numPr>
          <w:ilvl w:val="0"/>
          <w:numId w:val="6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and the Security Registrar shall not be required (i) to issue, exchange or register the transfer of any Securities during a period beginning at the opening of business 15 days before the day of the sending of a notice of redemption of less than all the Outstanding Securities of the same series and ending at the close of business on the day of such sending, nor (ii) to register the transfer of or exchange any Securities of any series or portions thereof called for redemption or surrendered for repurchase, but not validly withdrawn, other than the unredeemed portion of any such Securities being redeemed in part or not surrendered for repurchase, as the case may be. The provisions of this Section 2.05 are, with respect to any Global Security, subject to Section 2.11 hereof.</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37" w:right="1440" w:bottom="1440" w:gutter="0" w:footer="0" w:header="0"/>
        </w:sectPr>
      </w:pPr>
    </w:p>
    <w:bookmarkStart w:id="99" w:name="page100"/>
    <w:bookmarkEnd w:id="99"/>
    <w:p>
      <w:pPr>
        <w:ind w:left="260" w:right="299" w:firstLine="33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4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2.06 Temporary Securities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319" w:firstLine="339"/>
        <w:spacing w:after="0" w:line="251" w:lineRule="auto"/>
        <w:rPr>
          <w:sz w:val="20"/>
          <w:szCs w:val="20"/>
          <w:color w:val="auto"/>
        </w:rPr>
      </w:pPr>
      <w:r>
        <w:rPr>
          <w:rFonts w:ascii="Times New Roman" w:cs="Times New Roman" w:eastAsia="Times New Roman" w:hAnsi="Times New Roman"/>
          <w:sz w:val="14"/>
          <w:szCs w:val="14"/>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Securityholders),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4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2.07 Mutilated, Destroyed, Lost or Stolen Securities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279" w:firstLine="339"/>
        <w:spacing w:after="0" w:line="273" w:lineRule="auto"/>
        <w:rPr>
          <w:sz w:val="20"/>
          <w:szCs w:val="20"/>
          <w:color w:val="auto"/>
        </w:rPr>
      </w:pPr>
      <w:r>
        <w:rPr>
          <w:rFonts w:ascii="Times New Roman" w:cs="Times New Roman" w:eastAsia="Times New Roman" w:hAnsi="Times New Roman"/>
          <w:sz w:val="13"/>
          <w:szCs w:val="13"/>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39" w:right="1440" w:bottom="1440" w:gutter="0" w:footer="0" w:header="0"/>
        </w:sectPr>
      </w:pPr>
    </w:p>
    <w:bookmarkStart w:id="100" w:name="page101"/>
    <w:bookmarkEnd w:id="100"/>
    <w:p>
      <w:pPr>
        <w:ind w:left="260" w:right="359" w:firstLine="33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43" w:lineRule="exact"/>
        <w:rPr>
          <w:sz w:val="20"/>
          <w:szCs w:val="20"/>
          <w:color w:val="auto"/>
        </w:rPr>
      </w:pPr>
    </w:p>
    <w:p>
      <w:pPr>
        <w:ind w:left="260" w:right="399" w:firstLine="339"/>
        <w:spacing w:after="0" w:line="253" w:lineRule="auto"/>
        <w:rPr>
          <w:sz w:val="20"/>
          <w:szCs w:val="20"/>
          <w:color w:val="auto"/>
        </w:rPr>
      </w:pPr>
      <w:r>
        <w:rPr>
          <w:rFonts w:ascii="Times New Roman" w:cs="Times New Roman" w:eastAsia="Times New Roman" w:hAnsi="Times New Roman"/>
          <w:sz w:val="14"/>
          <w:szCs w:val="14"/>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4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2.08 Cancellation</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379" w:firstLine="339"/>
        <w:spacing w:after="0" w:line="275" w:lineRule="auto"/>
        <w:rPr>
          <w:sz w:val="20"/>
          <w:szCs w:val="20"/>
          <w:color w:val="auto"/>
        </w:rPr>
      </w:pPr>
      <w:r>
        <w:rPr>
          <w:rFonts w:ascii="Times New Roman" w:cs="Times New Roman" w:eastAsia="Times New Roman" w:hAnsi="Times New Roman"/>
          <w:sz w:val="13"/>
          <w:szCs w:val="13"/>
          <w:color w:val="auto"/>
        </w:rPr>
        <w:t>All Securities surrendered for the purpose of payment, redemption, repurchase, exchange, registration of transfer or conversion shall, if surrendered to the Company or any paying agent (or any other applicable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2.09 Benefits of Indenture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299" w:firstLine="339"/>
        <w:spacing w:after="0" w:line="258" w:lineRule="auto"/>
        <w:rPr>
          <w:sz w:val="20"/>
          <w:szCs w:val="20"/>
          <w:color w:val="auto"/>
        </w:rPr>
      </w:pPr>
      <w:r>
        <w:rPr>
          <w:rFonts w:ascii="Times New Roman" w:cs="Times New Roman" w:eastAsia="Times New Roman" w:hAnsi="Times New Roman"/>
          <w:sz w:val="14"/>
          <w:szCs w:val="14"/>
          <w:color w:val="auto"/>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39" w:right="1440" w:bottom="1440" w:gutter="0" w:footer="0" w:header="0"/>
        </w:sectPr>
      </w:pPr>
    </w:p>
    <w:bookmarkStart w:id="101" w:name="page102"/>
    <w:bookmarkEnd w:id="101"/>
    <w:p>
      <w:pPr>
        <w:ind w:left="6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Section 2.10 Authenticating Agent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339" w:firstLine="339"/>
        <w:spacing w:after="0" w:line="273" w:lineRule="auto"/>
        <w:rPr>
          <w:sz w:val="20"/>
          <w:szCs w:val="20"/>
          <w:color w:val="auto"/>
        </w:rPr>
      </w:pPr>
      <w:r>
        <w:rPr>
          <w:rFonts w:ascii="Times New Roman" w:cs="Times New Roman" w:eastAsia="Times New Roman" w:hAnsi="Times New Roman"/>
          <w:sz w:val="13"/>
          <w:szCs w:val="13"/>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repurchase or conversion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33" w:lineRule="exact"/>
        <w:rPr>
          <w:sz w:val="20"/>
          <w:szCs w:val="20"/>
          <w:color w:val="auto"/>
        </w:rPr>
      </w:pPr>
    </w:p>
    <w:p>
      <w:pPr>
        <w:ind w:left="260" w:right="419" w:firstLine="339"/>
        <w:spacing w:after="0" w:line="254" w:lineRule="auto"/>
        <w:rPr>
          <w:sz w:val="20"/>
          <w:szCs w:val="20"/>
          <w:color w:val="auto"/>
        </w:rPr>
      </w:pPr>
      <w:r>
        <w:rPr>
          <w:rFonts w:ascii="Times New Roman" w:cs="Times New Roman" w:eastAsia="Times New Roman" w:hAnsi="Times New Roman"/>
          <w:sz w:val="14"/>
          <w:szCs w:val="14"/>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4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2.11 Global Securities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279" w:firstLine="765"/>
        <w:spacing w:after="0" w:line="253" w:lineRule="auto"/>
        <w:tabs>
          <w:tab w:leader="none" w:pos="1220" w:val="left"/>
        </w:tabs>
        <w:numPr>
          <w:ilvl w:val="0"/>
          <w:numId w:val="6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(or if the Depositary names the Trustee as its custodian, retained by the Trustee),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142" w:lineRule="exact"/>
        <w:rPr>
          <w:rFonts w:ascii="Times New Roman" w:cs="Times New Roman" w:eastAsia="Times New Roman" w:hAnsi="Times New Roman"/>
          <w:sz w:val="14"/>
          <w:szCs w:val="14"/>
          <w:b w:val="1"/>
          <w:bCs w:val="1"/>
          <w:color w:val="auto"/>
        </w:rPr>
      </w:pPr>
    </w:p>
    <w:p>
      <w:pPr>
        <w:ind w:left="260" w:right="399" w:firstLine="765"/>
        <w:spacing w:after="0" w:line="263" w:lineRule="auto"/>
        <w:tabs>
          <w:tab w:leader="none" w:pos="1228" w:val="left"/>
        </w:tabs>
        <w:numPr>
          <w:ilvl w:val="0"/>
          <w:numId w:val="6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37" w:right="1440" w:bottom="1440" w:gutter="0" w:footer="0" w:header="0"/>
        </w:sectPr>
      </w:pPr>
    </w:p>
    <w:bookmarkStart w:id="102" w:name="page103"/>
    <w:bookmarkEnd w:id="102"/>
    <w:p>
      <w:pPr>
        <w:ind w:left="260" w:right="299" w:firstLine="765"/>
        <w:spacing w:after="0" w:line="249" w:lineRule="auto"/>
        <w:tabs>
          <w:tab w:leader="none" w:pos="1212" w:val="left"/>
        </w:tabs>
        <w:numPr>
          <w:ilvl w:val="0"/>
          <w:numId w:val="6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15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2.12 CUSIP Numbers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339" w:firstLine="339"/>
        <w:spacing w:after="0" w:line="255" w:lineRule="auto"/>
        <w:rPr>
          <w:sz w:val="20"/>
          <w:szCs w:val="20"/>
          <w:color w:val="auto"/>
        </w:rPr>
      </w:pPr>
      <w:r>
        <w:rPr>
          <w:rFonts w:ascii="Times New Roman" w:cs="Times New Roman" w:eastAsia="Times New Roman" w:hAnsi="Times New Roman"/>
          <w:sz w:val="14"/>
          <w:szCs w:val="14"/>
          <w:color w:val="auto"/>
        </w:rPr>
        <w:t>The Company in issuing the Securities may use “CUSIP” numbers (if then generally in use), and, if so, the Trustee shall use “CUSIP” numbers in notices of redemption as a convenience to Securityholders;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will promptly notify the Trustee of any change in the “CUSIP” numbers.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39" w:right="1440" w:bottom="1440" w:gutter="0" w:footer="0" w:header="0"/>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ARTICLE 3</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REDEMPTION OF SECURITIES AND SINKING FUND PROVISIONS</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3.01 Redemption</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499" w:firstLine="339"/>
        <w:spacing w:after="0" w:line="278" w:lineRule="auto"/>
        <w:rPr>
          <w:sz w:val="20"/>
          <w:szCs w:val="20"/>
          <w:color w:val="auto"/>
        </w:rPr>
      </w:pPr>
      <w:r>
        <w:rPr>
          <w:rFonts w:ascii="Times New Roman" w:cs="Times New Roman" w:eastAsia="Times New Roman" w:hAnsi="Times New Roman"/>
          <w:sz w:val="14"/>
          <w:szCs w:val="14"/>
          <w:color w:val="auto"/>
        </w:rPr>
        <w:t>The Company may redeem the Securities of any series issued hereunder on and after the dates and in accordance with the terms established for such series pursuant to Section 2.01 hereof.</w:t>
      </w:r>
    </w:p>
    <w:p>
      <w:pPr>
        <w:spacing w:after="0" w:line="1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3.02 Notice of Redemption</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279" w:firstLine="765"/>
        <w:spacing w:after="0" w:line="251" w:lineRule="auto"/>
        <w:tabs>
          <w:tab w:leader="none" w:pos="1220" w:val="left"/>
        </w:tabs>
        <w:numPr>
          <w:ilvl w:val="0"/>
          <w:numId w:val="6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(or with regard to any Global Security held in book entry form, by electronic mail in accordance with the applicable procedures of the Depositary), a notice of such redemption not less than 30 days and not more than 90 days before the date fixed for redemption of that series to such Securityholders,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44" w:lineRule="exact"/>
        <w:rPr>
          <w:sz w:val="20"/>
          <w:szCs w:val="20"/>
          <w:color w:val="auto"/>
        </w:rPr>
      </w:pPr>
    </w:p>
    <w:p>
      <w:pPr>
        <w:ind w:left="260" w:right="299" w:firstLine="339"/>
        <w:spacing w:after="0" w:line="254" w:lineRule="auto"/>
        <w:rPr>
          <w:sz w:val="20"/>
          <w:szCs w:val="20"/>
          <w:color w:val="auto"/>
        </w:rPr>
      </w:pPr>
      <w:r>
        <w:rPr>
          <w:rFonts w:ascii="Times New Roman" w:cs="Times New Roman" w:eastAsia="Times New Roman" w:hAnsi="Times New Roman"/>
          <w:sz w:val="14"/>
          <w:szCs w:val="14"/>
          <w:color w:val="auto"/>
        </w:rPr>
        <w:t>Each such notice of redemption shall identify the Securities to be redeemed (including CUSIP numbers, if any),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142" w:lineRule="exact"/>
        <w:rPr>
          <w:sz w:val="20"/>
          <w:szCs w:val="20"/>
          <w:color w:val="auto"/>
        </w:rPr>
      </w:pPr>
    </w:p>
    <w:p>
      <w:pPr>
        <w:ind w:left="260" w:right="319" w:firstLine="339"/>
        <w:spacing w:after="0" w:line="263" w:lineRule="auto"/>
        <w:rPr>
          <w:sz w:val="20"/>
          <w:szCs w:val="20"/>
          <w:color w:val="auto"/>
        </w:rPr>
      </w:pPr>
      <w:r>
        <w:rPr>
          <w:rFonts w:ascii="Times New Roman" w:cs="Times New Roman" w:eastAsia="Times New Roman" w:hAnsi="Times New Roman"/>
          <w:sz w:val="14"/>
          <w:szCs w:val="14"/>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37" w:right="1440" w:bottom="1440" w:gutter="0" w:footer="0" w:header="0"/>
        </w:sectPr>
      </w:pPr>
    </w:p>
    <w:bookmarkStart w:id="104" w:name="page105"/>
    <w:bookmarkEnd w:id="104"/>
    <w:p>
      <w:pPr>
        <w:ind w:left="260" w:right="279" w:firstLine="765"/>
        <w:spacing w:after="0" w:line="250" w:lineRule="auto"/>
        <w:tabs>
          <w:tab w:leader="none" w:pos="1228" w:val="left"/>
        </w:tabs>
        <w:numPr>
          <w:ilvl w:val="0"/>
          <w:numId w:val="6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Securities to be redeemed shall be selected, by lot, on a pro rata basis, or in such other manner as the Company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14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3.03 Payment Upon Redemption</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299" w:firstLine="765"/>
        <w:spacing w:after="0" w:line="274" w:lineRule="auto"/>
        <w:tabs>
          <w:tab w:leader="none" w:pos="1220" w:val="left"/>
        </w:tabs>
        <w:numPr>
          <w:ilvl w:val="0"/>
          <w:numId w:val="6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but excluding,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but excluding,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131" w:lineRule="exact"/>
        <w:rPr>
          <w:rFonts w:ascii="Times New Roman" w:cs="Times New Roman" w:eastAsia="Times New Roman" w:hAnsi="Times New Roman"/>
          <w:sz w:val="13"/>
          <w:szCs w:val="13"/>
          <w:b w:val="1"/>
          <w:bCs w:val="1"/>
          <w:color w:val="auto"/>
        </w:rPr>
      </w:pPr>
    </w:p>
    <w:p>
      <w:pPr>
        <w:jc w:val="both"/>
        <w:ind w:left="260" w:right="439" w:firstLine="765"/>
        <w:spacing w:after="0" w:line="292" w:lineRule="auto"/>
        <w:tabs>
          <w:tab w:leader="none" w:pos="1228" w:val="left"/>
        </w:tabs>
        <w:numPr>
          <w:ilvl w:val="0"/>
          <w:numId w:val="6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Upon presentation of any Security of such series that is to be redeemed in part only, the Company shall execute and the Trustee shall authenticate and the office or agency where the Security is presented shall deliver to the Securityholder thereof, at the expense of the Company, a new Security of the same series of authorized denominations in principal amount equal to the unredeemed portion of the Security so presented.</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3.04 Sinking Fund</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739" w:firstLine="339"/>
        <w:spacing w:after="0" w:line="278" w:lineRule="auto"/>
        <w:rPr>
          <w:sz w:val="20"/>
          <w:szCs w:val="20"/>
          <w:color w:val="auto"/>
        </w:rPr>
      </w:pPr>
      <w:r>
        <w:rPr>
          <w:rFonts w:ascii="Times New Roman" w:cs="Times New Roman" w:eastAsia="Times New Roman" w:hAnsi="Times New Roman"/>
          <w:sz w:val="14"/>
          <w:szCs w:val="14"/>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39" w:right="1440" w:bottom="1440" w:gutter="0" w:footer="0" w:header="0"/>
        </w:sectPr>
      </w:pPr>
    </w:p>
    <w:bookmarkStart w:id="105" w:name="page106"/>
    <w:bookmarkEnd w:id="105"/>
    <w:p>
      <w:pPr>
        <w:ind w:left="260" w:right="279" w:firstLine="33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14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3.05 Satisfaction of Sinking Fund Payments with Securities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279" w:firstLine="339"/>
        <w:spacing w:after="0" w:line="254" w:lineRule="auto"/>
        <w:rPr>
          <w:sz w:val="20"/>
          <w:szCs w:val="20"/>
          <w:color w:val="auto"/>
        </w:rPr>
      </w:pPr>
      <w:r>
        <w:rPr>
          <w:rFonts w:ascii="Times New Roman" w:cs="Times New Roman" w:eastAsia="Times New Roman" w:hAnsi="Times New Roman"/>
          <w:sz w:val="14"/>
          <w:szCs w:val="14"/>
          <w:color w:val="auto"/>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4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3.06 Redemption of Securities for Sinking Fund</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279" w:firstLine="339"/>
        <w:spacing w:after="0" w:line="252" w:lineRule="auto"/>
        <w:rPr>
          <w:sz w:val="20"/>
          <w:szCs w:val="20"/>
          <w:color w:val="auto"/>
        </w:rPr>
      </w:pPr>
      <w:r>
        <w:rPr>
          <w:rFonts w:ascii="Times New Roman" w:cs="Times New Roman" w:eastAsia="Times New Roman" w:hAnsi="Times New Roman"/>
          <w:sz w:val="14"/>
          <w:szCs w:val="14"/>
          <w:color w:val="auto"/>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Securities to be redeemed upon such sinking fund payment date shall be selected in the manner specified in Section 3.02 and the Company shall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4</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4.01 Payment of Principal, Premium and Interest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299" w:firstLine="339"/>
        <w:spacing w:after="0" w:line="255" w:lineRule="auto"/>
        <w:rPr>
          <w:sz w:val="20"/>
          <w:szCs w:val="20"/>
          <w:color w:val="auto"/>
        </w:rPr>
      </w:pPr>
      <w:r>
        <w:rPr>
          <w:rFonts w:ascii="Times New Roman" w:cs="Times New Roman" w:eastAsia="Times New Roman" w:hAnsi="Times New Roman"/>
          <w:sz w:val="14"/>
          <w:szCs w:val="14"/>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39" w:right="1440" w:bottom="1440" w:gutter="0" w:footer="0" w:header="0"/>
        </w:sectPr>
      </w:pPr>
    </w:p>
    <w:bookmarkStart w:id="106" w:name="page107"/>
    <w:bookmarkEnd w:id="106"/>
    <w:p>
      <w:pPr>
        <w:ind w:left="260" w:right="33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w:t>
      </w:r>
    </w:p>
    <w:p>
      <w:pPr>
        <w:spacing w:after="0" w:line="13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4.02 Maintenance of Office or Agency</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299" w:firstLine="339"/>
        <w:spacing w:after="0" w:line="251" w:lineRule="auto"/>
        <w:rPr>
          <w:sz w:val="20"/>
          <w:szCs w:val="20"/>
          <w:color w:val="auto"/>
        </w:rPr>
      </w:pPr>
      <w:r>
        <w:rPr>
          <w:rFonts w:ascii="Times New Roman" w:cs="Times New Roman" w:eastAsia="Times New Roman" w:hAnsi="Times New Roman"/>
          <w:sz w:val="14"/>
          <w:szCs w:val="14"/>
          <w:color w:val="auto"/>
        </w:rPr>
        <w:t>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w:t>
      </w:r>
    </w:p>
    <w:p>
      <w:pPr>
        <w:spacing w:after="0" w:line="14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4.03 Paying Agents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299" w:firstLine="765"/>
        <w:spacing w:after="0" w:line="263" w:lineRule="auto"/>
        <w:tabs>
          <w:tab w:leader="none" w:pos="1220" w:val="left"/>
        </w:tabs>
        <w:numPr>
          <w:ilvl w:val="0"/>
          <w:numId w:val="6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53" w:lineRule="exact"/>
        <w:rPr>
          <w:rFonts w:ascii="Times New Roman" w:cs="Times New Roman" w:eastAsia="Times New Roman" w:hAnsi="Times New Roman"/>
          <w:sz w:val="14"/>
          <w:szCs w:val="14"/>
          <w:b w:val="1"/>
          <w:bCs w:val="1"/>
          <w:color w:val="auto"/>
        </w:rPr>
      </w:pPr>
    </w:p>
    <w:p>
      <w:pPr>
        <w:ind w:left="260" w:right="279" w:firstLine="1105"/>
        <w:spacing w:after="0" w:line="263" w:lineRule="auto"/>
        <w:tabs>
          <w:tab w:leader="none" w:pos="1559" w:val="left"/>
        </w:tabs>
        <w:numPr>
          <w:ilvl w:val="1"/>
          <w:numId w:val="6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136" w:lineRule="exact"/>
        <w:rPr>
          <w:rFonts w:ascii="Times New Roman" w:cs="Times New Roman" w:eastAsia="Times New Roman" w:hAnsi="Times New Roman"/>
          <w:sz w:val="14"/>
          <w:szCs w:val="14"/>
          <w:b w:val="1"/>
          <w:bCs w:val="1"/>
          <w:color w:val="auto"/>
        </w:rPr>
      </w:pPr>
    </w:p>
    <w:p>
      <w:pPr>
        <w:ind w:left="260" w:right="719" w:firstLine="1105"/>
        <w:spacing w:after="0" w:line="278" w:lineRule="auto"/>
        <w:tabs>
          <w:tab w:leader="none" w:pos="1559" w:val="left"/>
        </w:tabs>
        <w:numPr>
          <w:ilvl w:val="1"/>
          <w:numId w:val="6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126" w:lineRule="exact"/>
        <w:rPr>
          <w:rFonts w:ascii="Times New Roman" w:cs="Times New Roman" w:eastAsia="Times New Roman" w:hAnsi="Times New Roman"/>
          <w:sz w:val="14"/>
          <w:szCs w:val="14"/>
          <w:b w:val="1"/>
          <w:bCs w:val="1"/>
          <w:color w:val="auto"/>
        </w:rPr>
      </w:pPr>
    </w:p>
    <w:p>
      <w:pPr>
        <w:ind w:left="260" w:right="299" w:firstLine="1105"/>
        <w:spacing w:after="0" w:line="278" w:lineRule="auto"/>
        <w:tabs>
          <w:tab w:leader="none" w:pos="1559" w:val="left"/>
        </w:tabs>
        <w:numPr>
          <w:ilvl w:val="1"/>
          <w:numId w:val="6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39" w:right="1440" w:bottom="1440" w:gutter="0" w:footer="0" w:header="0"/>
        </w:sectPr>
      </w:pPr>
    </w:p>
    <w:bookmarkStart w:id="107" w:name="page108"/>
    <w:bookmarkEnd w:id="107"/>
    <w:p>
      <w:pPr>
        <w:ind w:left="1560" w:hanging="195"/>
        <w:spacing w:after="0"/>
        <w:tabs>
          <w:tab w:leader="none" w:pos="1560" w:val="left"/>
        </w:tabs>
        <w:numPr>
          <w:ilvl w:val="1"/>
          <w:numId w:val="6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that it will perform all other duties of paying agent as set forth in this Indenture.</w:t>
      </w:r>
    </w:p>
    <w:p>
      <w:pPr>
        <w:spacing w:after="0" w:line="171" w:lineRule="exact"/>
        <w:rPr>
          <w:rFonts w:ascii="Times New Roman" w:cs="Times New Roman" w:eastAsia="Times New Roman" w:hAnsi="Times New Roman"/>
          <w:sz w:val="14"/>
          <w:szCs w:val="14"/>
          <w:b w:val="1"/>
          <w:bCs w:val="1"/>
          <w:color w:val="auto"/>
        </w:rPr>
      </w:pPr>
    </w:p>
    <w:p>
      <w:pPr>
        <w:ind w:left="260" w:right="299" w:firstLine="765"/>
        <w:spacing w:after="0" w:line="274" w:lineRule="auto"/>
        <w:tabs>
          <w:tab w:leader="none" w:pos="1228" w:val="left"/>
        </w:tabs>
        <w:numPr>
          <w:ilvl w:val="0"/>
          <w:numId w:val="6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131" w:lineRule="exact"/>
        <w:rPr>
          <w:rFonts w:ascii="Times New Roman" w:cs="Times New Roman" w:eastAsia="Times New Roman" w:hAnsi="Times New Roman"/>
          <w:sz w:val="13"/>
          <w:szCs w:val="13"/>
          <w:b w:val="1"/>
          <w:bCs w:val="1"/>
          <w:color w:val="auto"/>
        </w:rPr>
      </w:pPr>
    </w:p>
    <w:p>
      <w:pPr>
        <w:ind w:left="260" w:right="279" w:firstLine="765"/>
        <w:spacing w:after="0" w:line="254" w:lineRule="auto"/>
        <w:tabs>
          <w:tab w:leader="none" w:pos="1212" w:val="left"/>
        </w:tabs>
        <w:numPr>
          <w:ilvl w:val="0"/>
          <w:numId w:val="6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14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4.04 Appointment to Fill Vacancy in Office of Trustee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659" w:firstLine="339"/>
        <w:spacing w:after="0" w:line="278" w:lineRule="auto"/>
        <w:rPr>
          <w:sz w:val="20"/>
          <w:szCs w:val="20"/>
          <w:color w:val="auto"/>
        </w:rPr>
      </w:pPr>
      <w:r>
        <w:rPr>
          <w:rFonts w:ascii="Times New Roman" w:cs="Times New Roman" w:eastAsia="Times New Roman" w:hAnsi="Times New Roman"/>
          <w:sz w:val="14"/>
          <w:szCs w:val="14"/>
          <w:color w:val="auto"/>
        </w:rPr>
        <w:t>The Company, whenever necessary to avoid or fill a vacancy in the office of Trustee, will appoint, in the manner provided in Section 7.10, a Trustee, so that there shall at all times be a Trustee hereunder.</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5</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SECURITYHOLDERS’ LISTS AND REPORTS BY THE COMPANY AND THE TRUSTEE</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5.01 Company to Furnish Trustee Names and Addresses of Securityholders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339" w:firstLine="339"/>
        <w:spacing w:after="0" w:line="277" w:lineRule="auto"/>
        <w:rPr>
          <w:sz w:val="20"/>
          <w:szCs w:val="20"/>
          <w:color w:val="auto"/>
        </w:rPr>
      </w:pPr>
      <w:r>
        <w:rPr>
          <w:rFonts w:ascii="Times New Roman" w:cs="Times New Roman" w:eastAsia="Times New Roman" w:hAnsi="Times New Roman"/>
          <w:sz w:val="13"/>
          <w:szCs w:val="13"/>
          <w:color w:val="auto"/>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39" w:right="1440" w:bottom="1440" w:gutter="0" w:footer="0" w:header="0"/>
        </w:sectPr>
      </w:pPr>
    </w:p>
    <w:bookmarkStart w:id="108" w:name="page109"/>
    <w:bookmarkEnd w:id="108"/>
    <w:p>
      <w:pPr>
        <w:ind w:left="6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Section 5.02 Preservation Of Information; Communications With Securityholders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699" w:firstLine="765"/>
        <w:spacing w:after="0" w:line="263" w:lineRule="auto"/>
        <w:tabs>
          <w:tab w:leader="none" w:pos="1220" w:val="left"/>
        </w:tabs>
        <w:numPr>
          <w:ilvl w:val="0"/>
          <w:numId w:val="6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spacing w:after="0" w:line="136" w:lineRule="exact"/>
        <w:rPr>
          <w:rFonts w:ascii="Times New Roman" w:cs="Times New Roman" w:eastAsia="Times New Roman" w:hAnsi="Times New Roman"/>
          <w:sz w:val="14"/>
          <w:szCs w:val="14"/>
          <w:b w:val="1"/>
          <w:bCs w:val="1"/>
          <w:color w:val="auto"/>
        </w:rPr>
      </w:pPr>
    </w:p>
    <w:p>
      <w:pPr>
        <w:ind w:left="1220" w:hanging="195"/>
        <w:spacing w:after="0"/>
        <w:tabs>
          <w:tab w:leader="none" w:pos="1220" w:val="left"/>
        </w:tabs>
        <w:numPr>
          <w:ilvl w:val="0"/>
          <w:numId w:val="6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may destroy any list furnished to it as provided in Section 5.01 upon receipt of a new list so furnished.</w:t>
      </w:r>
    </w:p>
    <w:p>
      <w:pPr>
        <w:spacing w:after="0" w:line="171" w:lineRule="exact"/>
        <w:rPr>
          <w:rFonts w:ascii="Times New Roman" w:cs="Times New Roman" w:eastAsia="Times New Roman" w:hAnsi="Times New Roman"/>
          <w:sz w:val="14"/>
          <w:szCs w:val="14"/>
          <w:b w:val="1"/>
          <w:bCs w:val="1"/>
          <w:color w:val="auto"/>
        </w:rPr>
      </w:pPr>
    </w:p>
    <w:p>
      <w:pPr>
        <w:ind w:left="260" w:right="339" w:firstLine="765"/>
        <w:spacing w:after="0" w:line="263" w:lineRule="auto"/>
        <w:tabs>
          <w:tab w:leader="none" w:pos="1212" w:val="left"/>
        </w:tabs>
        <w:numPr>
          <w:ilvl w:val="0"/>
          <w:numId w:val="6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13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5.03 Reports by the Company</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279" w:firstLine="765"/>
        <w:spacing w:after="0" w:line="251" w:lineRule="auto"/>
        <w:tabs>
          <w:tab w:leader="none" w:pos="1220" w:val="left"/>
        </w:tabs>
        <w:numPr>
          <w:ilvl w:val="0"/>
          <w:numId w:val="7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will at all times comply with Section 314(a) of the Trust Indenture Act. 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correspondence filed with the Commission or any materials for which the Company has sought and received confidential treatment by the Commission; and provided further, that so long as such filings by the Company are available on the Commission’s Electronic Data Gathering, Analysis and Retrieval System (EDGAR), or any successor system, such filings shall be deemed to have been filed with the Trustee for purposes hereof without any further action required by the Company. For the avoidance of doubt, a failure by the Company to file annual reports, information and other reports with the Commission within the time period prescribed thereof by the Commission shall not be deemed a breach of this Section 5.03.</w:t>
      </w:r>
    </w:p>
    <w:p>
      <w:pPr>
        <w:spacing w:after="0" w:line="146" w:lineRule="exact"/>
        <w:rPr>
          <w:rFonts w:ascii="Times New Roman" w:cs="Times New Roman" w:eastAsia="Times New Roman" w:hAnsi="Times New Roman"/>
          <w:sz w:val="14"/>
          <w:szCs w:val="14"/>
          <w:b w:val="1"/>
          <w:bCs w:val="1"/>
          <w:color w:val="auto"/>
        </w:rPr>
      </w:pPr>
    </w:p>
    <w:p>
      <w:pPr>
        <w:ind w:left="260" w:right="299" w:firstLine="765"/>
        <w:spacing w:after="0" w:line="258" w:lineRule="auto"/>
        <w:tabs>
          <w:tab w:leader="none" w:pos="1228" w:val="left"/>
        </w:tabs>
        <w:numPr>
          <w:ilvl w:val="0"/>
          <w:numId w:val="7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 The Trustee is under no duty to examine any such reports, information or</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37" w:right="1440" w:bottom="1440" w:gutter="0" w:footer="0" w:header="0"/>
        </w:sectPr>
      </w:pPr>
    </w:p>
    <w:bookmarkStart w:id="109" w:name="page110"/>
    <w:bookmarkEnd w:id="109"/>
    <w:p>
      <w:pPr>
        <w:ind w:left="260" w:right="419"/>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documents delivered to the Trustee or filed with the Commission via EDGAR to ensure compliance with the provision of this Indenture or to ascertain the correctness or otherwise of the information or the statements contained therein. The Trustee shall have no responsibility or duty whatsoever to ascertain or determine whether the above referenced filings with the Commission on EDGAR (or any successor system) has occurred.</w:t>
      </w:r>
    </w:p>
    <w:p>
      <w:pPr>
        <w:spacing w:after="0" w:line="13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5.04 Reports by the Trustee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819" w:firstLine="765"/>
        <w:spacing w:after="0" w:line="278" w:lineRule="auto"/>
        <w:tabs>
          <w:tab w:leader="none" w:pos="1220" w:val="left"/>
        </w:tabs>
        <w:numPr>
          <w:ilvl w:val="0"/>
          <w:numId w:val="7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required by Section 313(a) of the Trust Indenture Act, the Trustee, within sixty (60) days after each May 1, shall send to the Securityholders a brief report dated as of such May 1, which complies with Section 313(a) of the Trust Indenture Act.</w:t>
      </w:r>
    </w:p>
    <w:p>
      <w:pPr>
        <w:spacing w:after="0" w:line="126" w:lineRule="exact"/>
        <w:rPr>
          <w:rFonts w:ascii="Times New Roman" w:cs="Times New Roman" w:eastAsia="Times New Roman" w:hAnsi="Times New Roman"/>
          <w:sz w:val="14"/>
          <w:szCs w:val="14"/>
          <w:b w:val="1"/>
          <w:bCs w:val="1"/>
          <w:color w:val="auto"/>
        </w:rPr>
      </w:pPr>
    </w:p>
    <w:p>
      <w:pPr>
        <w:ind w:left="1220" w:hanging="195"/>
        <w:spacing w:after="0"/>
        <w:tabs>
          <w:tab w:leader="none" w:pos="1220" w:val="left"/>
        </w:tabs>
        <w:numPr>
          <w:ilvl w:val="0"/>
          <w:numId w:val="7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shall comply with Section 313(b) and 313(c) of the Trust Indenture Act.</w:t>
      </w:r>
    </w:p>
    <w:p>
      <w:pPr>
        <w:spacing w:after="0" w:line="171" w:lineRule="exact"/>
        <w:rPr>
          <w:rFonts w:ascii="Times New Roman" w:cs="Times New Roman" w:eastAsia="Times New Roman" w:hAnsi="Times New Roman"/>
          <w:sz w:val="14"/>
          <w:szCs w:val="14"/>
          <w:b w:val="1"/>
          <w:bCs w:val="1"/>
          <w:color w:val="auto"/>
        </w:rPr>
      </w:pPr>
    </w:p>
    <w:p>
      <w:pPr>
        <w:ind w:left="260" w:right="459" w:firstLine="765"/>
        <w:spacing w:after="0" w:line="263" w:lineRule="auto"/>
        <w:tabs>
          <w:tab w:leader="none" w:pos="1212" w:val="left"/>
        </w:tabs>
        <w:numPr>
          <w:ilvl w:val="0"/>
          <w:numId w:val="7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6</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REMEDIES OF THE TRUSTEE AND SECURITYHOLDERS ON EVENT OF DEFAULT</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6.01 Events of Default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599" w:firstLine="765"/>
        <w:spacing w:after="0" w:line="278" w:lineRule="auto"/>
        <w:tabs>
          <w:tab w:leader="none" w:pos="1220" w:val="left"/>
        </w:tabs>
        <w:numPr>
          <w:ilvl w:val="0"/>
          <w:numId w:val="7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Whenever used herein with respect to Securities of a particular series, “Event of Default” means any one or more of the following events that has occurred and is continuing:</w:t>
      </w:r>
    </w:p>
    <w:p>
      <w:pPr>
        <w:spacing w:after="0" w:line="42" w:lineRule="exact"/>
        <w:rPr>
          <w:rFonts w:ascii="Times New Roman" w:cs="Times New Roman" w:eastAsia="Times New Roman" w:hAnsi="Times New Roman"/>
          <w:sz w:val="14"/>
          <w:szCs w:val="14"/>
          <w:b w:val="1"/>
          <w:bCs w:val="1"/>
          <w:color w:val="auto"/>
        </w:rPr>
      </w:pPr>
    </w:p>
    <w:p>
      <w:pPr>
        <w:ind w:left="260" w:right="319" w:firstLine="1105"/>
        <w:spacing w:after="0" w:line="258" w:lineRule="auto"/>
        <w:tabs>
          <w:tab w:leader="none" w:pos="1559" w:val="left"/>
        </w:tabs>
        <w:numPr>
          <w:ilvl w:val="1"/>
          <w:numId w:val="7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139" w:lineRule="exact"/>
        <w:rPr>
          <w:rFonts w:ascii="Times New Roman" w:cs="Times New Roman" w:eastAsia="Times New Roman" w:hAnsi="Times New Roman"/>
          <w:sz w:val="14"/>
          <w:szCs w:val="14"/>
          <w:b w:val="1"/>
          <w:bCs w:val="1"/>
          <w:color w:val="auto"/>
        </w:rPr>
      </w:pPr>
    </w:p>
    <w:p>
      <w:pPr>
        <w:ind w:left="260" w:right="299" w:firstLine="1105"/>
        <w:spacing w:after="0" w:line="258" w:lineRule="auto"/>
        <w:tabs>
          <w:tab w:leader="none" w:pos="1559" w:val="left"/>
        </w:tabs>
        <w:numPr>
          <w:ilvl w:val="1"/>
          <w:numId w:val="7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39" w:right="1440" w:bottom="1440" w:gutter="0" w:footer="0" w:header="0"/>
        </w:sectPr>
      </w:pPr>
    </w:p>
    <w:bookmarkStart w:id="110" w:name="page111"/>
    <w:bookmarkEnd w:id="110"/>
    <w:p>
      <w:pPr>
        <w:ind w:left="260" w:right="279" w:firstLine="1105"/>
        <w:spacing w:after="0" w:line="254" w:lineRule="auto"/>
        <w:tabs>
          <w:tab w:leader="none" w:pos="1559" w:val="left"/>
        </w:tabs>
        <w:numPr>
          <w:ilvl w:val="2"/>
          <w:numId w:val="7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spacing w:after="0" w:line="142" w:lineRule="exact"/>
        <w:rPr>
          <w:rFonts w:ascii="Times New Roman" w:cs="Times New Roman" w:eastAsia="Times New Roman" w:hAnsi="Times New Roman"/>
          <w:sz w:val="14"/>
          <w:szCs w:val="14"/>
          <w:b w:val="1"/>
          <w:bCs w:val="1"/>
          <w:color w:val="auto"/>
        </w:rPr>
      </w:pPr>
    </w:p>
    <w:p>
      <w:pPr>
        <w:ind w:left="260" w:right="579" w:firstLine="1105"/>
        <w:spacing w:after="0" w:line="263" w:lineRule="auto"/>
        <w:tabs>
          <w:tab w:leader="none" w:pos="1559" w:val="left"/>
        </w:tabs>
        <w:numPr>
          <w:ilvl w:val="2"/>
          <w:numId w:val="7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136" w:lineRule="exact"/>
        <w:rPr>
          <w:rFonts w:ascii="Times New Roman" w:cs="Times New Roman" w:eastAsia="Times New Roman" w:hAnsi="Times New Roman"/>
          <w:sz w:val="14"/>
          <w:szCs w:val="14"/>
          <w:b w:val="1"/>
          <w:bCs w:val="1"/>
          <w:color w:val="auto"/>
        </w:rPr>
      </w:pPr>
    </w:p>
    <w:p>
      <w:pPr>
        <w:ind w:left="260" w:right="439" w:firstLine="1105"/>
        <w:spacing w:after="0" w:line="263" w:lineRule="auto"/>
        <w:tabs>
          <w:tab w:leader="none" w:pos="1559" w:val="left"/>
        </w:tabs>
        <w:numPr>
          <w:ilvl w:val="2"/>
          <w:numId w:val="7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spacing w:after="0" w:line="136" w:lineRule="exact"/>
        <w:rPr>
          <w:rFonts w:ascii="Times New Roman" w:cs="Times New Roman" w:eastAsia="Times New Roman" w:hAnsi="Times New Roman"/>
          <w:sz w:val="14"/>
          <w:szCs w:val="14"/>
          <w:b w:val="1"/>
          <w:bCs w:val="1"/>
          <w:color w:val="auto"/>
        </w:rPr>
      </w:pPr>
    </w:p>
    <w:p>
      <w:pPr>
        <w:ind w:left="260" w:right="339" w:firstLine="765"/>
        <w:spacing w:after="0" w:line="271" w:lineRule="auto"/>
        <w:tabs>
          <w:tab w:leader="none" w:pos="1228" w:val="left"/>
        </w:tabs>
        <w:numPr>
          <w:ilvl w:val="1"/>
          <w:numId w:val="7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w:t>
      </w:r>
    </w:p>
    <w:p>
      <w:pPr>
        <w:spacing w:after="0" w:line="2" w:lineRule="exact"/>
        <w:rPr>
          <w:rFonts w:ascii="Times New Roman" w:cs="Times New Roman" w:eastAsia="Times New Roman" w:hAnsi="Times New Roman"/>
          <w:sz w:val="13"/>
          <w:szCs w:val="13"/>
          <w:b w:val="1"/>
          <w:bCs w:val="1"/>
          <w:color w:val="auto"/>
        </w:rPr>
      </w:pPr>
    </w:p>
    <w:p>
      <w:pPr>
        <w:ind w:left="260" w:right="319" w:firstLine="2"/>
        <w:spacing w:after="0" w:line="256" w:lineRule="auto"/>
        <w:tabs>
          <w:tab w:leader="none" w:pos="456"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140" w:lineRule="exact"/>
        <w:rPr>
          <w:rFonts w:ascii="Times New Roman" w:cs="Times New Roman" w:eastAsia="Times New Roman" w:hAnsi="Times New Roman"/>
          <w:sz w:val="14"/>
          <w:szCs w:val="14"/>
          <w:color w:val="auto"/>
        </w:rPr>
      </w:pPr>
    </w:p>
    <w:p>
      <w:pPr>
        <w:ind w:left="260" w:right="279" w:firstLine="765"/>
        <w:spacing w:after="0" w:line="272" w:lineRule="auto"/>
        <w:tabs>
          <w:tab w:leader="none" w:pos="1212" w:val="left"/>
        </w:tabs>
        <w:numPr>
          <w:ilvl w:val="1"/>
          <w:numId w:val="7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39" w:right="1440" w:bottom="1440" w:gutter="0" w:footer="0" w:header="0"/>
        </w:sectPr>
      </w:pPr>
    </w:p>
    <w:bookmarkStart w:id="111" w:name="page112"/>
    <w:bookmarkEnd w:id="111"/>
    <w:p>
      <w:pPr>
        <w:ind w:left="6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No such rescission and annulment shall extend to or shall affect any subsequent default or impair any right consequent thereon.</w:t>
      </w:r>
    </w:p>
    <w:p>
      <w:pPr>
        <w:spacing w:after="0" w:line="172" w:lineRule="exact"/>
        <w:rPr>
          <w:sz w:val="20"/>
          <w:szCs w:val="20"/>
          <w:color w:val="auto"/>
        </w:rPr>
      </w:pPr>
    </w:p>
    <w:p>
      <w:pPr>
        <w:ind w:left="260" w:right="319" w:firstLine="765"/>
        <w:spacing w:after="0" w:line="255" w:lineRule="auto"/>
        <w:tabs>
          <w:tab w:leader="none" w:pos="1228" w:val="left"/>
        </w:tabs>
        <w:numPr>
          <w:ilvl w:val="0"/>
          <w:numId w:val="7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4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6.02 Collection of Indebtedness and Suits for Enforcement by Trustee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299" w:firstLine="765"/>
        <w:spacing w:after="0" w:line="269" w:lineRule="auto"/>
        <w:tabs>
          <w:tab w:leader="none" w:pos="1220" w:val="left"/>
        </w:tabs>
        <w:numPr>
          <w:ilvl w:val="0"/>
          <w:numId w:val="7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w:t>
      </w:r>
    </w:p>
    <w:p>
      <w:pPr>
        <w:spacing w:after="0" w:line="4" w:lineRule="exact"/>
        <w:rPr>
          <w:rFonts w:ascii="Times New Roman" w:cs="Times New Roman" w:eastAsia="Times New Roman" w:hAnsi="Times New Roman"/>
          <w:sz w:val="13"/>
          <w:szCs w:val="13"/>
          <w:b w:val="1"/>
          <w:bCs w:val="1"/>
          <w:color w:val="auto"/>
        </w:rPr>
      </w:pPr>
    </w:p>
    <w:p>
      <w:pPr>
        <w:ind w:left="26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4"/>
          <w:szCs w:val="14"/>
          <w:color w:val="auto"/>
        </w:rPr>
        <w:t>Section 7.06.</w:t>
      </w:r>
    </w:p>
    <w:p>
      <w:pPr>
        <w:spacing w:after="0" w:line="156" w:lineRule="exact"/>
        <w:rPr>
          <w:rFonts w:ascii="Times New Roman" w:cs="Times New Roman" w:eastAsia="Times New Roman" w:hAnsi="Times New Roman"/>
          <w:sz w:val="13"/>
          <w:szCs w:val="13"/>
          <w:b w:val="1"/>
          <w:bCs w:val="1"/>
          <w:color w:val="auto"/>
        </w:rPr>
      </w:pPr>
    </w:p>
    <w:p>
      <w:pPr>
        <w:ind w:left="260" w:right="279" w:firstLine="765"/>
        <w:spacing w:after="0" w:line="255" w:lineRule="auto"/>
        <w:tabs>
          <w:tab w:leader="none" w:pos="1228" w:val="left"/>
        </w:tabs>
        <w:numPr>
          <w:ilvl w:val="0"/>
          <w:numId w:val="7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142" w:lineRule="exact"/>
        <w:rPr>
          <w:rFonts w:ascii="Times New Roman" w:cs="Times New Roman" w:eastAsia="Times New Roman" w:hAnsi="Times New Roman"/>
          <w:sz w:val="14"/>
          <w:szCs w:val="14"/>
          <w:b w:val="1"/>
          <w:bCs w:val="1"/>
          <w:color w:val="auto"/>
        </w:rPr>
      </w:pPr>
    </w:p>
    <w:p>
      <w:pPr>
        <w:ind w:left="260" w:right="539" w:firstLine="765"/>
        <w:spacing w:after="0" w:line="258" w:lineRule="auto"/>
        <w:tabs>
          <w:tab w:leader="none" w:pos="1212" w:val="left"/>
        </w:tabs>
        <w:numPr>
          <w:ilvl w:val="0"/>
          <w:numId w:val="7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39" w:right="1440" w:bottom="1440" w:gutter="0" w:footer="0" w:header="0"/>
        </w:sectPr>
      </w:pPr>
    </w:p>
    <w:bookmarkStart w:id="112" w:name="page113"/>
    <w:bookmarkEnd w:id="112"/>
    <w:p>
      <w:pPr>
        <w:ind w:left="260" w:right="33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142" w:lineRule="exact"/>
        <w:rPr>
          <w:sz w:val="20"/>
          <w:szCs w:val="20"/>
          <w:color w:val="auto"/>
        </w:rPr>
      </w:pPr>
    </w:p>
    <w:p>
      <w:pPr>
        <w:ind w:left="260" w:right="279" w:firstLine="765"/>
        <w:spacing w:after="0" w:line="255" w:lineRule="auto"/>
        <w:tabs>
          <w:tab w:leader="none" w:pos="1228" w:val="left"/>
        </w:tabs>
        <w:numPr>
          <w:ilvl w:val="0"/>
          <w:numId w:val="7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43" w:lineRule="exact"/>
        <w:rPr>
          <w:sz w:val="20"/>
          <w:szCs w:val="20"/>
          <w:color w:val="auto"/>
        </w:rPr>
      </w:pPr>
    </w:p>
    <w:p>
      <w:pPr>
        <w:ind w:left="260" w:right="419" w:firstLine="339"/>
        <w:spacing w:after="0" w:line="258" w:lineRule="auto"/>
        <w:rPr>
          <w:sz w:val="20"/>
          <w:szCs w:val="20"/>
          <w:color w:val="auto"/>
        </w:rPr>
      </w:pPr>
      <w:r>
        <w:rPr>
          <w:rFonts w:ascii="Times New Roman" w:cs="Times New Roman" w:eastAsia="Times New Roman" w:hAnsi="Times New Roman"/>
          <w:sz w:val="14"/>
          <w:szCs w:val="14"/>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40" w:lineRule="exact"/>
        <w:rPr>
          <w:sz w:val="20"/>
          <w:szCs w:val="20"/>
          <w:color w:val="auto"/>
        </w:rPr>
      </w:pPr>
    </w:p>
    <w:p>
      <w:pPr>
        <w:ind w:left="260" w:right="279" w:firstLine="339"/>
        <w:spacing w:after="0" w:line="263" w:lineRule="auto"/>
        <w:rPr>
          <w:sz w:val="20"/>
          <w:szCs w:val="20"/>
          <w:color w:val="auto"/>
        </w:rPr>
      </w:pPr>
      <w:r>
        <w:rPr>
          <w:rFonts w:ascii="Times New Roman" w:cs="Times New Roman" w:eastAsia="Times New Roman" w:hAnsi="Times New Roman"/>
          <w:sz w:val="14"/>
          <w:szCs w:val="14"/>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Securityholder thereof or to authorize the Trustee to vote in respect of the claim of any Securityholder in any such proceeding.</w:t>
      </w:r>
    </w:p>
    <w:p>
      <w:pPr>
        <w:spacing w:after="0" w:line="13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6.03 Application of Moneys Collected</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279" w:firstLine="339"/>
        <w:spacing w:after="0" w:line="263" w:lineRule="auto"/>
        <w:rPr>
          <w:sz w:val="20"/>
          <w:szCs w:val="20"/>
          <w:color w:val="auto"/>
        </w:rPr>
      </w:pPr>
      <w:r>
        <w:rPr>
          <w:rFonts w:ascii="Times New Roman" w:cs="Times New Roman" w:eastAsia="Times New Roman" w:hAnsi="Times New Roman"/>
          <w:sz w:val="14"/>
          <w:szCs w:val="14"/>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5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FIRST: To the payment of costs and expenses of collection and of all amounts payable to the Trustee under Section 7.06;</w:t>
      </w:r>
    </w:p>
    <w:p>
      <w:pPr>
        <w:spacing w:after="0" w:line="172" w:lineRule="exact"/>
        <w:rPr>
          <w:sz w:val="20"/>
          <w:szCs w:val="20"/>
          <w:color w:val="auto"/>
        </w:rPr>
      </w:pPr>
    </w:p>
    <w:p>
      <w:pPr>
        <w:ind w:left="260" w:right="299" w:firstLine="339"/>
        <w:spacing w:after="0" w:line="263" w:lineRule="auto"/>
        <w:rPr>
          <w:sz w:val="20"/>
          <w:szCs w:val="20"/>
          <w:color w:val="auto"/>
        </w:rPr>
      </w:pPr>
      <w:r>
        <w:rPr>
          <w:rFonts w:ascii="Times New Roman" w:cs="Times New Roman" w:eastAsia="Times New Roman" w:hAnsi="Times New Roman"/>
          <w:sz w:val="14"/>
          <w:szCs w:val="14"/>
          <w:color w:val="auto"/>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39" w:right="1440" w:bottom="1440" w:gutter="0" w:footer="0" w:header="0"/>
        </w:sectPr>
      </w:pPr>
    </w:p>
    <w:bookmarkStart w:id="113" w:name="page114"/>
    <w:bookmarkEnd w:id="113"/>
    <w:p>
      <w:pPr>
        <w:ind w:left="6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THIRD: To the payment of the remainder, if any, to the Company or any other Person lawfully entitled thereto.</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6.04 Limitation on Suits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299" w:firstLine="339"/>
        <w:spacing w:after="0" w:line="251" w:lineRule="auto"/>
        <w:rPr>
          <w:sz w:val="20"/>
          <w:szCs w:val="20"/>
          <w:color w:val="auto"/>
        </w:rPr>
      </w:pPr>
      <w:r>
        <w:rPr>
          <w:rFonts w:ascii="Times New Roman" w:cs="Times New Roman" w:eastAsia="Times New Roman" w:hAnsi="Times New Roman"/>
          <w:sz w:val="14"/>
          <w:szCs w:val="14"/>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Securityholder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Securityholder or Securityholders shall have offered to the Trustee indemnity satisfactory to it against the costs, expenses and liabilities to be incurred in compliance with such request;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148" w:lineRule="exact"/>
        <w:rPr>
          <w:sz w:val="20"/>
          <w:szCs w:val="20"/>
          <w:color w:val="auto"/>
        </w:rPr>
      </w:pPr>
    </w:p>
    <w:p>
      <w:pPr>
        <w:ind w:left="260" w:right="299" w:firstLine="339"/>
        <w:spacing w:after="0" w:line="251" w:lineRule="auto"/>
        <w:rPr>
          <w:sz w:val="20"/>
          <w:szCs w:val="20"/>
          <w:color w:val="auto"/>
        </w:rPr>
      </w:pPr>
      <w:r>
        <w:rPr>
          <w:rFonts w:ascii="Times New Roman" w:cs="Times New Roman" w:eastAsia="Times New Roman" w:hAnsi="Times New Roman"/>
          <w:sz w:val="14"/>
          <w:szCs w:val="14"/>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6.05 Rights and Remedies Cumulative; Delay or Omission Not Waiver</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279" w:firstLine="765"/>
        <w:spacing w:after="0" w:line="258" w:lineRule="auto"/>
        <w:tabs>
          <w:tab w:leader="none" w:pos="1220" w:val="left"/>
        </w:tabs>
        <w:numPr>
          <w:ilvl w:val="0"/>
          <w:numId w:val="7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39" w:right="1440" w:bottom="1440" w:gutter="0" w:footer="0" w:header="0"/>
        </w:sectPr>
      </w:pPr>
    </w:p>
    <w:bookmarkStart w:id="114" w:name="page115"/>
    <w:bookmarkEnd w:id="114"/>
    <w:p>
      <w:pPr>
        <w:ind w:left="260" w:right="299" w:firstLine="765"/>
        <w:spacing w:after="0" w:line="258" w:lineRule="auto"/>
        <w:tabs>
          <w:tab w:leader="none" w:pos="1228" w:val="left"/>
        </w:tabs>
        <w:numPr>
          <w:ilvl w:val="0"/>
          <w:numId w:val="8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13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6.06 Control by Securityholders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279" w:firstLine="339"/>
        <w:spacing w:after="0" w:line="250" w:lineRule="auto"/>
        <w:rPr>
          <w:sz w:val="20"/>
          <w:szCs w:val="20"/>
          <w:color w:val="auto"/>
        </w:rPr>
      </w:pPr>
      <w:r>
        <w:rPr>
          <w:rFonts w:ascii="Times New Roman" w:cs="Times New Roman" w:eastAsia="Times New Roman" w:hAnsi="Times New Roman"/>
          <w:sz w:val="14"/>
          <w:szCs w:val="14"/>
          <w:color w:val="auto"/>
        </w:rPr>
        <w:t>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6.07 Undertaking to Pay Costs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299" w:firstLine="339"/>
        <w:spacing w:after="0" w:line="255" w:lineRule="auto"/>
        <w:rPr>
          <w:sz w:val="20"/>
          <w:szCs w:val="20"/>
          <w:color w:val="auto"/>
        </w:rPr>
      </w:pPr>
      <w:r>
        <w:rPr>
          <w:rFonts w:ascii="Times New Roman" w:cs="Times New Roman" w:eastAsia="Times New Roman" w:hAnsi="Times New Roman"/>
          <w:sz w:val="14"/>
          <w:szCs w:val="14"/>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39" w:right="1440" w:bottom="1440" w:gutter="0" w:footer="0" w:header="0"/>
        </w:sectPr>
      </w:pPr>
    </w:p>
    <w:bookmarkStart w:id="115" w:name="page116"/>
    <w:bookmarkEnd w:id="115"/>
    <w:p>
      <w:pPr>
        <w:ind w:left="260" w:right="33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7</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CONCERNING THE TRUSTEE</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7.01 Certain Duties and Responsibilities of Trustee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299" w:firstLine="765"/>
        <w:spacing w:after="0" w:line="254" w:lineRule="auto"/>
        <w:tabs>
          <w:tab w:leader="none" w:pos="1220" w:val="left"/>
        </w:tabs>
        <w:numPr>
          <w:ilvl w:val="0"/>
          <w:numId w:val="8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or her own affairs.</w:t>
      </w:r>
    </w:p>
    <w:p>
      <w:pPr>
        <w:spacing w:after="0" w:line="142" w:lineRule="exact"/>
        <w:rPr>
          <w:rFonts w:ascii="Times New Roman" w:cs="Times New Roman" w:eastAsia="Times New Roman" w:hAnsi="Times New Roman"/>
          <w:sz w:val="14"/>
          <w:szCs w:val="14"/>
          <w:b w:val="1"/>
          <w:bCs w:val="1"/>
          <w:color w:val="auto"/>
        </w:rPr>
      </w:pPr>
    </w:p>
    <w:p>
      <w:pPr>
        <w:ind w:left="260" w:right="519" w:firstLine="765"/>
        <w:spacing w:after="0" w:line="278" w:lineRule="auto"/>
        <w:tabs>
          <w:tab w:leader="none" w:pos="1228" w:val="left"/>
        </w:tabs>
        <w:numPr>
          <w:ilvl w:val="0"/>
          <w:numId w:val="8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 provision of this Indenture shall be construed to relieve the Trustee from liability for its own negligent action, its own negligent failure to act, or its own willful misconduct, except that:</w:t>
      </w:r>
    </w:p>
    <w:p>
      <w:pPr>
        <w:spacing w:after="0" w:line="43" w:lineRule="exact"/>
        <w:rPr>
          <w:sz w:val="20"/>
          <w:szCs w:val="20"/>
          <w:color w:val="auto"/>
        </w:rPr>
      </w:pPr>
    </w:p>
    <w:p>
      <w:pPr>
        <w:ind w:left="260" w:right="299" w:firstLine="765"/>
        <w:spacing w:after="0" w:line="278" w:lineRule="auto"/>
        <w:tabs>
          <w:tab w:leader="none" w:pos="1189" w:val="left"/>
        </w:tabs>
        <w:numPr>
          <w:ilvl w:val="0"/>
          <w:numId w:val="8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prior to the occurrence of an Event of Default with respect to the Securities of a series and after the curing or waiving of all such Events of Default with respect to that series that may have occurred:</w:t>
      </w:r>
    </w:p>
    <w:p>
      <w:pPr>
        <w:spacing w:after="0" w:line="126" w:lineRule="exact"/>
        <w:rPr>
          <w:rFonts w:ascii="Times New Roman" w:cs="Times New Roman" w:eastAsia="Times New Roman" w:hAnsi="Times New Roman"/>
          <w:sz w:val="14"/>
          <w:szCs w:val="14"/>
          <w:b w:val="1"/>
          <w:bCs w:val="1"/>
          <w:color w:val="auto"/>
        </w:rPr>
      </w:pPr>
    </w:p>
    <w:p>
      <w:pPr>
        <w:ind w:left="260" w:right="299" w:firstLine="1105"/>
        <w:spacing w:after="0" w:line="258" w:lineRule="auto"/>
        <w:tabs>
          <w:tab w:leader="none" w:pos="1590" w:val="left"/>
        </w:tabs>
        <w:numPr>
          <w:ilvl w:val="1"/>
          <w:numId w:val="8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139" w:lineRule="exact"/>
        <w:rPr>
          <w:rFonts w:ascii="Times New Roman" w:cs="Times New Roman" w:eastAsia="Times New Roman" w:hAnsi="Times New Roman"/>
          <w:sz w:val="14"/>
          <w:szCs w:val="14"/>
          <w:b w:val="1"/>
          <w:bCs w:val="1"/>
          <w:color w:val="auto"/>
        </w:rPr>
      </w:pPr>
    </w:p>
    <w:p>
      <w:pPr>
        <w:ind w:left="260" w:right="319" w:firstLine="1105"/>
        <w:spacing w:after="0" w:line="255" w:lineRule="auto"/>
        <w:tabs>
          <w:tab w:leader="none" w:pos="1582" w:val="left"/>
        </w:tabs>
        <w:numPr>
          <w:ilvl w:val="1"/>
          <w:numId w:val="8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39" w:right="1440" w:bottom="1440" w:gutter="0" w:footer="0" w:header="0"/>
        </w:sectPr>
      </w:pPr>
    </w:p>
    <w:bookmarkStart w:id="116" w:name="page117"/>
    <w:bookmarkEnd w:id="116"/>
    <w:p>
      <w:pPr>
        <w:ind w:left="260" w:right="479" w:firstLine="765"/>
        <w:spacing w:after="0" w:line="318" w:lineRule="auto"/>
        <w:tabs>
          <w:tab w:leader="none" w:pos="1228" w:val="left"/>
        </w:tabs>
        <w:numPr>
          <w:ilvl w:val="0"/>
          <w:numId w:val="8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Trustee shall not be liable to any Securityholder or to any other Person for any error of judgment made in good faith by a Responsible Officer or Responsible Officers of the Trustee, unless it shall be proved that the Trustee was negligent in ascertaining the pertinent facts;</w:t>
      </w:r>
    </w:p>
    <w:p>
      <w:pPr>
        <w:spacing w:after="0" w:line="102" w:lineRule="exact"/>
        <w:rPr>
          <w:rFonts w:ascii="Times New Roman" w:cs="Times New Roman" w:eastAsia="Times New Roman" w:hAnsi="Times New Roman"/>
          <w:sz w:val="13"/>
          <w:szCs w:val="13"/>
          <w:b w:val="1"/>
          <w:bCs w:val="1"/>
          <w:color w:val="auto"/>
        </w:rPr>
      </w:pPr>
    </w:p>
    <w:p>
      <w:pPr>
        <w:ind w:left="260" w:right="299" w:firstLine="765"/>
        <w:spacing w:after="0" w:line="258" w:lineRule="auto"/>
        <w:tabs>
          <w:tab w:leader="none" w:pos="1266" w:val="left"/>
        </w:tabs>
        <w:numPr>
          <w:ilvl w:val="0"/>
          <w:numId w:val="8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w:t>
      </w:r>
    </w:p>
    <w:p>
      <w:pPr>
        <w:spacing w:after="0" w:line="139" w:lineRule="exact"/>
        <w:rPr>
          <w:rFonts w:ascii="Times New Roman" w:cs="Times New Roman" w:eastAsia="Times New Roman" w:hAnsi="Times New Roman"/>
          <w:sz w:val="14"/>
          <w:szCs w:val="14"/>
          <w:b w:val="1"/>
          <w:bCs w:val="1"/>
          <w:color w:val="auto"/>
        </w:rPr>
      </w:pPr>
    </w:p>
    <w:p>
      <w:pPr>
        <w:ind w:left="260" w:right="339" w:firstLine="765"/>
        <w:spacing w:after="0" w:line="258" w:lineRule="auto"/>
        <w:tabs>
          <w:tab w:leader="none" w:pos="1258" w:val="left"/>
        </w:tabs>
        <w:numPr>
          <w:ilvl w:val="0"/>
          <w:numId w:val="8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39" w:lineRule="exact"/>
        <w:rPr>
          <w:rFonts w:ascii="Times New Roman" w:cs="Times New Roman" w:eastAsia="Times New Roman" w:hAnsi="Times New Roman"/>
          <w:sz w:val="14"/>
          <w:szCs w:val="14"/>
          <w:b w:val="1"/>
          <w:bCs w:val="1"/>
          <w:color w:val="auto"/>
        </w:rPr>
      </w:pPr>
    </w:p>
    <w:p>
      <w:pPr>
        <w:ind w:left="1220" w:hanging="195"/>
        <w:spacing w:after="0"/>
        <w:tabs>
          <w:tab w:leader="none" w:pos="1220" w:val="left"/>
        </w:tabs>
        <w:numPr>
          <w:ilvl w:val="0"/>
          <w:numId w:val="8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shall not be required to give any bond or surety in respect of the performance of its powers or duties hereunder;</w:t>
      </w:r>
    </w:p>
    <w:p>
      <w:pPr>
        <w:spacing w:after="0" w:line="171" w:lineRule="exact"/>
        <w:rPr>
          <w:rFonts w:ascii="Times New Roman" w:cs="Times New Roman" w:eastAsia="Times New Roman" w:hAnsi="Times New Roman"/>
          <w:sz w:val="14"/>
          <w:szCs w:val="14"/>
          <w:b w:val="1"/>
          <w:bCs w:val="1"/>
          <w:color w:val="auto"/>
        </w:rPr>
      </w:pPr>
    </w:p>
    <w:p>
      <w:pPr>
        <w:ind w:left="1260" w:hanging="235"/>
        <w:spacing w:after="0"/>
        <w:tabs>
          <w:tab w:leader="none" w:pos="1260" w:val="left"/>
        </w:tabs>
        <w:numPr>
          <w:ilvl w:val="0"/>
          <w:numId w:val="8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permissive right of the Trustee to do things enumerated in this Indenture shall not be construed as a duty of the Trustee; and</w:t>
      </w:r>
    </w:p>
    <w:p>
      <w:pPr>
        <w:spacing w:after="0" w:line="171" w:lineRule="exact"/>
        <w:rPr>
          <w:rFonts w:ascii="Times New Roman" w:cs="Times New Roman" w:eastAsia="Times New Roman" w:hAnsi="Times New Roman"/>
          <w:sz w:val="14"/>
          <w:szCs w:val="14"/>
          <w:b w:val="1"/>
          <w:bCs w:val="1"/>
          <w:color w:val="auto"/>
        </w:rPr>
      </w:pPr>
    </w:p>
    <w:p>
      <w:pPr>
        <w:ind w:left="260" w:right="559" w:firstLine="765"/>
        <w:spacing w:after="0" w:line="278" w:lineRule="auto"/>
        <w:tabs>
          <w:tab w:leader="none" w:pos="1297" w:val="left"/>
        </w:tabs>
        <w:numPr>
          <w:ilvl w:val="0"/>
          <w:numId w:val="8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 Trustee shall have any duty or responsibility for any act or omission of any other Trustee appointed with respect to a series of Securities hereunder.</w:t>
      </w:r>
    </w:p>
    <w:p>
      <w:pPr>
        <w:spacing w:after="0" w:line="1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7.02 Certain Rights of Trustee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Except as otherwise provided in Section 7.01:</w:t>
      </w:r>
    </w:p>
    <w:p>
      <w:pPr>
        <w:spacing w:after="0" w:line="89" w:lineRule="exact"/>
        <w:rPr>
          <w:sz w:val="20"/>
          <w:szCs w:val="20"/>
          <w:color w:val="auto"/>
        </w:rPr>
      </w:pPr>
    </w:p>
    <w:p>
      <w:pPr>
        <w:jc w:val="both"/>
        <w:ind w:left="260" w:right="319" w:firstLine="765"/>
        <w:spacing w:after="0" w:line="263" w:lineRule="auto"/>
        <w:tabs>
          <w:tab w:leader="none" w:pos="1220" w:val="left"/>
        </w:tabs>
        <w:numPr>
          <w:ilvl w:val="0"/>
          <w:numId w:val="8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may conclusively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136" w:lineRule="exact"/>
        <w:rPr>
          <w:rFonts w:ascii="Times New Roman" w:cs="Times New Roman" w:eastAsia="Times New Roman" w:hAnsi="Times New Roman"/>
          <w:sz w:val="14"/>
          <w:szCs w:val="14"/>
          <w:b w:val="1"/>
          <w:bCs w:val="1"/>
          <w:color w:val="auto"/>
        </w:rPr>
      </w:pPr>
    </w:p>
    <w:p>
      <w:pPr>
        <w:ind w:left="260" w:right="319" w:firstLine="765"/>
        <w:spacing w:after="0" w:line="263" w:lineRule="auto"/>
        <w:tabs>
          <w:tab w:leader="none" w:pos="1228" w:val="left"/>
        </w:tabs>
        <w:numPr>
          <w:ilvl w:val="0"/>
          <w:numId w:val="8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136" w:lineRule="exact"/>
        <w:rPr>
          <w:rFonts w:ascii="Times New Roman" w:cs="Times New Roman" w:eastAsia="Times New Roman" w:hAnsi="Times New Roman"/>
          <w:sz w:val="14"/>
          <w:szCs w:val="14"/>
          <w:b w:val="1"/>
          <w:bCs w:val="1"/>
          <w:color w:val="auto"/>
        </w:rPr>
      </w:pPr>
    </w:p>
    <w:p>
      <w:pPr>
        <w:ind w:left="260" w:right="379" w:firstLine="765"/>
        <w:spacing w:after="0" w:line="318" w:lineRule="auto"/>
        <w:tabs>
          <w:tab w:leader="none" w:pos="1212" w:val="left"/>
        </w:tabs>
        <w:numPr>
          <w:ilvl w:val="0"/>
          <w:numId w:val="8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Trustee may consult with counsel and the opinion or written advice of such counsel or, if requested, any Opinion of Counsel shall be full and complete authorization and protection in respect of any action taken or suffered or omitted hereunder in good faith and in reliance thereon;</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239" w:right="1440" w:bottom="1440" w:gutter="0" w:footer="0" w:header="0"/>
        </w:sectPr>
      </w:pPr>
    </w:p>
    <w:bookmarkStart w:id="117" w:name="page118"/>
    <w:bookmarkEnd w:id="117"/>
    <w:p>
      <w:pPr>
        <w:ind w:left="260" w:right="299" w:firstLine="765"/>
        <w:spacing w:after="0" w:line="277" w:lineRule="auto"/>
        <w:tabs>
          <w:tab w:leader="none" w:pos="1228" w:val="left"/>
        </w:tabs>
        <w:numPr>
          <w:ilvl w:val="0"/>
          <w:numId w:val="8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security or indemnity reasonably acceptable to the Trustee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or her own affairs;</w:t>
      </w:r>
    </w:p>
    <w:p>
      <w:pPr>
        <w:spacing w:after="0" w:line="129" w:lineRule="exact"/>
        <w:rPr>
          <w:rFonts w:ascii="Times New Roman" w:cs="Times New Roman" w:eastAsia="Times New Roman" w:hAnsi="Times New Roman"/>
          <w:sz w:val="13"/>
          <w:szCs w:val="13"/>
          <w:b w:val="1"/>
          <w:bCs w:val="1"/>
          <w:color w:val="auto"/>
        </w:rPr>
      </w:pPr>
    </w:p>
    <w:p>
      <w:pPr>
        <w:ind w:left="260" w:right="619" w:firstLine="765"/>
        <w:spacing w:after="0" w:line="278" w:lineRule="auto"/>
        <w:tabs>
          <w:tab w:leader="none" w:pos="1212" w:val="left"/>
        </w:tabs>
        <w:numPr>
          <w:ilvl w:val="0"/>
          <w:numId w:val="8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shall not be liable for any action taken or omitted to be taken by it in good faith and believed by it to be authorized or within the discretion or rights or powers conferred upon it by this Indenture;</w:t>
      </w:r>
    </w:p>
    <w:p>
      <w:pPr>
        <w:spacing w:after="0" w:line="126" w:lineRule="exact"/>
        <w:rPr>
          <w:rFonts w:ascii="Times New Roman" w:cs="Times New Roman" w:eastAsia="Times New Roman" w:hAnsi="Times New Roman"/>
          <w:sz w:val="14"/>
          <w:szCs w:val="14"/>
          <w:b w:val="1"/>
          <w:bCs w:val="1"/>
          <w:color w:val="auto"/>
        </w:rPr>
      </w:pPr>
    </w:p>
    <w:p>
      <w:pPr>
        <w:ind w:left="260" w:right="279" w:firstLine="765"/>
        <w:spacing w:after="0" w:line="252" w:lineRule="auto"/>
        <w:tabs>
          <w:tab w:leader="none" w:pos="1197" w:val="left"/>
        </w:tabs>
        <w:numPr>
          <w:ilvl w:val="0"/>
          <w:numId w:val="8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shall not be bound to make any investigation into the facts or matters stated in any resolution, certificate, statement, instrument, opinion, report, notice, request, consent, order, approval, bond, security, or other papers or documents or inquire as to the performance by the Company of one of its covenants under this Indenture,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security or indemnity reasonably acceptable to the Trustee against such costs, expenses or liabilities as a condition to so proceeding. The reasonable expense of every such examination shall be paid by the Company or, if paid by the Trustee, shall be repaid by the Company upon demand;</w:t>
      </w:r>
    </w:p>
    <w:p>
      <w:pPr>
        <w:spacing w:after="0" w:line="145" w:lineRule="exact"/>
        <w:rPr>
          <w:rFonts w:ascii="Times New Roman" w:cs="Times New Roman" w:eastAsia="Times New Roman" w:hAnsi="Times New Roman"/>
          <w:sz w:val="14"/>
          <w:szCs w:val="14"/>
          <w:b w:val="1"/>
          <w:bCs w:val="1"/>
          <w:color w:val="auto"/>
        </w:rPr>
      </w:pPr>
    </w:p>
    <w:p>
      <w:pPr>
        <w:jc w:val="both"/>
        <w:ind w:left="260" w:right="359" w:firstLine="765"/>
        <w:spacing w:after="0" w:line="263" w:lineRule="auto"/>
        <w:tabs>
          <w:tab w:leader="none" w:pos="1220" w:val="left"/>
        </w:tabs>
        <w:numPr>
          <w:ilvl w:val="0"/>
          <w:numId w:val="8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36" w:lineRule="exact"/>
        <w:rPr>
          <w:rFonts w:ascii="Times New Roman" w:cs="Times New Roman" w:eastAsia="Times New Roman" w:hAnsi="Times New Roman"/>
          <w:sz w:val="14"/>
          <w:szCs w:val="14"/>
          <w:b w:val="1"/>
          <w:bCs w:val="1"/>
          <w:color w:val="auto"/>
        </w:rPr>
      </w:pPr>
    </w:p>
    <w:p>
      <w:pPr>
        <w:ind w:left="260" w:right="319" w:firstLine="765"/>
        <w:spacing w:after="0" w:line="255" w:lineRule="auto"/>
        <w:tabs>
          <w:tab w:leader="none" w:pos="1228" w:val="left"/>
        </w:tabs>
        <w:numPr>
          <w:ilvl w:val="0"/>
          <w:numId w:val="8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42" w:lineRule="exact"/>
        <w:rPr>
          <w:rFonts w:ascii="Times New Roman" w:cs="Times New Roman" w:eastAsia="Times New Roman" w:hAnsi="Times New Roman"/>
          <w:sz w:val="14"/>
          <w:szCs w:val="14"/>
          <w:b w:val="1"/>
          <w:bCs w:val="1"/>
          <w:color w:val="auto"/>
        </w:rPr>
      </w:pPr>
    </w:p>
    <w:p>
      <w:pPr>
        <w:ind w:left="260" w:right="479" w:firstLine="765"/>
        <w:spacing w:after="0" w:line="263" w:lineRule="auto"/>
        <w:tabs>
          <w:tab w:leader="none" w:pos="1189" w:val="left"/>
        </w:tabs>
        <w:numPr>
          <w:ilvl w:val="0"/>
          <w:numId w:val="8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 and</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239" w:right="1440" w:bottom="1440" w:gutter="0" w:footer="0" w:header="0"/>
        </w:sectPr>
      </w:pPr>
    </w:p>
    <w:bookmarkStart w:id="118" w:name="page119"/>
    <w:bookmarkEnd w:id="118"/>
    <w:p>
      <w:pPr>
        <w:ind w:left="260" w:right="279" w:firstLine="765"/>
        <w:spacing w:after="0" w:line="272" w:lineRule="auto"/>
        <w:tabs>
          <w:tab w:leader="none" w:pos="1197" w:val="left"/>
        </w:tabs>
        <w:numPr>
          <w:ilvl w:val="0"/>
          <w:numId w:val="8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Trustee agrees to accept and act upon instructions or directions pursuant to this Indenture sent by unsecured e-mail, facsimile transmission or other similar unsecured electronic methods; provided, however, that such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 The Trustee may request that the Company deliver an Officer’s Certificate setting forth the names of individuals and/or titles of officers authorized at such time to furnish the Trustee with Officer’s Certificates, Company Orders and any other matters or directions pursuant to this Indenture;</w:t>
      </w:r>
    </w:p>
    <w:p>
      <w:pPr>
        <w:spacing w:after="0" w:line="135" w:lineRule="exact"/>
        <w:rPr>
          <w:rFonts w:ascii="Times New Roman" w:cs="Times New Roman" w:eastAsia="Times New Roman" w:hAnsi="Times New Roman"/>
          <w:sz w:val="13"/>
          <w:szCs w:val="13"/>
          <w:b w:val="1"/>
          <w:bCs w:val="1"/>
          <w:color w:val="auto"/>
        </w:rPr>
      </w:pPr>
    </w:p>
    <w:p>
      <w:pPr>
        <w:ind w:left="260" w:right="699" w:firstLine="765"/>
        <w:spacing w:after="0" w:line="263" w:lineRule="auto"/>
        <w:tabs>
          <w:tab w:leader="none" w:pos="1228" w:val="left"/>
        </w:tabs>
        <w:numPr>
          <w:ilvl w:val="0"/>
          <w:numId w:val="8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rights, privileges, protections, immunities and benefits given to the Trustee, including, without limitation, its right to be indemnified, are extended to, and shall be enforceable by, the Trustee in each of its capacities hereunder and under the Securities, and each agent, custodian or other person employed to act under this Indenture; and</w:t>
      </w:r>
    </w:p>
    <w:p>
      <w:pPr>
        <w:spacing w:after="0" w:line="136" w:lineRule="exact"/>
        <w:rPr>
          <w:rFonts w:ascii="Times New Roman" w:cs="Times New Roman" w:eastAsia="Times New Roman" w:hAnsi="Times New Roman"/>
          <w:sz w:val="14"/>
          <w:szCs w:val="14"/>
          <w:b w:val="1"/>
          <w:bCs w:val="1"/>
          <w:color w:val="auto"/>
        </w:rPr>
      </w:pPr>
    </w:p>
    <w:p>
      <w:pPr>
        <w:ind w:left="260" w:right="319" w:firstLine="765"/>
        <w:spacing w:after="0" w:line="292" w:lineRule="auto"/>
        <w:tabs>
          <w:tab w:leader="none" w:pos="1189" w:val="left"/>
        </w:tabs>
        <w:numPr>
          <w:ilvl w:val="0"/>
          <w:numId w:val="8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Trustee shall not be deemed to have knowledge of any Default or Event of Default (other than an Event of Default constituting the failure to pay the interest on, or the principal of, the Securities if the Trustee also serves as the paying agent for such Securities) until the Trustee shall have received written notification in the manner set forth in this Indenture or a Responsible Officer of the Trustee shall have obtained actual knowledge.</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7.03 Trustee Not Responsible for Recitals or Issuance or Securities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379" w:firstLine="765"/>
        <w:spacing w:after="0" w:line="258" w:lineRule="auto"/>
        <w:tabs>
          <w:tab w:leader="none" w:pos="1220" w:val="left"/>
        </w:tabs>
        <w:numPr>
          <w:ilvl w:val="0"/>
          <w:numId w:val="8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recitals contained herein and in the Securities shall be taken as the statements of the Company, and the Trustee assumes no responsibility for the correctness of the same. The Trustee shall not be responsible for any statement in any registration statement, prospectus, or any other document in connection with the sale of Securities. The Trustee shall not be responsible for any rating on the Securities or any action or omission of any rating agency.</w:t>
      </w:r>
    </w:p>
    <w:p>
      <w:pPr>
        <w:spacing w:after="0" w:line="139" w:lineRule="exact"/>
        <w:rPr>
          <w:rFonts w:ascii="Times New Roman" w:cs="Times New Roman" w:eastAsia="Times New Roman" w:hAnsi="Times New Roman"/>
          <w:sz w:val="14"/>
          <w:szCs w:val="14"/>
          <w:b w:val="1"/>
          <w:bCs w:val="1"/>
          <w:color w:val="auto"/>
        </w:rPr>
      </w:pPr>
    </w:p>
    <w:p>
      <w:pPr>
        <w:ind w:left="1220" w:hanging="195"/>
        <w:spacing w:after="0"/>
        <w:tabs>
          <w:tab w:leader="none" w:pos="1220" w:val="left"/>
        </w:tabs>
        <w:numPr>
          <w:ilvl w:val="0"/>
          <w:numId w:val="8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makes no representations as to the validity or sufficiency of this Indenture or of the Securities.</w:t>
      </w:r>
    </w:p>
    <w:p>
      <w:pPr>
        <w:spacing w:after="0" w:line="171" w:lineRule="exact"/>
        <w:rPr>
          <w:rFonts w:ascii="Times New Roman" w:cs="Times New Roman" w:eastAsia="Times New Roman" w:hAnsi="Times New Roman"/>
          <w:sz w:val="14"/>
          <w:szCs w:val="14"/>
          <w:b w:val="1"/>
          <w:bCs w:val="1"/>
          <w:color w:val="auto"/>
        </w:rPr>
      </w:pPr>
    </w:p>
    <w:p>
      <w:pPr>
        <w:ind w:left="260" w:right="619" w:firstLine="765"/>
        <w:spacing w:after="0" w:line="263" w:lineRule="auto"/>
        <w:tabs>
          <w:tab w:leader="none" w:pos="1212" w:val="left"/>
        </w:tabs>
        <w:numPr>
          <w:ilvl w:val="0"/>
          <w:numId w:val="8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9019"/>
          </w:cols>
          <w:pgMar w:left="1440" w:top="239" w:right="1440" w:bottom="1440" w:gutter="0" w:footer="0" w:header="0"/>
        </w:sectPr>
      </w:pPr>
    </w:p>
    <w:bookmarkStart w:id="119" w:name="page120"/>
    <w:bookmarkEnd w:id="119"/>
    <w:p>
      <w:pPr>
        <w:ind w:left="6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Section 7.04 May Hold Securities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319" w:firstLine="339"/>
        <w:spacing w:after="0" w:line="278" w:lineRule="auto"/>
        <w:rPr>
          <w:sz w:val="20"/>
          <w:szCs w:val="20"/>
          <w:color w:val="auto"/>
        </w:rPr>
      </w:pPr>
      <w:r>
        <w:rPr>
          <w:rFonts w:ascii="Times New Roman" w:cs="Times New Roman" w:eastAsia="Times New Roman" w:hAnsi="Times New Roman"/>
          <w:sz w:val="14"/>
          <w:szCs w:val="14"/>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7.05 Moneys Held in Trust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339" w:firstLine="339"/>
        <w:spacing w:after="0" w:line="263" w:lineRule="auto"/>
        <w:rPr>
          <w:sz w:val="20"/>
          <w:szCs w:val="20"/>
          <w:color w:val="auto"/>
        </w:rPr>
      </w:pPr>
      <w:r>
        <w:rPr>
          <w:rFonts w:ascii="Times New Roman" w:cs="Times New Roman" w:eastAsia="Times New Roman" w:hAnsi="Times New Roman"/>
          <w:sz w:val="14"/>
          <w:szCs w:val="14"/>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13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7.06 Compensation and Reimbursement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299" w:firstLine="765"/>
        <w:spacing w:after="0" w:line="258" w:lineRule="auto"/>
        <w:tabs>
          <w:tab w:leader="none" w:pos="1220" w:val="left"/>
        </w:tabs>
        <w:numPr>
          <w:ilvl w:val="0"/>
          <w:numId w:val="8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shall pay to the Trustee for each of its capacities hereunder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w:t>
      </w:r>
    </w:p>
    <w:p>
      <w:pPr>
        <w:spacing w:after="0" w:line="139" w:lineRule="exact"/>
        <w:rPr>
          <w:rFonts w:ascii="Times New Roman" w:cs="Times New Roman" w:eastAsia="Times New Roman" w:hAnsi="Times New Roman"/>
          <w:sz w:val="14"/>
          <w:szCs w:val="14"/>
          <w:b w:val="1"/>
          <w:bCs w:val="1"/>
          <w:color w:val="auto"/>
        </w:rPr>
      </w:pPr>
    </w:p>
    <w:p>
      <w:pPr>
        <w:ind w:left="260" w:right="399" w:firstLine="765"/>
        <w:spacing w:after="0" w:line="253" w:lineRule="auto"/>
        <w:tabs>
          <w:tab w:leader="none" w:pos="1228" w:val="left"/>
        </w:tabs>
        <w:numPr>
          <w:ilvl w:val="0"/>
          <w:numId w:val="8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shall indemnify each of the Trustee in each of its capacities hereunder against any loss, liability or expense (including the cost of defending itself and including the reasonable compensation and expenses of the Trustee’s agents and counsel) incurred by it except as set forth in Section 7.06(c) in the exercise or performance of its powers, rights or duties under this Indenture as Trustee or Agent. The Trustee shall notify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w:t>
      </w:r>
    </w:p>
    <w:p>
      <w:pPr>
        <w:spacing w:after="0" w:line="142" w:lineRule="exact"/>
        <w:rPr>
          <w:rFonts w:ascii="Times New Roman" w:cs="Times New Roman" w:eastAsia="Times New Roman" w:hAnsi="Times New Roman"/>
          <w:sz w:val="14"/>
          <w:szCs w:val="14"/>
          <w:b w:val="1"/>
          <w:bCs w:val="1"/>
          <w:color w:val="auto"/>
        </w:rPr>
      </w:pPr>
    </w:p>
    <w:p>
      <w:pPr>
        <w:ind w:left="260" w:right="619" w:firstLine="765"/>
        <w:spacing w:after="0" w:line="278" w:lineRule="auto"/>
        <w:tabs>
          <w:tab w:leader="none" w:pos="1212" w:val="left"/>
        </w:tabs>
        <w:numPr>
          <w:ilvl w:val="0"/>
          <w:numId w:val="8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need not reimburse any expense or indemnify against any loss or liability incurred by the Trustee or by any officer, director, employee, shareholder or agent of the Trustee through negligence or bad faith.</w:t>
      </w:r>
    </w:p>
    <w:p>
      <w:pPr>
        <w:spacing w:after="0" w:line="126" w:lineRule="exact"/>
        <w:rPr>
          <w:rFonts w:ascii="Times New Roman" w:cs="Times New Roman" w:eastAsia="Times New Roman" w:hAnsi="Times New Roman"/>
          <w:sz w:val="14"/>
          <w:szCs w:val="14"/>
          <w:b w:val="1"/>
          <w:bCs w:val="1"/>
          <w:color w:val="auto"/>
        </w:rPr>
      </w:pPr>
    </w:p>
    <w:p>
      <w:pPr>
        <w:ind w:left="260" w:right="379" w:firstLine="765"/>
        <w:spacing w:after="0" w:line="255" w:lineRule="auto"/>
        <w:tabs>
          <w:tab w:leader="none" w:pos="1228" w:val="left"/>
        </w:tabs>
        <w:numPr>
          <w:ilvl w:val="0"/>
          <w:numId w:val="8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6.01(4) or (5),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9019"/>
          </w:cols>
          <w:pgMar w:left="1440" w:top="237" w:right="1440" w:bottom="1440" w:gutter="0" w:footer="0" w:header="0"/>
        </w:sectPr>
      </w:pPr>
    </w:p>
    <w:bookmarkStart w:id="120" w:name="page121"/>
    <w:bookmarkEnd w:id="120"/>
    <w:p>
      <w:pPr>
        <w:ind w:left="6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Section 7.07 Reliance on Officer’s Certificate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319" w:firstLine="339"/>
        <w:spacing w:after="0" w:line="254" w:lineRule="auto"/>
        <w:rPr>
          <w:sz w:val="20"/>
          <w:szCs w:val="20"/>
          <w:color w:val="auto"/>
        </w:rPr>
      </w:pPr>
      <w:r>
        <w:rPr>
          <w:rFonts w:ascii="Times New Roman" w:cs="Times New Roman" w:eastAsia="Times New Roman" w:hAnsi="Times New Roman"/>
          <w:sz w:val="14"/>
          <w:szCs w:val="14"/>
          <w:color w:val="auto"/>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14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7.08 Disqualification; Conflicting Interests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419" w:firstLine="339"/>
        <w:spacing w:after="0" w:line="278" w:lineRule="auto"/>
        <w:rPr>
          <w:sz w:val="20"/>
          <w:szCs w:val="20"/>
          <w:color w:val="auto"/>
        </w:rPr>
      </w:pPr>
      <w:r>
        <w:rPr>
          <w:rFonts w:ascii="Times New Roman" w:cs="Times New Roman" w:eastAsia="Times New Roman" w:hAnsi="Times New Roman"/>
          <w:sz w:val="14"/>
          <w:szCs w:val="14"/>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7.09 Corporate Trustee Required; Eligibility</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left="260" w:right="339" w:firstLine="339"/>
        <w:spacing w:after="0" w:line="284" w:lineRule="auto"/>
        <w:rPr>
          <w:sz w:val="20"/>
          <w:szCs w:val="20"/>
          <w:color w:val="auto"/>
        </w:rPr>
      </w:pPr>
      <w:r>
        <w:rPr>
          <w:rFonts w:ascii="Times New Roman" w:cs="Times New Roman" w:eastAsia="Times New Roman" w:hAnsi="Times New Roman"/>
          <w:sz w:val="13"/>
          <w:szCs w:val="13"/>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24" w:lineRule="exact"/>
        <w:rPr>
          <w:sz w:val="20"/>
          <w:szCs w:val="20"/>
          <w:color w:val="auto"/>
        </w:rPr>
      </w:pPr>
    </w:p>
    <w:p>
      <w:pPr>
        <w:ind w:left="260" w:right="399" w:firstLine="339"/>
        <w:spacing w:after="0" w:line="254" w:lineRule="auto"/>
        <w:rPr>
          <w:sz w:val="20"/>
          <w:szCs w:val="20"/>
          <w:color w:val="auto"/>
        </w:rPr>
      </w:pPr>
      <w:r>
        <w:rPr>
          <w:rFonts w:ascii="Times New Roman" w:cs="Times New Roman" w:eastAsia="Times New Roman" w:hAnsi="Times New Roman"/>
          <w:sz w:val="14"/>
          <w:szCs w:val="14"/>
          <w:color w:val="auto"/>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14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7.10 Resignation and Removal; Appointment of Successor</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339" w:firstLine="765"/>
        <w:spacing w:after="0" w:line="255" w:lineRule="auto"/>
        <w:tabs>
          <w:tab w:leader="none" w:pos="1220" w:val="left"/>
        </w:tabs>
        <w:numPr>
          <w:ilvl w:val="0"/>
          <w:numId w:val="8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or any successor hereafter appointed may at any time resign with respect to the Securities of one or more series by giving written notice thereof to the Company and the Securityholders of such series.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9019"/>
          </w:cols>
          <w:pgMar w:left="1440" w:top="237" w:right="1440" w:bottom="1440" w:gutter="0" w:footer="0" w:header="0"/>
        </w:sectPr>
      </w:pPr>
    </w:p>
    <w:bookmarkStart w:id="121" w:name="page122"/>
    <w:bookmarkEnd w:id="121"/>
    <w:p>
      <w:pPr>
        <w:ind w:left="260" w:right="31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after the sending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140" w:lineRule="exact"/>
        <w:rPr>
          <w:sz w:val="20"/>
          <w:szCs w:val="20"/>
          <w:color w:val="auto"/>
        </w:rPr>
      </w:pPr>
    </w:p>
    <w:p>
      <w:pPr>
        <w:ind w:left="1220" w:hanging="195"/>
        <w:spacing w:after="0"/>
        <w:tabs>
          <w:tab w:leader="none" w:pos="1220" w:val="left"/>
        </w:tabs>
        <w:numPr>
          <w:ilvl w:val="0"/>
          <w:numId w:val="9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case at any time any one of the following shall occur:</w:t>
      </w:r>
    </w:p>
    <w:p>
      <w:pPr>
        <w:spacing w:after="0" w:line="88" w:lineRule="exact"/>
        <w:rPr>
          <w:rFonts w:ascii="Times New Roman" w:cs="Times New Roman" w:eastAsia="Times New Roman" w:hAnsi="Times New Roman"/>
          <w:sz w:val="14"/>
          <w:szCs w:val="14"/>
          <w:b w:val="1"/>
          <w:bCs w:val="1"/>
          <w:color w:val="auto"/>
        </w:rPr>
      </w:pPr>
    </w:p>
    <w:p>
      <w:pPr>
        <w:ind w:left="260" w:right="659" w:firstLine="1105"/>
        <w:spacing w:after="0" w:line="278" w:lineRule="auto"/>
        <w:tabs>
          <w:tab w:leader="none" w:pos="1529" w:val="left"/>
        </w:tabs>
        <w:numPr>
          <w:ilvl w:val="1"/>
          <w:numId w:val="9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126" w:lineRule="exact"/>
        <w:rPr>
          <w:rFonts w:ascii="Times New Roman" w:cs="Times New Roman" w:eastAsia="Times New Roman" w:hAnsi="Times New Roman"/>
          <w:sz w:val="14"/>
          <w:szCs w:val="14"/>
          <w:b w:val="1"/>
          <w:bCs w:val="1"/>
          <w:color w:val="auto"/>
        </w:rPr>
      </w:pPr>
    </w:p>
    <w:p>
      <w:pPr>
        <w:ind w:left="260" w:right="699" w:firstLine="1105"/>
        <w:spacing w:after="0" w:line="278" w:lineRule="auto"/>
        <w:tabs>
          <w:tab w:leader="none" w:pos="1567" w:val="left"/>
        </w:tabs>
        <w:numPr>
          <w:ilvl w:val="1"/>
          <w:numId w:val="9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shall cease to be eligible in accordance with the provisions of Section 7.09 and shall fail to resign after written request therefor by the Company or by any such Securityholder; or</w:t>
      </w:r>
    </w:p>
    <w:p>
      <w:pPr>
        <w:spacing w:after="0" w:line="126" w:lineRule="exact"/>
        <w:rPr>
          <w:rFonts w:ascii="Times New Roman" w:cs="Times New Roman" w:eastAsia="Times New Roman" w:hAnsi="Times New Roman"/>
          <w:sz w:val="14"/>
          <w:szCs w:val="14"/>
          <w:b w:val="1"/>
          <w:bCs w:val="1"/>
          <w:color w:val="auto"/>
        </w:rPr>
      </w:pPr>
    </w:p>
    <w:p>
      <w:pPr>
        <w:ind w:left="260" w:right="299" w:firstLine="1105"/>
        <w:spacing w:after="0" w:line="263" w:lineRule="auto"/>
        <w:tabs>
          <w:tab w:leader="none" w:pos="1606" w:val="left"/>
        </w:tabs>
        <w:numPr>
          <w:ilvl w:val="1"/>
          <w:numId w:val="9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136" w:lineRule="exact"/>
        <w:rPr>
          <w:sz w:val="20"/>
          <w:szCs w:val="20"/>
          <w:color w:val="auto"/>
        </w:rPr>
      </w:pPr>
    </w:p>
    <w:p>
      <w:pPr>
        <w:ind w:left="260" w:right="299" w:firstLine="339"/>
        <w:spacing w:after="0" w:line="255" w:lineRule="auto"/>
        <w:rPr>
          <w:sz w:val="20"/>
          <w:szCs w:val="20"/>
          <w:color w:val="auto"/>
        </w:rPr>
      </w:pPr>
      <w:r>
        <w:rPr>
          <w:rFonts w:ascii="Times New Roman" w:cs="Times New Roman" w:eastAsia="Times New Roman" w:hAnsi="Times New Roman"/>
          <w:sz w:val="14"/>
          <w:szCs w:val="14"/>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43" w:lineRule="exact"/>
        <w:rPr>
          <w:sz w:val="20"/>
          <w:szCs w:val="20"/>
          <w:color w:val="auto"/>
        </w:rPr>
      </w:pPr>
    </w:p>
    <w:p>
      <w:pPr>
        <w:ind w:left="260" w:right="279" w:firstLine="765"/>
        <w:spacing w:after="0" w:line="263" w:lineRule="auto"/>
        <w:tabs>
          <w:tab w:leader="none" w:pos="1210" w:val="left"/>
        </w:tabs>
        <w:numPr>
          <w:ilvl w:val="0"/>
          <w:numId w:val="9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136" w:lineRule="exact"/>
        <w:rPr>
          <w:rFonts w:ascii="Times New Roman" w:cs="Times New Roman" w:eastAsia="Times New Roman" w:hAnsi="Times New Roman"/>
          <w:sz w:val="14"/>
          <w:szCs w:val="14"/>
          <w:b w:val="1"/>
          <w:bCs w:val="1"/>
          <w:color w:val="auto"/>
        </w:rPr>
      </w:pPr>
    </w:p>
    <w:p>
      <w:pPr>
        <w:ind w:left="260" w:right="399" w:firstLine="765"/>
        <w:spacing w:after="0" w:line="278" w:lineRule="auto"/>
        <w:tabs>
          <w:tab w:leader="none" w:pos="1228" w:val="left"/>
        </w:tabs>
        <w:numPr>
          <w:ilvl w:val="0"/>
          <w:numId w:val="9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126" w:lineRule="exact"/>
        <w:rPr>
          <w:rFonts w:ascii="Times New Roman" w:cs="Times New Roman" w:eastAsia="Times New Roman" w:hAnsi="Times New Roman"/>
          <w:sz w:val="14"/>
          <w:szCs w:val="14"/>
          <w:b w:val="1"/>
          <w:bCs w:val="1"/>
          <w:color w:val="auto"/>
        </w:rPr>
      </w:pPr>
    </w:p>
    <w:p>
      <w:pPr>
        <w:ind w:left="260" w:right="339" w:firstLine="765"/>
        <w:spacing w:after="0" w:line="278" w:lineRule="auto"/>
        <w:tabs>
          <w:tab w:leader="none" w:pos="1212" w:val="left"/>
        </w:tabs>
        <w:numPr>
          <w:ilvl w:val="0"/>
          <w:numId w:val="9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9019"/>
          </w:cols>
          <w:pgMar w:left="1440" w:top="239" w:right="1440" w:bottom="1440" w:gutter="0" w:footer="0" w:header="0"/>
        </w:sectPr>
      </w:pPr>
    </w:p>
    <w:bookmarkStart w:id="122" w:name="page123"/>
    <w:bookmarkEnd w:id="122"/>
    <w:p>
      <w:pPr>
        <w:ind w:left="6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Section 7.11 Acceptance of Appointment By Successor</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399" w:firstLine="765"/>
        <w:spacing w:after="0" w:line="253" w:lineRule="auto"/>
        <w:tabs>
          <w:tab w:leader="none" w:pos="1220" w:val="left"/>
        </w:tabs>
        <w:numPr>
          <w:ilvl w:val="0"/>
          <w:numId w:val="9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any amounts due to it pursuant to the provisions of Section 7.06,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42" w:lineRule="exact"/>
        <w:rPr>
          <w:rFonts w:ascii="Times New Roman" w:cs="Times New Roman" w:eastAsia="Times New Roman" w:hAnsi="Times New Roman"/>
          <w:sz w:val="14"/>
          <w:szCs w:val="14"/>
          <w:b w:val="1"/>
          <w:bCs w:val="1"/>
          <w:color w:val="auto"/>
        </w:rPr>
      </w:pPr>
    </w:p>
    <w:p>
      <w:pPr>
        <w:ind w:left="260" w:right="359" w:firstLine="765"/>
        <w:spacing w:after="0" w:line="249" w:lineRule="auto"/>
        <w:tabs>
          <w:tab w:leader="none" w:pos="1228" w:val="left"/>
        </w:tabs>
        <w:numPr>
          <w:ilvl w:val="0"/>
          <w:numId w:val="9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153" w:lineRule="exact"/>
        <w:rPr>
          <w:rFonts w:ascii="Times New Roman" w:cs="Times New Roman" w:eastAsia="Times New Roman" w:hAnsi="Times New Roman"/>
          <w:sz w:val="14"/>
          <w:szCs w:val="14"/>
          <w:b w:val="1"/>
          <w:bCs w:val="1"/>
          <w:color w:val="auto"/>
        </w:rPr>
      </w:pPr>
    </w:p>
    <w:p>
      <w:pPr>
        <w:ind w:left="260" w:right="379" w:firstLine="765"/>
        <w:spacing w:after="0" w:line="278" w:lineRule="auto"/>
        <w:tabs>
          <w:tab w:leader="none" w:pos="1212" w:val="left"/>
        </w:tabs>
        <w:numPr>
          <w:ilvl w:val="0"/>
          <w:numId w:val="9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9019"/>
          </w:cols>
          <w:pgMar w:left="1440" w:top="237" w:right="1440" w:bottom="1440" w:gutter="0" w:footer="0" w:header="0"/>
        </w:sectPr>
      </w:pPr>
    </w:p>
    <w:bookmarkStart w:id="123" w:name="page124"/>
    <w:bookmarkEnd w:id="123"/>
    <w:p>
      <w:pPr>
        <w:ind w:left="260" w:right="499" w:firstLine="765"/>
        <w:spacing w:after="0" w:line="278" w:lineRule="auto"/>
        <w:tabs>
          <w:tab w:leader="none" w:pos="1228" w:val="left"/>
        </w:tabs>
        <w:numPr>
          <w:ilvl w:val="0"/>
          <w:numId w:val="9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No successor trustee shall accept its appointment unless at the time of such acceptance such successor trustee shall be qualified and eligible under this Article.</w:t>
      </w:r>
    </w:p>
    <w:p>
      <w:pPr>
        <w:spacing w:after="0" w:line="126" w:lineRule="exact"/>
        <w:rPr>
          <w:rFonts w:ascii="Times New Roman" w:cs="Times New Roman" w:eastAsia="Times New Roman" w:hAnsi="Times New Roman"/>
          <w:sz w:val="14"/>
          <w:szCs w:val="14"/>
          <w:b w:val="1"/>
          <w:bCs w:val="1"/>
          <w:color w:val="auto"/>
        </w:rPr>
      </w:pPr>
    </w:p>
    <w:p>
      <w:pPr>
        <w:jc w:val="both"/>
        <w:ind w:left="260" w:right="319" w:firstLine="765"/>
        <w:spacing w:after="0" w:line="263" w:lineRule="auto"/>
        <w:tabs>
          <w:tab w:leader="none" w:pos="1212" w:val="left"/>
        </w:tabs>
        <w:numPr>
          <w:ilvl w:val="0"/>
          <w:numId w:val="9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Upon acceptance of appointment by a successor trustee as provided in this Section, the Company shall send notice of the succession of such trustee hereunder to the Securityholders. If the Company fails to send such notice within ten days after acceptance of appointment by the successor trustee, the successor trustee shall cause such notice to be sent at the expense of the Company.</w:t>
      </w:r>
    </w:p>
    <w:p>
      <w:pPr>
        <w:spacing w:after="0" w:line="13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7.12 Merger, Conversion, Consolidation or Succession to Business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319" w:firstLine="339"/>
        <w:spacing w:after="0" w:line="252" w:lineRule="auto"/>
        <w:rPr>
          <w:sz w:val="20"/>
          <w:szCs w:val="20"/>
          <w:color w:val="auto"/>
        </w:rPr>
      </w:pPr>
      <w:r>
        <w:rPr>
          <w:rFonts w:ascii="Times New Roman" w:cs="Times New Roman" w:eastAsia="Times New Roman" w:hAnsi="Times New Roman"/>
          <w:sz w:val="14"/>
          <w:szCs w:val="14"/>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4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7.13 Preferential Collection of Claims Against the Company</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left="260" w:right="499" w:firstLine="339"/>
        <w:spacing w:after="0" w:line="263" w:lineRule="auto"/>
        <w:rPr>
          <w:sz w:val="20"/>
          <w:szCs w:val="20"/>
          <w:color w:val="auto"/>
        </w:rPr>
      </w:pPr>
      <w:r>
        <w:rPr>
          <w:rFonts w:ascii="Times New Roman" w:cs="Times New Roman" w:eastAsia="Times New Roman" w:hAnsi="Times New Roman"/>
          <w:sz w:val="14"/>
          <w:szCs w:val="14"/>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3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7.14 Notice of Default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279" w:firstLine="339"/>
        <w:spacing w:after="0" w:line="254" w:lineRule="auto"/>
        <w:rPr>
          <w:sz w:val="20"/>
          <w:szCs w:val="20"/>
          <w:color w:val="auto"/>
        </w:rPr>
      </w:pPr>
      <w:r>
        <w:rPr>
          <w:rFonts w:ascii="Times New Roman" w:cs="Times New Roman" w:eastAsia="Times New Roman" w:hAnsi="Times New Roman"/>
          <w:sz w:val="14"/>
          <w:szCs w:val="14"/>
          <w:color w:val="auto"/>
        </w:rPr>
        <w:t xml:space="preserve">If any Event of Default occurs and is continuing and if such Event of Default is known to a Responsible Officer of the Trustee, the Trustee shall send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except in the case of a default in the payment of the principal of (or premium, if any) or interest on any Security, the Trustee shall be protected in withholding such notice if and so long as the Responsible Officers of the Trustee in good faith determine that the withholding of such notice is in the interest of the Securityholders.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9019"/>
          </w:cols>
          <w:pgMar w:left="1440" w:top="239" w:right="1440"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ARTICLE 8</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CONCERNING THE SECURITYHOLDERS</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8.01 Evidence of Action by Securityholders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299" w:firstLine="339"/>
        <w:spacing w:after="0" w:line="255" w:lineRule="auto"/>
        <w:rPr>
          <w:sz w:val="20"/>
          <w:szCs w:val="20"/>
          <w:color w:val="auto"/>
        </w:rPr>
      </w:pPr>
      <w:r>
        <w:rPr>
          <w:rFonts w:ascii="Times New Roman" w:cs="Times New Roman" w:eastAsia="Times New Roman" w:hAnsi="Times New Roman"/>
          <w:sz w:val="14"/>
          <w:szCs w:val="14"/>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43" w:lineRule="exact"/>
        <w:rPr>
          <w:sz w:val="20"/>
          <w:szCs w:val="20"/>
          <w:color w:val="auto"/>
        </w:rPr>
      </w:pPr>
    </w:p>
    <w:p>
      <w:pPr>
        <w:ind w:left="260" w:right="339" w:firstLine="339"/>
        <w:spacing w:after="0" w:line="251" w:lineRule="auto"/>
        <w:rPr>
          <w:sz w:val="20"/>
          <w:szCs w:val="20"/>
          <w:color w:val="auto"/>
        </w:rPr>
      </w:pPr>
      <w:r>
        <w:rPr>
          <w:rFonts w:ascii="Times New Roman" w:cs="Times New Roman" w:eastAsia="Times New Roman" w:hAnsi="Times New Roman"/>
          <w:sz w:val="14"/>
          <w:szCs w:val="14"/>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8.02 Proof of Execution by Securityholders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279" w:firstLine="339"/>
        <w:spacing w:after="0" w:line="278" w:lineRule="auto"/>
        <w:rPr>
          <w:sz w:val="20"/>
          <w:szCs w:val="20"/>
          <w:color w:val="auto"/>
        </w:rPr>
      </w:pPr>
      <w:r>
        <w:rPr>
          <w:rFonts w:ascii="Times New Roman" w:cs="Times New Roman" w:eastAsia="Times New Roman" w:hAnsi="Times New Roman"/>
          <w:sz w:val="14"/>
          <w:szCs w:val="14"/>
          <w:color w:val="auto"/>
        </w:rPr>
        <w:t>Subject to the provisions of Section 7.01, proof of the execution of any instrument by a Securityholder (such proof will not require notarization) or his or her agent or proxy and proof of the holding by any Person of any of the Securities shall be sufficient if made in the following manner:</w:t>
      </w:r>
    </w:p>
    <w:p>
      <w:pPr>
        <w:spacing w:after="0" w:line="43" w:lineRule="exact"/>
        <w:rPr>
          <w:sz w:val="20"/>
          <w:szCs w:val="20"/>
          <w:color w:val="auto"/>
        </w:rPr>
      </w:pPr>
    </w:p>
    <w:p>
      <w:pPr>
        <w:ind w:left="1220" w:hanging="195"/>
        <w:spacing w:after="0"/>
        <w:tabs>
          <w:tab w:leader="none" w:pos="1220" w:val="left"/>
        </w:tabs>
        <w:numPr>
          <w:ilvl w:val="0"/>
          <w:numId w:val="9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fact and date of the execution by any such Person of any instrument may be proved in any reasonable manner acceptable to the</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Trustee.</w:t>
      </w:r>
    </w:p>
    <w:p>
      <w:pPr>
        <w:spacing w:after="0" w:line="157" w:lineRule="exact"/>
        <w:rPr>
          <w:sz w:val="20"/>
          <w:szCs w:val="20"/>
          <w:color w:val="auto"/>
        </w:rPr>
      </w:pPr>
    </w:p>
    <w:p>
      <w:pPr>
        <w:ind w:left="1220" w:hanging="195"/>
        <w:spacing w:after="0"/>
        <w:tabs>
          <w:tab w:leader="none" w:pos="1220" w:val="left"/>
        </w:tabs>
        <w:numPr>
          <w:ilvl w:val="0"/>
          <w:numId w:val="9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ownership of Securities shall be proved by the Security Register of such Securities or by a certificate of the Security Registrar</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thereof.</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Trustee may require such additional proof of any matter referred to in this Section as it shall deem necessary.</w:t>
      </w:r>
    </w:p>
    <w:p>
      <w:pPr>
        <w:spacing w:after="0" w:line="12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9019"/>
          </w:cols>
          <w:pgMar w:left="1440" w:top="237" w:right="1440" w:bottom="1440" w:gutter="0" w:footer="0" w:header="0"/>
        </w:sectPr>
      </w:pPr>
    </w:p>
    <w:bookmarkStart w:id="125" w:name="page126"/>
    <w:bookmarkEnd w:id="125"/>
    <w:p>
      <w:pPr>
        <w:ind w:left="6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Section 8.03 Who May be Deemed Owners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379" w:firstLine="339"/>
        <w:spacing w:after="0" w:line="258" w:lineRule="auto"/>
        <w:rPr>
          <w:sz w:val="20"/>
          <w:szCs w:val="20"/>
          <w:color w:val="auto"/>
        </w:rPr>
      </w:pPr>
      <w:r>
        <w:rPr>
          <w:rFonts w:ascii="Times New Roman" w:cs="Times New Roman" w:eastAsia="Times New Roman" w:hAnsi="Times New Roman"/>
          <w:sz w:val="14"/>
          <w:szCs w:val="14"/>
          <w:color w:val="auto"/>
        </w:rPr>
        <w:t>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w:t>
      </w:r>
    </w:p>
    <w:p>
      <w:pPr>
        <w:spacing w:after="0" w:line="140" w:lineRule="exact"/>
        <w:rPr>
          <w:sz w:val="20"/>
          <w:szCs w:val="20"/>
          <w:color w:val="auto"/>
        </w:rPr>
      </w:pPr>
    </w:p>
    <w:p>
      <w:pPr>
        <w:ind w:left="260" w:right="319"/>
        <w:spacing w:after="0" w:line="318" w:lineRule="auto"/>
        <w:rPr>
          <w:sz w:val="20"/>
          <w:szCs w:val="20"/>
          <w:color w:val="auto"/>
        </w:rPr>
      </w:pPr>
      <w:r>
        <w:rPr>
          <w:rFonts w:ascii="Times New Roman" w:cs="Times New Roman" w:eastAsia="Times New Roman" w:hAnsi="Times New Roman"/>
          <w:sz w:val="13"/>
          <w:szCs w:val="13"/>
          <w:color w:val="auto"/>
        </w:rPr>
        <w:t>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10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8.04 Certain Securities Owned by Company Disregarded</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279" w:firstLine="339"/>
        <w:spacing w:after="0" w:line="273" w:lineRule="auto"/>
        <w:rPr>
          <w:sz w:val="20"/>
          <w:szCs w:val="20"/>
          <w:color w:val="auto"/>
        </w:rPr>
      </w:pPr>
      <w:r>
        <w:rPr>
          <w:rFonts w:ascii="Times New Roman" w:cs="Times New Roman" w:eastAsia="Times New Roman" w:hAnsi="Times New Roman"/>
          <w:sz w:val="13"/>
          <w:szCs w:val="13"/>
          <w:color w:val="auto"/>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8.05 Actions Binding on Future Securityholders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339" w:firstLine="339"/>
        <w:spacing w:after="0" w:line="251" w:lineRule="auto"/>
        <w:rPr>
          <w:sz w:val="20"/>
          <w:szCs w:val="20"/>
          <w:color w:val="auto"/>
        </w:rPr>
      </w:pPr>
      <w:r>
        <w:rPr>
          <w:rFonts w:ascii="Times New Roman" w:cs="Times New Roman" w:eastAsia="Times New Roman" w:hAnsi="Times New Roman"/>
          <w:sz w:val="14"/>
          <w:szCs w:val="14"/>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9019"/>
          </w:cols>
          <w:pgMar w:left="1440" w:top="237" w:right="1440" w:bottom="1440" w:gutter="0" w:footer="0" w:header="0"/>
        </w:sectPr>
      </w:pPr>
    </w:p>
    <w:bookmarkStart w:id="126" w:name="page127"/>
    <w:bookmarkEnd w:id="12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ARTICLE 9</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SUPPLEMENTAL INDENTURES</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9.01 Supplemental Indentures Without the Consent of Securityholders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359" w:firstLine="339"/>
        <w:spacing w:after="0" w:line="263" w:lineRule="auto"/>
        <w:rPr>
          <w:sz w:val="20"/>
          <w:szCs w:val="20"/>
          <w:color w:val="auto"/>
        </w:rPr>
      </w:pPr>
      <w:r>
        <w:rPr>
          <w:rFonts w:ascii="Times New Roman" w:cs="Times New Roman" w:eastAsia="Times New Roman" w:hAnsi="Times New Roman"/>
          <w:sz w:val="14"/>
          <w:szCs w:val="14"/>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53" w:lineRule="exact"/>
        <w:rPr>
          <w:sz w:val="20"/>
          <w:szCs w:val="20"/>
          <w:color w:val="auto"/>
        </w:rPr>
      </w:pPr>
    </w:p>
    <w:p>
      <w:pPr>
        <w:ind w:left="1220" w:hanging="195"/>
        <w:spacing w:after="0"/>
        <w:tabs>
          <w:tab w:leader="none" w:pos="1220" w:val="left"/>
        </w:tabs>
        <w:numPr>
          <w:ilvl w:val="0"/>
          <w:numId w:val="9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cure any ambiguity, defect, or inconsistency herein or in the Securities of any series;</w:t>
      </w:r>
    </w:p>
    <w:p>
      <w:pPr>
        <w:spacing w:after="0" w:line="171" w:lineRule="exact"/>
        <w:rPr>
          <w:rFonts w:ascii="Times New Roman" w:cs="Times New Roman" w:eastAsia="Times New Roman" w:hAnsi="Times New Roman"/>
          <w:sz w:val="14"/>
          <w:szCs w:val="14"/>
          <w:b w:val="1"/>
          <w:bCs w:val="1"/>
          <w:color w:val="auto"/>
        </w:rPr>
      </w:pPr>
    </w:p>
    <w:p>
      <w:pPr>
        <w:ind w:left="1220" w:hanging="195"/>
        <w:spacing w:after="0"/>
        <w:tabs>
          <w:tab w:leader="none" w:pos="1220" w:val="left"/>
        </w:tabs>
        <w:numPr>
          <w:ilvl w:val="0"/>
          <w:numId w:val="9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comply with Article Ten;</w:t>
      </w:r>
    </w:p>
    <w:p>
      <w:pPr>
        <w:spacing w:after="0" w:line="171" w:lineRule="exact"/>
        <w:rPr>
          <w:rFonts w:ascii="Times New Roman" w:cs="Times New Roman" w:eastAsia="Times New Roman" w:hAnsi="Times New Roman"/>
          <w:sz w:val="14"/>
          <w:szCs w:val="14"/>
          <w:b w:val="1"/>
          <w:bCs w:val="1"/>
          <w:color w:val="auto"/>
        </w:rPr>
      </w:pPr>
    </w:p>
    <w:p>
      <w:pPr>
        <w:ind w:left="1220" w:hanging="195"/>
        <w:spacing w:after="0"/>
        <w:tabs>
          <w:tab w:leader="none" w:pos="1220" w:val="left"/>
        </w:tabs>
        <w:numPr>
          <w:ilvl w:val="0"/>
          <w:numId w:val="9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provide for uncertificated Securities in addition to or in place of certificated Securities;</w:t>
      </w:r>
    </w:p>
    <w:p>
      <w:pPr>
        <w:spacing w:after="0" w:line="171" w:lineRule="exact"/>
        <w:rPr>
          <w:rFonts w:ascii="Times New Roman" w:cs="Times New Roman" w:eastAsia="Times New Roman" w:hAnsi="Times New Roman"/>
          <w:sz w:val="14"/>
          <w:szCs w:val="14"/>
          <w:b w:val="1"/>
          <w:bCs w:val="1"/>
          <w:color w:val="auto"/>
        </w:rPr>
      </w:pPr>
    </w:p>
    <w:p>
      <w:pPr>
        <w:ind w:left="260" w:right="359" w:firstLine="765"/>
        <w:spacing w:after="0" w:line="255" w:lineRule="auto"/>
        <w:tabs>
          <w:tab w:leader="none" w:pos="1228" w:val="left"/>
        </w:tabs>
        <w:numPr>
          <w:ilvl w:val="0"/>
          <w:numId w:val="9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142" w:lineRule="exact"/>
        <w:rPr>
          <w:rFonts w:ascii="Times New Roman" w:cs="Times New Roman" w:eastAsia="Times New Roman" w:hAnsi="Times New Roman"/>
          <w:sz w:val="14"/>
          <w:szCs w:val="14"/>
          <w:b w:val="1"/>
          <w:bCs w:val="1"/>
          <w:color w:val="auto"/>
        </w:rPr>
      </w:pPr>
    </w:p>
    <w:p>
      <w:pPr>
        <w:ind w:left="260" w:right="639" w:firstLine="765"/>
        <w:spacing w:after="0" w:line="278" w:lineRule="auto"/>
        <w:tabs>
          <w:tab w:leader="none" w:pos="1212" w:val="left"/>
        </w:tabs>
        <w:numPr>
          <w:ilvl w:val="0"/>
          <w:numId w:val="9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add to, delete from, or revise the conditions, limitations, and restrictions on the authorized amount, terms, or purposes of issue, authentication, and delivery of Securities, as herein set forth;</w:t>
      </w:r>
    </w:p>
    <w:p>
      <w:pPr>
        <w:spacing w:after="0" w:line="126" w:lineRule="exact"/>
        <w:rPr>
          <w:rFonts w:ascii="Times New Roman" w:cs="Times New Roman" w:eastAsia="Times New Roman" w:hAnsi="Times New Roman"/>
          <w:sz w:val="14"/>
          <w:szCs w:val="14"/>
          <w:b w:val="1"/>
          <w:bCs w:val="1"/>
          <w:color w:val="auto"/>
        </w:rPr>
      </w:pPr>
    </w:p>
    <w:p>
      <w:pPr>
        <w:ind w:left="1200" w:hanging="175"/>
        <w:spacing w:after="0"/>
        <w:tabs>
          <w:tab w:leader="none" w:pos="1200" w:val="left"/>
        </w:tabs>
        <w:numPr>
          <w:ilvl w:val="0"/>
          <w:numId w:val="9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make any change that does not adversely affect the rights of any Securityholder in any material respect;</w:t>
      </w:r>
    </w:p>
    <w:p>
      <w:pPr>
        <w:spacing w:after="0" w:line="171" w:lineRule="exact"/>
        <w:rPr>
          <w:rFonts w:ascii="Times New Roman" w:cs="Times New Roman" w:eastAsia="Times New Roman" w:hAnsi="Times New Roman"/>
          <w:sz w:val="14"/>
          <w:szCs w:val="14"/>
          <w:b w:val="1"/>
          <w:bCs w:val="1"/>
          <w:color w:val="auto"/>
        </w:rPr>
      </w:pPr>
    </w:p>
    <w:p>
      <w:pPr>
        <w:ind w:left="1220" w:hanging="195"/>
        <w:spacing w:after="0"/>
        <w:tabs>
          <w:tab w:leader="none" w:pos="1220" w:val="left"/>
        </w:tabs>
        <w:numPr>
          <w:ilvl w:val="0"/>
          <w:numId w:val="9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provide for the issuance of and establish the form and terms and conditions of the Securities of any series as provided in</w:t>
      </w:r>
    </w:p>
    <w:p>
      <w:pPr>
        <w:spacing w:after="0" w:line="21" w:lineRule="exact"/>
        <w:rPr>
          <w:sz w:val="20"/>
          <w:szCs w:val="20"/>
          <w:color w:val="auto"/>
        </w:rPr>
      </w:pPr>
    </w:p>
    <w:p>
      <w:pPr>
        <w:ind w:left="260" w:right="419"/>
        <w:spacing w:after="0" w:line="256" w:lineRule="auto"/>
        <w:rPr>
          <w:sz w:val="20"/>
          <w:szCs w:val="20"/>
          <w:color w:val="auto"/>
        </w:rPr>
      </w:pPr>
      <w:r>
        <w:rPr>
          <w:rFonts w:ascii="Times New Roman" w:cs="Times New Roman" w:eastAsia="Times New Roman" w:hAnsi="Times New Roman"/>
          <w:sz w:val="14"/>
          <w:szCs w:val="14"/>
          <w:color w:val="auto"/>
        </w:rPr>
        <w:t>Section 2.01, to establish the form of any certifications required to be furnished pursuant to the terms of this Indenture or any series of Securities, or to add to the rights of the holders of any series of Securities;</w:t>
      </w:r>
    </w:p>
    <w:p>
      <w:pPr>
        <w:spacing w:after="0" w:line="141" w:lineRule="exact"/>
        <w:rPr>
          <w:sz w:val="20"/>
          <w:szCs w:val="20"/>
          <w:color w:val="auto"/>
        </w:rPr>
      </w:pPr>
    </w:p>
    <w:p>
      <w:pPr>
        <w:ind w:left="1220" w:hanging="195"/>
        <w:spacing w:after="0"/>
        <w:tabs>
          <w:tab w:leader="none" w:pos="1220" w:val="left"/>
        </w:tabs>
        <w:numPr>
          <w:ilvl w:val="0"/>
          <w:numId w:val="9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evidence and provide for the acceptance of appointment hereunder by a successor trustee; or</w:t>
      </w:r>
    </w:p>
    <w:p>
      <w:pPr>
        <w:spacing w:after="0" w:line="171" w:lineRule="exact"/>
        <w:rPr>
          <w:rFonts w:ascii="Times New Roman" w:cs="Times New Roman" w:eastAsia="Times New Roman" w:hAnsi="Times New Roman"/>
          <w:sz w:val="14"/>
          <w:szCs w:val="14"/>
          <w:b w:val="1"/>
          <w:bCs w:val="1"/>
          <w:color w:val="auto"/>
        </w:rPr>
      </w:pPr>
    </w:p>
    <w:p>
      <w:pPr>
        <w:ind w:left="260" w:right="439" w:firstLine="765"/>
        <w:spacing w:after="0" w:line="278" w:lineRule="auto"/>
        <w:tabs>
          <w:tab w:leader="none" w:pos="1189" w:val="left"/>
        </w:tabs>
        <w:numPr>
          <w:ilvl w:val="0"/>
          <w:numId w:val="9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comply with any requirements of the Commission or any successor in connection with the qualification of this Indenture under the Trust Indenture Act.</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9019"/>
          </w:cols>
          <w:pgMar w:left="1440" w:top="237" w:right="1440" w:bottom="1440" w:gutter="0" w:footer="0" w:header="0"/>
        </w:sectPr>
      </w:pPr>
    </w:p>
    <w:bookmarkStart w:id="127" w:name="page128"/>
    <w:bookmarkEnd w:id="127"/>
    <w:p>
      <w:pPr>
        <w:jc w:val="both"/>
        <w:ind w:left="260" w:right="759" w:firstLine="339"/>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36" w:lineRule="exact"/>
        <w:rPr>
          <w:sz w:val="20"/>
          <w:szCs w:val="20"/>
          <w:color w:val="auto"/>
        </w:rPr>
      </w:pPr>
    </w:p>
    <w:p>
      <w:pPr>
        <w:ind w:left="260" w:right="339" w:firstLine="339"/>
        <w:spacing w:after="0" w:line="278" w:lineRule="auto"/>
        <w:rPr>
          <w:sz w:val="20"/>
          <w:szCs w:val="20"/>
          <w:color w:val="auto"/>
        </w:rPr>
      </w:pPr>
      <w:r>
        <w:rPr>
          <w:rFonts w:ascii="Times New Roman" w:cs="Times New Roman" w:eastAsia="Times New Roman" w:hAnsi="Times New Roman"/>
          <w:sz w:val="14"/>
          <w:szCs w:val="14"/>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1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9.02 Supplemental Indentures With Consent of Securityholders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299" w:firstLine="339"/>
        <w:spacing w:after="0" w:line="251" w:lineRule="auto"/>
        <w:rPr>
          <w:sz w:val="20"/>
          <w:szCs w:val="20"/>
          <w:color w:val="auto"/>
        </w:rPr>
      </w:pPr>
      <w:r>
        <w:rPr>
          <w:rFonts w:ascii="Times New Roman" w:cs="Times New Roman" w:eastAsia="Times New Roman" w:hAnsi="Times New Roman"/>
          <w:sz w:val="14"/>
          <w:szCs w:val="14"/>
          <w:color w:val="auto"/>
        </w:rPr>
        <w:t>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148" w:lineRule="exact"/>
        <w:rPr>
          <w:sz w:val="20"/>
          <w:szCs w:val="20"/>
          <w:color w:val="auto"/>
        </w:rPr>
      </w:pPr>
    </w:p>
    <w:p>
      <w:pPr>
        <w:ind w:left="260" w:right="419" w:firstLine="339"/>
        <w:spacing w:after="0" w:line="278" w:lineRule="auto"/>
        <w:rPr>
          <w:sz w:val="20"/>
          <w:szCs w:val="20"/>
          <w:color w:val="auto"/>
        </w:rPr>
      </w:pPr>
      <w:r>
        <w:rPr>
          <w:rFonts w:ascii="Times New Roman" w:cs="Times New Roman" w:eastAsia="Times New Roman" w:hAnsi="Times New Roman"/>
          <w:sz w:val="14"/>
          <w:szCs w:val="14"/>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9.03 Effect of Supplemental Indentures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339" w:firstLine="339"/>
        <w:spacing w:after="0" w:line="279" w:lineRule="auto"/>
        <w:rPr>
          <w:sz w:val="20"/>
          <w:szCs w:val="20"/>
          <w:color w:val="auto"/>
        </w:rPr>
      </w:pPr>
      <w:r>
        <w:rPr>
          <w:rFonts w:ascii="Times New Roman" w:cs="Times New Roman" w:eastAsia="Times New Roman" w:hAnsi="Times New Roman"/>
          <w:sz w:val="13"/>
          <w:szCs w:val="13"/>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9.04 Securities Affected by Supplemental Indentures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399" w:firstLine="339"/>
        <w:spacing w:after="0" w:line="254" w:lineRule="auto"/>
        <w:rPr>
          <w:sz w:val="20"/>
          <w:szCs w:val="20"/>
          <w:color w:val="auto"/>
        </w:rPr>
      </w:pPr>
      <w:r>
        <w:rPr>
          <w:rFonts w:ascii="Times New Roman" w:cs="Times New Roman" w:eastAsia="Times New Roman" w:hAnsi="Times New Roman"/>
          <w:sz w:val="14"/>
          <w:szCs w:val="14"/>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9019"/>
          </w:cols>
          <w:pgMar w:left="1440" w:top="239" w:right="1440" w:bottom="1440" w:gutter="0" w:footer="0" w:header="0"/>
        </w:sectPr>
      </w:pPr>
    </w:p>
    <w:bookmarkStart w:id="128" w:name="page129"/>
    <w:bookmarkEnd w:id="128"/>
    <w:p>
      <w:pPr>
        <w:ind w:left="6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Section 9.05 Execution of Supplemental Indentures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279" w:firstLine="339"/>
        <w:spacing w:after="0" w:line="274" w:lineRule="auto"/>
        <w:rPr>
          <w:sz w:val="20"/>
          <w:szCs w:val="20"/>
          <w:color w:val="auto"/>
        </w:rPr>
      </w:pPr>
      <w:r>
        <w:rPr>
          <w:rFonts w:ascii="Times New Roman" w:cs="Times New Roman" w:eastAsia="Times New Roman" w:hAnsi="Times New Roman"/>
          <w:sz w:val="13"/>
          <w:szCs w:val="13"/>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w:t>
      </w:r>
    </w:p>
    <w:p>
      <w:pPr>
        <w:spacing w:after="0" w:line="132" w:lineRule="exact"/>
        <w:rPr>
          <w:sz w:val="20"/>
          <w:szCs w:val="20"/>
          <w:color w:val="auto"/>
        </w:rPr>
      </w:pPr>
    </w:p>
    <w:p>
      <w:pPr>
        <w:ind w:left="260" w:right="359" w:firstLine="339"/>
        <w:spacing w:after="0" w:line="284" w:lineRule="auto"/>
        <w:rPr>
          <w:sz w:val="20"/>
          <w:szCs w:val="20"/>
          <w:color w:val="auto"/>
        </w:rPr>
      </w:pPr>
      <w:r>
        <w:rPr>
          <w:rFonts w:ascii="Times New Roman" w:cs="Times New Roman" w:eastAsia="Times New Roman" w:hAnsi="Times New Roman"/>
          <w:sz w:val="13"/>
          <w:szCs w:val="13"/>
          <w:color w:val="auto"/>
        </w:rPr>
        <w:t>Promptly after the execution by the Company and the Trustee of any supplemental indenture pursuant to the provisions of this Section, the Company shall (or shall direct the Trustee to) send a notice, setting forth in general terms the substance of such supplemental indenture, to the Securityholders of all series affected thereby .as their names and addresses appear upon the Security Register. Any failure of the Company to send, or cause the sending of, such notice, or any defect therein, shall not, however, in any way impair or affect the validity of any such supplemental indenture.</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10</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SUCCESSOR ENTITY</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10.01 Company May Consolidate, Etc.</w:t>
      </w:r>
    </w:p>
    <w:p>
      <w:pPr>
        <w:spacing w:after="0" w:line="174" w:lineRule="exact"/>
        <w:rPr>
          <w:sz w:val="20"/>
          <w:szCs w:val="20"/>
          <w:color w:val="auto"/>
        </w:rPr>
      </w:pPr>
    </w:p>
    <w:p>
      <w:pPr>
        <w:ind w:left="260" w:right="279" w:firstLine="339"/>
        <w:spacing w:after="0" w:line="252" w:lineRule="auto"/>
        <w:rPr>
          <w:sz w:val="20"/>
          <w:szCs w:val="20"/>
          <w:color w:val="auto"/>
        </w:rPr>
      </w:pPr>
      <w:r>
        <w:rPr>
          <w:rFonts w:ascii="Times New Roman" w:cs="Times New Roman" w:eastAsia="Times New Roman" w:hAnsi="Times New Roman"/>
          <w:sz w:val="14"/>
          <w:szCs w:val="14"/>
          <w:color w:val="auto"/>
        </w:rPr>
        <w:t>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Person (whether or not affiliated with the Company or its successor or successors); provided, however, the Company hereby covenants and agrees that, upon any such consolidation or merger (in each case, if the Company is not the survivor of such transaction) or any such sale, conveyance, transfer or other disposition (other than a sale, conveyance, transfer or other disposition to a Subsidiary of the Company), the due and punctual payment of the principal of (premium, if any) and interest on all of the Securities of all series in accordance with the terms of each series, according to their tenor, and the due and punctual performance and</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9019"/>
          </w:cols>
          <w:pgMar w:left="1440" w:top="237" w:right="1440" w:bottom="1440" w:gutter="0" w:footer="0" w:header="0"/>
        </w:sectPr>
      </w:pPr>
    </w:p>
    <w:bookmarkStart w:id="129" w:name="page130"/>
    <w:bookmarkEnd w:id="129"/>
    <w:p>
      <w:pPr>
        <w:ind w:left="260" w:right="37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w:t>
      </w:r>
    </w:p>
    <w:p>
      <w:pPr>
        <w:spacing w:after="0" w:line="13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10.02 Successor Entity Substituted</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299" w:firstLine="765"/>
        <w:spacing w:after="0" w:line="255" w:lineRule="auto"/>
        <w:tabs>
          <w:tab w:leader="none" w:pos="1220" w:val="left"/>
        </w:tabs>
        <w:numPr>
          <w:ilvl w:val="0"/>
          <w:numId w:val="9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42" w:lineRule="exact"/>
        <w:rPr>
          <w:rFonts w:ascii="Times New Roman" w:cs="Times New Roman" w:eastAsia="Times New Roman" w:hAnsi="Times New Roman"/>
          <w:sz w:val="14"/>
          <w:szCs w:val="14"/>
          <w:b w:val="1"/>
          <w:bCs w:val="1"/>
          <w:color w:val="auto"/>
        </w:rPr>
      </w:pPr>
    </w:p>
    <w:p>
      <w:pPr>
        <w:ind w:left="260" w:right="419" w:firstLine="765"/>
        <w:spacing w:after="0" w:line="278" w:lineRule="auto"/>
        <w:tabs>
          <w:tab w:leader="none" w:pos="1228" w:val="left"/>
        </w:tabs>
        <w:numPr>
          <w:ilvl w:val="0"/>
          <w:numId w:val="9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126" w:lineRule="exact"/>
        <w:rPr>
          <w:rFonts w:ascii="Times New Roman" w:cs="Times New Roman" w:eastAsia="Times New Roman" w:hAnsi="Times New Roman"/>
          <w:sz w:val="14"/>
          <w:szCs w:val="14"/>
          <w:b w:val="1"/>
          <w:bCs w:val="1"/>
          <w:color w:val="auto"/>
        </w:rPr>
      </w:pPr>
    </w:p>
    <w:p>
      <w:pPr>
        <w:ind w:left="260" w:right="379" w:firstLine="765"/>
        <w:spacing w:after="0" w:line="263" w:lineRule="auto"/>
        <w:tabs>
          <w:tab w:leader="none" w:pos="1212" w:val="left"/>
        </w:tabs>
        <w:numPr>
          <w:ilvl w:val="0"/>
          <w:numId w:val="9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11</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SATISFACTION AND DISCHARGE</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11.01 Satisfaction and Discharge of Indenture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319" w:firstLine="339"/>
        <w:spacing w:after="0" w:line="253" w:lineRule="auto"/>
        <w:rPr>
          <w:sz w:val="20"/>
          <w:szCs w:val="20"/>
          <w:color w:val="auto"/>
        </w:rPr>
      </w:pPr>
      <w:r>
        <w:rPr>
          <w:rFonts w:ascii="Times New Roman" w:cs="Times New Roman" w:eastAsia="Times New Roman" w:hAnsi="Times New Roman"/>
          <w:sz w:val="14"/>
          <w:szCs w:val="14"/>
          <w:color w:val="auto"/>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w:t>
      </w:r>
    </w:p>
    <w:p>
      <w:pPr>
        <w:spacing w:after="0" w:line="2" w:lineRule="exact"/>
        <w:rPr>
          <w:sz w:val="20"/>
          <w:szCs w:val="20"/>
          <w:color w:val="auto"/>
        </w:rPr>
      </w:pPr>
    </w:p>
    <w:p>
      <w:pPr>
        <w:ind w:left="260" w:right="399" w:firstLine="2"/>
        <w:spacing w:after="0" w:line="250" w:lineRule="auto"/>
        <w:tabs>
          <w:tab w:leader="none" w:pos="456"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9019"/>
          </w:cols>
          <w:pgMar w:left="1440" w:top="239" w:right="1440" w:bottom="1440" w:gutter="0" w:footer="0" w:header="0"/>
        </w:sectPr>
      </w:pPr>
    </w:p>
    <w:bookmarkStart w:id="130" w:name="page131"/>
    <w:bookmarkEnd w:id="130"/>
    <w:p>
      <w:pPr>
        <w:ind w:left="260" w:right="359"/>
        <w:spacing w:after="0" w:line="27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7.10, 11.05 and 13.04,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1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11.02 Discharge of Obligations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339" w:firstLine="339"/>
        <w:spacing w:after="0" w:line="252" w:lineRule="auto"/>
        <w:rPr>
          <w:sz w:val="20"/>
          <w:szCs w:val="20"/>
          <w:color w:val="auto"/>
        </w:rPr>
      </w:pPr>
      <w:r>
        <w:rPr>
          <w:rFonts w:ascii="Times New Roman" w:cs="Times New Roman" w:eastAsia="Times New Roman" w:hAnsi="Times New Roman"/>
          <w:sz w:val="14"/>
          <w:szCs w:val="14"/>
          <w:color w:val="auto"/>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11.05 and 13.04 hereof that shall survive until such Securities shall mature and be paid.</w:t>
      </w:r>
    </w:p>
    <w:p>
      <w:pPr>
        <w:spacing w:after="0" w:line="14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Thereafter, Sections 7.06 and 11.05 shall survive.</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11.03 Deposited Moneys to be Held in Trust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359" w:firstLine="339"/>
        <w:spacing w:after="0" w:line="292" w:lineRule="auto"/>
        <w:rPr>
          <w:sz w:val="20"/>
          <w:szCs w:val="20"/>
          <w:color w:val="auto"/>
        </w:rPr>
      </w:pPr>
      <w:r>
        <w:rPr>
          <w:rFonts w:ascii="Times New Roman" w:cs="Times New Roman" w:eastAsia="Times New Roman" w:hAnsi="Times New Roman"/>
          <w:sz w:val="13"/>
          <w:szCs w:val="13"/>
          <w:color w:val="auto"/>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11.04 Payment of Moneys Held by Paying Agents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left="260" w:right="419" w:firstLine="339"/>
        <w:spacing w:after="0" w:line="263" w:lineRule="auto"/>
        <w:rPr>
          <w:sz w:val="20"/>
          <w:szCs w:val="20"/>
          <w:color w:val="auto"/>
        </w:rPr>
      </w:pPr>
      <w:r>
        <w:rPr>
          <w:rFonts w:ascii="Times New Roman" w:cs="Times New Roman" w:eastAsia="Times New Roman" w:hAnsi="Times New Roman"/>
          <w:sz w:val="14"/>
          <w:szCs w:val="14"/>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9019"/>
          </w:cols>
          <w:pgMar w:left="1440" w:top="239" w:right="1440" w:bottom="1440" w:gutter="0" w:footer="0" w:header="0"/>
        </w:sectPr>
      </w:pPr>
    </w:p>
    <w:bookmarkStart w:id="131" w:name="page132"/>
    <w:bookmarkEnd w:id="131"/>
    <w:p>
      <w:pPr>
        <w:ind w:left="6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Section 11.05 Repayment to Company</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379" w:firstLine="339"/>
        <w:spacing w:after="0" w:line="275" w:lineRule="auto"/>
        <w:rPr>
          <w:sz w:val="20"/>
          <w:szCs w:val="20"/>
          <w:color w:val="auto"/>
        </w:rPr>
      </w:pPr>
      <w:r>
        <w:rPr>
          <w:rFonts w:ascii="Times New Roman" w:cs="Times New Roman" w:eastAsia="Times New Roman" w:hAnsi="Times New Roman"/>
          <w:sz w:val="13"/>
          <w:szCs w:val="13"/>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12</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IMMUNITY OF INCORPORATORS, STOCKHOLDERS, OFFICERS AND DIRECTORS</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12.01 No Recourse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279" w:firstLine="339"/>
        <w:spacing w:after="0" w:line="250" w:lineRule="auto"/>
        <w:rPr>
          <w:sz w:val="20"/>
          <w:szCs w:val="20"/>
          <w:color w:val="auto"/>
        </w:rPr>
      </w:pPr>
      <w:r>
        <w:rPr>
          <w:rFonts w:ascii="Times New Roman" w:cs="Times New Roman" w:eastAsia="Times New Roman" w:hAnsi="Times New Roman"/>
          <w:sz w:val="14"/>
          <w:szCs w:val="14"/>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9019"/>
          </w:cols>
          <w:pgMar w:left="1440" w:top="237" w:right="1440"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ARTICLE 13</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MISCELLANEOUS PROVISIONS</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13.01 Effect on Successors and Assigns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599" w:firstLine="339"/>
        <w:spacing w:after="0" w:line="278" w:lineRule="auto"/>
        <w:rPr>
          <w:sz w:val="20"/>
          <w:szCs w:val="20"/>
          <w:color w:val="auto"/>
        </w:rPr>
      </w:pPr>
      <w:r>
        <w:rPr>
          <w:rFonts w:ascii="Times New Roman" w:cs="Times New Roman" w:eastAsia="Times New Roman" w:hAnsi="Times New Roman"/>
          <w:sz w:val="14"/>
          <w:szCs w:val="14"/>
          <w:color w:val="auto"/>
        </w:rPr>
        <w:t>All the covenants, stipulations, promises and agreements in this Indenture made by or on behalf of the Company shall bind its successors and assigns, whether so expressed or not.</w:t>
      </w:r>
    </w:p>
    <w:p>
      <w:pPr>
        <w:spacing w:after="0" w:line="1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13.02 Actions by Successor</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left="260" w:right="299" w:firstLine="339"/>
        <w:spacing w:after="0" w:line="263" w:lineRule="auto"/>
        <w:rPr>
          <w:sz w:val="20"/>
          <w:szCs w:val="20"/>
          <w:color w:val="auto"/>
        </w:rPr>
      </w:pPr>
      <w:r>
        <w:rPr>
          <w:rFonts w:ascii="Times New Roman" w:cs="Times New Roman" w:eastAsia="Times New Roman" w:hAnsi="Times New Roman"/>
          <w:sz w:val="14"/>
          <w:szCs w:val="14"/>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3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13.03 Surrender of Company Powers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left="260" w:right="319" w:firstLine="339"/>
        <w:spacing w:after="0" w:line="318" w:lineRule="auto"/>
        <w:rPr>
          <w:sz w:val="20"/>
          <w:szCs w:val="20"/>
          <w:color w:val="auto"/>
        </w:rPr>
      </w:pPr>
      <w:r>
        <w:rPr>
          <w:rFonts w:ascii="Times New Roman" w:cs="Times New Roman" w:eastAsia="Times New Roman" w:hAnsi="Times New Roman"/>
          <w:sz w:val="13"/>
          <w:szCs w:val="13"/>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0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13.04 Notices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299" w:firstLine="339"/>
        <w:spacing w:after="0" w:line="254" w:lineRule="auto"/>
        <w:rPr>
          <w:sz w:val="20"/>
          <w:szCs w:val="20"/>
          <w:color w:val="auto"/>
        </w:rPr>
      </w:pPr>
      <w:r>
        <w:rPr>
          <w:rFonts w:ascii="Times New Roman" w:cs="Times New Roman" w:eastAsia="Times New Roman" w:hAnsi="Times New Roman"/>
          <w:sz w:val="14"/>
          <w:szCs w:val="14"/>
          <w:color w:val="auto"/>
        </w:rPr>
        <w:t>Except as otherwise expressly provided herein, any notice, request or demand that by any provision of this Indenture is required or permitted to be given, made or served by the Trustee, the Security Registrar, any paying or other agent under this Indenture or by the holders of Securities or by any other Person pursuant to this Indenture to or on the Company may be given or served by being deposited in first class mail, postage prepaid, addressed (until another address is filed in writing by the Company with the Trustee), as follows: .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3210560</wp:posOffset>
            </wp:positionH>
            <wp:positionV relativeFrom="paragraph">
              <wp:posOffset>-236220</wp:posOffset>
            </wp:positionV>
            <wp:extent cx="22225"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4">
                      <a:extLst>
                        <a:ext uri="{28A0092B-C50C-407E-A947-70E740481C1C}"/>
                      </a:extLst>
                    </a:blip>
                    <a:srcRect/>
                    <a:stretch>
                      <a:fillRect/>
                    </a:stretch>
                  </pic:blipFill>
                  <pic:spPr bwMode="auto">
                    <a:xfrm>
                      <a:off x="0" y="0"/>
                      <a:ext cx="22225" cy="6350"/>
                    </a:xfrm>
                    <a:prstGeom prst="rect">
                      <a:avLst/>
                    </a:prstGeom>
                    <a:noFill/>
                  </pic:spPr>
                </pic:pic>
              </a:graphicData>
            </a:graphic>
          </wp:anchor>
        </w:drawing>
      </w:r>
    </w:p>
    <w:p>
      <w:pPr>
        <w:spacing w:after="0" w:line="1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13.05 Governing Law; Jury Trial Waiver</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299" w:firstLine="339"/>
        <w:spacing w:after="0" w:line="278" w:lineRule="auto"/>
        <w:rPr>
          <w:sz w:val="20"/>
          <w:szCs w:val="20"/>
          <w:color w:val="auto"/>
        </w:rPr>
      </w:pPr>
      <w:r>
        <w:rPr>
          <w:rFonts w:ascii="Times New Roman" w:cs="Times New Roman" w:eastAsia="Times New Roman" w:hAnsi="Times New Roman"/>
          <w:sz w:val="14"/>
          <w:szCs w:val="14"/>
          <w:color w:val="auto"/>
        </w:rPr>
        <w:t>This Indenture and each Security shall be governed by, and construed in accordance with, the internal laws of the State of New York, except to the extent that the Trust Indenture Act is applicable.</w:t>
      </w:r>
    </w:p>
    <w:p>
      <w:pPr>
        <w:spacing w:after="0" w:line="126" w:lineRule="exact"/>
        <w:rPr>
          <w:sz w:val="20"/>
          <w:szCs w:val="20"/>
          <w:color w:val="auto"/>
        </w:rPr>
      </w:pPr>
    </w:p>
    <w:p>
      <w:pPr>
        <w:ind w:left="260" w:right="399" w:firstLine="339"/>
        <w:spacing w:after="0" w:line="263" w:lineRule="auto"/>
        <w:rPr>
          <w:sz w:val="20"/>
          <w:szCs w:val="20"/>
          <w:color w:val="auto"/>
        </w:rPr>
      </w:pPr>
      <w:r>
        <w:rPr>
          <w:rFonts w:ascii="Times New Roman" w:cs="Times New Roman" w:eastAsia="Times New Roman" w:hAnsi="Times New Roman"/>
          <w:sz w:val="14"/>
          <w:szCs w:val="14"/>
          <w:color w:val="auto"/>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9019"/>
          </w:cols>
          <w:pgMar w:left="1440" w:top="237" w:right="1440" w:bottom="1440" w:gutter="0" w:footer="0" w:header="0"/>
        </w:sectPr>
      </w:pPr>
    </w:p>
    <w:bookmarkStart w:id="133" w:name="page134"/>
    <w:bookmarkEnd w:id="133"/>
    <w:p>
      <w:pPr>
        <w:ind w:left="6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Section 13.06 Treatment of Securities as Debt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319" w:firstLine="339"/>
        <w:spacing w:after="0" w:line="278" w:lineRule="auto"/>
        <w:rPr>
          <w:sz w:val="20"/>
          <w:szCs w:val="20"/>
          <w:color w:val="auto"/>
        </w:rPr>
      </w:pPr>
      <w:r>
        <w:rPr>
          <w:rFonts w:ascii="Times New Roman" w:cs="Times New Roman" w:eastAsia="Times New Roman" w:hAnsi="Times New Roman"/>
          <w:sz w:val="14"/>
          <w:szCs w:val="14"/>
          <w:color w:val="auto"/>
        </w:rPr>
        <w:t>It is intended that the Securities will be treated as indebtedness and not as equity for federal income tax purposes. The provisions of this Indenture shall be interpreted to further this intention.</w:t>
      </w:r>
    </w:p>
    <w:p>
      <w:pPr>
        <w:spacing w:after="0" w:line="1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13.07 Certificates and Opinions as to Conditions Precedent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279" w:firstLine="765"/>
        <w:spacing w:after="0" w:line="254" w:lineRule="auto"/>
        <w:tabs>
          <w:tab w:leader="none" w:pos="1220" w:val="left"/>
        </w:tabs>
        <w:numPr>
          <w:ilvl w:val="1"/>
          <w:numId w:val="10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42" w:lineRule="exact"/>
        <w:rPr>
          <w:rFonts w:ascii="Times New Roman" w:cs="Times New Roman" w:eastAsia="Times New Roman" w:hAnsi="Times New Roman"/>
          <w:sz w:val="14"/>
          <w:szCs w:val="14"/>
          <w:b w:val="1"/>
          <w:bCs w:val="1"/>
          <w:color w:val="auto"/>
        </w:rPr>
      </w:pPr>
    </w:p>
    <w:p>
      <w:pPr>
        <w:ind w:left="260" w:right="359" w:firstLine="765"/>
        <w:spacing w:after="0" w:line="273" w:lineRule="auto"/>
        <w:tabs>
          <w:tab w:leader="none" w:pos="1228" w:val="left"/>
        </w:tabs>
        <w:numPr>
          <w:ilvl w:val="1"/>
          <w:numId w:val="10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Each certificate or opinion provided for in this Indenture and delivered to the Trustee with respect to compliance with a condition or covenant in this Indenture (other than the certificate to be delivered pursuant to Section 13.12 of this Indenture or Section 314(a)(1) of the Trust Indenture Act)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w:t>
      </w:r>
    </w:p>
    <w:p>
      <w:pPr>
        <w:ind w:left="260" w:right="319" w:firstLine="2"/>
        <w:spacing w:after="0" w:line="252" w:lineRule="auto"/>
        <w:tabs>
          <w:tab w:leader="none" w:pos="503"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14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13.08 Payments on Business Days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319" w:firstLine="339"/>
        <w:spacing w:after="0" w:line="255" w:lineRule="auto"/>
        <w:rPr>
          <w:sz w:val="20"/>
          <w:szCs w:val="20"/>
          <w:color w:val="auto"/>
        </w:rPr>
      </w:pPr>
      <w:r>
        <w:rPr>
          <w:rFonts w:ascii="Times New Roman" w:cs="Times New Roman" w:eastAsia="Times New Roman" w:hAnsi="Times New Roman"/>
          <w:sz w:val="14"/>
          <w:szCs w:val="14"/>
          <w:color w:val="auto"/>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9019"/>
          </w:cols>
          <w:pgMar w:left="1440" w:top="237" w:right="1440" w:bottom="1440" w:gutter="0" w:footer="0" w:header="0"/>
        </w:sectPr>
      </w:pPr>
    </w:p>
    <w:bookmarkStart w:id="134" w:name="page135"/>
    <w:bookmarkEnd w:id="134"/>
    <w:p>
      <w:pPr>
        <w:ind w:left="6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Section 13.09 Conflict with Trust Indenture Act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779" w:firstLine="339"/>
        <w:spacing w:after="0" w:line="278" w:lineRule="auto"/>
        <w:rPr>
          <w:sz w:val="20"/>
          <w:szCs w:val="20"/>
          <w:color w:val="auto"/>
        </w:rPr>
      </w:pPr>
      <w:r>
        <w:rPr>
          <w:rFonts w:ascii="Times New Roman" w:cs="Times New Roman" w:eastAsia="Times New Roman" w:hAnsi="Times New Roman"/>
          <w:sz w:val="14"/>
          <w:szCs w:val="14"/>
          <w:color w:val="auto"/>
        </w:rPr>
        <w:t>If and to the extent that any provision of this Indenture limits, qualifies or conflicts with the duties imposed by Section 318(c) of the Trust Indenture Act, such imposed duties shall control.</w:t>
      </w:r>
    </w:p>
    <w:p>
      <w:pPr>
        <w:spacing w:after="0" w:line="1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13.10 Counterparts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319" w:firstLine="339"/>
        <w:spacing w:after="0" w:line="258" w:lineRule="auto"/>
        <w:rPr>
          <w:sz w:val="20"/>
          <w:szCs w:val="20"/>
          <w:color w:val="auto"/>
        </w:rPr>
      </w:pPr>
      <w:r>
        <w:rPr>
          <w:rFonts w:ascii="Times New Roman" w:cs="Times New Roman" w:eastAsia="Times New Roman" w:hAnsi="Times New Roman"/>
          <w:sz w:val="14"/>
          <w:szCs w:val="14"/>
          <w:color w:val="auto"/>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3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13.11 Separability</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left="260" w:right="479" w:firstLine="339"/>
        <w:spacing w:after="0" w:line="258" w:lineRule="auto"/>
        <w:rPr>
          <w:sz w:val="20"/>
          <w:szCs w:val="20"/>
          <w:color w:val="auto"/>
        </w:rPr>
      </w:pPr>
      <w:r>
        <w:rPr>
          <w:rFonts w:ascii="Times New Roman" w:cs="Times New Roman" w:eastAsia="Times New Roman" w:hAnsi="Times New Roman"/>
          <w:sz w:val="14"/>
          <w:szCs w:val="14"/>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3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13.12 Compliance Certificates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279" w:firstLine="339"/>
        <w:spacing w:after="0" w:line="253" w:lineRule="auto"/>
        <w:rPr>
          <w:sz w:val="20"/>
          <w:szCs w:val="20"/>
          <w:color w:val="auto"/>
        </w:rPr>
      </w:pPr>
      <w:r>
        <w:rPr>
          <w:rFonts w:ascii="Times New Roman" w:cs="Times New Roman" w:eastAsia="Times New Roman" w:hAnsi="Times New Roman"/>
          <w:sz w:val="14"/>
          <w:szCs w:val="14"/>
          <w:color w:val="auto"/>
        </w:rPr>
        <w:t>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pacing w:after="0" w:line="14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13.13 U.S.A Patriot Act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279" w:firstLine="339"/>
        <w:spacing w:after="0" w:line="258" w:lineRule="auto"/>
        <w:rPr>
          <w:sz w:val="20"/>
          <w:szCs w:val="20"/>
          <w:color w:val="auto"/>
        </w:rPr>
      </w:pPr>
      <w:r>
        <w:rPr>
          <w:rFonts w:ascii="Times New Roman" w:cs="Times New Roman" w:eastAsia="Times New Roman" w:hAnsi="Times New Roman"/>
          <w:sz w:val="14"/>
          <w:szCs w:val="14"/>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9019"/>
          </w:cols>
          <w:pgMar w:left="1440" w:top="237" w:right="1440" w:bottom="1440" w:gutter="0" w:footer="0" w:header="0"/>
        </w:sectPr>
      </w:pPr>
    </w:p>
    <w:bookmarkStart w:id="135" w:name="page136"/>
    <w:bookmarkEnd w:id="135"/>
    <w:p>
      <w:pPr>
        <w:ind w:left="6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Section 13.14 Force Majeure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right="359" w:firstLine="339"/>
        <w:spacing w:after="0" w:line="254" w:lineRule="auto"/>
        <w:rPr>
          <w:sz w:val="20"/>
          <w:szCs w:val="20"/>
          <w:color w:val="auto"/>
        </w:rPr>
      </w:pPr>
      <w:r>
        <w:rPr>
          <w:rFonts w:ascii="Times New Roman" w:cs="Times New Roman" w:eastAsia="Times New Roman" w:hAnsi="Times New Roman"/>
          <w:sz w:val="14"/>
          <w:szCs w:val="14"/>
          <w:color w:val="auto"/>
        </w:rPr>
        <w:t>In no event shall the Trustee, the Security Registrar, any paying agent or any other agent under this Indenture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the Security Registrar, any paying agent or any other agent under this Indenture shall use reasonable efforts which are consistent with accepted practices in the banking industry to resume performance as soon as practicable under the circumstances.</w:t>
      </w:r>
    </w:p>
    <w:p>
      <w:pPr>
        <w:spacing w:after="0" w:line="14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Section 13.15 Table of Contents; Headings.</w:t>
      </w:r>
    </w:p>
    <w:p>
      <w:pPr>
        <w:spacing w:after="0" w:line="174" w:lineRule="exact"/>
        <w:rPr>
          <w:sz w:val="20"/>
          <w:szCs w:val="20"/>
          <w:color w:val="auto"/>
        </w:rPr>
      </w:pPr>
    </w:p>
    <w:p>
      <w:pPr>
        <w:ind w:left="260" w:right="619" w:firstLine="339"/>
        <w:spacing w:after="0" w:line="278" w:lineRule="auto"/>
        <w:rPr>
          <w:sz w:val="20"/>
          <w:szCs w:val="20"/>
          <w:color w:val="auto"/>
        </w:rPr>
      </w:pPr>
      <w:r>
        <w:rPr>
          <w:rFonts w:ascii="Times New Roman" w:cs="Times New Roman" w:eastAsia="Times New Roman" w:hAnsi="Times New Roman"/>
          <w:sz w:val="14"/>
          <w:szCs w:val="14"/>
          <w:color w:val="auto"/>
        </w:rPr>
        <w:t>The table of contents and headings of the articles and sections of this Indenture have been inserted for convenience of reference only, are not intended to be considered a part hereof, and will not modify or restrict any of the terms or provisions hereof.</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9019"/>
          </w:cols>
          <w:pgMar w:left="1440" w:top="237" w:right="1440" w:bottom="1440" w:gutter="0" w:footer="0" w:header="0"/>
        </w:sectPr>
      </w:pPr>
    </w:p>
    <w:bookmarkStart w:id="136" w:name="page137"/>
    <w:bookmarkEnd w:id="136"/>
    <w:p>
      <w:pPr>
        <w:ind w:left="60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w:t>
      </w:r>
      <w:r>
        <w:rPr>
          <w:rFonts w:ascii="Times New Roman" w:cs="Times New Roman" w:eastAsia="Times New Roman" w:hAnsi="Times New Roman"/>
          <w:sz w:val="10"/>
          <w:szCs w:val="10"/>
          <w:b w:val="1"/>
          <w:bCs w:val="1"/>
          <w:color w:val="auto"/>
        </w:rPr>
        <w:t>N</w:t>
      </w:r>
      <w:r>
        <w:rPr>
          <w:rFonts w:ascii="Times New Roman" w:cs="Times New Roman" w:eastAsia="Times New Roman" w:hAnsi="Times New Roman"/>
          <w:sz w:val="13"/>
          <w:szCs w:val="13"/>
          <w:b w:val="1"/>
          <w:bCs w:val="1"/>
          <w:color w:val="auto"/>
        </w:rPr>
        <w:t xml:space="preserve"> W</w:t>
      </w:r>
      <w:r>
        <w:rPr>
          <w:rFonts w:ascii="Times New Roman" w:cs="Times New Roman" w:eastAsia="Times New Roman" w:hAnsi="Times New Roman"/>
          <w:sz w:val="10"/>
          <w:szCs w:val="10"/>
          <w:b w:val="1"/>
          <w:bCs w:val="1"/>
          <w:color w:val="auto"/>
        </w:rPr>
        <w:t>ITNESS</w:t>
      </w:r>
      <w:r>
        <w:rPr>
          <w:rFonts w:ascii="Times New Roman" w:cs="Times New Roman" w:eastAsia="Times New Roman" w:hAnsi="Times New Roman"/>
          <w:sz w:val="13"/>
          <w:szCs w:val="13"/>
          <w:b w:val="1"/>
          <w:bCs w:val="1"/>
          <w:color w:val="auto"/>
        </w:rPr>
        <w:t xml:space="preserve"> W</w:t>
      </w:r>
      <w:r>
        <w:rPr>
          <w:rFonts w:ascii="Times New Roman" w:cs="Times New Roman" w:eastAsia="Times New Roman" w:hAnsi="Times New Roman"/>
          <w:sz w:val="10"/>
          <w:szCs w:val="10"/>
          <w:b w:val="1"/>
          <w:bCs w:val="1"/>
          <w:color w:val="auto"/>
        </w:rPr>
        <w:t>HEREOF</w:t>
      </w:r>
      <w:r>
        <w:rPr>
          <w:rFonts w:ascii="Times New Roman" w:cs="Times New Roman" w:eastAsia="Times New Roman" w:hAnsi="Times New Roman"/>
          <w:sz w:val="13"/>
          <w:szCs w:val="13"/>
          <w:color w:val="auto"/>
        </w:rPr>
        <w:t>, the parties hereto have caused this Indenture to be duly executed all as of the day and year first above written.</w:t>
      </w:r>
    </w:p>
    <w:p>
      <w:pPr>
        <w:spacing w:after="0" w:line="20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EMPUS</w:t>
      </w:r>
      <w:r>
        <w:rPr>
          <w:rFonts w:ascii="Times New Roman" w:cs="Times New Roman" w:eastAsia="Times New Roman" w:hAnsi="Times New Roman"/>
          <w:sz w:val="14"/>
          <w:szCs w:val="14"/>
          <w:b w:val="1"/>
          <w:bCs w:val="1"/>
          <w:color w:val="auto"/>
        </w:rPr>
        <w:t xml:space="preserve"> AI,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3662045</wp:posOffset>
            </wp:positionH>
            <wp:positionV relativeFrom="paragraph">
              <wp:posOffset>12700</wp:posOffset>
            </wp:positionV>
            <wp:extent cx="1894840"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9">
                      <a:extLst>
                        <a:ext uri="{28A0092B-C50C-407E-A947-70E740481C1C}"/>
                      </a:extLst>
                    </a:blip>
                    <a:srcRect/>
                    <a:stretch>
                      <a:fillRect/>
                    </a:stretch>
                  </pic:blipFill>
                  <pic:spPr bwMode="auto">
                    <a:xfrm>
                      <a:off x="0" y="0"/>
                      <a:ext cx="1894840" cy="6350"/>
                    </a:xfrm>
                    <a:prstGeom prst="rect">
                      <a:avLst/>
                    </a:prstGeom>
                    <a:noFill/>
                  </pic:spPr>
                </pic:pic>
              </a:graphicData>
            </a:graphic>
          </wp:anchor>
        </w:drawing>
      </w:r>
    </w:p>
    <w:p>
      <w:pPr>
        <w:spacing w:after="0" w:line="6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3662045</wp:posOffset>
            </wp:positionH>
            <wp:positionV relativeFrom="paragraph">
              <wp:posOffset>12700</wp:posOffset>
            </wp:positionV>
            <wp:extent cx="1894840"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0">
                      <a:extLst>
                        <a:ext uri="{28A0092B-C50C-407E-A947-70E740481C1C}"/>
                      </a:extLst>
                    </a:blip>
                    <a:srcRect/>
                    <a:stretch>
                      <a:fillRect/>
                    </a:stretch>
                  </pic:blipFill>
                  <pic:spPr bwMode="auto">
                    <a:xfrm>
                      <a:off x="0" y="0"/>
                      <a:ext cx="1894840" cy="6350"/>
                    </a:xfrm>
                    <a:prstGeom prst="rect">
                      <a:avLst/>
                    </a:prstGeom>
                    <a:noFill/>
                  </pic:spPr>
                </pic:pic>
              </a:graphicData>
            </a:graphic>
          </wp:anchor>
        </w:drawing>
      </w:r>
    </w:p>
    <w:p>
      <w:pPr>
        <w:spacing w:after="0" w:line="6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3662045</wp:posOffset>
            </wp:positionH>
            <wp:positionV relativeFrom="paragraph">
              <wp:posOffset>12700</wp:posOffset>
            </wp:positionV>
            <wp:extent cx="1894840" cy="63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1">
                      <a:extLst>
                        <a:ext uri="{28A0092B-C50C-407E-A947-70E740481C1C}"/>
                      </a:extLst>
                    </a:blip>
                    <a:srcRect/>
                    <a:stretch>
                      <a:fillRect/>
                    </a:stretch>
                  </pic:blipFill>
                  <pic:spPr bwMode="auto">
                    <a:xfrm>
                      <a:off x="0" y="0"/>
                      <a:ext cx="1894840" cy="6350"/>
                    </a:xfrm>
                    <a:prstGeom prst="rect">
                      <a:avLst/>
                    </a:prstGeom>
                    <a:noFill/>
                  </pic:spPr>
                </pic:pic>
              </a:graphicData>
            </a:graphic>
          </wp:anchor>
        </w:drawing>
      </w:r>
    </w:p>
    <w:p>
      <w:pPr>
        <w:spacing w:after="0" w:line="15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RUSTEE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as Trustee</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3662045</wp:posOffset>
            </wp:positionH>
            <wp:positionV relativeFrom="paragraph">
              <wp:posOffset>12700</wp:posOffset>
            </wp:positionV>
            <wp:extent cx="1894840" cy="6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2">
                      <a:extLst>
                        <a:ext uri="{28A0092B-C50C-407E-A947-70E740481C1C}"/>
                      </a:extLst>
                    </a:blip>
                    <a:srcRect/>
                    <a:stretch>
                      <a:fillRect/>
                    </a:stretch>
                  </pic:blipFill>
                  <pic:spPr bwMode="auto">
                    <a:xfrm>
                      <a:off x="0" y="0"/>
                      <a:ext cx="1894840" cy="6350"/>
                    </a:xfrm>
                    <a:prstGeom prst="rect">
                      <a:avLst/>
                    </a:prstGeom>
                    <a:noFill/>
                  </pic:spPr>
                </pic:pic>
              </a:graphicData>
            </a:graphic>
          </wp:anchor>
        </w:drawing>
      </w:r>
    </w:p>
    <w:p>
      <w:pPr>
        <w:spacing w:after="0" w:line="6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3662045</wp:posOffset>
            </wp:positionH>
            <wp:positionV relativeFrom="paragraph">
              <wp:posOffset>12700</wp:posOffset>
            </wp:positionV>
            <wp:extent cx="1894840" cy="63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3">
                      <a:extLst>
                        <a:ext uri="{28A0092B-C50C-407E-A947-70E740481C1C}"/>
                      </a:extLst>
                    </a:blip>
                    <a:srcRect/>
                    <a:stretch>
                      <a:fillRect/>
                    </a:stretch>
                  </pic:blipFill>
                  <pic:spPr bwMode="auto">
                    <a:xfrm>
                      <a:off x="0" y="0"/>
                      <a:ext cx="1894840" cy="6350"/>
                    </a:xfrm>
                    <a:prstGeom prst="rect">
                      <a:avLst/>
                    </a:prstGeom>
                    <a:noFill/>
                  </pic:spPr>
                </pic:pic>
              </a:graphicData>
            </a:graphic>
          </wp:anchor>
        </w:drawing>
      </w:r>
    </w:p>
    <w:p>
      <w:pPr>
        <w:spacing w:after="0" w:line="6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3662045</wp:posOffset>
            </wp:positionH>
            <wp:positionV relativeFrom="paragraph">
              <wp:posOffset>12700</wp:posOffset>
            </wp:positionV>
            <wp:extent cx="1894840" cy="6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4">
                      <a:extLst>
                        <a:ext uri="{28A0092B-C50C-407E-A947-70E740481C1C}"/>
                      </a:extLst>
                    </a:blip>
                    <a:srcRect/>
                    <a:stretch>
                      <a:fillRect/>
                    </a:stretch>
                  </pic:blipFill>
                  <pic:spPr bwMode="auto">
                    <a:xfrm>
                      <a:off x="0" y="0"/>
                      <a:ext cx="1894840" cy="635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9019"/>
          </w:cols>
          <w:pgMar w:left="1440" w:top="237" w:right="1440" w:bottom="1440" w:gutter="0" w:footer="0" w:header="0"/>
        </w:sectPr>
      </w:pPr>
    </w:p>
    <w:bookmarkStart w:id="137" w:name="page138"/>
    <w:bookmarkEnd w:id="137"/>
    <w:p>
      <w:pPr>
        <w:ind w:left="2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CROSS-REFERENCE TABLE (1)</w:t>
      </w:r>
    </w:p>
    <w:p>
      <w:pPr>
        <w:spacing w:after="0" w:line="190" w:lineRule="exact"/>
        <w:rPr>
          <w:sz w:val="20"/>
          <w:szCs w:val="20"/>
          <w:color w:val="auto"/>
        </w:rPr>
      </w:pPr>
    </w:p>
    <w:tbl>
      <w:tblPr>
        <w:tblLayout w:type="fixed"/>
        <w:tblInd w:w="260" w:type="dxa"/>
        <w:tblCellMar>
          <w:top w:w="0" w:type="dxa"/>
          <w:left w:w="0" w:type="dxa"/>
          <w:bottom w:w="0" w:type="dxa"/>
          <w:right w:w="0" w:type="dxa"/>
        </w:tblCellMar>
      </w:tblPr>
      <w:tr>
        <w:trPr>
          <w:trHeight w:val="154"/>
        </w:trPr>
        <w:tc>
          <w:tcPr>
            <w:tcW w:w="2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9"/>
              </w:rPr>
              <w:t>Section of Trust Indenture Act of 1939, as Amended</w:t>
            </w:r>
          </w:p>
        </w:tc>
        <w:tc>
          <w:tcPr>
            <w:tcW w:w="3820" w:type="dxa"/>
            <w:vAlign w:val="bottom"/>
          </w:tcPr>
          <w:p>
            <w:pPr>
              <w:spacing w:after="0"/>
              <w:rPr>
                <w:sz w:val="13"/>
                <w:szCs w:val="13"/>
                <w:color w:val="auto"/>
              </w:rPr>
            </w:pPr>
          </w:p>
        </w:tc>
        <w:tc>
          <w:tcPr>
            <w:tcW w:w="22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1"/>
                <w:szCs w:val="11"/>
                <w:b w:val="1"/>
                <w:bCs w:val="1"/>
                <w:color w:val="auto"/>
              </w:rPr>
              <w:t>Section of Indenture</w:t>
            </w:r>
          </w:p>
        </w:tc>
      </w:tr>
      <w:tr>
        <w:trPr>
          <w:trHeight w:val="132"/>
        </w:trPr>
        <w:tc>
          <w:tcPr>
            <w:tcW w:w="246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310(a)</w:t>
            </w:r>
          </w:p>
        </w:tc>
        <w:tc>
          <w:tcPr>
            <w:tcW w:w="3820" w:type="dxa"/>
            <w:vAlign w:val="bottom"/>
          </w:tcPr>
          <w:p>
            <w:pPr>
              <w:spacing w:after="0"/>
              <w:rPr>
                <w:sz w:val="11"/>
                <w:szCs w:val="11"/>
                <w:color w:val="auto"/>
              </w:rPr>
            </w:pPr>
          </w:p>
        </w:tc>
        <w:tc>
          <w:tcPr>
            <w:tcW w:w="222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7.09</w:t>
            </w: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310(b)</w:t>
            </w:r>
          </w:p>
        </w:tc>
        <w:tc>
          <w:tcPr>
            <w:tcW w:w="6040" w:type="dxa"/>
            <w:vAlign w:val="bottom"/>
            <w:gridSpan w:val="2"/>
          </w:tcPr>
          <w:p>
            <w:pPr>
              <w:ind w:left="3820"/>
              <w:spacing w:after="0"/>
              <w:rPr>
                <w:sz w:val="20"/>
                <w:szCs w:val="20"/>
                <w:color w:val="auto"/>
              </w:rPr>
            </w:pPr>
            <w:r>
              <w:rPr>
                <w:rFonts w:ascii="Times New Roman" w:cs="Times New Roman" w:eastAsia="Times New Roman" w:hAnsi="Times New Roman"/>
                <w:sz w:val="14"/>
                <w:szCs w:val="14"/>
                <w:color w:val="auto"/>
              </w:rPr>
              <w:t>7.08</w:t>
            </w:r>
          </w:p>
        </w:tc>
      </w:tr>
      <w:tr>
        <w:trPr>
          <w:trHeight w:val="166"/>
        </w:trPr>
        <w:tc>
          <w:tcPr>
            <w:tcW w:w="2460" w:type="dxa"/>
            <w:vAlign w:val="bottom"/>
          </w:tcPr>
          <w:p>
            <w:pPr>
              <w:spacing w:after="0"/>
              <w:rPr>
                <w:sz w:val="14"/>
                <w:szCs w:val="14"/>
                <w:color w:val="auto"/>
              </w:rPr>
            </w:pPr>
          </w:p>
        </w:tc>
        <w:tc>
          <w:tcPr>
            <w:tcW w:w="6040" w:type="dxa"/>
            <w:vAlign w:val="bottom"/>
            <w:gridSpan w:val="2"/>
          </w:tcPr>
          <w:p>
            <w:pPr>
              <w:ind w:left="3820"/>
              <w:spacing w:after="0"/>
              <w:rPr>
                <w:sz w:val="20"/>
                <w:szCs w:val="20"/>
                <w:color w:val="auto"/>
              </w:rPr>
            </w:pPr>
            <w:r>
              <w:rPr>
                <w:rFonts w:ascii="Times New Roman" w:cs="Times New Roman" w:eastAsia="Times New Roman" w:hAnsi="Times New Roman"/>
                <w:sz w:val="14"/>
                <w:szCs w:val="14"/>
                <w:color w:val="auto"/>
              </w:rPr>
              <w:t>7.10</w:t>
            </w: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310(c)</w:t>
            </w:r>
          </w:p>
        </w:tc>
        <w:tc>
          <w:tcPr>
            <w:tcW w:w="6040" w:type="dxa"/>
            <w:vAlign w:val="bottom"/>
            <w:gridSpan w:val="2"/>
          </w:tcPr>
          <w:p>
            <w:pPr>
              <w:ind w:left="3820"/>
              <w:spacing w:after="0"/>
              <w:rPr>
                <w:sz w:val="20"/>
                <w:szCs w:val="20"/>
                <w:color w:val="auto"/>
              </w:rPr>
            </w:pPr>
            <w:r>
              <w:rPr>
                <w:rFonts w:ascii="Times New Roman" w:cs="Times New Roman" w:eastAsia="Times New Roman" w:hAnsi="Times New Roman"/>
                <w:sz w:val="14"/>
                <w:szCs w:val="14"/>
                <w:color w:val="auto"/>
              </w:rPr>
              <w:t>Inapplicable</w:t>
            </w: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311(a)</w:t>
            </w:r>
          </w:p>
        </w:tc>
        <w:tc>
          <w:tcPr>
            <w:tcW w:w="6040" w:type="dxa"/>
            <w:vAlign w:val="bottom"/>
            <w:gridSpan w:val="2"/>
          </w:tcPr>
          <w:p>
            <w:pPr>
              <w:ind w:left="3820"/>
              <w:spacing w:after="0"/>
              <w:rPr>
                <w:sz w:val="20"/>
                <w:szCs w:val="20"/>
                <w:color w:val="auto"/>
              </w:rPr>
            </w:pPr>
            <w:r>
              <w:rPr>
                <w:rFonts w:ascii="Times New Roman" w:cs="Times New Roman" w:eastAsia="Times New Roman" w:hAnsi="Times New Roman"/>
                <w:sz w:val="14"/>
                <w:szCs w:val="14"/>
                <w:color w:val="auto"/>
              </w:rPr>
              <w:t>7.13</w:t>
            </w: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311(b)</w:t>
            </w:r>
          </w:p>
        </w:tc>
        <w:tc>
          <w:tcPr>
            <w:tcW w:w="6040" w:type="dxa"/>
            <w:vAlign w:val="bottom"/>
            <w:gridSpan w:val="2"/>
          </w:tcPr>
          <w:p>
            <w:pPr>
              <w:ind w:left="3820"/>
              <w:spacing w:after="0"/>
              <w:rPr>
                <w:sz w:val="20"/>
                <w:szCs w:val="20"/>
                <w:color w:val="auto"/>
              </w:rPr>
            </w:pPr>
            <w:r>
              <w:rPr>
                <w:rFonts w:ascii="Times New Roman" w:cs="Times New Roman" w:eastAsia="Times New Roman" w:hAnsi="Times New Roman"/>
                <w:sz w:val="14"/>
                <w:szCs w:val="14"/>
                <w:color w:val="auto"/>
              </w:rPr>
              <w:t>7.13</w:t>
            </w: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311(c)</w:t>
            </w:r>
          </w:p>
        </w:tc>
        <w:tc>
          <w:tcPr>
            <w:tcW w:w="6040" w:type="dxa"/>
            <w:vAlign w:val="bottom"/>
            <w:gridSpan w:val="2"/>
          </w:tcPr>
          <w:p>
            <w:pPr>
              <w:ind w:left="3820"/>
              <w:spacing w:after="0"/>
              <w:rPr>
                <w:sz w:val="20"/>
                <w:szCs w:val="20"/>
                <w:color w:val="auto"/>
              </w:rPr>
            </w:pPr>
            <w:r>
              <w:rPr>
                <w:rFonts w:ascii="Times New Roman" w:cs="Times New Roman" w:eastAsia="Times New Roman" w:hAnsi="Times New Roman"/>
                <w:sz w:val="14"/>
                <w:szCs w:val="14"/>
                <w:color w:val="auto"/>
              </w:rPr>
              <w:t>Inapplicable</w:t>
            </w: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312(a)</w:t>
            </w:r>
          </w:p>
        </w:tc>
        <w:tc>
          <w:tcPr>
            <w:tcW w:w="6040" w:type="dxa"/>
            <w:vAlign w:val="bottom"/>
            <w:gridSpan w:val="2"/>
          </w:tcPr>
          <w:p>
            <w:pPr>
              <w:ind w:left="3820"/>
              <w:spacing w:after="0"/>
              <w:rPr>
                <w:sz w:val="20"/>
                <w:szCs w:val="20"/>
                <w:color w:val="auto"/>
              </w:rPr>
            </w:pPr>
            <w:r>
              <w:rPr>
                <w:rFonts w:ascii="Times New Roman" w:cs="Times New Roman" w:eastAsia="Times New Roman" w:hAnsi="Times New Roman"/>
                <w:sz w:val="14"/>
                <w:szCs w:val="14"/>
                <w:color w:val="auto"/>
              </w:rPr>
              <w:t>5.01</w:t>
            </w:r>
          </w:p>
        </w:tc>
      </w:tr>
      <w:tr>
        <w:trPr>
          <w:trHeight w:val="166"/>
        </w:trPr>
        <w:tc>
          <w:tcPr>
            <w:tcW w:w="2460" w:type="dxa"/>
            <w:vAlign w:val="bottom"/>
          </w:tcPr>
          <w:p>
            <w:pPr>
              <w:spacing w:after="0"/>
              <w:rPr>
                <w:sz w:val="14"/>
                <w:szCs w:val="14"/>
                <w:color w:val="auto"/>
              </w:rPr>
            </w:pPr>
          </w:p>
        </w:tc>
        <w:tc>
          <w:tcPr>
            <w:tcW w:w="6040" w:type="dxa"/>
            <w:vAlign w:val="bottom"/>
            <w:gridSpan w:val="2"/>
          </w:tcPr>
          <w:p>
            <w:pPr>
              <w:ind w:left="3820"/>
              <w:spacing w:after="0"/>
              <w:rPr>
                <w:sz w:val="20"/>
                <w:szCs w:val="20"/>
                <w:color w:val="auto"/>
              </w:rPr>
            </w:pPr>
            <w:r>
              <w:rPr>
                <w:rFonts w:ascii="Times New Roman" w:cs="Times New Roman" w:eastAsia="Times New Roman" w:hAnsi="Times New Roman"/>
                <w:sz w:val="14"/>
                <w:szCs w:val="14"/>
                <w:color w:val="auto"/>
              </w:rPr>
              <w:t>5.02(a)</w:t>
            </w: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312(b)</w:t>
            </w:r>
          </w:p>
        </w:tc>
        <w:tc>
          <w:tcPr>
            <w:tcW w:w="6040" w:type="dxa"/>
            <w:vAlign w:val="bottom"/>
            <w:gridSpan w:val="2"/>
          </w:tcPr>
          <w:p>
            <w:pPr>
              <w:ind w:left="3820"/>
              <w:spacing w:after="0"/>
              <w:rPr>
                <w:sz w:val="20"/>
                <w:szCs w:val="20"/>
                <w:color w:val="auto"/>
              </w:rPr>
            </w:pPr>
            <w:r>
              <w:rPr>
                <w:rFonts w:ascii="Times New Roman" w:cs="Times New Roman" w:eastAsia="Times New Roman" w:hAnsi="Times New Roman"/>
                <w:sz w:val="14"/>
                <w:szCs w:val="14"/>
                <w:color w:val="auto"/>
              </w:rPr>
              <w:t>5.02(c)</w:t>
            </w: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312(c)</w:t>
            </w:r>
          </w:p>
        </w:tc>
        <w:tc>
          <w:tcPr>
            <w:tcW w:w="6040" w:type="dxa"/>
            <w:vAlign w:val="bottom"/>
            <w:gridSpan w:val="2"/>
          </w:tcPr>
          <w:p>
            <w:pPr>
              <w:ind w:left="3820"/>
              <w:spacing w:after="0"/>
              <w:rPr>
                <w:sz w:val="20"/>
                <w:szCs w:val="20"/>
                <w:color w:val="auto"/>
              </w:rPr>
            </w:pPr>
            <w:r>
              <w:rPr>
                <w:rFonts w:ascii="Times New Roman" w:cs="Times New Roman" w:eastAsia="Times New Roman" w:hAnsi="Times New Roman"/>
                <w:sz w:val="14"/>
                <w:szCs w:val="14"/>
                <w:color w:val="auto"/>
              </w:rPr>
              <w:t>5.02(c)</w:t>
            </w: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313(a)</w:t>
            </w:r>
          </w:p>
        </w:tc>
        <w:tc>
          <w:tcPr>
            <w:tcW w:w="6040" w:type="dxa"/>
            <w:vAlign w:val="bottom"/>
            <w:gridSpan w:val="2"/>
          </w:tcPr>
          <w:p>
            <w:pPr>
              <w:ind w:left="3820"/>
              <w:spacing w:after="0"/>
              <w:rPr>
                <w:sz w:val="20"/>
                <w:szCs w:val="20"/>
                <w:color w:val="auto"/>
              </w:rPr>
            </w:pPr>
            <w:r>
              <w:rPr>
                <w:rFonts w:ascii="Times New Roman" w:cs="Times New Roman" w:eastAsia="Times New Roman" w:hAnsi="Times New Roman"/>
                <w:sz w:val="14"/>
                <w:szCs w:val="14"/>
                <w:color w:val="auto"/>
              </w:rPr>
              <w:t>5.04(a)</w:t>
            </w: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313(b)</w:t>
            </w:r>
          </w:p>
        </w:tc>
        <w:tc>
          <w:tcPr>
            <w:tcW w:w="6040" w:type="dxa"/>
            <w:vAlign w:val="bottom"/>
            <w:gridSpan w:val="2"/>
          </w:tcPr>
          <w:p>
            <w:pPr>
              <w:ind w:left="3820"/>
              <w:spacing w:after="0"/>
              <w:rPr>
                <w:sz w:val="20"/>
                <w:szCs w:val="20"/>
                <w:color w:val="auto"/>
              </w:rPr>
            </w:pPr>
            <w:r>
              <w:rPr>
                <w:rFonts w:ascii="Times New Roman" w:cs="Times New Roman" w:eastAsia="Times New Roman" w:hAnsi="Times New Roman"/>
                <w:sz w:val="14"/>
                <w:szCs w:val="14"/>
                <w:color w:val="auto"/>
              </w:rPr>
              <w:t>5.04(b)</w:t>
            </w: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313(c)</w:t>
            </w:r>
          </w:p>
        </w:tc>
        <w:tc>
          <w:tcPr>
            <w:tcW w:w="6040" w:type="dxa"/>
            <w:vAlign w:val="bottom"/>
            <w:gridSpan w:val="2"/>
          </w:tcPr>
          <w:p>
            <w:pPr>
              <w:ind w:left="3820"/>
              <w:spacing w:after="0"/>
              <w:rPr>
                <w:sz w:val="20"/>
                <w:szCs w:val="20"/>
                <w:color w:val="auto"/>
              </w:rPr>
            </w:pPr>
            <w:r>
              <w:rPr>
                <w:rFonts w:ascii="Times New Roman" w:cs="Times New Roman" w:eastAsia="Times New Roman" w:hAnsi="Times New Roman"/>
                <w:sz w:val="14"/>
                <w:szCs w:val="14"/>
                <w:color w:val="auto"/>
              </w:rPr>
              <w:t>5.04(a)</w:t>
            </w:r>
          </w:p>
        </w:tc>
      </w:tr>
      <w:tr>
        <w:trPr>
          <w:trHeight w:val="166"/>
        </w:trPr>
        <w:tc>
          <w:tcPr>
            <w:tcW w:w="2460" w:type="dxa"/>
            <w:vAlign w:val="bottom"/>
          </w:tcPr>
          <w:p>
            <w:pPr>
              <w:spacing w:after="0"/>
              <w:rPr>
                <w:sz w:val="14"/>
                <w:szCs w:val="14"/>
                <w:color w:val="auto"/>
              </w:rPr>
            </w:pPr>
          </w:p>
        </w:tc>
        <w:tc>
          <w:tcPr>
            <w:tcW w:w="6040" w:type="dxa"/>
            <w:vAlign w:val="bottom"/>
            <w:gridSpan w:val="2"/>
          </w:tcPr>
          <w:p>
            <w:pPr>
              <w:ind w:left="3820"/>
              <w:spacing w:after="0"/>
              <w:rPr>
                <w:sz w:val="20"/>
                <w:szCs w:val="20"/>
                <w:color w:val="auto"/>
              </w:rPr>
            </w:pPr>
            <w:r>
              <w:rPr>
                <w:rFonts w:ascii="Times New Roman" w:cs="Times New Roman" w:eastAsia="Times New Roman" w:hAnsi="Times New Roman"/>
                <w:sz w:val="14"/>
                <w:szCs w:val="14"/>
                <w:color w:val="auto"/>
              </w:rPr>
              <w:t>5.04(b)</w:t>
            </w: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313(d)</w:t>
            </w:r>
          </w:p>
        </w:tc>
        <w:tc>
          <w:tcPr>
            <w:tcW w:w="6040" w:type="dxa"/>
            <w:vAlign w:val="bottom"/>
            <w:gridSpan w:val="2"/>
          </w:tcPr>
          <w:p>
            <w:pPr>
              <w:ind w:left="3820"/>
              <w:spacing w:after="0"/>
              <w:rPr>
                <w:sz w:val="20"/>
                <w:szCs w:val="20"/>
                <w:color w:val="auto"/>
              </w:rPr>
            </w:pPr>
            <w:r>
              <w:rPr>
                <w:rFonts w:ascii="Times New Roman" w:cs="Times New Roman" w:eastAsia="Times New Roman" w:hAnsi="Times New Roman"/>
                <w:sz w:val="14"/>
                <w:szCs w:val="14"/>
                <w:color w:val="auto"/>
              </w:rPr>
              <w:t>5.04(c)</w:t>
            </w: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314(a)</w:t>
            </w:r>
          </w:p>
        </w:tc>
        <w:tc>
          <w:tcPr>
            <w:tcW w:w="6040" w:type="dxa"/>
            <w:vAlign w:val="bottom"/>
            <w:gridSpan w:val="2"/>
          </w:tcPr>
          <w:p>
            <w:pPr>
              <w:ind w:left="3820"/>
              <w:spacing w:after="0"/>
              <w:rPr>
                <w:sz w:val="20"/>
                <w:szCs w:val="20"/>
                <w:color w:val="auto"/>
              </w:rPr>
            </w:pPr>
            <w:r>
              <w:rPr>
                <w:rFonts w:ascii="Times New Roman" w:cs="Times New Roman" w:eastAsia="Times New Roman" w:hAnsi="Times New Roman"/>
                <w:sz w:val="14"/>
                <w:szCs w:val="14"/>
                <w:color w:val="auto"/>
              </w:rPr>
              <w:t>5.03</w:t>
            </w:r>
          </w:p>
        </w:tc>
      </w:tr>
      <w:tr>
        <w:trPr>
          <w:trHeight w:val="166"/>
        </w:trPr>
        <w:tc>
          <w:tcPr>
            <w:tcW w:w="2460" w:type="dxa"/>
            <w:vAlign w:val="bottom"/>
          </w:tcPr>
          <w:p>
            <w:pPr>
              <w:spacing w:after="0"/>
              <w:rPr>
                <w:sz w:val="14"/>
                <w:szCs w:val="14"/>
                <w:color w:val="auto"/>
              </w:rPr>
            </w:pPr>
          </w:p>
        </w:tc>
        <w:tc>
          <w:tcPr>
            <w:tcW w:w="6040" w:type="dxa"/>
            <w:vAlign w:val="bottom"/>
            <w:gridSpan w:val="2"/>
          </w:tcPr>
          <w:p>
            <w:pPr>
              <w:ind w:left="3820"/>
              <w:spacing w:after="0"/>
              <w:rPr>
                <w:sz w:val="20"/>
                <w:szCs w:val="20"/>
                <w:color w:val="auto"/>
              </w:rPr>
            </w:pPr>
            <w:r>
              <w:rPr>
                <w:rFonts w:ascii="Times New Roman" w:cs="Times New Roman" w:eastAsia="Times New Roman" w:hAnsi="Times New Roman"/>
                <w:sz w:val="14"/>
                <w:szCs w:val="14"/>
                <w:color w:val="auto"/>
              </w:rPr>
              <w:t>13.12</w:t>
            </w: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314(b)</w:t>
            </w:r>
          </w:p>
        </w:tc>
        <w:tc>
          <w:tcPr>
            <w:tcW w:w="6040" w:type="dxa"/>
            <w:vAlign w:val="bottom"/>
            <w:gridSpan w:val="2"/>
          </w:tcPr>
          <w:p>
            <w:pPr>
              <w:ind w:left="3820"/>
              <w:spacing w:after="0"/>
              <w:rPr>
                <w:sz w:val="20"/>
                <w:szCs w:val="20"/>
                <w:color w:val="auto"/>
              </w:rPr>
            </w:pPr>
            <w:r>
              <w:rPr>
                <w:rFonts w:ascii="Times New Roman" w:cs="Times New Roman" w:eastAsia="Times New Roman" w:hAnsi="Times New Roman"/>
                <w:sz w:val="14"/>
                <w:szCs w:val="14"/>
                <w:color w:val="auto"/>
              </w:rPr>
              <w:t>Inapplicable</w:t>
            </w: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314(c)</w:t>
            </w:r>
          </w:p>
        </w:tc>
        <w:tc>
          <w:tcPr>
            <w:tcW w:w="6040" w:type="dxa"/>
            <w:vAlign w:val="bottom"/>
            <w:gridSpan w:val="2"/>
          </w:tcPr>
          <w:p>
            <w:pPr>
              <w:ind w:left="3820"/>
              <w:spacing w:after="0"/>
              <w:rPr>
                <w:sz w:val="20"/>
                <w:szCs w:val="20"/>
                <w:color w:val="auto"/>
              </w:rPr>
            </w:pPr>
            <w:r>
              <w:rPr>
                <w:rFonts w:ascii="Times New Roman" w:cs="Times New Roman" w:eastAsia="Times New Roman" w:hAnsi="Times New Roman"/>
                <w:sz w:val="14"/>
                <w:szCs w:val="14"/>
                <w:color w:val="auto"/>
              </w:rPr>
              <w:t>13.07(a)</w:t>
            </w: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314(d)</w:t>
            </w:r>
          </w:p>
        </w:tc>
        <w:tc>
          <w:tcPr>
            <w:tcW w:w="6040" w:type="dxa"/>
            <w:vAlign w:val="bottom"/>
            <w:gridSpan w:val="2"/>
          </w:tcPr>
          <w:p>
            <w:pPr>
              <w:ind w:left="3820"/>
              <w:spacing w:after="0"/>
              <w:rPr>
                <w:sz w:val="20"/>
                <w:szCs w:val="20"/>
                <w:color w:val="auto"/>
              </w:rPr>
            </w:pPr>
            <w:r>
              <w:rPr>
                <w:rFonts w:ascii="Times New Roman" w:cs="Times New Roman" w:eastAsia="Times New Roman" w:hAnsi="Times New Roman"/>
                <w:sz w:val="14"/>
                <w:szCs w:val="14"/>
                <w:color w:val="auto"/>
              </w:rPr>
              <w:t>Inapplicable</w:t>
            </w: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314(e)</w:t>
            </w:r>
          </w:p>
        </w:tc>
        <w:tc>
          <w:tcPr>
            <w:tcW w:w="6040" w:type="dxa"/>
            <w:vAlign w:val="bottom"/>
            <w:gridSpan w:val="2"/>
          </w:tcPr>
          <w:p>
            <w:pPr>
              <w:ind w:left="3820"/>
              <w:spacing w:after="0"/>
              <w:rPr>
                <w:sz w:val="20"/>
                <w:szCs w:val="20"/>
                <w:color w:val="auto"/>
              </w:rPr>
            </w:pPr>
            <w:r>
              <w:rPr>
                <w:rFonts w:ascii="Times New Roman" w:cs="Times New Roman" w:eastAsia="Times New Roman" w:hAnsi="Times New Roman"/>
                <w:sz w:val="14"/>
                <w:szCs w:val="14"/>
                <w:color w:val="auto"/>
              </w:rPr>
              <w:t>13.07(b)</w:t>
            </w: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314(f)</w:t>
            </w:r>
          </w:p>
        </w:tc>
        <w:tc>
          <w:tcPr>
            <w:tcW w:w="6040" w:type="dxa"/>
            <w:vAlign w:val="bottom"/>
            <w:gridSpan w:val="2"/>
          </w:tcPr>
          <w:p>
            <w:pPr>
              <w:ind w:left="3820"/>
              <w:spacing w:after="0"/>
              <w:rPr>
                <w:sz w:val="20"/>
                <w:szCs w:val="20"/>
                <w:color w:val="auto"/>
              </w:rPr>
            </w:pPr>
            <w:r>
              <w:rPr>
                <w:rFonts w:ascii="Times New Roman" w:cs="Times New Roman" w:eastAsia="Times New Roman" w:hAnsi="Times New Roman"/>
                <w:sz w:val="14"/>
                <w:szCs w:val="14"/>
                <w:color w:val="auto"/>
              </w:rPr>
              <w:t>Inapplicable</w:t>
            </w: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315(a)</w:t>
            </w:r>
          </w:p>
        </w:tc>
        <w:tc>
          <w:tcPr>
            <w:tcW w:w="6040" w:type="dxa"/>
            <w:vAlign w:val="bottom"/>
            <w:gridSpan w:val="2"/>
          </w:tcPr>
          <w:p>
            <w:pPr>
              <w:ind w:left="3820"/>
              <w:spacing w:after="0"/>
              <w:rPr>
                <w:sz w:val="20"/>
                <w:szCs w:val="20"/>
                <w:color w:val="auto"/>
              </w:rPr>
            </w:pPr>
            <w:r>
              <w:rPr>
                <w:rFonts w:ascii="Times New Roman" w:cs="Times New Roman" w:eastAsia="Times New Roman" w:hAnsi="Times New Roman"/>
                <w:sz w:val="14"/>
                <w:szCs w:val="14"/>
                <w:color w:val="auto"/>
              </w:rPr>
              <w:t>7.01(a)</w:t>
            </w:r>
          </w:p>
        </w:tc>
      </w:tr>
      <w:tr>
        <w:trPr>
          <w:trHeight w:val="166"/>
        </w:trPr>
        <w:tc>
          <w:tcPr>
            <w:tcW w:w="2460" w:type="dxa"/>
            <w:vAlign w:val="bottom"/>
          </w:tcPr>
          <w:p>
            <w:pPr>
              <w:spacing w:after="0"/>
              <w:rPr>
                <w:sz w:val="14"/>
                <w:szCs w:val="14"/>
                <w:color w:val="auto"/>
              </w:rPr>
            </w:pPr>
          </w:p>
        </w:tc>
        <w:tc>
          <w:tcPr>
            <w:tcW w:w="6040" w:type="dxa"/>
            <w:vAlign w:val="bottom"/>
            <w:gridSpan w:val="2"/>
          </w:tcPr>
          <w:p>
            <w:pPr>
              <w:ind w:left="3820"/>
              <w:spacing w:after="0"/>
              <w:rPr>
                <w:sz w:val="20"/>
                <w:szCs w:val="20"/>
                <w:color w:val="auto"/>
              </w:rPr>
            </w:pPr>
            <w:r>
              <w:rPr>
                <w:rFonts w:ascii="Times New Roman" w:cs="Times New Roman" w:eastAsia="Times New Roman" w:hAnsi="Times New Roman"/>
                <w:sz w:val="14"/>
                <w:szCs w:val="14"/>
                <w:color w:val="auto"/>
              </w:rPr>
              <w:t>7.01(b)</w:t>
            </w: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315(b)</w:t>
            </w:r>
          </w:p>
        </w:tc>
        <w:tc>
          <w:tcPr>
            <w:tcW w:w="6040" w:type="dxa"/>
            <w:vAlign w:val="bottom"/>
            <w:gridSpan w:val="2"/>
          </w:tcPr>
          <w:p>
            <w:pPr>
              <w:ind w:left="3820"/>
              <w:spacing w:after="0"/>
              <w:rPr>
                <w:sz w:val="20"/>
                <w:szCs w:val="20"/>
                <w:color w:val="auto"/>
              </w:rPr>
            </w:pPr>
            <w:r>
              <w:rPr>
                <w:rFonts w:ascii="Times New Roman" w:cs="Times New Roman" w:eastAsia="Times New Roman" w:hAnsi="Times New Roman"/>
                <w:sz w:val="14"/>
                <w:szCs w:val="14"/>
                <w:color w:val="auto"/>
              </w:rPr>
              <w:t>7.14</w:t>
            </w: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315(c)</w:t>
            </w:r>
          </w:p>
        </w:tc>
        <w:tc>
          <w:tcPr>
            <w:tcW w:w="6040" w:type="dxa"/>
            <w:vAlign w:val="bottom"/>
            <w:gridSpan w:val="2"/>
          </w:tcPr>
          <w:p>
            <w:pPr>
              <w:ind w:left="3820"/>
              <w:spacing w:after="0"/>
              <w:rPr>
                <w:sz w:val="20"/>
                <w:szCs w:val="20"/>
                <w:color w:val="auto"/>
              </w:rPr>
            </w:pPr>
            <w:r>
              <w:rPr>
                <w:rFonts w:ascii="Times New Roman" w:cs="Times New Roman" w:eastAsia="Times New Roman" w:hAnsi="Times New Roman"/>
                <w:sz w:val="14"/>
                <w:szCs w:val="14"/>
                <w:color w:val="auto"/>
              </w:rPr>
              <w:t>7.01</w:t>
            </w: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315(d)</w:t>
            </w:r>
          </w:p>
        </w:tc>
        <w:tc>
          <w:tcPr>
            <w:tcW w:w="6040" w:type="dxa"/>
            <w:vAlign w:val="bottom"/>
            <w:gridSpan w:val="2"/>
          </w:tcPr>
          <w:p>
            <w:pPr>
              <w:ind w:left="3820"/>
              <w:spacing w:after="0"/>
              <w:rPr>
                <w:sz w:val="20"/>
                <w:szCs w:val="20"/>
                <w:color w:val="auto"/>
              </w:rPr>
            </w:pPr>
            <w:r>
              <w:rPr>
                <w:rFonts w:ascii="Times New Roman" w:cs="Times New Roman" w:eastAsia="Times New Roman" w:hAnsi="Times New Roman"/>
                <w:sz w:val="14"/>
                <w:szCs w:val="14"/>
                <w:color w:val="auto"/>
              </w:rPr>
              <w:t>7.01(b)</w:t>
            </w: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315(e)</w:t>
            </w:r>
          </w:p>
        </w:tc>
        <w:tc>
          <w:tcPr>
            <w:tcW w:w="6040" w:type="dxa"/>
            <w:vAlign w:val="bottom"/>
            <w:gridSpan w:val="2"/>
          </w:tcPr>
          <w:p>
            <w:pPr>
              <w:ind w:left="3820"/>
              <w:spacing w:after="0"/>
              <w:rPr>
                <w:sz w:val="20"/>
                <w:szCs w:val="20"/>
                <w:color w:val="auto"/>
              </w:rPr>
            </w:pPr>
            <w:r>
              <w:rPr>
                <w:rFonts w:ascii="Times New Roman" w:cs="Times New Roman" w:eastAsia="Times New Roman" w:hAnsi="Times New Roman"/>
                <w:sz w:val="14"/>
                <w:szCs w:val="14"/>
                <w:color w:val="auto"/>
              </w:rPr>
              <w:t>6.07</w:t>
            </w: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316(a)</w:t>
            </w:r>
          </w:p>
        </w:tc>
        <w:tc>
          <w:tcPr>
            <w:tcW w:w="6040" w:type="dxa"/>
            <w:vAlign w:val="bottom"/>
            <w:gridSpan w:val="2"/>
          </w:tcPr>
          <w:p>
            <w:pPr>
              <w:ind w:left="3820"/>
              <w:spacing w:after="0"/>
              <w:rPr>
                <w:sz w:val="20"/>
                <w:szCs w:val="20"/>
                <w:color w:val="auto"/>
              </w:rPr>
            </w:pPr>
            <w:r>
              <w:rPr>
                <w:rFonts w:ascii="Times New Roman" w:cs="Times New Roman" w:eastAsia="Times New Roman" w:hAnsi="Times New Roman"/>
                <w:sz w:val="14"/>
                <w:szCs w:val="14"/>
                <w:color w:val="auto"/>
              </w:rPr>
              <w:t>6.06</w:t>
            </w:r>
          </w:p>
        </w:tc>
      </w:tr>
      <w:tr>
        <w:trPr>
          <w:trHeight w:val="166"/>
        </w:trPr>
        <w:tc>
          <w:tcPr>
            <w:tcW w:w="2460" w:type="dxa"/>
            <w:vAlign w:val="bottom"/>
          </w:tcPr>
          <w:p>
            <w:pPr>
              <w:spacing w:after="0"/>
              <w:rPr>
                <w:sz w:val="14"/>
                <w:szCs w:val="14"/>
                <w:color w:val="auto"/>
              </w:rPr>
            </w:pPr>
          </w:p>
        </w:tc>
        <w:tc>
          <w:tcPr>
            <w:tcW w:w="6040" w:type="dxa"/>
            <w:vAlign w:val="bottom"/>
            <w:gridSpan w:val="2"/>
          </w:tcPr>
          <w:p>
            <w:pPr>
              <w:ind w:left="3820"/>
              <w:spacing w:after="0"/>
              <w:rPr>
                <w:sz w:val="20"/>
                <w:szCs w:val="20"/>
                <w:color w:val="auto"/>
              </w:rPr>
            </w:pPr>
            <w:r>
              <w:rPr>
                <w:rFonts w:ascii="Times New Roman" w:cs="Times New Roman" w:eastAsia="Times New Roman" w:hAnsi="Times New Roman"/>
                <w:sz w:val="14"/>
                <w:szCs w:val="14"/>
                <w:color w:val="auto"/>
              </w:rPr>
              <w:t>8.04</w:t>
            </w: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316(b)</w:t>
            </w:r>
          </w:p>
        </w:tc>
        <w:tc>
          <w:tcPr>
            <w:tcW w:w="6040" w:type="dxa"/>
            <w:vAlign w:val="bottom"/>
            <w:gridSpan w:val="2"/>
          </w:tcPr>
          <w:p>
            <w:pPr>
              <w:ind w:left="3820"/>
              <w:spacing w:after="0"/>
              <w:rPr>
                <w:sz w:val="20"/>
                <w:szCs w:val="20"/>
                <w:color w:val="auto"/>
              </w:rPr>
            </w:pPr>
            <w:r>
              <w:rPr>
                <w:rFonts w:ascii="Times New Roman" w:cs="Times New Roman" w:eastAsia="Times New Roman" w:hAnsi="Times New Roman"/>
                <w:sz w:val="14"/>
                <w:szCs w:val="14"/>
                <w:color w:val="auto"/>
              </w:rPr>
              <w:t>6.04</w:t>
            </w: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316(c)</w:t>
            </w:r>
          </w:p>
        </w:tc>
        <w:tc>
          <w:tcPr>
            <w:tcW w:w="6040" w:type="dxa"/>
            <w:vAlign w:val="bottom"/>
            <w:gridSpan w:val="2"/>
          </w:tcPr>
          <w:p>
            <w:pPr>
              <w:ind w:left="3820"/>
              <w:spacing w:after="0"/>
              <w:rPr>
                <w:sz w:val="20"/>
                <w:szCs w:val="20"/>
                <w:color w:val="auto"/>
              </w:rPr>
            </w:pPr>
            <w:r>
              <w:rPr>
                <w:rFonts w:ascii="Times New Roman" w:cs="Times New Roman" w:eastAsia="Times New Roman" w:hAnsi="Times New Roman"/>
                <w:sz w:val="14"/>
                <w:szCs w:val="14"/>
                <w:color w:val="auto"/>
              </w:rPr>
              <w:t>8.01</w:t>
            </w: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317(a)</w:t>
            </w:r>
          </w:p>
        </w:tc>
        <w:tc>
          <w:tcPr>
            <w:tcW w:w="6040" w:type="dxa"/>
            <w:vAlign w:val="bottom"/>
            <w:gridSpan w:val="2"/>
          </w:tcPr>
          <w:p>
            <w:pPr>
              <w:ind w:left="3820"/>
              <w:spacing w:after="0"/>
              <w:rPr>
                <w:sz w:val="20"/>
                <w:szCs w:val="20"/>
                <w:color w:val="auto"/>
              </w:rPr>
            </w:pPr>
            <w:r>
              <w:rPr>
                <w:rFonts w:ascii="Times New Roman" w:cs="Times New Roman" w:eastAsia="Times New Roman" w:hAnsi="Times New Roman"/>
                <w:sz w:val="14"/>
                <w:szCs w:val="14"/>
                <w:color w:val="auto"/>
              </w:rPr>
              <w:t>6.02</w:t>
            </w: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317(b)</w:t>
            </w:r>
          </w:p>
        </w:tc>
        <w:tc>
          <w:tcPr>
            <w:tcW w:w="6040" w:type="dxa"/>
            <w:vAlign w:val="bottom"/>
            <w:gridSpan w:val="2"/>
          </w:tcPr>
          <w:p>
            <w:pPr>
              <w:ind w:left="3820"/>
              <w:spacing w:after="0"/>
              <w:rPr>
                <w:sz w:val="20"/>
                <w:szCs w:val="20"/>
                <w:color w:val="auto"/>
              </w:rPr>
            </w:pPr>
            <w:r>
              <w:rPr>
                <w:rFonts w:ascii="Times New Roman" w:cs="Times New Roman" w:eastAsia="Times New Roman" w:hAnsi="Times New Roman"/>
                <w:sz w:val="14"/>
                <w:szCs w:val="14"/>
                <w:color w:val="auto"/>
              </w:rPr>
              <w:t>4.03</w:t>
            </w:r>
          </w:p>
        </w:tc>
      </w:tr>
      <w:tr>
        <w:trPr>
          <w:trHeight w:val="181"/>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318(a)</w:t>
            </w:r>
          </w:p>
        </w:tc>
        <w:tc>
          <w:tcPr>
            <w:tcW w:w="6040" w:type="dxa"/>
            <w:vAlign w:val="bottom"/>
            <w:gridSpan w:val="2"/>
          </w:tcPr>
          <w:p>
            <w:pPr>
              <w:ind w:left="3820"/>
              <w:spacing w:after="0"/>
              <w:rPr>
                <w:sz w:val="20"/>
                <w:szCs w:val="20"/>
                <w:color w:val="auto"/>
              </w:rPr>
            </w:pPr>
            <w:r>
              <w:rPr>
                <w:rFonts w:ascii="Times New Roman" w:cs="Times New Roman" w:eastAsia="Times New Roman" w:hAnsi="Times New Roman"/>
                <w:sz w:val="14"/>
                <w:szCs w:val="14"/>
                <w:color w:val="auto"/>
              </w:rPr>
              <w:t>13.09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72390</wp:posOffset>
            </wp:positionV>
            <wp:extent cx="587375" cy="6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6">
                      <a:extLst>
                        <a:ext uri="{28A0092B-C50C-407E-A947-70E740481C1C}"/>
                      </a:extLst>
                    </a:blip>
                    <a:srcRect/>
                    <a:stretch>
                      <a:fillRect/>
                    </a:stretch>
                  </pic:blipFill>
                  <pic:spPr bwMode="auto">
                    <a:xfrm>
                      <a:off x="0" y="0"/>
                      <a:ext cx="587375" cy="6350"/>
                    </a:xfrm>
                    <a:prstGeom prst="rect">
                      <a:avLst/>
                    </a:prstGeom>
                    <a:noFill/>
                  </pic:spPr>
                </pic:pic>
              </a:graphicData>
            </a:graphic>
          </wp:anchor>
        </w:drawing>
      </w:r>
    </w:p>
    <w:p>
      <w:pPr>
        <w:spacing w:after="0" w:line="110" w:lineRule="exact"/>
        <w:rPr>
          <w:sz w:val="20"/>
          <w:szCs w:val="20"/>
          <w:color w:val="auto"/>
        </w:rPr>
      </w:pPr>
    </w:p>
    <w:p>
      <w:pPr>
        <w:ind w:left="600" w:right="559" w:hanging="338"/>
        <w:spacing w:after="0" w:line="278" w:lineRule="auto"/>
        <w:tabs>
          <w:tab w:leader="none" w:pos="60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Cross-Reference Table does not constitute part of the Indenture and shall not have any bearing on the interpretation of any of its terms or provisions.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9019"/>
          </w:cols>
          <w:pgMar w:left="1440" w:top="237" w:right="1440" w:bottom="1440" w:gutter="0" w:footer="0" w:header="0"/>
        </w:sectPr>
      </w:pPr>
    </w:p>
    <w:bookmarkStart w:id="138" w:name="page139"/>
    <w:bookmarkEnd w:id="138"/>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Exhibit 4.7</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EMPUS</w:t>
      </w:r>
      <w:r>
        <w:rPr>
          <w:rFonts w:ascii="Times New Roman" w:cs="Times New Roman" w:eastAsia="Times New Roman" w:hAnsi="Times New Roman"/>
          <w:sz w:val="14"/>
          <w:szCs w:val="14"/>
          <w:b w:val="1"/>
          <w:bCs w:val="1"/>
          <w:color w:val="auto"/>
        </w:rPr>
        <w:t xml:space="preserve"> AI,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AND</w:t>
      </w:r>
    </w:p>
    <w:p>
      <w:pPr>
        <w:spacing w:after="0" w:line="13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_____________, A</w:t>
      </w:r>
      <w:r>
        <w:rPr>
          <w:rFonts w:ascii="Times New Roman" w:cs="Times New Roman" w:eastAsia="Times New Roman" w:hAnsi="Times New Roman"/>
          <w:sz w:val="11"/>
          <w:szCs w:val="11"/>
          <w:b w:val="1"/>
          <w:bCs w:val="1"/>
          <w:color w:val="auto"/>
        </w:rPr>
        <w:t>S</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1"/>
          <w:szCs w:val="11"/>
          <w:b w:val="1"/>
          <w:bCs w:val="1"/>
          <w:color w:val="auto"/>
        </w:rPr>
        <w:t>ARRANT</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1"/>
          <w:szCs w:val="11"/>
          <w:b w:val="1"/>
          <w:bCs w:val="1"/>
          <w:color w:val="auto"/>
        </w:rPr>
        <w:t>ORM OF</w:t>
      </w:r>
      <w:r>
        <w:rPr>
          <w:rFonts w:ascii="Times New Roman" w:cs="Times New Roman" w:eastAsia="Times New Roman" w:hAnsi="Times New Roman"/>
          <w:sz w:val="14"/>
          <w:szCs w:val="14"/>
          <w:b w:val="1"/>
          <w:bCs w:val="1"/>
          <w:color w:val="auto"/>
        </w:rPr>
        <w:t xml:space="preserve"> C</w:t>
      </w:r>
      <w:r>
        <w:rPr>
          <w:rFonts w:ascii="Times New Roman" w:cs="Times New Roman" w:eastAsia="Times New Roman" w:hAnsi="Times New Roman"/>
          <w:sz w:val="11"/>
          <w:szCs w:val="11"/>
          <w:b w:val="1"/>
          <w:bCs w:val="1"/>
          <w:color w:val="auto"/>
        </w:rPr>
        <w:t>LASS</w:t>
      </w:r>
      <w:r>
        <w:rPr>
          <w:rFonts w:ascii="Times New Roman" w:cs="Times New Roman" w:eastAsia="Times New Roman" w:hAnsi="Times New Roman"/>
          <w:sz w:val="14"/>
          <w:szCs w:val="14"/>
          <w:b w:val="1"/>
          <w:bCs w:val="1"/>
          <w:color w:val="auto"/>
        </w:rPr>
        <w:t xml:space="preserve"> A C</w:t>
      </w:r>
      <w:r>
        <w:rPr>
          <w:rFonts w:ascii="Times New Roman" w:cs="Times New Roman" w:eastAsia="Times New Roman" w:hAnsi="Times New Roman"/>
          <w:sz w:val="11"/>
          <w:szCs w:val="11"/>
          <w:b w:val="1"/>
          <w:bCs w:val="1"/>
          <w:color w:val="auto"/>
        </w:rPr>
        <w:t>OMMON</w:t>
      </w:r>
      <w:r>
        <w:rPr>
          <w:rFonts w:ascii="Times New Roman" w:cs="Times New Roman" w:eastAsia="Times New Roman" w:hAnsi="Times New Roman"/>
          <w:sz w:val="14"/>
          <w:szCs w:val="14"/>
          <w:b w:val="1"/>
          <w:bCs w:val="1"/>
          <w:color w:val="auto"/>
        </w:rPr>
        <w:t xml:space="preserve"> S</w:t>
      </w:r>
      <w:r>
        <w:rPr>
          <w:rFonts w:ascii="Times New Roman" w:cs="Times New Roman" w:eastAsia="Times New Roman" w:hAnsi="Times New Roman"/>
          <w:sz w:val="11"/>
          <w:szCs w:val="11"/>
          <w:b w:val="1"/>
          <w:bCs w:val="1"/>
          <w:color w:val="auto"/>
        </w:rPr>
        <w:t>TOCK</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pacing w:after="0" w:line="15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4"/>
          <w:szCs w:val="14"/>
          <w:b w:val="1"/>
          <w:bCs w:val="1"/>
          <w:color w:val="auto"/>
        </w:rPr>
        <w:t>D</w:t>
      </w:r>
      <w:r>
        <w:rPr>
          <w:rFonts w:ascii="Times New Roman" w:cs="Times New Roman" w:eastAsia="Times New Roman" w:hAnsi="Times New Roman"/>
          <w:sz w:val="11"/>
          <w:szCs w:val="11"/>
          <w:b w:val="1"/>
          <w:bCs w:val="1"/>
          <w:color w:val="auto"/>
        </w:rPr>
        <w:t>ATED</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S</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11"/>
          <w:szCs w:val="11"/>
          <w:b w:val="1"/>
          <w:bCs w:val="1"/>
          <w:color w:val="auto"/>
        </w:rPr>
        <w:t>F</w:t>
      </w:r>
      <w:r>
        <w:rPr>
          <w:rFonts w:ascii="Times New Roman" w:cs="Times New Roman" w:eastAsia="Times New Roman" w:hAnsi="Times New Roman"/>
          <w:sz w:val="14"/>
          <w:szCs w:val="14"/>
          <w:b w:val="1"/>
          <w:bCs w:val="1"/>
          <w:color w:val="auto"/>
        </w:rPr>
        <w:t xml:space="preserve"> __________</w:t>
      </w:r>
    </w:p>
    <w:p>
      <w:pPr>
        <w:sectPr>
          <w:pgSz w:w="11900" w:h="16838" w:orient="portrait"/>
          <w:cols w:equalWidth="0" w:num="1">
            <w:col w:w="9019"/>
          </w:cols>
          <w:pgMar w:left="1440" w:top="123" w:right="1440" w:bottom="1440" w:gutter="0" w:footer="0" w:header="0"/>
        </w:sectPr>
      </w:pPr>
    </w:p>
    <w:bookmarkStart w:id="139" w:name="page140"/>
    <w:bookmarkEnd w:id="13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w:t>
      </w:r>
      <w:r>
        <w:rPr>
          <w:rFonts w:ascii="Times New Roman" w:cs="Times New Roman" w:eastAsia="Times New Roman" w:hAnsi="Times New Roman"/>
          <w:sz w:val="11"/>
          <w:szCs w:val="11"/>
          <w:b w:val="1"/>
          <w:bCs w:val="1"/>
          <w:color w:val="auto"/>
        </w:rPr>
        <w:t>EMPUS</w:t>
      </w:r>
      <w:r>
        <w:rPr>
          <w:rFonts w:ascii="Times New Roman" w:cs="Times New Roman" w:eastAsia="Times New Roman" w:hAnsi="Times New Roman"/>
          <w:sz w:val="14"/>
          <w:szCs w:val="14"/>
          <w:b w:val="1"/>
          <w:bCs w:val="1"/>
          <w:color w:val="auto"/>
        </w:rPr>
        <w:t xml:space="preserve"> AI,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F</w:t>
      </w:r>
      <w:r>
        <w:rPr>
          <w:rFonts w:ascii="Times New Roman" w:cs="Times New Roman" w:eastAsia="Times New Roman" w:hAnsi="Times New Roman"/>
          <w:sz w:val="11"/>
          <w:szCs w:val="11"/>
          <w:b w:val="1"/>
          <w:bCs w:val="1"/>
          <w:color w:val="auto"/>
        </w:rPr>
        <w:t>ORM OF</w:t>
      </w:r>
      <w:r>
        <w:rPr>
          <w:rFonts w:ascii="Times New Roman" w:cs="Times New Roman" w:eastAsia="Times New Roman" w:hAnsi="Times New Roman"/>
          <w:sz w:val="14"/>
          <w:szCs w:val="14"/>
          <w:b w:val="1"/>
          <w:bCs w:val="1"/>
          <w:color w:val="auto"/>
        </w:rPr>
        <w:t xml:space="preserve"> C</w:t>
      </w:r>
      <w:r>
        <w:rPr>
          <w:rFonts w:ascii="Times New Roman" w:cs="Times New Roman" w:eastAsia="Times New Roman" w:hAnsi="Times New Roman"/>
          <w:sz w:val="11"/>
          <w:szCs w:val="11"/>
          <w:b w:val="1"/>
          <w:bCs w:val="1"/>
          <w:color w:val="auto"/>
        </w:rPr>
        <w:t>LASS</w:t>
      </w:r>
      <w:r>
        <w:rPr>
          <w:rFonts w:ascii="Times New Roman" w:cs="Times New Roman" w:eastAsia="Times New Roman" w:hAnsi="Times New Roman"/>
          <w:sz w:val="14"/>
          <w:szCs w:val="14"/>
          <w:b w:val="1"/>
          <w:bCs w:val="1"/>
          <w:color w:val="auto"/>
        </w:rPr>
        <w:t xml:space="preserve"> A C</w:t>
      </w:r>
      <w:r>
        <w:rPr>
          <w:rFonts w:ascii="Times New Roman" w:cs="Times New Roman" w:eastAsia="Times New Roman" w:hAnsi="Times New Roman"/>
          <w:sz w:val="11"/>
          <w:szCs w:val="11"/>
          <w:b w:val="1"/>
          <w:bCs w:val="1"/>
          <w:color w:val="auto"/>
        </w:rPr>
        <w:t>OMMON</w:t>
      </w:r>
      <w:r>
        <w:rPr>
          <w:rFonts w:ascii="Times New Roman" w:cs="Times New Roman" w:eastAsia="Times New Roman" w:hAnsi="Times New Roman"/>
          <w:sz w:val="14"/>
          <w:szCs w:val="14"/>
          <w:b w:val="1"/>
          <w:bCs w:val="1"/>
          <w:color w:val="auto"/>
        </w:rPr>
        <w:t xml:space="preserve"> S</w:t>
      </w:r>
      <w:r>
        <w:rPr>
          <w:rFonts w:ascii="Times New Roman" w:cs="Times New Roman" w:eastAsia="Times New Roman" w:hAnsi="Times New Roman"/>
          <w:sz w:val="11"/>
          <w:szCs w:val="11"/>
          <w:b w:val="1"/>
          <w:bCs w:val="1"/>
          <w:color w:val="auto"/>
        </w:rPr>
        <w:t>TOCK</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1"/>
          <w:szCs w:val="11"/>
          <w:b w:val="1"/>
          <w:bCs w:val="1"/>
          <w:color w:val="auto"/>
        </w:rPr>
        <w:t>ARRANT</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pacing w:after="0" w:line="172" w:lineRule="exact"/>
        <w:rPr>
          <w:sz w:val="20"/>
          <w:szCs w:val="20"/>
          <w:color w:val="auto"/>
        </w:rPr>
      </w:pPr>
    </w:p>
    <w:p>
      <w:pPr>
        <w:ind w:left="260" w:right="319" w:firstLine="339"/>
        <w:spacing w:after="0" w:line="264" w:lineRule="auto"/>
        <w:rPr>
          <w:sz w:val="20"/>
          <w:szCs w:val="20"/>
          <w:color w:val="auto"/>
        </w:rPr>
      </w:pP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HIS</w:t>
      </w:r>
      <w:r>
        <w:rPr>
          <w:rFonts w:ascii="Times New Roman" w:cs="Times New Roman" w:eastAsia="Times New Roman" w:hAnsi="Times New Roman"/>
          <w:sz w:val="14"/>
          <w:szCs w:val="14"/>
          <w:b w:val="1"/>
          <w:bCs w:val="1"/>
          <w:color w:val="auto"/>
        </w:rPr>
        <w:t xml:space="preserve"> C</w:t>
      </w:r>
      <w:r>
        <w:rPr>
          <w:rFonts w:ascii="Times New Roman" w:cs="Times New Roman" w:eastAsia="Times New Roman" w:hAnsi="Times New Roman"/>
          <w:sz w:val="11"/>
          <w:szCs w:val="11"/>
          <w:b w:val="1"/>
          <w:bCs w:val="1"/>
          <w:color w:val="auto"/>
        </w:rPr>
        <w:t>LASS</w:t>
      </w:r>
      <w:r>
        <w:rPr>
          <w:rFonts w:ascii="Times New Roman" w:cs="Times New Roman" w:eastAsia="Times New Roman" w:hAnsi="Times New Roman"/>
          <w:sz w:val="14"/>
          <w:szCs w:val="14"/>
          <w:b w:val="1"/>
          <w:bCs w:val="1"/>
          <w:color w:val="auto"/>
        </w:rPr>
        <w:t xml:space="preserve"> A C</w:t>
      </w:r>
      <w:r>
        <w:rPr>
          <w:rFonts w:ascii="Times New Roman" w:cs="Times New Roman" w:eastAsia="Times New Roman" w:hAnsi="Times New Roman"/>
          <w:sz w:val="11"/>
          <w:szCs w:val="11"/>
          <w:b w:val="1"/>
          <w:bCs w:val="1"/>
          <w:color w:val="auto"/>
        </w:rPr>
        <w:t>OMMON</w:t>
      </w:r>
      <w:r>
        <w:rPr>
          <w:rFonts w:ascii="Times New Roman" w:cs="Times New Roman" w:eastAsia="Times New Roman" w:hAnsi="Times New Roman"/>
          <w:sz w:val="14"/>
          <w:szCs w:val="14"/>
          <w:b w:val="1"/>
          <w:bCs w:val="1"/>
          <w:color w:val="auto"/>
        </w:rPr>
        <w:t xml:space="preserve"> S</w:t>
      </w:r>
      <w:r>
        <w:rPr>
          <w:rFonts w:ascii="Times New Roman" w:cs="Times New Roman" w:eastAsia="Times New Roman" w:hAnsi="Times New Roman"/>
          <w:sz w:val="11"/>
          <w:szCs w:val="11"/>
          <w:b w:val="1"/>
          <w:bCs w:val="1"/>
          <w:color w:val="auto"/>
        </w:rPr>
        <w:t>TOCK</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1"/>
          <w:szCs w:val="11"/>
          <w:b w:val="1"/>
          <w:bCs w:val="1"/>
          <w:color w:val="auto"/>
        </w:rPr>
        <w:t>ARRANT</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(this “</w:t>
      </w:r>
      <w:r>
        <w:rPr>
          <w:rFonts w:ascii="Times New Roman" w:cs="Times New Roman" w:eastAsia="Times New Roman" w:hAnsi="Times New Roman"/>
          <w:sz w:val="14"/>
          <w:szCs w:val="14"/>
          <w:b w:val="1"/>
          <w:bCs w:val="1"/>
          <w:i w:val="1"/>
          <w:iCs w:val="1"/>
          <w:color w:val="auto"/>
        </w:rPr>
        <w:t>Agreement</w:t>
      </w:r>
      <w:r>
        <w:rPr>
          <w:rFonts w:ascii="Times New Roman" w:cs="Times New Roman" w:eastAsia="Times New Roman" w:hAnsi="Times New Roman"/>
          <w:sz w:val="14"/>
          <w:szCs w:val="14"/>
          <w:color w:val="auto"/>
        </w:rPr>
        <w:t>”), dated as of [•], between</w:t>
      </w:r>
      <w:r>
        <w:rPr>
          <w:rFonts w:ascii="Times New Roman" w:cs="Times New Roman" w:eastAsia="Times New Roman" w:hAnsi="Times New Roman"/>
          <w:sz w:val="14"/>
          <w:szCs w:val="14"/>
          <w:b w:val="1"/>
          <w:bCs w:val="1"/>
          <w:color w:val="auto"/>
        </w:rPr>
        <w:t xml:space="preserve"> T</w:t>
      </w:r>
      <w:r>
        <w:rPr>
          <w:rFonts w:ascii="Times New Roman" w:cs="Times New Roman" w:eastAsia="Times New Roman" w:hAnsi="Times New Roman"/>
          <w:sz w:val="11"/>
          <w:szCs w:val="11"/>
          <w:b w:val="1"/>
          <w:bCs w:val="1"/>
          <w:color w:val="auto"/>
        </w:rPr>
        <w:t>EMPUS</w:t>
      </w:r>
      <w:r>
        <w:rPr>
          <w:rFonts w:ascii="Times New Roman" w:cs="Times New Roman" w:eastAsia="Times New Roman" w:hAnsi="Times New Roman"/>
          <w:sz w:val="14"/>
          <w:szCs w:val="14"/>
          <w:b w:val="1"/>
          <w:bCs w:val="1"/>
          <w:color w:val="auto"/>
        </w:rPr>
        <w:t xml:space="preserve"> AI,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a Nevada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corporation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and [•], a [corporation] [national banking association] organized and existing under the laws of [•] and having a corporate trust office in [•], as warrant agent (the “</w:t>
      </w:r>
      <w:r>
        <w:rPr>
          <w:rFonts w:ascii="Times New Roman" w:cs="Times New Roman" w:eastAsia="Times New Roman" w:hAnsi="Times New Roman"/>
          <w:sz w:val="14"/>
          <w:szCs w:val="14"/>
          <w:b w:val="1"/>
          <w:bCs w:val="1"/>
          <w:i w:val="1"/>
          <w:iCs w:val="1"/>
          <w:color w:val="auto"/>
        </w:rPr>
        <w:t>Warrant Agent</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ind w:left="260" w:right="299" w:firstLine="339"/>
        <w:spacing w:after="0" w:line="259" w:lineRule="auto"/>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HEREAS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Company proposes to sell [If Warrants are sold with other securities —[title of such other securities being offered] (the “</w:t>
      </w:r>
      <w:r>
        <w:rPr>
          <w:rFonts w:ascii="Times New Roman" w:cs="Times New Roman" w:eastAsia="Times New Roman" w:hAnsi="Times New Roman"/>
          <w:sz w:val="14"/>
          <w:szCs w:val="14"/>
          <w:b w:val="1"/>
          <w:bCs w:val="1"/>
          <w:i w:val="1"/>
          <w:iCs w:val="1"/>
          <w:color w:val="auto"/>
        </w:rPr>
        <w:t>Other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Securities</w:t>
      </w:r>
      <w:r>
        <w:rPr>
          <w:rFonts w:ascii="Times New Roman" w:cs="Times New Roman" w:eastAsia="Times New Roman" w:hAnsi="Times New Roman"/>
          <w:sz w:val="14"/>
          <w:szCs w:val="14"/>
          <w:color w:val="auto"/>
        </w:rPr>
        <w:t>”) with] warrant certificates evidencing one or more warrants (the “</w:t>
      </w:r>
      <w:r>
        <w:rPr>
          <w:rFonts w:ascii="Times New Roman" w:cs="Times New Roman" w:eastAsia="Times New Roman" w:hAnsi="Times New Roman"/>
          <w:sz w:val="14"/>
          <w:szCs w:val="14"/>
          <w:b w:val="1"/>
          <w:bCs w:val="1"/>
          <w:i w:val="1"/>
          <w:iCs w:val="1"/>
          <w:color w:val="auto"/>
        </w:rPr>
        <w:t>Warrants</w:t>
      </w:r>
      <w:r>
        <w:rPr>
          <w:rFonts w:ascii="Times New Roman" w:cs="Times New Roman" w:eastAsia="Times New Roman" w:hAnsi="Times New Roman"/>
          <w:sz w:val="14"/>
          <w:szCs w:val="14"/>
          <w:color w:val="auto"/>
        </w:rPr>
        <w:t>” or, individually, a “</w:t>
      </w:r>
      <w:r>
        <w:rPr>
          <w:rFonts w:ascii="Times New Roman" w:cs="Times New Roman" w:eastAsia="Times New Roman" w:hAnsi="Times New Roman"/>
          <w:sz w:val="14"/>
          <w:szCs w:val="14"/>
          <w:b w:val="1"/>
          <w:bCs w:val="1"/>
          <w:i w:val="1"/>
          <w:iCs w:val="1"/>
          <w:color w:val="auto"/>
        </w:rPr>
        <w:t>Warrant</w:t>
      </w:r>
      <w:r>
        <w:rPr>
          <w:rFonts w:ascii="Times New Roman" w:cs="Times New Roman" w:eastAsia="Times New Roman" w:hAnsi="Times New Roman"/>
          <w:sz w:val="14"/>
          <w:szCs w:val="14"/>
          <w:color w:val="auto"/>
        </w:rPr>
        <w:t>”) representing the right to purchase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Class A Common Stock of the Company, par value $0.0001 per share (the “</w:t>
      </w:r>
      <w:r>
        <w:rPr>
          <w:rFonts w:ascii="Times New Roman" w:cs="Times New Roman" w:eastAsia="Times New Roman" w:hAnsi="Times New Roman"/>
          <w:sz w:val="14"/>
          <w:szCs w:val="14"/>
          <w:b w:val="1"/>
          <w:bCs w:val="1"/>
          <w:i w:val="1"/>
          <w:iCs w:val="1"/>
          <w:color w:val="auto"/>
        </w:rPr>
        <w:t>Warrant Securities</w:t>
      </w:r>
      <w:r>
        <w:rPr>
          <w:rFonts w:ascii="Times New Roman" w:cs="Times New Roman" w:eastAsia="Times New Roman" w:hAnsi="Times New Roman"/>
          <w:sz w:val="14"/>
          <w:szCs w:val="14"/>
          <w:color w:val="auto"/>
        </w:rPr>
        <w:t>”), such warrant certificates and other warrant certificates issued pursuant to this Agreement being herein called the “</w:t>
      </w:r>
      <w:r>
        <w:rPr>
          <w:rFonts w:ascii="Times New Roman" w:cs="Times New Roman" w:eastAsia="Times New Roman" w:hAnsi="Times New Roman"/>
          <w:sz w:val="14"/>
          <w:szCs w:val="14"/>
          <w:b w:val="1"/>
          <w:bCs w:val="1"/>
          <w:i w:val="1"/>
          <w:iCs w:val="1"/>
          <w:color w:val="auto"/>
        </w:rPr>
        <w:t>Warrant Certificates</w:t>
      </w:r>
      <w:r>
        <w:rPr>
          <w:rFonts w:ascii="Times New Roman" w:cs="Times New Roman" w:eastAsia="Times New Roman" w:hAnsi="Times New Roman"/>
          <w:sz w:val="14"/>
          <w:szCs w:val="14"/>
          <w:color w:val="auto"/>
        </w:rPr>
        <w:t>”; and</w:t>
      </w:r>
    </w:p>
    <w:p>
      <w:pPr>
        <w:spacing w:after="0" w:line="137" w:lineRule="exact"/>
        <w:rPr>
          <w:sz w:val="20"/>
          <w:szCs w:val="20"/>
          <w:color w:val="auto"/>
        </w:rPr>
      </w:pPr>
    </w:p>
    <w:p>
      <w:pPr>
        <w:ind w:left="260" w:right="519" w:firstLine="339"/>
        <w:spacing w:after="0" w:line="259" w:lineRule="auto"/>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HEREAS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Company desires the Warrant Agent to act on behalf of the Company, and the Warrant Agent is willing so to act, in connection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 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spacing w:after="0" w:line="13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1"/>
          <w:szCs w:val="11"/>
          <w:b w:val="1"/>
          <w:bCs w:val="1"/>
          <w:color w:val="auto"/>
        </w:rPr>
        <w:t>OW</w:t>
      </w:r>
      <w:r>
        <w:rPr>
          <w:rFonts w:ascii="Times New Roman" w:cs="Times New Roman" w:eastAsia="Times New Roman" w:hAnsi="Times New Roman"/>
          <w:sz w:val="14"/>
          <w:szCs w:val="14"/>
          <w:b w:val="1"/>
          <w:bCs w:val="1"/>
          <w:color w:val="auto"/>
        </w:rPr>
        <w:t xml:space="preserve"> T</w:t>
      </w:r>
      <w:r>
        <w:rPr>
          <w:rFonts w:ascii="Times New Roman" w:cs="Times New Roman" w:eastAsia="Times New Roman" w:hAnsi="Times New Roman"/>
          <w:sz w:val="11"/>
          <w:szCs w:val="11"/>
          <w:b w:val="1"/>
          <w:bCs w:val="1"/>
          <w:color w:val="auto"/>
        </w:rPr>
        <w:t>HEREFORE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consideration of the premises and of the mutual agreements herein contained, the parties hereto agree as follows:</w:t>
      </w:r>
    </w:p>
    <w:p>
      <w:pPr>
        <w:spacing w:after="0" w:line="33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ARTICLE 1</w:t>
      </w:r>
    </w:p>
    <w:p>
      <w:pPr>
        <w:spacing w:after="0" w:line="8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b w:val="1"/>
          <w:bCs w:val="1"/>
          <w:color w:val="auto"/>
        </w:rPr>
        <w:t>ISSUANCE OF WARRANTS AND EXECUTION AND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DELIVERY OF WARRANT CERTIFICATES</w:t>
      </w:r>
    </w:p>
    <w:p>
      <w:pPr>
        <w:spacing w:after="0" w:line="155" w:lineRule="exact"/>
        <w:rPr>
          <w:sz w:val="20"/>
          <w:szCs w:val="20"/>
          <w:color w:val="auto"/>
        </w:rPr>
      </w:pPr>
    </w:p>
    <w:p>
      <w:pPr>
        <w:ind w:left="260" w:right="279" w:firstLine="339"/>
        <w:spacing w:after="0" w:line="280" w:lineRule="auto"/>
        <w:rPr>
          <w:sz w:val="20"/>
          <w:szCs w:val="20"/>
          <w:color w:val="auto"/>
        </w:rPr>
      </w:pPr>
      <w:r>
        <w:rPr>
          <w:rFonts w:ascii="Times New Roman" w:cs="Times New Roman" w:eastAsia="Times New Roman" w:hAnsi="Times New Roman"/>
          <w:sz w:val="13"/>
          <w:szCs w:val="13"/>
          <w:b w:val="1"/>
          <w:bCs w:val="1"/>
          <w:color w:val="auto"/>
        </w:rPr>
        <w:t xml:space="preserve">1.1 Issuance of Warrants.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If Warrants alone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—Upon issuance, each Warrant Certificate shall evidence one or more Warrants.] [</w:t>
      </w:r>
      <w:r>
        <w:rPr>
          <w:rFonts w:ascii="Times New Roman" w:cs="Times New Roman" w:eastAsia="Times New Roman" w:hAnsi="Times New Roman"/>
          <w:sz w:val="13"/>
          <w:szCs w:val="13"/>
          <w:b w:val="1"/>
          <w:bCs w:val="1"/>
          <w:i w:val="1"/>
          <w:iCs w:val="1"/>
          <w:color w:val="auto"/>
        </w:rPr>
        <w:t>If Other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b w:val="1"/>
          <w:bCs w:val="1"/>
          <w:i w:val="1"/>
          <w:iCs w:val="1"/>
          <w:color w:val="auto"/>
        </w:rPr>
        <w:t xml:space="preserve">Securities and Warrants </w:t>
      </w:r>
      <w:r>
        <w:rPr>
          <w:rFonts w:ascii="Times New Roman" w:cs="Times New Roman" w:eastAsia="Times New Roman" w:hAnsi="Times New Roman"/>
          <w:sz w:val="13"/>
          <w:szCs w:val="13"/>
          <w:color w:val="auto"/>
        </w:rPr>
        <w:t>—Warrant Certificates will be issued in connection with the issuance of the Other Securities but shall be separately transferable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and each Warrant Certificate shall evidence one or more Warrants.] Each Warrant evidenced thereby shall represent the right, subject to the provisions contained herein and therein, to purchase one Warrant Security. [</w:t>
      </w:r>
      <w:r>
        <w:rPr>
          <w:rFonts w:ascii="Times New Roman" w:cs="Times New Roman" w:eastAsia="Times New Roman" w:hAnsi="Times New Roman"/>
          <w:sz w:val="13"/>
          <w:szCs w:val="13"/>
          <w:b w:val="1"/>
          <w:bCs w:val="1"/>
          <w:i w:val="1"/>
          <w:iCs w:val="1"/>
          <w:color w:val="auto"/>
        </w:rPr>
        <w:t>If Other Securities and Warrants</w:t>
      </w:r>
      <w:r>
        <w:rPr>
          <w:rFonts w:ascii="Times New Roman" w:cs="Times New Roman" w:eastAsia="Times New Roman" w:hAnsi="Times New Roman"/>
          <w:sz w:val="13"/>
          <w:szCs w:val="13"/>
          <w:color w:val="auto"/>
        </w:rPr>
        <w:t xml:space="preserve"> —Warrant Certificates will be issued with the Other Securities and each Warrant Certificate will evidence [•] Warrants for each [$[•] principal amount] [[•] shares] of Other Securities issued.]</w:t>
      </w:r>
    </w:p>
    <w:p>
      <w:pPr>
        <w:spacing w:after="0" w:line="126" w:lineRule="exact"/>
        <w:rPr>
          <w:sz w:val="20"/>
          <w:szCs w:val="20"/>
          <w:color w:val="auto"/>
        </w:rPr>
      </w:pPr>
    </w:p>
    <w:p>
      <w:pPr>
        <w:ind w:left="260" w:right="319" w:firstLine="339"/>
        <w:spacing w:after="0" w:line="251" w:lineRule="auto"/>
        <w:rPr>
          <w:sz w:val="20"/>
          <w:szCs w:val="20"/>
          <w:color w:val="auto"/>
        </w:rPr>
      </w:pPr>
      <w:r>
        <w:rPr>
          <w:rFonts w:ascii="Times New Roman" w:cs="Times New Roman" w:eastAsia="Times New Roman" w:hAnsi="Times New Roman"/>
          <w:sz w:val="14"/>
          <w:szCs w:val="14"/>
          <w:b w:val="1"/>
          <w:bCs w:val="1"/>
          <w:color w:val="auto"/>
        </w:rPr>
        <w:t xml:space="preserve">1.2 Execution and Delivery of Warrant Certificates. </w:t>
      </w:r>
      <w:r>
        <w:rPr>
          <w:rFonts w:ascii="Times New Roman" w:cs="Times New Roman" w:eastAsia="Times New Roman" w:hAnsi="Times New Roman"/>
          <w:sz w:val="14"/>
          <w:szCs w:val="14"/>
          <w:color w:val="auto"/>
        </w:rPr>
        <w:t>Each Warrant Certificate, whenever issued, shall be in registered form substantially in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form set forth in </w:t>
      </w:r>
      <w:r>
        <w:rPr>
          <w:rFonts w:ascii="Times New Roman" w:cs="Times New Roman" w:eastAsia="Times New Roman" w:hAnsi="Times New Roman"/>
          <w:sz w:val="14"/>
          <w:szCs w:val="14"/>
          <w:b w:val="1"/>
          <w:bCs w:val="1"/>
          <w:color w:val="auto"/>
        </w:rPr>
        <w:t>Exhibit A</w:t>
      </w:r>
      <w:r>
        <w:rPr>
          <w:rFonts w:ascii="Times New Roman" w:cs="Times New Roman" w:eastAsia="Times New Roman" w:hAnsi="Times New Roman"/>
          <w:sz w:val="14"/>
          <w:szCs w:val="14"/>
          <w:color w:val="auto"/>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37" w:right="1440" w:bottom="1440" w:gutter="0" w:footer="0" w:header="0"/>
        </w:sectPr>
      </w:pPr>
    </w:p>
    <w:bookmarkStart w:id="140" w:name="page141"/>
    <w:bookmarkEnd w:id="140"/>
    <w:p>
      <w:pPr>
        <w:jc w:val="both"/>
        <w:ind w:left="260" w:right="459" w:firstLine="339"/>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spacing w:after="0" w:line="136" w:lineRule="exact"/>
        <w:rPr>
          <w:sz w:val="20"/>
          <w:szCs w:val="20"/>
          <w:color w:val="auto"/>
        </w:rPr>
      </w:pPr>
    </w:p>
    <w:p>
      <w:pPr>
        <w:ind w:left="260" w:right="339" w:firstLine="339"/>
        <w:spacing w:after="0" w:line="279" w:lineRule="auto"/>
        <w:rPr>
          <w:sz w:val="20"/>
          <w:szCs w:val="20"/>
          <w:color w:val="auto"/>
        </w:rPr>
      </w:pPr>
      <w:r>
        <w:rPr>
          <w:rFonts w:ascii="Times New Roman" w:cs="Times New Roman" w:eastAsia="Times New Roman" w:hAnsi="Times New Roman"/>
          <w:sz w:val="13"/>
          <w:szCs w:val="13"/>
          <w:color w:val="auto"/>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spacing w:after="0" w:line="127" w:lineRule="exact"/>
        <w:rPr>
          <w:sz w:val="20"/>
          <w:szCs w:val="20"/>
          <w:color w:val="auto"/>
        </w:rPr>
      </w:pPr>
    </w:p>
    <w:p>
      <w:pPr>
        <w:ind w:left="260" w:right="399" w:firstLine="339"/>
        <w:spacing w:after="0" w:line="281" w:lineRule="auto"/>
        <w:rPr>
          <w:sz w:val="20"/>
          <w:szCs w:val="20"/>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b w:val="1"/>
          <w:bCs w:val="1"/>
          <w:i w:val="1"/>
          <w:iCs w:val="1"/>
          <w:color w:val="auto"/>
        </w:rPr>
        <w:t>holder</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i w:val="1"/>
          <w:iCs w:val="1"/>
          <w:color w:val="auto"/>
        </w:rPr>
        <w:t>holder of a Warrant Certificate</w:t>
      </w:r>
      <w:r>
        <w:rPr>
          <w:rFonts w:ascii="Times New Roman" w:cs="Times New Roman" w:eastAsia="Times New Roman" w:hAnsi="Times New Roman"/>
          <w:sz w:val="14"/>
          <w:szCs w:val="14"/>
          <w:color w:val="auto"/>
        </w:rPr>
        <w:t>” as used herein shall mean any person in whose name at the time any Warrant Certificate shall be registered upon the books to be maintained by the Warrant Agent for that purpose.</w:t>
      </w:r>
    </w:p>
    <w:p>
      <w:pPr>
        <w:spacing w:after="0" w:line="122" w:lineRule="exact"/>
        <w:rPr>
          <w:sz w:val="20"/>
          <w:szCs w:val="20"/>
          <w:color w:val="auto"/>
        </w:rPr>
      </w:pPr>
    </w:p>
    <w:p>
      <w:pPr>
        <w:ind w:left="260" w:right="319" w:firstLine="339"/>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1.3 Issuance of Warrant Certificates. </w:t>
      </w:r>
      <w:r>
        <w:rPr>
          <w:rFonts w:ascii="Times New Roman" w:cs="Times New Roman" w:eastAsia="Times New Roman" w:hAnsi="Times New Roman"/>
          <w:sz w:val="14"/>
          <w:szCs w:val="14"/>
          <w:color w:val="auto"/>
        </w:rPr>
        <w:t>Warrant Certificates evidencing the right to purchase Warrant Securities may be executed by the Company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2</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WARRANT PRICE, DURATION AND EXERCISE OF WARRANTS</w:t>
      </w:r>
    </w:p>
    <w:p>
      <w:pPr>
        <w:spacing w:after="0" w:line="172" w:lineRule="exact"/>
        <w:rPr>
          <w:sz w:val="20"/>
          <w:szCs w:val="20"/>
          <w:color w:val="auto"/>
        </w:rPr>
      </w:pPr>
    </w:p>
    <w:p>
      <w:pPr>
        <w:ind w:left="260" w:right="339" w:firstLine="339"/>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2.1 Warrant Price. </w:t>
      </w:r>
      <w:r>
        <w:rPr>
          <w:rFonts w:ascii="Times New Roman" w:cs="Times New Roman" w:eastAsia="Times New Roman" w:hAnsi="Times New Roman"/>
          <w:sz w:val="14"/>
          <w:szCs w:val="14"/>
          <w:color w:val="auto"/>
        </w:rPr>
        <w:t>During the period specified in Section 2.2, each Warrant shall, subject to the terms of this Agreement and the applicable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 Certificate, entitle the holder thereof to purchase the number of Warrant Securities specified in the applicable Warrant Certificate at an exercise price of $[•] per Warrant Security, subject to adjustment upon the occurrence of certain events, as hereinafter provided. Such purchase price per Warrant Security is referred to in this Agreement as the “</w:t>
      </w:r>
      <w:r>
        <w:rPr>
          <w:rFonts w:ascii="Times New Roman" w:cs="Times New Roman" w:eastAsia="Times New Roman" w:hAnsi="Times New Roman"/>
          <w:sz w:val="14"/>
          <w:szCs w:val="14"/>
          <w:b w:val="1"/>
          <w:bCs w:val="1"/>
          <w:i w:val="1"/>
          <w:iCs w:val="1"/>
          <w:color w:val="auto"/>
        </w:rPr>
        <w:t>Warrant Price.</w:t>
      </w:r>
      <w:r>
        <w:rPr>
          <w:rFonts w:ascii="Times New Roman" w:cs="Times New Roman" w:eastAsia="Times New Roman" w:hAnsi="Times New Roman"/>
          <w:sz w:val="14"/>
          <w:szCs w:val="14"/>
          <w:color w:val="auto"/>
        </w:rPr>
        <w:t>”</w:t>
      </w:r>
    </w:p>
    <w:p>
      <w:pPr>
        <w:spacing w:after="0" w:line="137" w:lineRule="exact"/>
        <w:rPr>
          <w:sz w:val="20"/>
          <w:szCs w:val="20"/>
          <w:color w:val="auto"/>
        </w:rPr>
      </w:pPr>
    </w:p>
    <w:p>
      <w:pPr>
        <w:ind w:left="260" w:right="359" w:firstLine="339"/>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2.2 Duration of Warrants. </w:t>
      </w:r>
      <w:r>
        <w:rPr>
          <w:rFonts w:ascii="Times New Roman" w:cs="Times New Roman" w:eastAsia="Times New Roman" w:hAnsi="Times New Roman"/>
          <w:sz w:val="14"/>
          <w:szCs w:val="14"/>
          <w:color w:val="auto"/>
        </w:rPr>
        <w:t>Each Warrant may be exercised in whole or in part at any time, as specified herein, on or after [the date thereof] [•]</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at or before [•] p.m., [City] time, on [•] or such later date as the Company may designate by notice to the Warrant Agent and the holders of Warrant Certificates mailed to their addresses as set forth in the record books of the Warrant Agent (the “</w:t>
      </w:r>
      <w:r>
        <w:rPr>
          <w:rFonts w:ascii="Times New Roman" w:cs="Times New Roman" w:eastAsia="Times New Roman" w:hAnsi="Times New Roman"/>
          <w:sz w:val="14"/>
          <w:szCs w:val="14"/>
          <w:b w:val="1"/>
          <w:bCs w:val="1"/>
          <w:i w:val="1"/>
          <w:iCs w:val="1"/>
          <w:color w:val="auto"/>
        </w:rPr>
        <w:t>Expiration Date</w:t>
      </w:r>
      <w:r>
        <w:rPr>
          <w:rFonts w:ascii="Times New Roman" w:cs="Times New Roman" w:eastAsia="Times New Roman" w:hAnsi="Times New Roman"/>
          <w:sz w:val="14"/>
          <w:szCs w:val="14"/>
          <w:color w:val="auto"/>
        </w:rPr>
        <w:t>”). Each Warrant not exercised at or before [•] p.m., [City] time, on the Expiration Date shall become void, and all rights of the holder of the Warrant Certificate evidencing such Warrant under this Agreement shall cease.</w:t>
      </w:r>
    </w:p>
    <w:p>
      <w:pPr>
        <w:spacing w:after="0" w:line="14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2.3 Exercise of Warrants.</w:t>
      </w:r>
    </w:p>
    <w:p>
      <w:pPr>
        <w:spacing w:after="0" w:line="174" w:lineRule="exact"/>
        <w:rPr>
          <w:sz w:val="20"/>
          <w:szCs w:val="20"/>
          <w:color w:val="auto"/>
        </w:rPr>
      </w:pPr>
    </w:p>
    <w:p>
      <w:pPr>
        <w:ind w:left="260" w:right="379" w:firstLine="765"/>
        <w:spacing w:after="0" w:line="258" w:lineRule="auto"/>
        <w:tabs>
          <w:tab w:leader="none" w:pos="1220" w:val="left"/>
        </w:tabs>
        <w:numPr>
          <w:ilvl w:val="0"/>
          <w:numId w:val="10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Security</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9" w:right="1440" w:bottom="1440" w:gutter="0" w:footer="0" w:header="0"/>
        </w:sectPr>
      </w:pPr>
    </w:p>
    <w:bookmarkStart w:id="141" w:name="page142"/>
    <w:bookmarkEnd w:id="141"/>
    <w:p>
      <w:pPr>
        <w:ind w:left="260" w:right="299"/>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spacing w:after="0" w:line="148" w:lineRule="exact"/>
        <w:rPr>
          <w:sz w:val="20"/>
          <w:szCs w:val="20"/>
          <w:color w:val="auto"/>
        </w:rPr>
      </w:pPr>
    </w:p>
    <w:p>
      <w:pPr>
        <w:ind w:left="260" w:right="399" w:firstLine="765"/>
        <w:spacing w:after="0" w:line="284" w:lineRule="auto"/>
        <w:tabs>
          <w:tab w:leader="none" w:pos="1228" w:val="left"/>
        </w:tabs>
        <w:numPr>
          <w:ilvl w:val="0"/>
          <w:numId w:val="10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Warrant Agent shall, from time to time, as promptly as practicable, advise the Company of (i) the number of Warrant Securities with respect to which Warrants were 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w:t>
      </w:r>
    </w:p>
    <w:p>
      <w:pPr>
        <w:spacing w:after="0" w:line="124" w:lineRule="exact"/>
        <w:rPr>
          <w:rFonts w:ascii="Times New Roman" w:cs="Times New Roman" w:eastAsia="Times New Roman" w:hAnsi="Times New Roman"/>
          <w:sz w:val="13"/>
          <w:szCs w:val="13"/>
          <w:b w:val="1"/>
          <w:bCs w:val="1"/>
          <w:color w:val="auto"/>
        </w:rPr>
      </w:pPr>
    </w:p>
    <w:p>
      <w:pPr>
        <w:ind w:left="260" w:right="299" w:firstLine="765"/>
        <w:spacing w:after="0" w:line="255" w:lineRule="auto"/>
        <w:tabs>
          <w:tab w:leader="none" w:pos="1212" w:val="left"/>
        </w:tabs>
        <w:numPr>
          <w:ilvl w:val="0"/>
          <w:numId w:val="10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w:t>
      </w:r>
    </w:p>
    <w:p>
      <w:pPr>
        <w:spacing w:after="0" w:line="142" w:lineRule="exact"/>
        <w:rPr>
          <w:rFonts w:ascii="Times New Roman" w:cs="Times New Roman" w:eastAsia="Times New Roman" w:hAnsi="Times New Roman"/>
          <w:sz w:val="14"/>
          <w:szCs w:val="14"/>
          <w:b w:val="1"/>
          <w:bCs w:val="1"/>
          <w:color w:val="auto"/>
        </w:rPr>
      </w:pPr>
    </w:p>
    <w:p>
      <w:pPr>
        <w:ind w:left="260" w:right="359" w:firstLine="765"/>
        <w:spacing w:after="0" w:line="258" w:lineRule="auto"/>
        <w:tabs>
          <w:tab w:leader="none" w:pos="1228" w:val="left"/>
        </w:tabs>
        <w:numPr>
          <w:ilvl w:val="0"/>
          <w:numId w:val="10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shall not be required to pay any stamp or other tax or other governmental charge required to be paid in connection with any transfer involved in the issue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w:t>
      </w:r>
    </w:p>
    <w:p>
      <w:pPr>
        <w:spacing w:after="0" w:line="139" w:lineRule="exact"/>
        <w:rPr>
          <w:rFonts w:ascii="Times New Roman" w:cs="Times New Roman" w:eastAsia="Times New Roman" w:hAnsi="Times New Roman"/>
          <w:sz w:val="14"/>
          <w:szCs w:val="14"/>
          <w:b w:val="1"/>
          <w:bCs w:val="1"/>
          <w:color w:val="auto"/>
        </w:rPr>
      </w:pPr>
    </w:p>
    <w:p>
      <w:pPr>
        <w:ind w:left="260" w:right="479" w:firstLine="765"/>
        <w:spacing w:after="0" w:line="278" w:lineRule="auto"/>
        <w:tabs>
          <w:tab w:leader="none" w:pos="1212" w:val="left"/>
        </w:tabs>
        <w:numPr>
          <w:ilvl w:val="0"/>
          <w:numId w:val="10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Prior to the issuance of any Warrants there shall have been reserved, and the Company shall at all times through the Expiration Date keep reserved, out of its authorized but unissued Warrant Securities, a number of shares sufficient to provide for the exercise of the Warrants.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39" w:right="1440" w:bottom="1440" w:gutter="0" w:footer="0" w:header="0"/>
        </w:sectPr>
      </w:pPr>
    </w:p>
    <w:bookmarkStart w:id="142" w:name="page143"/>
    <w:bookmarkEnd w:id="142"/>
    <w:p>
      <w:pPr>
        <w:ind w:left="41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ARTICLE 3</w:t>
      </w:r>
    </w:p>
    <w:p>
      <w:pPr>
        <w:spacing w:after="0" w:line="8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4"/>
          <w:szCs w:val="14"/>
          <w:b w:val="1"/>
          <w:bCs w:val="1"/>
          <w:color w:val="auto"/>
        </w:rPr>
        <w:t>OTHER PROVISIONS RELATING TO RIGHTS OF HOLDERS OF</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WARRANT CERTIFICATES</w:t>
      </w:r>
    </w:p>
    <w:p>
      <w:pPr>
        <w:spacing w:after="0" w:line="155" w:lineRule="exact"/>
        <w:rPr>
          <w:sz w:val="20"/>
          <w:szCs w:val="20"/>
          <w:color w:val="auto"/>
        </w:rPr>
      </w:pPr>
    </w:p>
    <w:p>
      <w:pPr>
        <w:ind w:left="260" w:right="499" w:firstLine="339"/>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3.1 No Rights as Warrant Securityholder Conferred by Warrants or Warrant Certificates. </w:t>
      </w:r>
      <w:r>
        <w:rPr>
          <w:rFonts w:ascii="Times New Roman" w:cs="Times New Roman" w:eastAsia="Times New Roman" w:hAnsi="Times New Roman"/>
          <w:sz w:val="14"/>
          <w:szCs w:val="14"/>
          <w:color w:val="auto"/>
        </w:rPr>
        <w:t>No Warrant Certificate or Warrant evidenced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thereby shall entitle the holder thereof to any 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w:t>
      </w:r>
    </w:p>
    <w:p>
      <w:pPr>
        <w:spacing w:after="0" w:line="137" w:lineRule="exact"/>
        <w:rPr>
          <w:sz w:val="20"/>
          <w:szCs w:val="20"/>
          <w:color w:val="auto"/>
        </w:rPr>
      </w:pPr>
    </w:p>
    <w:p>
      <w:pPr>
        <w:ind w:left="260" w:right="299" w:firstLine="339"/>
        <w:spacing w:after="0" w:line="271" w:lineRule="auto"/>
        <w:rPr>
          <w:sz w:val="20"/>
          <w:szCs w:val="20"/>
          <w:color w:val="auto"/>
        </w:rPr>
      </w:pPr>
      <w:r>
        <w:rPr>
          <w:rFonts w:ascii="Times New Roman" w:cs="Times New Roman" w:eastAsia="Times New Roman" w:hAnsi="Times New Roman"/>
          <w:sz w:val="13"/>
          <w:szCs w:val="13"/>
          <w:b w:val="1"/>
          <w:bCs w:val="1"/>
          <w:color w:val="auto"/>
        </w:rPr>
        <w:t xml:space="preserve">3.2 Lost, Stolen, Mutilated or Destroyed Warrant Certificates. </w:t>
      </w:r>
      <w:r>
        <w:rPr>
          <w:rFonts w:ascii="Times New Roman" w:cs="Times New Roman" w:eastAsia="Times New Roman" w:hAnsi="Times New Roman"/>
          <w:sz w:val="13"/>
          <w:szCs w:val="13"/>
          <w:color w:val="auto"/>
        </w:rPr>
        <w:t>Upon receipt by the Warrant Agent of evidence reasonably satisfactory to it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spacing w:after="0" w:line="135" w:lineRule="exact"/>
        <w:rPr>
          <w:sz w:val="20"/>
          <w:szCs w:val="20"/>
          <w:color w:val="auto"/>
        </w:rPr>
      </w:pPr>
    </w:p>
    <w:p>
      <w:pPr>
        <w:ind w:left="260" w:right="339" w:firstLine="339"/>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3.3 Holder of Warrant Certificate May Enforce Rights. </w:t>
      </w:r>
      <w:r>
        <w:rPr>
          <w:rFonts w:ascii="Times New Roman" w:cs="Times New Roman" w:eastAsia="Times New Roman" w:hAnsi="Times New Roman"/>
          <w:sz w:val="14"/>
          <w:szCs w:val="14"/>
          <w:color w:val="auto"/>
        </w:rPr>
        <w:t>Notwithstanding any of the provisions of this Agreement, any holder of a Warrant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Certificate, without 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w:t>
      </w:r>
    </w:p>
    <w:p>
      <w:pPr>
        <w:spacing w:after="0" w:line="14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3.4 Adjustments.</w:t>
      </w:r>
    </w:p>
    <w:p>
      <w:pPr>
        <w:spacing w:after="0" w:line="174" w:lineRule="exact"/>
        <w:rPr>
          <w:sz w:val="20"/>
          <w:szCs w:val="20"/>
          <w:color w:val="auto"/>
        </w:rPr>
      </w:pPr>
    </w:p>
    <w:p>
      <w:pPr>
        <w:ind w:left="260" w:right="379" w:firstLine="765"/>
        <w:spacing w:after="0" w:line="255" w:lineRule="auto"/>
        <w:tabs>
          <w:tab w:leader="none" w:pos="1220" w:val="left"/>
        </w:tabs>
        <w:numPr>
          <w:ilvl w:val="0"/>
          <w:numId w:val="10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case the Company shall at any time subdivide its outstanding shares of Class A Common Stock into a greater number of shares, the Warrant Price in effect immediately prior to such subdivision shall be proportionately reduced and the number of Warrant Securities purchasable under the Warrants shall be proportionately increased. Conversely, in case the outstanding shares of Class A Common Stock of the Company shall be combined into a smaller number of shares, the Warrant Price in effect immediately prior to such combination shall be proportionately increased and the number of Warrant Securities purchasable under the Warrants shall be proportionately decreased.</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7" w:right="1440" w:bottom="1440" w:gutter="0" w:footer="0" w:header="0"/>
        </w:sectPr>
      </w:pPr>
    </w:p>
    <w:bookmarkStart w:id="143" w:name="page144"/>
    <w:bookmarkEnd w:id="143"/>
    <w:p>
      <w:pPr>
        <w:ind w:left="260" w:right="799" w:firstLine="765"/>
        <w:spacing w:after="0" w:line="278" w:lineRule="auto"/>
        <w:tabs>
          <w:tab w:leader="none" w:pos="1228" w:val="left"/>
        </w:tabs>
        <w:numPr>
          <w:ilvl w:val="0"/>
          <w:numId w:val="10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If at any time or from time to time the holders of Class A Common Stock (or any shares of stock or other securities at the time receivable upon the exercise of the Warrants) shall have received or become entitled to receive, without payment therefor,</w:t>
      </w:r>
    </w:p>
    <w:p>
      <w:pPr>
        <w:spacing w:after="0" w:line="42" w:lineRule="exact"/>
        <w:rPr>
          <w:rFonts w:ascii="Times New Roman" w:cs="Times New Roman" w:eastAsia="Times New Roman" w:hAnsi="Times New Roman"/>
          <w:sz w:val="14"/>
          <w:szCs w:val="14"/>
          <w:b w:val="1"/>
          <w:bCs w:val="1"/>
          <w:color w:val="auto"/>
        </w:rPr>
      </w:pPr>
    </w:p>
    <w:p>
      <w:pPr>
        <w:ind w:left="260" w:right="419" w:firstLine="1105"/>
        <w:spacing w:after="0" w:line="263" w:lineRule="auto"/>
        <w:tabs>
          <w:tab w:leader="none" w:pos="1529" w:val="left"/>
        </w:tabs>
        <w:numPr>
          <w:ilvl w:val="1"/>
          <w:numId w:val="10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Class A Common Stock or any shares of stock or other securities which are at any time directly or indirectly convertible into or exchangeable for Class A Common Stock, or any rights or options to subscribe for, purchase or otherwise acquire any of the foregoing by way of dividend or other distribution;</w:t>
      </w:r>
    </w:p>
    <w:p>
      <w:pPr>
        <w:spacing w:after="0" w:line="136" w:lineRule="exact"/>
        <w:rPr>
          <w:rFonts w:ascii="Times New Roman" w:cs="Times New Roman" w:eastAsia="Times New Roman" w:hAnsi="Times New Roman"/>
          <w:sz w:val="14"/>
          <w:szCs w:val="14"/>
          <w:b w:val="1"/>
          <w:bCs w:val="1"/>
          <w:color w:val="auto"/>
        </w:rPr>
      </w:pPr>
    </w:p>
    <w:p>
      <w:pPr>
        <w:ind w:left="1560" w:hanging="195"/>
        <w:spacing w:after="0"/>
        <w:tabs>
          <w:tab w:leader="none" w:pos="1560" w:val="left"/>
        </w:tabs>
        <w:numPr>
          <w:ilvl w:val="1"/>
          <w:numId w:val="10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cash paid or payable otherwise than as a cash dividend paid or payable out of the Company’s current or retained earnings;</w:t>
      </w:r>
    </w:p>
    <w:p>
      <w:pPr>
        <w:spacing w:after="0" w:line="171" w:lineRule="exact"/>
        <w:rPr>
          <w:rFonts w:ascii="Times New Roman" w:cs="Times New Roman" w:eastAsia="Times New Roman" w:hAnsi="Times New Roman"/>
          <w:sz w:val="14"/>
          <w:szCs w:val="14"/>
          <w:b w:val="1"/>
          <w:bCs w:val="1"/>
          <w:color w:val="auto"/>
        </w:rPr>
      </w:pPr>
    </w:p>
    <w:p>
      <w:pPr>
        <w:ind w:left="1600" w:hanging="235"/>
        <w:spacing w:after="0"/>
        <w:tabs>
          <w:tab w:leader="none" w:pos="1600" w:val="left"/>
        </w:tabs>
        <w:numPr>
          <w:ilvl w:val="1"/>
          <w:numId w:val="10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evidence of the Company’s indebtedness or rights to subscribe for or purchase the Company’s indebtedness; or</w:t>
      </w:r>
    </w:p>
    <w:p>
      <w:pPr>
        <w:spacing w:after="0" w:line="171" w:lineRule="exact"/>
        <w:rPr>
          <w:rFonts w:ascii="Times New Roman" w:cs="Times New Roman" w:eastAsia="Times New Roman" w:hAnsi="Times New Roman"/>
          <w:sz w:val="14"/>
          <w:szCs w:val="14"/>
          <w:b w:val="1"/>
          <w:bCs w:val="1"/>
          <w:color w:val="auto"/>
        </w:rPr>
      </w:pPr>
    </w:p>
    <w:p>
      <w:pPr>
        <w:ind w:left="260" w:right="339" w:firstLine="1105"/>
        <w:spacing w:after="0" w:line="252" w:lineRule="auto"/>
        <w:tabs>
          <w:tab w:leader="none" w:pos="1598" w:val="left"/>
        </w:tabs>
        <w:numPr>
          <w:ilvl w:val="1"/>
          <w:numId w:val="10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Class A Common Stock or additional stock or other securities or property (including cash) by way of spinoff, split-up, reclassification, combination of shares or similar corporate rearrangement (other than shares of Class A Common Stock issued as a stock split or adjustments in respect of which shall be covered by the terms of Section 3.4(a) above), then and in each such case, the holder of each Warrant shall, upon the exercise of the Warrant, be entitled to receive, in addition to the number of Warrant Securities receivable thereupon, and without payment of any additional consideration therefore, the amount of stock and other securities and property (including cash and indebtedness or rights to subscribe for or purchase indebtedness) which such holder would hold on the date of such exercise had such holder been the holder of record of such Warrant Securities as of the date on which holders of Class A Common Stock received or became entitled to receive such shares or all other additional stock and other securities and property.</w:t>
      </w:r>
    </w:p>
    <w:p>
      <w:pPr>
        <w:spacing w:after="0" w:line="145" w:lineRule="exact"/>
        <w:rPr>
          <w:rFonts w:ascii="Times New Roman" w:cs="Times New Roman" w:eastAsia="Times New Roman" w:hAnsi="Times New Roman"/>
          <w:sz w:val="14"/>
          <w:szCs w:val="14"/>
          <w:b w:val="1"/>
          <w:bCs w:val="1"/>
          <w:color w:val="auto"/>
        </w:rPr>
      </w:pPr>
    </w:p>
    <w:p>
      <w:pPr>
        <w:ind w:left="260" w:right="279" w:firstLine="765"/>
        <w:spacing w:after="0" w:line="249" w:lineRule="auto"/>
        <w:tabs>
          <w:tab w:leader="none" w:pos="1212" w:val="left"/>
        </w:tabs>
        <w:numPr>
          <w:ilvl w:val="0"/>
          <w:numId w:val="10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case of (i) any reclassification, capital reorganization, or change in the Class A Common Stock of the Company (other than as a result of a subdivision, combination, or stock dividend provided for in Section 3.4(a) or Section 3.4(b) above), (ii) share exchange, merger or similar transaction of the Company with or into another person or entity (other than a share exchange, merger or similar transaction in which the Company is the acquiring or surviving corporation and which does not result in any change in the Class A Common Stock other than the issuance of additional shares of Class A Common Stock) or (iii) the sale, exchange, lease, transfer or other disposition of all or substantially all of the properties and assets of the Company as an entirety (in any such case, a “</w:t>
      </w:r>
      <w:r>
        <w:rPr>
          <w:rFonts w:ascii="Times New Roman" w:cs="Times New Roman" w:eastAsia="Times New Roman" w:hAnsi="Times New Roman"/>
          <w:sz w:val="14"/>
          <w:szCs w:val="14"/>
          <w:b w:val="1"/>
          <w:bCs w:val="1"/>
          <w:i w:val="1"/>
          <w:iCs w:val="1"/>
          <w:color w:val="auto"/>
        </w:rPr>
        <w:t>Reorganization Event</w:t>
      </w:r>
      <w:r>
        <w:rPr>
          <w:rFonts w:ascii="Times New Roman" w:cs="Times New Roman" w:eastAsia="Times New Roman" w:hAnsi="Times New Roman"/>
          <w:sz w:val="14"/>
          <w:szCs w:val="14"/>
          <w:color w:val="auto"/>
        </w:rPr>
        <w:t>”), then, as a condition of such Reorganization Event, lawful provisions shall be made, and duly executed documents evidencing the same from the Company or its successor shall be delivered to the holders of the Warrants, so that the holders of the Warrants shall have the right at any time prior to the expiration of the Warrants to purchase, at a total price equal to that payable upon the exercise of the Warrants, the kind and amount of shares of stock and other securities and property receivable in connection with such Reorganization Event by a holder of the same number of Warrant Securities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of stock or other securities and property deliverable upon exercise the Warrants, and appropriate adjustments shall be made to the Warrant Price payable hereunder provided the aggregate purchase price shall remain the same. In the case of any transaction described in clauses (ii) and (iii) above,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39" w:right="1440" w:bottom="1440" w:gutter="0" w:footer="0" w:header="0"/>
        </w:sectPr>
      </w:pPr>
    </w:p>
    <w:bookmarkStart w:id="144" w:name="page145"/>
    <w:bookmarkEnd w:id="144"/>
    <w:p>
      <w:pPr>
        <w:ind w:left="260" w:right="45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signed by the Company, and may execute and deliver securities in its own name,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spacing w:after="0" w:line="142" w:lineRule="exact"/>
        <w:rPr>
          <w:sz w:val="20"/>
          <w:szCs w:val="20"/>
          <w:color w:val="auto"/>
        </w:rPr>
      </w:pPr>
    </w:p>
    <w:p>
      <w:pPr>
        <w:jc w:val="both"/>
        <w:ind w:left="260" w:right="459" w:firstLine="765"/>
        <w:spacing w:after="0" w:line="263" w:lineRule="auto"/>
        <w:tabs>
          <w:tab w:leader="none" w:pos="1225" w:val="left"/>
        </w:tabs>
        <w:numPr>
          <w:ilvl w:val="0"/>
          <w:numId w:val="10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may, at its option, at any time until the Expiration Date, reduce the then current Warrant Price to any amount deemed appropriate by the Board of Directors of the Company for any period not exceeding twenty consecutive days (as evidenced in a resolution adopted by such Board of Directors), but only upon giving the notices required by Section 3.5 at least ten days prior to taking such action.</w:t>
      </w:r>
    </w:p>
    <w:p>
      <w:pPr>
        <w:spacing w:after="0" w:line="136" w:lineRule="exact"/>
        <w:rPr>
          <w:rFonts w:ascii="Times New Roman" w:cs="Times New Roman" w:eastAsia="Times New Roman" w:hAnsi="Times New Roman"/>
          <w:sz w:val="14"/>
          <w:szCs w:val="14"/>
          <w:b w:val="1"/>
          <w:bCs w:val="1"/>
          <w:color w:val="auto"/>
        </w:rPr>
      </w:pPr>
    </w:p>
    <w:p>
      <w:pPr>
        <w:jc w:val="both"/>
        <w:ind w:left="260" w:right="339" w:firstLine="765"/>
        <w:spacing w:after="0" w:line="263" w:lineRule="auto"/>
        <w:tabs>
          <w:tab w:leader="none" w:pos="1212" w:val="left"/>
        </w:tabs>
        <w:numPr>
          <w:ilvl w:val="0"/>
          <w:numId w:val="10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Except as herein otherwise expressly provided, no adjustment in the Warrant Price shall be made by reason of the issuance of shares of Class A Common Stock, or securities convertible into or exchangeable for shares of Class A Common Stock, or securities carrying the right to purchase any of the foregoing or for any other reason whatsoever.</w:t>
      </w:r>
    </w:p>
    <w:p>
      <w:pPr>
        <w:spacing w:after="0" w:line="136" w:lineRule="exact"/>
        <w:rPr>
          <w:rFonts w:ascii="Times New Roman" w:cs="Times New Roman" w:eastAsia="Times New Roman" w:hAnsi="Times New Roman"/>
          <w:sz w:val="14"/>
          <w:szCs w:val="14"/>
          <w:b w:val="1"/>
          <w:bCs w:val="1"/>
          <w:color w:val="auto"/>
        </w:rPr>
      </w:pPr>
    </w:p>
    <w:p>
      <w:pPr>
        <w:ind w:left="260" w:right="359" w:firstLine="765"/>
        <w:spacing w:after="0" w:line="271" w:lineRule="auto"/>
        <w:tabs>
          <w:tab w:leader="none" w:pos="1197" w:val="left"/>
        </w:tabs>
        <w:numPr>
          <w:ilvl w:val="0"/>
          <w:numId w:val="10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No fractional Warrant Securities shall be issued upon the exercise of Warrants. If more than one Warrant shall be exercised at one time by the same holder, the number of full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 and low asked prices as reported on the OTC Bulletin Board Service (the “</w:t>
      </w:r>
      <w:r>
        <w:rPr>
          <w:rFonts w:ascii="Times New Roman" w:cs="Times New Roman" w:eastAsia="Times New Roman" w:hAnsi="Times New Roman"/>
          <w:sz w:val="13"/>
          <w:szCs w:val="13"/>
          <w:b w:val="1"/>
          <w:bCs w:val="1"/>
          <w:i w:val="1"/>
          <w:iCs w:val="1"/>
          <w:color w:val="auto"/>
        </w:rPr>
        <w:t>OTC Bulletin Board</w:t>
      </w:r>
      <w:r>
        <w:rPr>
          <w:rFonts w:ascii="Times New Roman" w:cs="Times New Roman" w:eastAsia="Times New Roman" w:hAnsi="Times New Roman"/>
          <w:sz w:val="13"/>
          <w:szCs w:val="13"/>
          <w:color w:val="auto"/>
        </w:rPr>
        <w:t>”) operated by the Financial Industry Regulatory Authority, Inc. (“</w:t>
      </w:r>
      <w:r>
        <w:rPr>
          <w:rFonts w:ascii="Times New Roman" w:cs="Times New Roman" w:eastAsia="Times New Roman" w:hAnsi="Times New Roman"/>
          <w:sz w:val="13"/>
          <w:szCs w:val="13"/>
          <w:b w:val="1"/>
          <w:bCs w:val="1"/>
          <w:i w:val="1"/>
          <w:iCs w:val="1"/>
          <w:color w:val="auto"/>
        </w:rPr>
        <w:t>FINRA</w:t>
      </w:r>
      <w:r>
        <w:rPr>
          <w:rFonts w:ascii="Times New Roman" w:cs="Times New Roman" w:eastAsia="Times New Roman" w:hAnsi="Times New Roman"/>
          <w:sz w:val="13"/>
          <w:szCs w:val="13"/>
          <w:color w:val="auto"/>
        </w:rPr>
        <w:t>” ) or, if not available on the OTC Bulletin Board, then the average of the closing high bid and low asked prices as reported on any other U.S. quotation medium or inter-dealer quotation system on such date, or if on any such date the Warrant Securities are not listed or admitted to trading on a registered national securities exchange, are not included in the OTC Bulletin Board, and are not quoted on any other U.S. quotation medium or inter-dealer quotation system, an amount equal to the same fraction of the average of the closing bid and asked prices as furnished by any FINRA member firm selected from time to time by the Company for that purpose at the close of business on the business day that next precedes the day of exercise.</w:t>
      </w:r>
    </w:p>
    <w:p>
      <w:pPr>
        <w:spacing w:after="0" w:line="134" w:lineRule="exact"/>
        <w:rPr>
          <w:rFonts w:ascii="Times New Roman" w:cs="Times New Roman" w:eastAsia="Times New Roman" w:hAnsi="Times New Roman"/>
          <w:sz w:val="13"/>
          <w:szCs w:val="13"/>
          <w:b w:val="1"/>
          <w:bCs w:val="1"/>
          <w:color w:val="auto"/>
        </w:rPr>
      </w:pPr>
    </w:p>
    <w:p>
      <w:pPr>
        <w:ind w:left="260" w:right="479" w:firstLine="765"/>
        <w:spacing w:after="0" w:line="263" w:lineRule="auto"/>
        <w:tabs>
          <w:tab w:leader="none" w:pos="1220" w:val="left"/>
        </w:tabs>
        <w:numPr>
          <w:ilvl w:val="0"/>
          <w:numId w:val="10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under the provisions hereof, together with the facts, in reasonable detail, upon which such adjustment is based.</w:t>
      </w:r>
    </w:p>
    <w:p>
      <w:pPr>
        <w:spacing w:after="0" w:line="136" w:lineRule="exact"/>
        <w:rPr>
          <w:rFonts w:ascii="Times New Roman" w:cs="Times New Roman" w:eastAsia="Times New Roman" w:hAnsi="Times New Roman"/>
          <w:sz w:val="14"/>
          <w:szCs w:val="14"/>
          <w:b w:val="1"/>
          <w:bCs w:val="1"/>
          <w:color w:val="auto"/>
        </w:rPr>
      </w:pPr>
    </w:p>
    <w:p>
      <w:pPr>
        <w:ind w:left="260" w:right="399" w:firstLine="765"/>
        <w:spacing w:after="0" w:line="278" w:lineRule="auto"/>
        <w:tabs>
          <w:tab w:leader="none" w:pos="1228" w:val="left"/>
        </w:tabs>
        <w:numPr>
          <w:ilvl w:val="0"/>
          <w:numId w:val="10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Notwithstanding anything to the contrary herein, in no event shall the Warrant Price, as adjusted in accordance with the terms hereof, be less than the par value per share of Class A Common Stock.</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39" w:right="1440" w:bottom="1440" w:gutter="0" w:footer="0" w:header="0"/>
        </w:sectPr>
      </w:pPr>
    </w:p>
    <w:bookmarkStart w:id="145" w:name="page146"/>
    <w:bookmarkEnd w:id="145"/>
    <w:p>
      <w:pPr>
        <w:ind w:left="260" w:right="279" w:firstLine="339"/>
        <w:spacing w:after="0" w:line="251"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3.5 Notice to Warrantholders. </w:t>
      </w:r>
      <w:r>
        <w:rPr>
          <w:rFonts w:ascii="Times New Roman" w:cs="Times New Roman" w:eastAsia="Times New Roman" w:hAnsi="Times New Roman"/>
          <w:sz w:val="14"/>
          <w:szCs w:val="14"/>
          <w:color w:val="auto"/>
        </w:rPr>
        <w:t>In case the Company shall (a) effect any dividend or distribution described in Section 3.4(b), (b) effect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Reorganization Event, (c) make any distribution on or in respect of the Class A Common Stock in connection with the dissolution, liquidation or winding up of the Company, or (d) reduce the then current Warrant Price pursuant to Section 3.4(d), then the Company shall mail to each holder of Warrants at such holder’s address as it shall appear on the books of the Warrant Agent, at least ten days prior to the applicable date hereinafter specified, a notice stating (x) the record date for such dividend or distribution, or, if a record is not to be taken, the date as of which the holders of record of Class A Common Stock that will be entitled to such dividend or distribution are to be determined, (y) the date on which such Reorganization Event, dissolution, liquidation or winding up is expected to become effective, and the date as of which it is expected that holders of Class A Common Stock of record shall be entitled to exchange their shares of Class A Common Stock for securities or other property deliverable upon such Reorganization Event, dissolution, liquidation or winding up, or (z) the first date on which the then current Warrant Price shall be reduced pursuant to Section 3.4(d). No failure to mail such notice nor any defect therein or in the mailing thereof shall affect any such transaction or any adjustment in the Warrant Price required by Section 3.4.</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 xml:space="preserve">3.6 </w:t>
      </w:r>
      <w:r>
        <w:rPr>
          <w:rFonts w:ascii="Times New Roman" w:cs="Times New Roman" w:eastAsia="Times New Roman" w:hAnsi="Times New Roman"/>
          <w:sz w:val="14"/>
          <w:szCs w:val="14"/>
          <w:color w:val="auto"/>
        </w:rPr>
        <w:t>[If the Warrants are Subject to Acceleration by the Company, Insert — Acceleration of Warrants by the Company.</w:t>
      </w:r>
    </w:p>
    <w:p>
      <w:pPr>
        <w:spacing w:after="0" w:line="174" w:lineRule="exact"/>
        <w:rPr>
          <w:sz w:val="20"/>
          <w:szCs w:val="20"/>
          <w:color w:val="auto"/>
        </w:rPr>
      </w:pPr>
    </w:p>
    <w:p>
      <w:pPr>
        <w:ind w:left="260" w:right="379" w:firstLine="765"/>
        <w:spacing w:after="0" w:line="255" w:lineRule="auto"/>
        <w:tabs>
          <w:tab w:leader="none" w:pos="1220" w:val="left"/>
        </w:tabs>
        <w:numPr>
          <w:ilvl w:val="0"/>
          <w:numId w:val="10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At any time on or after [•], the Company shall have the right to accelerate any or all Warrants at any time by causing them to expire at the close of business on the day next preceding a specified date (the “</w:t>
      </w:r>
      <w:r>
        <w:rPr>
          <w:rFonts w:ascii="Times New Roman" w:cs="Times New Roman" w:eastAsia="Times New Roman" w:hAnsi="Times New Roman"/>
          <w:sz w:val="14"/>
          <w:szCs w:val="14"/>
          <w:b w:val="1"/>
          <w:bCs w:val="1"/>
          <w:i w:val="1"/>
          <w:iCs w:val="1"/>
          <w:color w:val="auto"/>
        </w:rPr>
        <w:t>Acceleration Date</w:t>
      </w:r>
      <w:r>
        <w:rPr>
          <w:rFonts w:ascii="Times New Roman" w:cs="Times New Roman" w:eastAsia="Times New Roman" w:hAnsi="Times New Roman"/>
          <w:sz w:val="14"/>
          <w:szCs w:val="14"/>
          <w:color w:val="auto"/>
        </w:rPr>
        <w:t>”), if the Market Price (as hereinafter defined) of the Class A Common Stock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w:t>
      </w:r>
    </w:p>
    <w:p>
      <w:pPr>
        <w:spacing w:after="0" w:line="140" w:lineRule="exact"/>
        <w:rPr>
          <w:rFonts w:ascii="Times New Roman" w:cs="Times New Roman" w:eastAsia="Times New Roman" w:hAnsi="Times New Roman"/>
          <w:sz w:val="14"/>
          <w:szCs w:val="14"/>
          <w:b w:val="1"/>
          <w:bCs w:val="1"/>
          <w:color w:val="auto"/>
        </w:rPr>
      </w:pPr>
    </w:p>
    <w:p>
      <w:pPr>
        <w:ind w:left="260" w:right="379" w:firstLine="765"/>
        <w:spacing w:after="0" w:line="272" w:lineRule="auto"/>
        <w:tabs>
          <w:tab w:leader="none" w:pos="1228" w:val="left"/>
        </w:tabs>
        <w:numPr>
          <w:ilvl w:val="0"/>
          <w:numId w:val="10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(b)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Market Price</w:t>
      </w:r>
      <w:r>
        <w:rPr>
          <w:rFonts w:ascii="Times New Roman" w:cs="Times New Roman" w:eastAsia="Times New Roman" w:hAnsi="Times New Roman"/>
          <w:sz w:val="13"/>
          <w:szCs w:val="13"/>
          <w:color w:val="auto"/>
        </w:rPr>
        <w:t>” for each Trading Day shall be, if the Class A Common Stock is listed or admitted to trading on any registered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national securities exchange, the last reported sale price, regular way (or, if no such price is reported, the average of the reported closing bid and asked prices, regular way) of Class A Common Stock, in either case as reported on the principal registered national securities exchange on which the Class A Common Stock is listed or admitted to trading or, if not listed or admitted to trading on any registered national securities exchange, the average of the closing high bid and low asked prices as reported on the OTC Bulletin Board operated by FINRA, or if not available on the OTC Bulletin Board, then the average of the closing high bid and low asked prices as reported on any other U.S. quotation medium or inter-dealer quotation system, or if on any such date the shares of Class A Common Stock are not listed or admitted to trading on a registered national securities exchange, are not included in the OTC Bulletin Board, and are not quoted on any other U.S. quotation medium or inter-dealer quotation system, the average of the closing bid and asked prices as furnished by any FINRA member firm selected from time to time by the Company for that purpose. “Trading Day” shall be each Monday through Friday, other than any day on which securities are not traded in the system or on the exchange that is the principal market for the Class A Common Stock, as determined by the Board of Directors of the Company. In the event of an acceleration of less than all of the Warrants, the Warrant Agent shall select the Warrants to be accelerated by lot, pro rata or in such other manner as it deems, in its discretion, to be fair and appropriate.</w:t>
      </w:r>
    </w:p>
    <w:p>
      <w:pPr>
        <w:spacing w:after="0" w:line="131" w:lineRule="exact"/>
        <w:rPr>
          <w:rFonts w:ascii="Times New Roman" w:cs="Times New Roman" w:eastAsia="Times New Roman" w:hAnsi="Times New Roman"/>
          <w:sz w:val="13"/>
          <w:szCs w:val="13"/>
          <w:b w:val="1"/>
          <w:bCs w:val="1"/>
          <w:color w:val="auto"/>
        </w:rPr>
      </w:pPr>
    </w:p>
    <w:p>
      <w:pPr>
        <w:ind w:left="260" w:right="299" w:firstLine="765"/>
        <w:spacing w:after="0" w:line="255" w:lineRule="auto"/>
        <w:tabs>
          <w:tab w:leader="none" w:pos="1212" w:val="left"/>
        </w:tabs>
        <w:numPr>
          <w:ilvl w:val="0"/>
          <w:numId w:val="10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Notice of an acceleration specifying the Acceleration Date shall be sent by mail first class, postage prepaid, to each registered holder of a Warrant Certificate representing a Warrant 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37" w:right="1440" w:bottom="1440" w:gutter="0" w:footer="0" w:header="0"/>
        </w:sectPr>
      </w:pPr>
    </w:p>
    <w:bookmarkStart w:id="146" w:name="page147"/>
    <w:bookmarkEnd w:id="146"/>
    <w:p>
      <w:pPr>
        <w:ind w:left="260" w:right="459" w:firstLine="765"/>
        <w:spacing w:after="0" w:line="278" w:lineRule="auto"/>
        <w:tabs>
          <w:tab w:leader="none" w:pos="1228" w:val="left"/>
        </w:tabs>
        <w:numPr>
          <w:ilvl w:val="0"/>
          <w:numId w:val="10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Any Warrant accelerated may be exercised until [•] p.m., [City] time, on the business day next preceding the Acceleration Date. The Warrant Price shall be payable as provided in Section 2.]</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4</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EXCHANGE AND TRANSFER OF WARRANT CERTIFICATES</w:t>
      </w:r>
    </w:p>
    <w:p>
      <w:pPr>
        <w:spacing w:after="0" w:line="172" w:lineRule="exact"/>
        <w:rPr>
          <w:sz w:val="20"/>
          <w:szCs w:val="20"/>
          <w:color w:val="auto"/>
        </w:rPr>
      </w:pPr>
    </w:p>
    <w:p>
      <w:pPr>
        <w:ind w:left="260" w:right="279" w:firstLine="339"/>
        <w:spacing w:after="0" w:line="250" w:lineRule="auto"/>
        <w:rPr>
          <w:sz w:val="20"/>
          <w:szCs w:val="20"/>
          <w:color w:val="auto"/>
        </w:rPr>
      </w:pPr>
      <w:r>
        <w:rPr>
          <w:rFonts w:ascii="Times New Roman" w:cs="Times New Roman" w:eastAsia="Times New Roman" w:hAnsi="Times New Roman"/>
          <w:sz w:val="14"/>
          <w:szCs w:val="14"/>
          <w:b w:val="1"/>
          <w:bCs w:val="1"/>
          <w:color w:val="auto"/>
        </w:rPr>
        <w:t xml:space="preserve">4.1 </w:t>
      </w:r>
      <w:r>
        <w:rPr>
          <w:rFonts w:ascii="Times New Roman" w:cs="Times New Roman" w:eastAsia="Times New Roman" w:hAnsi="Times New Roman"/>
          <w:sz w:val="14"/>
          <w:szCs w:val="14"/>
          <w:color w:val="auto"/>
        </w:rPr>
        <w:t>Exchange and Transfer of Warrant Certificates. Upon surrender at the corporate trust office of the Warrant Agent, Warrant Certificates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evidencing 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spacing w:after="0" w:line="145" w:lineRule="exact"/>
        <w:rPr>
          <w:sz w:val="20"/>
          <w:szCs w:val="20"/>
          <w:color w:val="auto"/>
        </w:rPr>
      </w:pPr>
    </w:p>
    <w:p>
      <w:pPr>
        <w:ind w:left="260" w:right="319" w:firstLine="339"/>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4.2 Treatment of Holders of Warrant Certificates. </w:t>
      </w:r>
      <w:r>
        <w:rPr>
          <w:rFonts w:ascii="Times New Roman" w:cs="Times New Roman" w:eastAsia="Times New Roman" w:hAnsi="Times New Roman"/>
          <w:sz w:val="14"/>
          <w:szCs w:val="14"/>
          <w:color w:val="auto"/>
        </w:rPr>
        <w:t>The Company, the Warrant Agent and all other persons may treat the registered holder of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 Certificate as the absolute owner thereof for any purpose and as the person entitled to exercise the rights represented by the Warrants evidenced thereby, any notice to the contrary notwithstanding.</w:t>
      </w:r>
    </w:p>
    <w:p>
      <w:pPr>
        <w:spacing w:after="0" w:line="134" w:lineRule="exact"/>
        <w:rPr>
          <w:sz w:val="20"/>
          <w:szCs w:val="20"/>
          <w:color w:val="auto"/>
        </w:rPr>
      </w:pPr>
    </w:p>
    <w:p>
      <w:pPr>
        <w:ind w:left="260" w:right="299" w:firstLine="339"/>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4.3 Cancellation of Warrant Certificates. </w:t>
      </w:r>
      <w:r>
        <w:rPr>
          <w:rFonts w:ascii="Times New Roman" w:cs="Times New Roman" w:eastAsia="Times New Roman" w:hAnsi="Times New Roman"/>
          <w:sz w:val="14"/>
          <w:szCs w:val="14"/>
          <w:color w:val="auto"/>
        </w:rPr>
        <w:t>Any Warrant Certificate surrendered for exchange, registration of transfer or exercise of the Warrants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39" w:right="1440" w:bottom="1440" w:gutter="0" w:footer="0" w:header="0"/>
        </w:sectPr>
      </w:pPr>
    </w:p>
    <w:bookmarkStart w:id="147" w:name="page148"/>
    <w:bookmarkEnd w:id="14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ARTICLE 5</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CONCERNING THE WARRANT AGENT</w:t>
      </w:r>
    </w:p>
    <w:p>
      <w:pPr>
        <w:spacing w:after="0" w:line="172" w:lineRule="exact"/>
        <w:rPr>
          <w:sz w:val="20"/>
          <w:szCs w:val="20"/>
          <w:color w:val="auto"/>
        </w:rPr>
      </w:pPr>
    </w:p>
    <w:p>
      <w:pPr>
        <w:ind w:left="260" w:right="339" w:firstLine="339"/>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5.1 Warrant Agent. </w:t>
      </w:r>
      <w:r>
        <w:rPr>
          <w:rFonts w:ascii="Times New Roman" w:cs="Times New Roman" w:eastAsia="Times New Roman" w:hAnsi="Times New Roman"/>
          <w:sz w:val="14"/>
          <w:szCs w:val="14"/>
          <w:color w:val="auto"/>
        </w:rPr>
        <w:t>The Company hereby appoints [•] as Warrant Agent of the Company in respect of the Warrants and the Warrant Certificates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spacing w:after="0" w:line="140" w:lineRule="exact"/>
        <w:rPr>
          <w:sz w:val="20"/>
          <w:szCs w:val="20"/>
          <w:color w:val="auto"/>
        </w:rPr>
      </w:pPr>
    </w:p>
    <w:p>
      <w:pPr>
        <w:jc w:val="both"/>
        <w:ind w:left="260" w:right="659" w:firstLine="339"/>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5.2 Conditions of Warrant Agent’s Obligations. </w:t>
      </w:r>
      <w:r>
        <w:rPr>
          <w:rFonts w:ascii="Times New Roman" w:cs="Times New Roman" w:eastAsia="Times New Roman" w:hAnsi="Times New Roman"/>
          <w:sz w:val="14"/>
          <w:szCs w:val="14"/>
          <w:color w:val="auto"/>
        </w:rPr>
        <w:t>The Warrant Agent accepts its obligations herein set forth upon the terms and conditions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hereof, including the following to all of which the Company agrees and to all of which the rights hereunder of the holders from time to time of the Warrant Certificates shall be subject:</w:t>
      </w:r>
    </w:p>
    <w:p>
      <w:pPr>
        <w:spacing w:after="0" w:line="51" w:lineRule="exact"/>
        <w:rPr>
          <w:sz w:val="20"/>
          <w:szCs w:val="20"/>
          <w:color w:val="auto"/>
        </w:rPr>
      </w:pPr>
    </w:p>
    <w:p>
      <w:pPr>
        <w:ind w:left="260" w:right="359" w:firstLine="765"/>
        <w:spacing w:after="0" w:line="254" w:lineRule="auto"/>
        <w:tabs>
          <w:tab w:leader="none" w:pos="1220" w:val="left"/>
        </w:tabs>
        <w:numPr>
          <w:ilvl w:val="0"/>
          <w:numId w:val="1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Compensation and Indemnification. </w:t>
      </w:r>
      <w:r>
        <w:rPr>
          <w:rFonts w:ascii="Times New Roman" w:cs="Times New Roman" w:eastAsia="Times New Roman" w:hAnsi="Times New Roman"/>
          <w:sz w:val="14"/>
          <w:szCs w:val="14"/>
          <w:color w:val="auto"/>
        </w:rPr>
        <w:t>The Company agrees promptly to pay the Warrant Agent the compensation to be agreed upon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spacing w:after="0" w:line="142" w:lineRule="exact"/>
        <w:rPr>
          <w:rFonts w:ascii="Times New Roman" w:cs="Times New Roman" w:eastAsia="Times New Roman" w:hAnsi="Times New Roman"/>
          <w:sz w:val="14"/>
          <w:szCs w:val="14"/>
          <w:b w:val="1"/>
          <w:bCs w:val="1"/>
          <w:color w:val="auto"/>
        </w:rPr>
      </w:pPr>
    </w:p>
    <w:p>
      <w:pPr>
        <w:ind w:left="260" w:right="359" w:firstLine="765"/>
        <w:spacing w:after="0" w:line="264" w:lineRule="auto"/>
        <w:tabs>
          <w:tab w:leader="none" w:pos="1228" w:val="left"/>
        </w:tabs>
        <w:numPr>
          <w:ilvl w:val="0"/>
          <w:numId w:val="1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Agent for the Company. </w:t>
      </w:r>
      <w:r>
        <w:rPr>
          <w:rFonts w:ascii="Times New Roman" w:cs="Times New Roman" w:eastAsia="Times New Roman" w:hAnsi="Times New Roman"/>
          <w:sz w:val="14"/>
          <w:szCs w:val="14"/>
          <w:color w:val="auto"/>
        </w:rPr>
        <w:t>In acting under this Agreement and in connection with the Warrant Certificates, the Warrant Agent is acting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solely as agent of the Company and does not assume any obligations or relationship of agency or trust for or with any of the holders of Warrant Certificates or beneficial owners of Warrants.</w:t>
      </w:r>
    </w:p>
    <w:p>
      <w:pPr>
        <w:spacing w:after="0" w:line="134" w:lineRule="exact"/>
        <w:rPr>
          <w:rFonts w:ascii="Times New Roman" w:cs="Times New Roman" w:eastAsia="Times New Roman" w:hAnsi="Times New Roman"/>
          <w:sz w:val="14"/>
          <w:szCs w:val="14"/>
          <w:b w:val="1"/>
          <w:bCs w:val="1"/>
          <w:color w:val="auto"/>
        </w:rPr>
      </w:pPr>
    </w:p>
    <w:p>
      <w:pPr>
        <w:ind w:left="260" w:right="319" w:firstLine="765"/>
        <w:spacing w:after="0" w:line="264" w:lineRule="auto"/>
        <w:tabs>
          <w:tab w:leader="none" w:pos="1212" w:val="left"/>
        </w:tabs>
        <w:numPr>
          <w:ilvl w:val="0"/>
          <w:numId w:val="1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Counsel. </w:t>
      </w:r>
      <w:r>
        <w:rPr>
          <w:rFonts w:ascii="Times New Roman" w:cs="Times New Roman" w:eastAsia="Times New Roman" w:hAnsi="Times New Roman"/>
          <w:sz w:val="14"/>
          <w:szCs w:val="14"/>
          <w:color w:val="auto"/>
        </w:rPr>
        <w:t>The Warrant Agent may consult with counsel satisfactory to it, which may include counsel for the Company, and the written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advice of such counsel shall be full and complete authorization and protection in respect of any action taken, suffered or omitted by it hereunder in good faith and in accordance with the advice of such counsel.</w:t>
      </w:r>
    </w:p>
    <w:p>
      <w:pPr>
        <w:spacing w:after="0" w:line="134" w:lineRule="exact"/>
        <w:rPr>
          <w:rFonts w:ascii="Times New Roman" w:cs="Times New Roman" w:eastAsia="Times New Roman" w:hAnsi="Times New Roman"/>
          <w:sz w:val="14"/>
          <w:szCs w:val="14"/>
          <w:b w:val="1"/>
          <w:bCs w:val="1"/>
          <w:color w:val="auto"/>
        </w:rPr>
      </w:pPr>
    </w:p>
    <w:p>
      <w:pPr>
        <w:ind w:left="260" w:right="339" w:firstLine="765"/>
        <w:spacing w:after="0" w:line="264" w:lineRule="auto"/>
        <w:tabs>
          <w:tab w:leader="none" w:pos="1228" w:val="left"/>
        </w:tabs>
        <w:numPr>
          <w:ilvl w:val="0"/>
          <w:numId w:val="1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Documents. </w:t>
      </w:r>
      <w:r>
        <w:rPr>
          <w:rFonts w:ascii="Times New Roman" w:cs="Times New Roman" w:eastAsia="Times New Roman" w:hAnsi="Times New Roman"/>
          <w:sz w:val="14"/>
          <w:szCs w:val="14"/>
          <w:color w:val="auto"/>
        </w:rPr>
        <w:t>The Warrant Agent shall be protected and shall incur no liability for or in respect of any action taken or omitted by it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reliance upon any Warrant Certificate, notice, direction, consent, certificate, affidavit, statement or other paper or document reasonably believed by it to be genuine and to have been presented or signed by the proper parties.</w:t>
      </w:r>
    </w:p>
    <w:p>
      <w:pPr>
        <w:spacing w:after="0" w:line="134" w:lineRule="exact"/>
        <w:rPr>
          <w:rFonts w:ascii="Times New Roman" w:cs="Times New Roman" w:eastAsia="Times New Roman" w:hAnsi="Times New Roman"/>
          <w:sz w:val="14"/>
          <w:szCs w:val="14"/>
          <w:b w:val="1"/>
          <w:bCs w:val="1"/>
          <w:color w:val="auto"/>
        </w:rPr>
      </w:pPr>
    </w:p>
    <w:p>
      <w:pPr>
        <w:ind w:left="260" w:right="299" w:firstLine="765"/>
        <w:spacing w:after="0" w:line="280" w:lineRule="auto"/>
        <w:tabs>
          <w:tab w:leader="none" w:pos="1212" w:val="left"/>
        </w:tabs>
        <w:numPr>
          <w:ilvl w:val="0"/>
          <w:numId w:val="11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Certain Transactions. </w:t>
      </w:r>
      <w:r>
        <w:rPr>
          <w:rFonts w:ascii="Times New Roman" w:cs="Times New Roman" w:eastAsia="Times New Roman" w:hAnsi="Times New Roman"/>
          <w:sz w:val="13"/>
          <w:szCs w:val="13"/>
          <w:color w:val="auto"/>
        </w:rPr>
        <w:t>The Warrant Agent, and its officers, directors and employees, may become the owner of, or acquire any interest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Agreement shall be deemed to prevent the Warrant Agent from acting as trustee under any indenture to which the Company is a party.</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37" w:right="1440" w:bottom="1440" w:gutter="0" w:footer="0" w:header="0"/>
        </w:sectPr>
      </w:pPr>
    </w:p>
    <w:bookmarkStart w:id="148" w:name="page149"/>
    <w:bookmarkEnd w:id="148"/>
    <w:p>
      <w:pPr>
        <w:ind w:left="260" w:right="559" w:firstLine="765"/>
        <w:spacing w:after="0" w:line="281" w:lineRule="auto"/>
        <w:tabs>
          <w:tab w:leader="none" w:pos="1197" w:val="left"/>
        </w:tabs>
        <w:numPr>
          <w:ilvl w:val="0"/>
          <w:numId w:val="1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No Liability for Interest. </w:t>
      </w:r>
      <w:r>
        <w:rPr>
          <w:rFonts w:ascii="Times New Roman" w:cs="Times New Roman" w:eastAsia="Times New Roman" w:hAnsi="Times New Roman"/>
          <w:sz w:val="14"/>
          <w:szCs w:val="14"/>
          <w:color w:val="auto"/>
        </w:rPr>
        <w:t>Unless otherwise agreed with the Company, the Warrant Agent shall have no liability for interest on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monies at any time received by it pursuant to any of the provisions of this Agreement or of the Warrant Certificates.</w:t>
      </w:r>
    </w:p>
    <w:p>
      <w:pPr>
        <w:spacing w:after="0" w:line="122" w:lineRule="exact"/>
        <w:rPr>
          <w:rFonts w:ascii="Times New Roman" w:cs="Times New Roman" w:eastAsia="Times New Roman" w:hAnsi="Times New Roman"/>
          <w:sz w:val="14"/>
          <w:szCs w:val="14"/>
          <w:b w:val="1"/>
          <w:bCs w:val="1"/>
          <w:color w:val="auto"/>
        </w:rPr>
      </w:pPr>
    </w:p>
    <w:p>
      <w:pPr>
        <w:ind w:left="260" w:right="479" w:firstLine="765"/>
        <w:spacing w:after="0" w:line="281" w:lineRule="auto"/>
        <w:tabs>
          <w:tab w:leader="none" w:pos="1220" w:val="left"/>
        </w:tabs>
        <w:numPr>
          <w:ilvl w:val="0"/>
          <w:numId w:val="1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No Liability for Invalidity. </w:t>
      </w:r>
      <w:r>
        <w:rPr>
          <w:rFonts w:ascii="Times New Roman" w:cs="Times New Roman" w:eastAsia="Times New Roman" w:hAnsi="Times New Roman"/>
          <w:sz w:val="14"/>
          <w:szCs w:val="14"/>
          <w:color w:val="auto"/>
        </w:rPr>
        <w:t>The Warrant Agent shall have no liability with respect to any invalidity of this Agreement or any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 Certificates (except as to the Warrant Agent’s countersignature thereon).</w:t>
      </w:r>
    </w:p>
    <w:p>
      <w:pPr>
        <w:spacing w:after="0" w:line="122" w:lineRule="exact"/>
        <w:rPr>
          <w:rFonts w:ascii="Times New Roman" w:cs="Times New Roman" w:eastAsia="Times New Roman" w:hAnsi="Times New Roman"/>
          <w:sz w:val="14"/>
          <w:szCs w:val="14"/>
          <w:b w:val="1"/>
          <w:bCs w:val="1"/>
          <w:color w:val="auto"/>
        </w:rPr>
      </w:pPr>
    </w:p>
    <w:p>
      <w:pPr>
        <w:ind w:left="260" w:right="299" w:firstLine="765"/>
        <w:spacing w:after="0" w:line="281" w:lineRule="auto"/>
        <w:tabs>
          <w:tab w:leader="none" w:pos="1228" w:val="left"/>
        </w:tabs>
        <w:numPr>
          <w:ilvl w:val="0"/>
          <w:numId w:val="1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No Responsibility for Representations. </w:t>
      </w:r>
      <w:r>
        <w:rPr>
          <w:rFonts w:ascii="Times New Roman" w:cs="Times New Roman" w:eastAsia="Times New Roman" w:hAnsi="Times New Roman"/>
          <w:sz w:val="14"/>
          <w:szCs w:val="14"/>
          <w:color w:val="auto"/>
        </w:rPr>
        <w:t>The Warrant Agent shall not be responsible for any of the recitals or representations herein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the Warrant Certificates (except as to the Warrant Agent’s countersignature thereon), all of which are made solely by the Company.</w:t>
      </w:r>
    </w:p>
    <w:p>
      <w:pPr>
        <w:spacing w:after="0" w:line="122" w:lineRule="exact"/>
        <w:rPr>
          <w:rFonts w:ascii="Times New Roman" w:cs="Times New Roman" w:eastAsia="Times New Roman" w:hAnsi="Times New Roman"/>
          <w:sz w:val="14"/>
          <w:szCs w:val="14"/>
          <w:b w:val="1"/>
          <w:bCs w:val="1"/>
          <w:color w:val="auto"/>
        </w:rPr>
      </w:pPr>
    </w:p>
    <w:p>
      <w:pPr>
        <w:ind w:left="260" w:right="279" w:firstLine="765"/>
        <w:spacing w:after="0" w:line="251" w:lineRule="auto"/>
        <w:tabs>
          <w:tab w:leader="none" w:pos="1189" w:val="left"/>
        </w:tabs>
        <w:numPr>
          <w:ilvl w:val="0"/>
          <w:numId w:val="1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No Implied Obligations. </w:t>
      </w:r>
      <w:r>
        <w:rPr>
          <w:rFonts w:ascii="Times New Roman" w:cs="Times New Roman" w:eastAsia="Times New Roman" w:hAnsi="Times New Roman"/>
          <w:sz w:val="14"/>
          <w:szCs w:val="14"/>
          <w:color w:val="auto"/>
        </w:rPr>
        <w:t>The Warrant Agent shall be obligated to perform only such duties as are herein and in the Warrant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spacing w:after="0" w:line="14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5.3 Resignation, Removal and Appointment of Successors.</w:t>
      </w:r>
    </w:p>
    <w:p>
      <w:pPr>
        <w:spacing w:after="0" w:line="174" w:lineRule="exact"/>
        <w:rPr>
          <w:sz w:val="20"/>
          <w:szCs w:val="20"/>
          <w:color w:val="auto"/>
        </w:rPr>
      </w:pPr>
    </w:p>
    <w:p>
      <w:pPr>
        <w:ind w:left="260" w:right="659" w:firstLine="765"/>
        <w:spacing w:after="0" w:line="278" w:lineRule="auto"/>
        <w:tabs>
          <w:tab w:leader="none" w:pos="1220" w:val="left"/>
        </w:tabs>
        <w:numPr>
          <w:ilvl w:val="0"/>
          <w:numId w:val="1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agrees, for the benefit of the holders from time to time of the Warrant Certificates, that there shall at all times be a Warrant Agent hereunder until all the Warrants have been exercised or are no longer exercisable.</w:t>
      </w:r>
    </w:p>
    <w:p>
      <w:pPr>
        <w:spacing w:after="0" w:line="126" w:lineRule="exact"/>
        <w:rPr>
          <w:rFonts w:ascii="Times New Roman" w:cs="Times New Roman" w:eastAsia="Times New Roman" w:hAnsi="Times New Roman"/>
          <w:sz w:val="14"/>
          <w:szCs w:val="14"/>
          <w:b w:val="1"/>
          <w:bCs w:val="1"/>
          <w:color w:val="auto"/>
        </w:rPr>
      </w:pPr>
    </w:p>
    <w:p>
      <w:pPr>
        <w:ind w:left="260" w:right="299" w:firstLine="765"/>
        <w:spacing w:after="0" w:line="252" w:lineRule="auto"/>
        <w:tabs>
          <w:tab w:leader="none" w:pos="1228" w:val="left"/>
        </w:tabs>
        <w:numPr>
          <w:ilvl w:val="0"/>
          <w:numId w:val="1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spacing w:after="0" w:line="145" w:lineRule="exact"/>
        <w:rPr>
          <w:rFonts w:ascii="Times New Roman" w:cs="Times New Roman" w:eastAsia="Times New Roman" w:hAnsi="Times New Roman"/>
          <w:sz w:val="14"/>
          <w:szCs w:val="14"/>
          <w:b w:val="1"/>
          <w:bCs w:val="1"/>
          <w:color w:val="auto"/>
        </w:rPr>
      </w:pPr>
    </w:p>
    <w:p>
      <w:pPr>
        <w:ind w:left="260" w:right="499" w:firstLine="765"/>
        <w:spacing w:after="0" w:line="255" w:lineRule="auto"/>
        <w:tabs>
          <w:tab w:leader="none" w:pos="1212" w:val="left"/>
        </w:tabs>
        <w:numPr>
          <w:ilvl w:val="0"/>
          <w:numId w:val="1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37" w:right="1440" w:bottom="1440" w:gutter="0" w:footer="0" w:header="0"/>
        </w:sectPr>
      </w:pPr>
    </w:p>
    <w:bookmarkStart w:id="149" w:name="page150"/>
    <w:bookmarkEnd w:id="149"/>
    <w:p>
      <w:pPr>
        <w:ind w:left="260" w:right="319"/>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spacing w:after="0" w:line="148" w:lineRule="exact"/>
        <w:rPr>
          <w:sz w:val="20"/>
          <w:szCs w:val="20"/>
          <w:color w:val="auto"/>
        </w:rPr>
      </w:pPr>
    </w:p>
    <w:p>
      <w:pPr>
        <w:ind w:left="260" w:right="299" w:firstLine="765"/>
        <w:spacing w:after="0" w:line="254" w:lineRule="auto"/>
        <w:tabs>
          <w:tab w:leader="none" w:pos="1228" w:val="left"/>
        </w:tabs>
        <w:numPr>
          <w:ilvl w:val="0"/>
          <w:numId w:val="1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spacing w:after="0" w:line="142" w:lineRule="exact"/>
        <w:rPr>
          <w:rFonts w:ascii="Times New Roman" w:cs="Times New Roman" w:eastAsia="Times New Roman" w:hAnsi="Times New Roman"/>
          <w:sz w:val="14"/>
          <w:szCs w:val="14"/>
          <w:b w:val="1"/>
          <w:bCs w:val="1"/>
          <w:color w:val="auto"/>
        </w:rPr>
      </w:pPr>
    </w:p>
    <w:p>
      <w:pPr>
        <w:ind w:left="260" w:right="319" w:firstLine="765"/>
        <w:spacing w:after="0" w:line="255" w:lineRule="auto"/>
        <w:tabs>
          <w:tab w:leader="none" w:pos="1212" w:val="left"/>
        </w:tabs>
        <w:numPr>
          <w:ilvl w:val="0"/>
          <w:numId w:val="1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6</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MISCELLANEOUS</w:t>
      </w:r>
    </w:p>
    <w:p>
      <w:pPr>
        <w:spacing w:after="0" w:line="172" w:lineRule="exact"/>
        <w:rPr>
          <w:sz w:val="20"/>
          <w:szCs w:val="20"/>
          <w:color w:val="auto"/>
        </w:rPr>
      </w:pPr>
    </w:p>
    <w:p>
      <w:pPr>
        <w:jc w:val="both"/>
        <w:ind w:left="260" w:right="499" w:firstLine="339"/>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6.1 Amendment. </w:t>
      </w:r>
      <w:r>
        <w:rPr>
          <w:rFonts w:ascii="Times New Roman" w:cs="Times New Roman" w:eastAsia="Times New Roman" w:hAnsi="Times New Roman"/>
          <w:sz w:val="14"/>
          <w:szCs w:val="14"/>
          <w:color w:val="auto"/>
        </w:rPr>
        <w:t>This Agreement may be amended by the parties hereto, without the consent of the holder of any Warrant Certificate, for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spacing w:after="0" w:line="137" w:lineRule="exact"/>
        <w:rPr>
          <w:sz w:val="20"/>
          <w:szCs w:val="20"/>
          <w:color w:val="auto"/>
        </w:rPr>
      </w:pPr>
    </w:p>
    <w:p>
      <w:pPr>
        <w:ind w:left="260" w:right="439" w:firstLine="339"/>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6.2 Notices and Demands to the Company and Warrant Agent. </w:t>
      </w:r>
      <w:r>
        <w:rPr>
          <w:rFonts w:ascii="Times New Roman" w:cs="Times New Roman" w:eastAsia="Times New Roman" w:hAnsi="Times New Roman"/>
          <w:sz w:val="14"/>
          <w:szCs w:val="14"/>
          <w:color w:val="auto"/>
        </w:rPr>
        <w:t>If the Warrant Agent shall receive any notice or demand addressed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 by the holder of a Warrant Certificate pursuant to the provisions of the Warrant Certificates, the Warrant Agent shall promptly forward such notice or demand to the Company.</w:t>
      </w:r>
    </w:p>
    <w:p>
      <w:pPr>
        <w:spacing w:after="0" w:line="13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 xml:space="preserve">6.3 Addresses. </w:t>
      </w:r>
      <w:r>
        <w:rPr>
          <w:rFonts w:ascii="Times New Roman" w:cs="Times New Roman" w:eastAsia="Times New Roman" w:hAnsi="Times New Roman"/>
          <w:sz w:val="14"/>
          <w:szCs w:val="14"/>
          <w:color w:val="auto"/>
        </w:rPr>
        <w:t>Any communication from the Company to the Warrant Agent with respect to this Agreement shall be addressed to [•], Attention:</w:t>
      </w:r>
    </w:p>
    <w:p>
      <w:pPr>
        <w:spacing w:after="0" w:line="23" w:lineRule="exact"/>
        <w:rPr>
          <w:sz w:val="20"/>
          <w:szCs w:val="20"/>
          <w:color w:val="auto"/>
        </w:rPr>
      </w:pPr>
    </w:p>
    <w:p>
      <w:pPr>
        <w:ind w:left="260" w:right="539" w:firstLine="2"/>
        <w:spacing w:after="0" w:line="252" w:lineRule="auto"/>
        <w:tabs>
          <w:tab w:leader="none" w:pos="436"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 any communication from the Warrant Agent to the Company with respect to this Agreement shall be addressed to Tempus AI, Inc., 600 West Chicago Avenue, Suite 510, Chicago, IL 60654, Attention: [•] (or such other address as shall be specified in writing by the Warrant Agent or by the Company).</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39" w:right="1440" w:bottom="1440" w:gutter="0" w:footer="0" w:header="0"/>
        </w:sectPr>
      </w:pPr>
    </w:p>
    <w:bookmarkStart w:id="150" w:name="page151"/>
    <w:bookmarkEnd w:id="150"/>
    <w:p>
      <w:pPr>
        <w:ind w:left="260" w:right="459" w:firstLine="339"/>
        <w:spacing w:after="0" w:line="281"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6.4 Governing Law. </w:t>
      </w:r>
      <w:r>
        <w:rPr>
          <w:rFonts w:ascii="Times New Roman" w:cs="Times New Roman" w:eastAsia="Times New Roman" w:hAnsi="Times New Roman"/>
          <w:sz w:val="14"/>
          <w:szCs w:val="14"/>
          <w:color w:val="auto"/>
        </w:rPr>
        <w:t>This Agreement and each Warrant Certificate issued hereunder shall be governed by and construed in accordance with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laws of the State of New York.</w:t>
      </w:r>
    </w:p>
    <w:p>
      <w:pPr>
        <w:spacing w:after="0" w:line="122" w:lineRule="exact"/>
        <w:rPr>
          <w:sz w:val="20"/>
          <w:szCs w:val="20"/>
          <w:color w:val="auto"/>
        </w:rPr>
      </w:pPr>
    </w:p>
    <w:p>
      <w:pPr>
        <w:ind w:left="260" w:right="439" w:firstLine="339"/>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6.5 Delivery of Prospectus. </w:t>
      </w:r>
      <w:r>
        <w:rPr>
          <w:rFonts w:ascii="Times New Roman" w:cs="Times New Roman" w:eastAsia="Times New Roman" w:hAnsi="Times New Roman"/>
          <w:sz w:val="14"/>
          <w:szCs w:val="14"/>
          <w:color w:val="auto"/>
        </w:rPr>
        <w:t>The Company shall furnish to the Warrant Agent sufficient copies of a prospectus meeting the requirements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Securities Act of 1933, as amended, relating to the Warrant Securities deliverable upon exercise of the Warrants (the “</w:t>
      </w:r>
      <w:r>
        <w:rPr>
          <w:rFonts w:ascii="Times New Roman" w:cs="Times New Roman" w:eastAsia="Times New Roman" w:hAnsi="Times New Roman"/>
          <w:sz w:val="14"/>
          <w:szCs w:val="14"/>
          <w:b w:val="1"/>
          <w:bCs w:val="1"/>
          <w:i w:val="1"/>
          <w:iCs w:val="1"/>
          <w:color w:val="auto"/>
        </w:rPr>
        <w:t>Prospectus</w:t>
      </w:r>
      <w:r>
        <w:rPr>
          <w:rFonts w:ascii="Times New Roman" w:cs="Times New Roman" w:eastAsia="Times New Roman" w:hAnsi="Times New Roman"/>
          <w:sz w:val="14"/>
          <w:szCs w:val="14"/>
          <w:color w:val="auto"/>
        </w:rPr>
        <w:t>”),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w:t>
      </w:r>
    </w:p>
    <w:p>
      <w:pPr>
        <w:spacing w:after="0" w:line="140" w:lineRule="exact"/>
        <w:rPr>
          <w:sz w:val="20"/>
          <w:szCs w:val="20"/>
          <w:color w:val="auto"/>
        </w:rPr>
      </w:pPr>
    </w:p>
    <w:p>
      <w:pPr>
        <w:ind w:left="260" w:right="319" w:firstLine="339"/>
        <w:spacing w:after="0" w:line="280" w:lineRule="auto"/>
        <w:rPr>
          <w:sz w:val="20"/>
          <w:szCs w:val="20"/>
          <w:color w:val="auto"/>
        </w:rPr>
      </w:pPr>
      <w:r>
        <w:rPr>
          <w:rFonts w:ascii="Times New Roman" w:cs="Times New Roman" w:eastAsia="Times New Roman" w:hAnsi="Times New Roman"/>
          <w:sz w:val="13"/>
          <w:szCs w:val="13"/>
          <w:b w:val="1"/>
          <w:bCs w:val="1"/>
          <w:color w:val="auto"/>
        </w:rPr>
        <w:t xml:space="preserve">6.6 Obtaining of Governmental Approvals. </w:t>
      </w:r>
      <w:r>
        <w:rPr>
          <w:rFonts w:ascii="Times New Roman" w:cs="Times New Roman" w:eastAsia="Times New Roman" w:hAnsi="Times New Roman"/>
          <w:sz w:val="13"/>
          <w:szCs w:val="13"/>
          <w:color w:val="auto"/>
        </w:rPr>
        <w:t>The Company will from time to time take all action which may be necessary to obtain and keep</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effective any and all permits, consents and 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w:t>
      </w:r>
    </w:p>
    <w:p>
      <w:pPr>
        <w:spacing w:after="0" w:line="126" w:lineRule="exact"/>
        <w:rPr>
          <w:sz w:val="20"/>
          <w:szCs w:val="20"/>
          <w:color w:val="auto"/>
        </w:rPr>
      </w:pPr>
    </w:p>
    <w:p>
      <w:pPr>
        <w:ind w:left="260" w:right="559" w:firstLine="339"/>
        <w:spacing w:after="0" w:line="281" w:lineRule="auto"/>
        <w:rPr>
          <w:sz w:val="20"/>
          <w:szCs w:val="20"/>
          <w:color w:val="auto"/>
        </w:rPr>
      </w:pPr>
      <w:r>
        <w:rPr>
          <w:rFonts w:ascii="Times New Roman" w:cs="Times New Roman" w:eastAsia="Times New Roman" w:hAnsi="Times New Roman"/>
          <w:sz w:val="14"/>
          <w:szCs w:val="14"/>
          <w:b w:val="1"/>
          <w:bCs w:val="1"/>
          <w:color w:val="auto"/>
        </w:rPr>
        <w:t xml:space="preserve">6.7 Persons Having Rights Under the Agreement. </w:t>
      </w:r>
      <w:r>
        <w:rPr>
          <w:rFonts w:ascii="Times New Roman" w:cs="Times New Roman" w:eastAsia="Times New Roman" w:hAnsi="Times New Roman"/>
          <w:sz w:val="14"/>
          <w:szCs w:val="14"/>
          <w:color w:val="auto"/>
        </w:rPr>
        <w:t>Nothing in this Agreement shall give to any person other than the Company, the Warrant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Agent and the holders of the Warrant Certificates any right, remedy or claim under or by reason of this Agreement.</w:t>
      </w:r>
    </w:p>
    <w:p>
      <w:pPr>
        <w:spacing w:after="0" w:line="122" w:lineRule="exact"/>
        <w:rPr>
          <w:sz w:val="20"/>
          <w:szCs w:val="20"/>
          <w:color w:val="auto"/>
        </w:rPr>
      </w:pPr>
    </w:p>
    <w:p>
      <w:pPr>
        <w:ind w:left="260" w:right="539" w:firstLine="339"/>
        <w:spacing w:after="0" w:line="281" w:lineRule="auto"/>
        <w:rPr>
          <w:sz w:val="20"/>
          <w:szCs w:val="20"/>
          <w:color w:val="auto"/>
        </w:rPr>
      </w:pPr>
      <w:r>
        <w:rPr>
          <w:rFonts w:ascii="Times New Roman" w:cs="Times New Roman" w:eastAsia="Times New Roman" w:hAnsi="Times New Roman"/>
          <w:sz w:val="14"/>
          <w:szCs w:val="14"/>
          <w:b w:val="1"/>
          <w:bCs w:val="1"/>
          <w:color w:val="auto"/>
        </w:rPr>
        <w:t xml:space="preserve">6.8 Headings. </w:t>
      </w:r>
      <w:r>
        <w:rPr>
          <w:rFonts w:ascii="Times New Roman" w:cs="Times New Roman" w:eastAsia="Times New Roman" w:hAnsi="Times New Roman"/>
          <w:sz w:val="14"/>
          <w:szCs w:val="14"/>
          <w:color w:val="auto"/>
        </w:rPr>
        <w:t>The descriptive headings of the several Articles and Sections of this Agreement are inserted for convenience only and shall not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control or affect the meaning or construction of any of the provisions hereof.</w:t>
      </w:r>
    </w:p>
    <w:p>
      <w:pPr>
        <w:spacing w:after="0" w:line="122" w:lineRule="exact"/>
        <w:rPr>
          <w:sz w:val="20"/>
          <w:szCs w:val="20"/>
          <w:color w:val="auto"/>
        </w:rPr>
      </w:pPr>
    </w:p>
    <w:p>
      <w:pPr>
        <w:ind w:left="260" w:right="699" w:firstLine="339"/>
        <w:spacing w:after="0" w:line="281" w:lineRule="auto"/>
        <w:rPr>
          <w:sz w:val="20"/>
          <w:szCs w:val="20"/>
          <w:color w:val="auto"/>
        </w:rPr>
      </w:pPr>
      <w:r>
        <w:rPr>
          <w:rFonts w:ascii="Times New Roman" w:cs="Times New Roman" w:eastAsia="Times New Roman" w:hAnsi="Times New Roman"/>
          <w:sz w:val="14"/>
          <w:szCs w:val="14"/>
          <w:b w:val="1"/>
          <w:bCs w:val="1"/>
          <w:color w:val="auto"/>
        </w:rPr>
        <w:t xml:space="preserve">6.9 Counterparts. </w:t>
      </w:r>
      <w:r>
        <w:rPr>
          <w:rFonts w:ascii="Times New Roman" w:cs="Times New Roman" w:eastAsia="Times New Roman" w:hAnsi="Times New Roman"/>
          <w:sz w:val="14"/>
          <w:szCs w:val="14"/>
          <w:color w:val="auto"/>
        </w:rPr>
        <w:t>This Agreement may be executed in any number of counterparts, each of which as so executed shall be deemed to be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original, but such counterparts shall together constitute but one and the same instrument.</w:t>
      </w:r>
    </w:p>
    <w:p>
      <w:pPr>
        <w:spacing w:after="0" w:line="122" w:lineRule="exact"/>
        <w:rPr>
          <w:sz w:val="20"/>
          <w:szCs w:val="20"/>
          <w:color w:val="auto"/>
        </w:rPr>
      </w:pPr>
    </w:p>
    <w:p>
      <w:pPr>
        <w:ind w:left="260" w:right="499" w:firstLine="339"/>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6.10 Inspection of Agreement. </w:t>
      </w:r>
      <w:r>
        <w:rPr>
          <w:rFonts w:ascii="Times New Roman" w:cs="Times New Roman" w:eastAsia="Times New Roman" w:hAnsi="Times New Roman"/>
          <w:sz w:val="14"/>
          <w:szCs w:val="14"/>
          <w:color w:val="auto"/>
        </w:rPr>
        <w:t>A copy of this Agreement shall be available at all reasonable times at the principal corporate trust office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 Agent for inspection by the holder of any Warrant Certificate. The Warrant Agent may require such holder to submit such holder’s Warrant Certificate for inspection by it.</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37" w:right="1440" w:bottom="1440" w:gutter="0" w:footer="0" w:header="0"/>
        </w:sectPr>
      </w:pPr>
    </w:p>
    <w:bookmarkStart w:id="151" w:name="page152"/>
    <w:bookmarkEnd w:id="151"/>
    <w:p>
      <w:pPr>
        <w:ind w:left="60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w:t>
      </w:r>
      <w:r>
        <w:rPr>
          <w:rFonts w:ascii="Times New Roman" w:cs="Times New Roman" w:eastAsia="Times New Roman" w:hAnsi="Times New Roman"/>
          <w:sz w:val="10"/>
          <w:szCs w:val="10"/>
          <w:b w:val="1"/>
          <w:bCs w:val="1"/>
          <w:color w:val="auto"/>
        </w:rPr>
        <w:t>N</w:t>
      </w:r>
      <w:r>
        <w:rPr>
          <w:rFonts w:ascii="Times New Roman" w:cs="Times New Roman" w:eastAsia="Times New Roman" w:hAnsi="Times New Roman"/>
          <w:sz w:val="13"/>
          <w:szCs w:val="13"/>
          <w:b w:val="1"/>
          <w:bCs w:val="1"/>
          <w:color w:val="auto"/>
        </w:rPr>
        <w:t xml:space="preserve"> W</w:t>
      </w:r>
      <w:r>
        <w:rPr>
          <w:rFonts w:ascii="Times New Roman" w:cs="Times New Roman" w:eastAsia="Times New Roman" w:hAnsi="Times New Roman"/>
          <w:sz w:val="10"/>
          <w:szCs w:val="10"/>
          <w:b w:val="1"/>
          <w:bCs w:val="1"/>
          <w:color w:val="auto"/>
        </w:rPr>
        <w:t>ITNESS</w:t>
      </w:r>
      <w:r>
        <w:rPr>
          <w:rFonts w:ascii="Times New Roman" w:cs="Times New Roman" w:eastAsia="Times New Roman" w:hAnsi="Times New Roman"/>
          <w:sz w:val="13"/>
          <w:szCs w:val="13"/>
          <w:b w:val="1"/>
          <w:bCs w:val="1"/>
          <w:color w:val="auto"/>
        </w:rPr>
        <w:t xml:space="preserve"> W</w:t>
      </w:r>
      <w:r>
        <w:rPr>
          <w:rFonts w:ascii="Times New Roman" w:cs="Times New Roman" w:eastAsia="Times New Roman" w:hAnsi="Times New Roman"/>
          <w:sz w:val="10"/>
          <w:szCs w:val="10"/>
          <w:b w:val="1"/>
          <w:bCs w:val="1"/>
          <w:color w:val="auto"/>
        </w:rPr>
        <w:t>HEREOF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parties hereto have caused this Agreement to be duly executed as of the day and year first above written.</w:t>
      </w:r>
    </w:p>
    <w:p>
      <w:pPr>
        <w:spacing w:after="0" w:line="20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Tempus AI, Inc., as Company</w:t>
      </w:r>
    </w:p>
    <w:p>
      <w:pPr>
        <w:spacing w:after="0" w:line="17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12700</wp:posOffset>
            </wp:positionV>
            <wp:extent cx="1789430" cy="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0">
                      <a:extLst>
                        <a:ext uri="{28A0092B-C50C-407E-A947-70E740481C1C}"/>
                      </a:extLst>
                    </a:blip>
                    <a:srcRect/>
                    <a:stretch>
                      <a:fillRect/>
                    </a:stretch>
                  </pic:blipFill>
                  <pic:spPr bwMode="auto">
                    <a:xfrm>
                      <a:off x="0" y="0"/>
                      <a:ext cx="1789430" cy="6350"/>
                    </a:xfrm>
                    <a:prstGeom prst="rect">
                      <a:avLst/>
                    </a:prstGeom>
                    <a:noFill/>
                  </pic:spPr>
                </pic:pic>
              </a:graphicData>
            </a:graphic>
          </wp:anchor>
        </w:drawing>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16510</wp:posOffset>
            </wp:positionV>
            <wp:extent cx="1789430" cy="63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1">
                      <a:extLst>
                        <a:ext uri="{28A0092B-C50C-407E-A947-70E740481C1C}"/>
                      </a:extLst>
                    </a:blip>
                    <a:srcRect/>
                    <a:stretch>
                      <a:fillRect/>
                    </a:stretch>
                  </pic:blipFill>
                  <pic:spPr bwMode="auto">
                    <a:xfrm>
                      <a:off x="0" y="0"/>
                      <a:ext cx="1789430" cy="635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-95250</wp:posOffset>
            </wp:positionV>
            <wp:extent cx="1789430" cy="6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2">
                      <a:extLst>
                        <a:ext uri="{28A0092B-C50C-407E-A947-70E740481C1C}"/>
                      </a:extLst>
                    </a:blip>
                    <a:srcRect/>
                    <a:stretch>
                      <a:fillRect/>
                    </a:stretch>
                  </pic:blipFill>
                  <pic:spPr bwMode="auto">
                    <a:xfrm>
                      <a:off x="0" y="0"/>
                      <a:ext cx="1789430" cy="6350"/>
                    </a:xfrm>
                    <a:prstGeom prst="rect">
                      <a:avLst/>
                    </a:prstGeom>
                    <a:noFill/>
                  </pic:spPr>
                </pic:pic>
              </a:graphicData>
            </a:graphic>
          </wp:anchor>
        </w:drawing>
      </w:r>
    </w:p>
    <w:p>
      <w:pPr>
        <w:spacing w:after="0" w:line="15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1"/>
          <w:szCs w:val="11"/>
          <w:b w:val="1"/>
          <w:bCs w:val="1"/>
          <w:color w:val="auto"/>
        </w:rPr>
        <w:t>TTEST</w:t>
      </w: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126365</wp:posOffset>
            </wp:positionV>
            <wp:extent cx="1789430" cy="63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3">
                      <a:extLst>
                        <a:ext uri="{28A0092B-C50C-407E-A947-70E740481C1C}"/>
                      </a:extLst>
                    </a:blip>
                    <a:srcRect/>
                    <a:stretch>
                      <a:fillRect/>
                    </a:stretch>
                  </pic:blipFill>
                  <pic:spPr bwMode="auto">
                    <a:xfrm>
                      <a:off x="0" y="0"/>
                      <a:ext cx="1789430" cy="635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13970</wp:posOffset>
            </wp:positionV>
            <wp:extent cx="1789430" cy="6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4">
                      <a:extLst>
                        <a:ext uri="{28A0092B-C50C-407E-A947-70E740481C1C}"/>
                      </a:extLst>
                    </a:blip>
                    <a:srcRect/>
                    <a:stretch>
                      <a:fillRect/>
                    </a:stretch>
                  </pic:blipFill>
                  <pic:spPr bwMode="auto">
                    <a:xfrm>
                      <a:off x="0" y="0"/>
                      <a:ext cx="1789430" cy="6350"/>
                    </a:xfrm>
                    <a:prstGeom prst="rect">
                      <a:avLst/>
                    </a:prstGeom>
                    <a:noFill/>
                  </pic:spPr>
                </pic:pic>
              </a:graphicData>
            </a:graphic>
          </wp:anchor>
        </w:drawing>
      </w:r>
    </w:p>
    <w:p>
      <w:pPr>
        <w:spacing w:after="0" w:line="32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C</w:t>
      </w:r>
      <w:r>
        <w:rPr>
          <w:rFonts w:ascii="Times New Roman" w:cs="Times New Roman" w:eastAsia="Times New Roman" w:hAnsi="Times New Roman"/>
          <w:sz w:val="11"/>
          <w:szCs w:val="11"/>
          <w:b w:val="1"/>
          <w:bCs w:val="1"/>
          <w:color w:val="auto"/>
        </w:rPr>
        <w:t>OUNTERSIGNED</w:t>
      </w:r>
    </w:p>
    <w:p>
      <w:pPr>
        <w:spacing w:after="0" w:line="17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as Warrant Agent</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12700</wp:posOffset>
            </wp:positionV>
            <wp:extent cx="1789430" cy="63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5">
                      <a:extLst>
                        <a:ext uri="{28A0092B-C50C-407E-A947-70E740481C1C}"/>
                      </a:extLst>
                    </a:blip>
                    <a:srcRect/>
                    <a:stretch>
                      <a:fillRect/>
                    </a:stretch>
                  </pic:blipFill>
                  <pic:spPr bwMode="auto">
                    <a:xfrm>
                      <a:off x="0" y="0"/>
                      <a:ext cx="1789430" cy="6350"/>
                    </a:xfrm>
                    <a:prstGeom prst="rect">
                      <a:avLst/>
                    </a:prstGeom>
                    <a:noFill/>
                  </pic:spPr>
                </pic:pic>
              </a:graphicData>
            </a:graphic>
          </wp:anchor>
        </w:drawing>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16510</wp:posOffset>
            </wp:positionV>
            <wp:extent cx="1789430" cy="6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6">
                      <a:extLst>
                        <a:ext uri="{28A0092B-C50C-407E-A947-70E740481C1C}"/>
                      </a:extLst>
                    </a:blip>
                    <a:srcRect/>
                    <a:stretch>
                      <a:fillRect/>
                    </a:stretch>
                  </pic:blipFill>
                  <pic:spPr bwMode="auto">
                    <a:xfrm>
                      <a:off x="0" y="0"/>
                      <a:ext cx="1789430" cy="635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-95250</wp:posOffset>
            </wp:positionV>
            <wp:extent cx="1789430" cy="63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7">
                      <a:extLst>
                        <a:ext uri="{28A0092B-C50C-407E-A947-70E740481C1C}"/>
                      </a:extLst>
                    </a:blip>
                    <a:srcRect/>
                    <a:stretch>
                      <a:fillRect/>
                    </a:stretch>
                  </pic:blipFill>
                  <pic:spPr bwMode="auto">
                    <a:xfrm>
                      <a:off x="0" y="0"/>
                      <a:ext cx="1789430" cy="6350"/>
                    </a:xfrm>
                    <a:prstGeom prst="rect">
                      <a:avLst/>
                    </a:prstGeom>
                    <a:noFill/>
                  </pic:spPr>
                </pic:pic>
              </a:graphicData>
            </a:graphic>
          </wp:anchor>
        </w:drawing>
      </w:r>
    </w:p>
    <w:p>
      <w:pPr>
        <w:spacing w:after="0" w:line="15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1"/>
          <w:szCs w:val="11"/>
          <w:b w:val="1"/>
          <w:bCs w:val="1"/>
          <w:color w:val="auto"/>
        </w:rPr>
        <w:t>TTEST</w:t>
      </w: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126365</wp:posOffset>
            </wp:positionV>
            <wp:extent cx="1789430" cy="6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8">
                      <a:extLst>
                        <a:ext uri="{28A0092B-C50C-407E-A947-70E740481C1C}"/>
                      </a:extLst>
                    </a:blip>
                    <a:srcRect/>
                    <a:stretch>
                      <a:fillRect/>
                    </a:stretch>
                  </pic:blipFill>
                  <pic:spPr bwMode="auto">
                    <a:xfrm>
                      <a:off x="0" y="0"/>
                      <a:ext cx="1789430" cy="635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13970</wp:posOffset>
            </wp:positionV>
            <wp:extent cx="1789430" cy="63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9">
                      <a:extLst>
                        <a:ext uri="{28A0092B-C50C-407E-A947-70E740481C1C}"/>
                      </a:extLst>
                    </a:blip>
                    <a:srcRect/>
                    <a:stretch>
                      <a:fillRect/>
                    </a:stretch>
                  </pic:blipFill>
                  <pic:spPr bwMode="auto">
                    <a:xfrm>
                      <a:off x="0" y="0"/>
                      <a:ext cx="1789430" cy="6350"/>
                    </a:xfrm>
                    <a:prstGeom prst="rect">
                      <a:avLst/>
                    </a:prstGeom>
                    <a:noFill/>
                  </pic:spPr>
                </pic:pic>
              </a:graphicData>
            </a:graphic>
          </wp:anchor>
        </w:drawing>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11"/>
          <w:szCs w:val="11"/>
          <w:color w:val="auto"/>
        </w:rPr>
        <w:t>IGNATURE</w:t>
      </w:r>
      <w:r>
        <w:rPr>
          <w:rFonts w:ascii="Times New Roman" w:cs="Times New Roman" w:eastAsia="Times New Roman" w:hAnsi="Times New Roman"/>
          <w:sz w:val="14"/>
          <w:szCs w:val="14"/>
          <w:color w:val="auto"/>
        </w:rPr>
        <w:t xml:space="preserve"> P</w:t>
      </w:r>
      <w:r>
        <w:rPr>
          <w:rFonts w:ascii="Times New Roman" w:cs="Times New Roman" w:eastAsia="Times New Roman" w:hAnsi="Times New Roman"/>
          <w:sz w:val="11"/>
          <w:szCs w:val="11"/>
          <w:color w:val="auto"/>
        </w:rPr>
        <w:t>AGE TO</w:t>
      </w:r>
      <w:r>
        <w:rPr>
          <w:rFonts w:ascii="Times New Roman" w:cs="Times New Roman" w:eastAsia="Times New Roman" w:hAnsi="Times New Roman"/>
          <w:sz w:val="14"/>
          <w:szCs w:val="14"/>
          <w:color w:val="auto"/>
        </w:rPr>
        <w:t xml:space="preserve"> T</w:t>
      </w:r>
      <w:r>
        <w:rPr>
          <w:rFonts w:ascii="Times New Roman" w:cs="Times New Roman" w:eastAsia="Times New Roman" w:hAnsi="Times New Roman"/>
          <w:sz w:val="11"/>
          <w:szCs w:val="11"/>
          <w:color w:val="auto"/>
        </w:rPr>
        <w:t>EMPUS</w:t>
      </w:r>
      <w:r>
        <w:rPr>
          <w:rFonts w:ascii="Times New Roman" w:cs="Times New Roman" w:eastAsia="Times New Roman" w:hAnsi="Times New Roman"/>
          <w:sz w:val="14"/>
          <w:szCs w:val="14"/>
          <w:color w:val="auto"/>
        </w:rPr>
        <w:t xml:space="preserve"> AI, I</w:t>
      </w:r>
      <w:r>
        <w:rPr>
          <w:rFonts w:ascii="Times New Roman" w:cs="Times New Roman" w:eastAsia="Times New Roman" w:hAnsi="Times New Roman"/>
          <w:sz w:val="11"/>
          <w:szCs w:val="11"/>
          <w:color w:val="auto"/>
        </w:rPr>
        <w:t>NC</w:t>
      </w:r>
      <w:r>
        <w:rPr>
          <w:rFonts w:ascii="Times New Roman" w:cs="Times New Roman" w:eastAsia="Times New Roman" w:hAnsi="Times New Roman"/>
          <w:sz w:val="14"/>
          <w:szCs w:val="14"/>
          <w:color w:val="auto"/>
        </w:rPr>
        <w:t>. C</w:t>
      </w:r>
      <w:r>
        <w:rPr>
          <w:rFonts w:ascii="Times New Roman" w:cs="Times New Roman" w:eastAsia="Times New Roman" w:hAnsi="Times New Roman"/>
          <w:sz w:val="11"/>
          <w:szCs w:val="11"/>
          <w:color w:val="auto"/>
        </w:rPr>
        <w:t>LASS</w:t>
      </w:r>
      <w:r>
        <w:rPr>
          <w:rFonts w:ascii="Times New Roman" w:cs="Times New Roman" w:eastAsia="Times New Roman" w:hAnsi="Times New Roman"/>
          <w:sz w:val="14"/>
          <w:szCs w:val="14"/>
          <w:color w:val="auto"/>
        </w:rPr>
        <w:t xml:space="preserve"> A C</w:t>
      </w:r>
      <w:r>
        <w:rPr>
          <w:rFonts w:ascii="Times New Roman" w:cs="Times New Roman" w:eastAsia="Times New Roman" w:hAnsi="Times New Roman"/>
          <w:sz w:val="11"/>
          <w:szCs w:val="11"/>
          <w:color w:val="auto"/>
        </w:rPr>
        <w:t>OMMON</w:t>
      </w:r>
      <w:r>
        <w:rPr>
          <w:rFonts w:ascii="Times New Roman" w:cs="Times New Roman" w:eastAsia="Times New Roman" w:hAnsi="Times New Roman"/>
          <w:sz w:val="14"/>
          <w:szCs w:val="14"/>
          <w:color w:val="auto"/>
        </w:rPr>
        <w:t xml:space="preserve"> S</w:t>
      </w:r>
      <w:r>
        <w:rPr>
          <w:rFonts w:ascii="Times New Roman" w:cs="Times New Roman" w:eastAsia="Times New Roman" w:hAnsi="Times New Roman"/>
          <w:sz w:val="11"/>
          <w:szCs w:val="11"/>
          <w:color w:val="auto"/>
        </w:rPr>
        <w:t>TOCK</w:t>
      </w:r>
      <w:r>
        <w:rPr>
          <w:rFonts w:ascii="Times New Roman" w:cs="Times New Roman" w:eastAsia="Times New Roman" w:hAnsi="Times New Roman"/>
          <w:sz w:val="14"/>
          <w:szCs w:val="14"/>
          <w:color w:val="auto"/>
        </w:rPr>
        <w:t xml:space="preserve"> W</w:t>
      </w:r>
      <w:r>
        <w:rPr>
          <w:rFonts w:ascii="Times New Roman" w:cs="Times New Roman" w:eastAsia="Times New Roman" w:hAnsi="Times New Roman"/>
          <w:sz w:val="11"/>
          <w:szCs w:val="11"/>
          <w:color w:val="auto"/>
        </w:rPr>
        <w:t>ARRANT</w:t>
      </w:r>
      <w:r>
        <w:rPr>
          <w:rFonts w:ascii="Times New Roman" w:cs="Times New Roman" w:eastAsia="Times New Roman" w:hAnsi="Times New Roman"/>
          <w:sz w:val="14"/>
          <w:szCs w:val="14"/>
          <w:color w:val="auto"/>
        </w:rPr>
        <w:t xml:space="preserve"> A</w:t>
      </w:r>
      <w:r>
        <w:rPr>
          <w:rFonts w:ascii="Times New Roman" w:cs="Times New Roman" w:eastAsia="Times New Roman" w:hAnsi="Times New Roman"/>
          <w:sz w:val="11"/>
          <w:szCs w:val="11"/>
          <w:color w:val="auto"/>
        </w:rPr>
        <w:t>GREEMENT</w:t>
      </w: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237" w:right="1440"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E</w:t>
      </w:r>
      <w:r>
        <w:rPr>
          <w:rFonts w:ascii="Times New Roman" w:cs="Times New Roman" w:eastAsia="Times New Roman" w:hAnsi="Times New Roman"/>
          <w:sz w:val="11"/>
          <w:szCs w:val="11"/>
          <w:b w:val="1"/>
          <w:bCs w:val="1"/>
          <w:color w:val="auto"/>
        </w:rPr>
        <w:t>XHIBIT</w:t>
      </w:r>
      <w:r>
        <w:rPr>
          <w:rFonts w:ascii="Times New Roman" w:cs="Times New Roman" w:eastAsia="Times New Roman" w:hAnsi="Times New Roman"/>
          <w:sz w:val="14"/>
          <w:szCs w:val="14"/>
          <w:b w:val="1"/>
          <w:bCs w:val="1"/>
          <w:color w:val="auto"/>
        </w:rPr>
        <w:t xml:space="preserve"> A</w:t>
      </w:r>
    </w:p>
    <w:p>
      <w:pPr>
        <w:spacing w:after="0" w:line="8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3"/>
          <w:szCs w:val="13"/>
          <w:b w:val="1"/>
          <w:bCs w:val="1"/>
          <w:color w:val="auto"/>
        </w:rPr>
        <w:t>FORM OF WARRANT CERTIFICATE</w:t>
      </w:r>
    </w:p>
    <w:p>
      <w:pPr>
        <w:spacing w:after="0" w:line="34"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3"/>
          <w:szCs w:val="13"/>
          <w:b w:val="1"/>
          <w:bCs w:val="1"/>
          <w:color w:val="auto"/>
        </w:rPr>
        <w:t>[FACE OF WARRANT CERTIFICATE]</w:t>
      </w:r>
    </w:p>
    <w:p>
      <w:pPr>
        <w:sectPr>
          <w:pgSz w:w="11900" w:h="16838" w:orient="portrait"/>
          <w:cols w:equalWidth="0" w:num="1">
            <w:col w:w="9019"/>
          </w:cols>
          <w:pgMar w:left="1440" w:top="237" w:right="1440" w:bottom="1440" w:gutter="0" w:footer="0" w:header="0"/>
        </w:sectPr>
      </w:pP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Form of Legend if Warrants are not immediately exercisable.</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459"/>
        <w:spacing w:after="0" w:line="278" w:lineRule="auto"/>
        <w:rPr>
          <w:sz w:val="20"/>
          <w:szCs w:val="20"/>
          <w:color w:val="auto"/>
        </w:rPr>
      </w:pPr>
      <w:r>
        <w:rPr>
          <w:rFonts w:ascii="Times New Roman" w:cs="Times New Roman" w:eastAsia="Times New Roman" w:hAnsi="Times New Roman"/>
          <w:sz w:val="14"/>
          <w:szCs w:val="14"/>
          <w:color w:val="auto"/>
        </w:rPr>
        <w:t>[Prior to [•], Warrants evidenced by this Warrant Certificate cannot be exercised.]</w:t>
      </w:r>
    </w:p>
    <w:p>
      <w:pPr>
        <w:spacing w:after="0" w:line="200" w:lineRule="exact"/>
        <w:rPr>
          <w:sz w:val="20"/>
          <w:szCs w:val="20"/>
          <w:color w:val="auto"/>
        </w:rPr>
      </w:pPr>
    </w:p>
    <w:p>
      <w:pPr>
        <w:sectPr>
          <w:pgSz w:w="11900" w:h="16838" w:orient="portrait"/>
          <w:cols w:equalWidth="0" w:num="2">
            <w:col w:w="3960" w:space="720"/>
            <w:col w:w="4339"/>
          </w:cols>
          <w:pgMar w:left="1440" w:top="237" w:right="1440" w:bottom="1440" w:gutter="0" w:footer="0" w:header="0"/>
          <w:type w:val="continuous"/>
        </w:sectPr>
      </w:pP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EXERCISABLE ONLY IF COUNTERSIGNED BY THE WARRANT AGENT AS PROVIDED HEREIN</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VOID AFTER [•] P.M., [City] time, ON [•].</w:t>
      </w:r>
    </w:p>
    <w:p>
      <w:pPr>
        <w:sectPr>
          <w:pgSz w:w="11900" w:h="16838" w:orient="portrait"/>
          <w:cols w:equalWidth="0" w:num="1">
            <w:col w:w="9019"/>
          </w:cols>
          <w:pgMar w:left="1440" w:top="237" w:right="1440" w:bottom="1440" w:gutter="0" w:footer="0" w:header="0"/>
          <w:type w:val="continuous"/>
        </w:sectPr>
      </w:pPr>
    </w:p>
    <w:bookmarkStart w:id="153" w:name="page154"/>
    <w:bookmarkEnd w:id="15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TEMPUS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WARRANT CERTIFICATE REPRESENTING</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WARRANTS TO PURCHASE</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CLASS A COMMON STOCK, PAR VALUE $0.0001 PER SHARE</w:t>
      </w:r>
    </w:p>
    <w:p>
      <w:pPr>
        <w:spacing w:after="0" w:line="177" w:lineRule="exact"/>
        <w:rPr>
          <w:sz w:val="20"/>
          <w:szCs w:val="20"/>
          <w:color w:val="auto"/>
        </w:rPr>
      </w:pPr>
    </w:p>
    <w:p>
      <w:pPr>
        <w:ind w:left="260"/>
        <w:spacing w:after="0"/>
        <w:tabs>
          <w:tab w:leader="none" w:pos="8060" w:val="left"/>
        </w:tabs>
        <w:rPr>
          <w:sz w:val="20"/>
          <w:szCs w:val="20"/>
          <w:color w:val="auto"/>
        </w:rPr>
      </w:pPr>
      <w:r>
        <w:rPr>
          <w:rFonts w:ascii="Times New Roman" w:cs="Times New Roman" w:eastAsia="Times New Roman" w:hAnsi="Times New Roman"/>
          <w:sz w:val="14"/>
          <w:szCs w:val="14"/>
          <w:color w:val="auto"/>
        </w:rPr>
        <w:t>No. [•]</w:t>
      </w:r>
      <w:r>
        <w:rPr>
          <w:sz w:val="20"/>
          <w:szCs w:val="20"/>
          <w:color w:val="auto"/>
        </w:rPr>
        <w:tab/>
      </w:r>
      <w:r>
        <w:rPr>
          <w:rFonts w:ascii="Times New Roman" w:cs="Times New Roman" w:eastAsia="Times New Roman" w:hAnsi="Times New Roman"/>
          <w:sz w:val="13"/>
          <w:szCs w:val="13"/>
          <w:color w:val="auto"/>
        </w:rPr>
        <w:t>[•] Warrants</w:t>
      </w:r>
    </w:p>
    <w:p>
      <w:pPr>
        <w:spacing w:after="0" w:line="172" w:lineRule="exact"/>
        <w:rPr>
          <w:sz w:val="20"/>
          <w:szCs w:val="20"/>
          <w:color w:val="auto"/>
        </w:rPr>
      </w:pPr>
    </w:p>
    <w:p>
      <w:pPr>
        <w:ind w:left="260" w:right="279"/>
        <w:spacing w:after="0" w:line="251" w:lineRule="auto"/>
        <w:rPr>
          <w:sz w:val="20"/>
          <w:szCs w:val="20"/>
          <w:color w:val="auto"/>
        </w:rPr>
      </w:pPr>
      <w:r>
        <w:rPr>
          <w:rFonts w:ascii="Times New Roman" w:cs="Times New Roman" w:eastAsia="Times New Roman" w:hAnsi="Times New Roman"/>
          <w:sz w:val="14"/>
          <w:szCs w:val="14"/>
          <w:color w:val="auto"/>
        </w:rPr>
        <w:t>This certifies that [•] or registered assigns is the registered owner of the above indicated number of Warrants, each Warrant entitling such owner to purchase, at any time [after [•] p.m., [City] time, [on [•] and] on or before [•] p.m., [City] time, on [•], [•] shares of Class A Common Stock, par value $0.0001 per share (the “</w:t>
      </w:r>
      <w:r>
        <w:rPr>
          <w:rFonts w:ascii="Times New Roman" w:cs="Times New Roman" w:eastAsia="Times New Roman" w:hAnsi="Times New Roman"/>
          <w:sz w:val="14"/>
          <w:szCs w:val="14"/>
          <w:b w:val="1"/>
          <w:bCs w:val="1"/>
          <w:i w:val="1"/>
          <w:iCs w:val="1"/>
          <w:color w:val="auto"/>
        </w:rPr>
        <w:t>Warrant Securities</w:t>
      </w:r>
      <w:r>
        <w:rPr>
          <w:rFonts w:ascii="Times New Roman" w:cs="Times New Roman" w:eastAsia="Times New Roman" w:hAnsi="Times New Roman"/>
          <w:sz w:val="14"/>
          <w:szCs w:val="14"/>
          <w:color w:val="auto"/>
        </w:rPr>
        <w:t>”), of Tempus AI, Inc.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on the following basis: during the period from [•], through and including [•], the exercise price per Warrant Security will be $[•], subject to adjustment as provided in the Warrant Agreement (as hereinafter defined) (the “</w:t>
      </w:r>
      <w:r>
        <w:rPr>
          <w:rFonts w:ascii="Times New Roman" w:cs="Times New Roman" w:eastAsia="Times New Roman" w:hAnsi="Times New Roman"/>
          <w:sz w:val="14"/>
          <w:szCs w:val="14"/>
          <w:b w:val="1"/>
          <w:bCs w:val="1"/>
          <w:i w:val="1"/>
          <w:iCs w:val="1"/>
          <w:color w:val="auto"/>
        </w:rPr>
        <w:t>Warrant Price</w:t>
      </w:r>
      <w:r>
        <w:rPr>
          <w:rFonts w:ascii="Times New Roman" w:cs="Times New Roman" w:eastAsia="Times New Roman" w:hAnsi="Times New Roman"/>
          <w:sz w:val="14"/>
          <w:szCs w:val="14"/>
          <w:color w:val="auto"/>
        </w:rPr>
        <w:t>”).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 w:cs="Times New Roman" w:eastAsia="Times New Roman" w:hAnsi="Times New Roman"/>
          <w:sz w:val="14"/>
          <w:szCs w:val="14"/>
          <w:b w:val="1"/>
          <w:bCs w:val="1"/>
          <w:i w:val="1"/>
          <w:iCs w:val="1"/>
          <w:color w:val="auto"/>
        </w:rPr>
        <w:t>Warrant Agent</w:t>
      </w:r>
      <w:r>
        <w:rPr>
          <w:rFonts w:ascii="Times New Roman" w:cs="Times New Roman" w:eastAsia="Times New Roman" w:hAnsi="Times New Roman"/>
          <w:sz w:val="14"/>
          <w:szCs w:val="14"/>
          <w:color w:val="auto"/>
        </w:rPr>
        <w:t>”), which is, on the date hereof, at the address specified on the reverse hereof, and upon compliance with and subject to the conditions set forth herein and in the Warrant Agreement (as hereinafter defined).</w:t>
      </w:r>
    </w:p>
    <w:p>
      <w:pPr>
        <w:spacing w:after="0" w:line="142" w:lineRule="exact"/>
        <w:rPr>
          <w:sz w:val="20"/>
          <w:szCs w:val="20"/>
          <w:color w:val="auto"/>
        </w:rPr>
      </w:pPr>
    </w:p>
    <w:p>
      <w:pPr>
        <w:ind w:left="260" w:right="579"/>
        <w:spacing w:after="0" w:line="281" w:lineRule="auto"/>
        <w:rPr>
          <w:sz w:val="20"/>
          <w:szCs w:val="20"/>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b w:val="1"/>
          <w:bCs w:val="1"/>
          <w:i w:val="1"/>
          <w:iCs w:val="1"/>
          <w:color w:val="auto"/>
        </w:rPr>
        <w:t>Holder</w:t>
      </w:r>
      <w:r>
        <w:rPr>
          <w:rFonts w:ascii="Times New Roman" w:cs="Times New Roman" w:eastAsia="Times New Roman" w:hAnsi="Times New Roman"/>
          <w:sz w:val="14"/>
          <w:szCs w:val="14"/>
          <w:color w:val="auto"/>
        </w:rPr>
        <w:t>” as used herein shall mean the person in whose name at the time this Warrant Certificate shall be registered upon the books to be maintained by the Warrant Agent for that purpose pursuant to Section 4 of the Warrant Agreement.</w:t>
      </w:r>
    </w:p>
    <w:p>
      <w:pPr>
        <w:spacing w:after="0" w:line="124" w:lineRule="exact"/>
        <w:rPr>
          <w:sz w:val="20"/>
          <w:szCs w:val="20"/>
          <w:color w:val="auto"/>
        </w:rPr>
      </w:pPr>
    </w:p>
    <w:p>
      <w:pPr>
        <w:ind w:left="260" w:right="459"/>
        <w:spacing w:after="0" w:line="263" w:lineRule="auto"/>
        <w:rPr>
          <w:sz w:val="20"/>
          <w:szCs w:val="20"/>
          <w:color w:val="auto"/>
        </w:rPr>
      </w:pPr>
      <w:r>
        <w:rPr>
          <w:rFonts w:ascii="Times New Roman" w:cs="Times New Roman" w:eastAsia="Times New Roman" w:hAnsi="Times New Roman"/>
          <w:sz w:val="14"/>
          <w:szCs w:val="14"/>
          <w:color w:val="auto"/>
        </w:rPr>
        <w:t>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w:t>
      </w:r>
    </w:p>
    <w:p>
      <w:pPr>
        <w:spacing w:after="0" w:line="134" w:lineRule="exact"/>
        <w:rPr>
          <w:sz w:val="20"/>
          <w:szCs w:val="20"/>
          <w:color w:val="auto"/>
        </w:rPr>
      </w:pPr>
    </w:p>
    <w:p>
      <w:pPr>
        <w:ind w:left="260" w:right="299"/>
        <w:spacing w:after="0" w:line="259" w:lineRule="auto"/>
        <w:rPr>
          <w:sz w:val="20"/>
          <w:szCs w:val="20"/>
          <w:color w:val="auto"/>
        </w:rPr>
      </w:pPr>
      <w:r>
        <w:rPr>
          <w:rFonts w:ascii="Times New Roman" w:cs="Times New Roman" w:eastAsia="Times New Roman" w:hAnsi="Times New Roman"/>
          <w:sz w:val="14"/>
          <w:szCs w:val="14"/>
          <w:color w:val="auto"/>
        </w:rPr>
        <w:t>This Warrant Certificate is issued under and in accordance with the Warrant Agreement dated as of [•] (the “</w:t>
      </w:r>
      <w:r>
        <w:rPr>
          <w:rFonts w:ascii="Times New Roman" w:cs="Times New Roman" w:eastAsia="Times New Roman" w:hAnsi="Times New Roman"/>
          <w:sz w:val="14"/>
          <w:szCs w:val="14"/>
          <w:b w:val="1"/>
          <w:bCs w:val="1"/>
          <w:i w:val="1"/>
          <w:iCs w:val="1"/>
          <w:color w:val="auto"/>
        </w:rPr>
        <w:t>Warrant Agreement</w:t>
      </w:r>
      <w:r>
        <w:rPr>
          <w:rFonts w:ascii="Times New Roman" w:cs="Times New Roman" w:eastAsia="Times New Roman" w:hAnsi="Times New Roman"/>
          <w:sz w:val="14"/>
          <w:szCs w:val="14"/>
          <w:color w:val="auto"/>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spacing w:after="0" w:line="139" w:lineRule="exact"/>
        <w:rPr>
          <w:sz w:val="20"/>
          <w:szCs w:val="20"/>
          <w:color w:val="auto"/>
        </w:rPr>
      </w:pPr>
    </w:p>
    <w:p>
      <w:pPr>
        <w:ind w:left="260" w:right="399"/>
        <w:spacing w:after="0" w:line="278" w:lineRule="auto"/>
        <w:rPr>
          <w:sz w:val="20"/>
          <w:szCs w:val="20"/>
          <w:color w:val="auto"/>
        </w:rPr>
      </w:pPr>
      <w:r>
        <w:rPr>
          <w:rFonts w:ascii="Times New Roman" w:cs="Times New Roman" w:eastAsia="Times New Roman" w:hAnsi="Times New Roman"/>
          <w:sz w:val="14"/>
          <w:szCs w:val="14"/>
          <w:color w:val="auto"/>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spacing w:after="0" w:line="126" w:lineRule="exact"/>
        <w:rPr>
          <w:sz w:val="20"/>
          <w:szCs w:val="20"/>
          <w:color w:val="auto"/>
        </w:rPr>
      </w:pPr>
    </w:p>
    <w:p>
      <w:pPr>
        <w:ind w:left="260" w:right="539"/>
        <w:spacing w:after="0" w:line="318" w:lineRule="auto"/>
        <w:rPr>
          <w:sz w:val="20"/>
          <w:szCs w:val="20"/>
          <w:color w:val="auto"/>
        </w:rPr>
      </w:pPr>
      <w:r>
        <w:rPr>
          <w:rFonts w:ascii="Times New Roman" w:cs="Times New Roman" w:eastAsia="Times New Roman" w:hAnsi="Times New Roman"/>
          <w:sz w:val="13"/>
          <w:szCs w:val="13"/>
          <w:color w:val="auto"/>
        </w:rPr>
        <w:t>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w:t>
      </w:r>
    </w:p>
    <w:p>
      <w:pPr>
        <w:spacing w:after="0" w:line="103" w:lineRule="exact"/>
        <w:rPr>
          <w:sz w:val="20"/>
          <w:szCs w:val="20"/>
          <w:color w:val="auto"/>
        </w:rPr>
      </w:pPr>
    </w:p>
    <w:p>
      <w:pPr>
        <w:jc w:val="both"/>
        <w:ind w:left="260" w:right="439"/>
        <w:spacing w:after="0" w:line="263" w:lineRule="auto"/>
        <w:rPr>
          <w:sz w:val="20"/>
          <w:szCs w:val="20"/>
          <w:color w:val="auto"/>
        </w:rPr>
      </w:pPr>
      <w:r>
        <w:rPr>
          <w:rFonts w:ascii="Times New Roman" w:cs="Times New Roman" w:eastAsia="Times New Roman" w:hAnsi="Times New Roman"/>
          <w:sz w:val="14"/>
          <w:szCs w:val="14"/>
          <w:color w:val="auto"/>
        </w:rPr>
        <w:t>This Warrant Certificate shall not entitle the Holder hereof to any of the rights of a holder of the Warrant Securities, including, without limitation, the right to receive payments of dividends or distributions, if any, on the Warrant Securities (except to the extent set forth in the Warrant Agreement) or to exercise any voting rights.</w:t>
      </w:r>
    </w:p>
    <w:p>
      <w:pPr>
        <w:sectPr>
          <w:pgSz w:w="11900" w:h="16838" w:orient="portrait"/>
          <w:cols w:equalWidth="0" w:num="1">
            <w:col w:w="9019"/>
          </w:cols>
          <w:pgMar w:left="1440" w:top="237" w:right="1440" w:bottom="1440" w:gutter="0" w:footer="0" w:header="0"/>
        </w:sectPr>
      </w:pPr>
    </w:p>
    <w:bookmarkStart w:id="154" w:name="page155"/>
    <w:bookmarkEnd w:id="154"/>
    <w:p>
      <w:pPr>
        <w:ind w:left="260" w:right="679"/>
        <w:spacing w:after="0" w:line="27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Reference is hereby made to the further provisions of this Warrant Certificate set forth on the reverse hereof, which further provisions shall for all purposes have the same effect as if set forth at this place.</w:t>
      </w:r>
    </w:p>
    <w:p>
      <w:pPr>
        <w:spacing w:after="0" w:line="1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This Warrant Certificate shall not be valid or obligatory for any purpose until countersigned by the Warrant Agent.</w:t>
      </w:r>
    </w:p>
    <w:p>
      <w:pPr>
        <w:spacing w:after="0" w:line="170" w:lineRule="exact"/>
        <w:rPr>
          <w:sz w:val="20"/>
          <w:szCs w:val="20"/>
          <w:color w:val="auto"/>
        </w:rPr>
      </w:pPr>
    </w:p>
    <w:p>
      <w:pPr>
        <w:ind w:left="260" w:right="679"/>
        <w:spacing w:after="0" w:line="281" w:lineRule="auto"/>
        <w:rPr>
          <w:sz w:val="20"/>
          <w:szCs w:val="20"/>
          <w:color w:val="auto"/>
        </w:rPr>
      </w:pPr>
      <w:r>
        <w:rPr>
          <w:rFonts w:ascii="Times New Roman" w:cs="Times New Roman" w:eastAsia="Times New Roman" w:hAnsi="Times New Roman"/>
          <w:sz w:val="14"/>
          <w:szCs w:val="14"/>
          <w:b w:val="1"/>
          <w:bCs w:val="1"/>
          <w:color w:val="auto"/>
        </w:rPr>
        <w:t>I</w:t>
      </w:r>
      <w:r>
        <w:rPr>
          <w:rFonts w:ascii="Times New Roman" w:cs="Times New Roman" w:eastAsia="Times New Roman" w:hAnsi="Times New Roman"/>
          <w:sz w:val="11"/>
          <w:szCs w:val="11"/>
          <w:b w:val="1"/>
          <w:bCs w:val="1"/>
          <w:color w:val="auto"/>
        </w:rPr>
        <w:t>N</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1"/>
          <w:szCs w:val="11"/>
          <w:b w:val="1"/>
          <w:bCs w:val="1"/>
          <w:color w:val="auto"/>
        </w:rPr>
        <w:t>ITNESS</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1"/>
          <w:szCs w:val="11"/>
          <w:b w:val="1"/>
          <w:bCs w:val="1"/>
          <w:color w:val="auto"/>
        </w:rPr>
        <w:t>HEREOF</w:t>
      </w:r>
      <w:r>
        <w:rPr>
          <w:rFonts w:ascii="Times New Roman" w:cs="Times New Roman" w:eastAsia="Times New Roman" w:hAnsi="Times New Roman"/>
          <w:sz w:val="14"/>
          <w:szCs w:val="14"/>
          <w:color w:val="auto"/>
        </w:rPr>
        <w:t>, the Company has caused this Warrant to be executed in its name and on its behalf by the facsimile signatures of its duly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authorized officers.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-6350</wp:posOffset>
            </wp:positionV>
            <wp:extent cx="440055" cy="6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3">
                      <a:extLst>
                        <a:ext uri="{28A0092B-C50C-407E-A947-70E740481C1C}"/>
                      </a:extLst>
                    </a:blip>
                    <a:srcRect/>
                    <a:stretch>
                      <a:fillRect/>
                    </a:stretch>
                  </pic:blipFill>
                  <pic:spPr bwMode="auto">
                    <a:xfrm>
                      <a:off x="0" y="0"/>
                      <a:ext cx="440055" cy="6350"/>
                    </a:xfrm>
                    <a:prstGeom prst="rect">
                      <a:avLst/>
                    </a:prstGeom>
                    <a:noFill/>
                  </pic:spPr>
                </pic:pic>
              </a:graphicData>
            </a:graphic>
          </wp:anchor>
        </w:drawing>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Tempus AI, Inc.</w:t>
      </w:r>
      <w:r>
        <w:rPr>
          <w:rFonts w:ascii="Times New Roman" w:cs="Times New Roman" w:eastAsia="Times New Roman" w:hAnsi="Times New Roman"/>
          <w:sz w:val="14"/>
          <w:szCs w:val="14"/>
          <w:color w:val="auto"/>
        </w:rPr>
        <w:t>, as Company</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wp:posOffset>
            </wp:positionH>
            <wp:positionV relativeFrom="paragraph">
              <wp:posOffset>12700</wp:posOffset>
            </wp:positionV>
            <wp:extent cx="1703705"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4">
                      <a:extLst>
                        <a:ext uri="{28A0092B-C50C-407E-A947-70E740481C1C}"/>
                      </a:extLst>
                    </a:blip>
                    <a:srcRect/>
                    <a:stretch>
                      <a:fillRect/>
                    </a:stretch>
                  </pic:blipFill>
                  <pic:spPr bwMode="auto">
                    <a:xfrm>
                      <a:off x="0" y="0"/>
                      <a:ext cx="1703705" cy="6350"/>
                    </a:xfrm>
                    <a:prstGeom prst="rect">
                      <a:avLst/>
                    </a:prstGeom>
                    <a:noFill/>
                  </pic:spPr>
                </pic:pic>
              </a:graphicData>
            </a:graphic>
          </wp:anchor>
        </w:drawing>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Name:</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wp:posOffset>
            </wp:positionH>
            <wp:positionV relativeFrom="paragraph">
              <wp:posOffset>16510</wp:posOffset>
            </wp:positionV>
            <wp:extent cx="1703705" cy="63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5">
                      <a:extLst>
                        <a:ext uri="{28A0092B-C50C-407E-A947-70E740481C1C}"/>
                      </a:extLst>
                    </a:blip>
                    <a:srcRect/>
                    <a:stretch>
                      <a:fillRect/>
                    </a:stretch>
                  </pic:blipFill>
                  <pic:spPr bwMode="auto">
                    <a:xfrm>
                      <a:off x="0" y="0"/>
                      <a:ext cx="1703705" cy="6350"/>
                    </a:xfrm>
                    <a:prstGeom prst="rect">
                      <a:avLst/>
                    </a:prstGeom>
                    <a:noFill/>
                  </pic:spPr>
                </pic:pic>
              </a:graphicData>
            </a:graphic>
          </wp:anchor>
        </w:drawing>
        <w:drawing>
          <wp:anchor simplePos="0" relativeHeight="251657728" behindDoc="1" locked="0" layoutInCell="0" allowOverlap="1">
            <wp:simplePos x="0" y="0"/>
            <wp:positionH relativeFrom="column">
              <wp:posOffset>618490</wp:posOffset>
            </wp:positionH>
            <wp:positionV relativeFrom="paragraph">
              <wp:posOffset>-95250</wp:posOffset>
            </wp:positionV>
            <wp:extent cx="1703705" cy="63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6">
                      <a:extLst>
                        <a:ext uri="{28A0092B-C50C-407E-A947-70E740481C1C}"/>
                      </a:extLst>
                    </a:blip>
                    <a:srcRect/>
                    <a:stretch>
                      <a:fillRect/>
                    </a:stretch>
                  </pic:blipFill>
                  <pic:spPr bwMode="auto">
                    <a:xfrm>
                      <a:off x="0" y="0"/>
                      <a:ext cx="1703705" cy="6350"/>
                    </a:xfrm>
                    <a:prstGeom prst="rect">
                      <a:avLst/>
                    </a:prstGeom>
                    <a:noFill/>
                  </pic:spPr>
                </pic:pic>
              </a:graphicData>
            </a:graphic>
          </wp:anchor>
        </w:drawing>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wp:posOffset>
            </wp:positionH>
            <wp:positionV relativeFrom="paragraph">
              <wp:posOffset>126365</wp:posOffset>
            </wp:positionV>
            <wp:extent cx="1703705" cy="6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7">
                      <a:extLst>
                        <a:ext uri="{28A0092B-C50C-407E-A947-70E740481C1C}"/>
                      </a:extLst>
                    </a:blip>
                    <a:srcRect/>
                    <a:stretch>
                      <a:fillRect/>
                    </a:stretch>
                  </pic:blipFill>
                  <pic:spPr bwMode="auto">
                    <a:xfrm>
                      <a:off x="0" y="0"/>
                      <a:ext cx="1703705" cy="6350"/>
                    </a:xfrm>
                    <a:prstGeom prst="rect">
                      <a:avLst/>
                    </a:prstGeom>
                    <a:noFill/>
                  </pic:spPr>
                </pic:pic>
              </a:graphicData>
            </a:graphic>
          </wp:anchor>
        </w:drawing>
        <w:drawing>
          <wp:anchor simplePos="0" relativeHeight="251657728" behindDoc="1" locked="0" layoutInCell="0" allowOverlap="1">
            <wp:simplePos x="0" y="0"/>
            <wp:positionH relativeFrom="column">
              <wp:posOffset>618490</wp:posOffset>
            </wp:positionH>
            <wp:positionV relativeFrom="paragraph">
              <wp:posOffset>13970</wp:posOffset>
            </wp:positionV>
            <wp:extent cx="1703705" cy="63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8">
                      <a:extLst>
                        <a:ext uri="{28A0092B-C50C-407E-A947-70E740481C1C}"/>
                      </a:extLst>
                    </a:blip>
                    <a:srcRect/>
                    <a:stretch>
                      <a:fillRect/>
                    </a:stretch>
                  </pic:blipFill>
                  <pic:spPr bwMode="auto">
                    <a:xfrm>
                      <a:off x="0" y="0"/>
                      <a:ext cx="1703705" cy="6350"/>
                    </a:xfrm>
                    <a:prstGeom prst="rect">
                      <a:avLst/>
                    </a:prstGeom>
                    <a:noFill/>
                  </pic:spPr>
                </pic:pic>
              </a:graphicData>
            </a:graphic>
          </wp:anchor>
        </w:drawing>
      </w:r>
    </w:p>
    <w:p>
      <w:pPr>
        <w:spacing w:after="0" w:line="3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COUNTERSIGNED</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as Warrant Agent</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wp:posOffset>
            </wp:positionH>
            <wp:positionV relativeFrom="paragraph">
              <wp:posOffset>12700</wp:posOffset>
            </wp:positionV>
            <wp:extent cx="1703705" cy="63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9">
                      <a:extLst>
                        <a:ext uri="{28A0092B-C50C-407E-A947-70E740481C1C}"/>
                      </a:extLst>
                    </a:blip>
                    <a:srcRect/>
                    <a:stretch>
                      <a:fillRect/>
                    </a:stretch>
                  </pic:blipFill>
                  <pic:spPr bwMode="auto">
                    <a:xfrm>
                      <a:off x="0" y="0"/>
                      <a:ext cx="1703705" cy="6350"/>
                    </a:xfrm>
                    <a:prstGeom prst="rect">
                      <a:avLst/>
                    </a:prstGeom>
                    <a:noFill/>
                  </pic:spPr>
                </pic:pic>
              </a:graphicData>
            </a:graphic>
          </wp:anchor>
        </w:drawing>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Name:</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wp:posOffset>
            </wp:positionH>
            <wp:positionV relativeFrom="paragraph">
              <wp:posOffset>16510</wp:posOffset>
            </wp:positionV>
            <wp:extent cx="1703705" cy="63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0">
                      <a:extLst>
                        <a:ext uri="{28A0092B-C50C-407E-A947-70E740481C1C}"/>
                      </a:extLst>
                    </a:blip>
                    <a:srcRect/>
                    <a:stretch>
                      <a:fillRect/>
                    </a:stretch>
                  </pic:blipFill>
                  <pic:spPr bwMode="auto">
                    <a:xfrm>
                      <a:off x="0" y="0"/>
                      <a:ext cx="1703705" cy="6350"/>
                    </a:xfrm>
                    <a:prstGeom prst="rect">
                      <a:avLst/>
                    </a:prstGeom>
                    <a:noFill/>
                  </pic:spPr>
                </pic:pic>
              </a:graphicData>
            </a:graphic>
          </wp:anchor>
        </w:drawing>
        <w:drawing>
          <wp:anchor simplePos="0" relativeHeight="251657728" behindDoc="1" locked="0" layoutInCell="0" allowOverlap="1">
            <wp:simplePos x="0" y="0"/>
            <wp:positionH relativeFrom="column">
              <wp:posOffset>618490</wp:posOffset>
            </wp:positionH>
            <wp:positionV relativeFrom="paragraph">
              <wp:posOffset>-95250</wp:posOffset>
            </wp:positionV>
            <wp:extent cx="1703705" cy="63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1">
                      <a:extLst>
                        <a:ext uri="{28A0092B-C50C-407E-A947-70E740481C1C}"/>
                      </a:extLst>
                    </a:blip>
                    <a:srcRect/>
                    <a:stretch>
                      <a:fillRect/>
                    </a:stretch>
                  </pic:blipFill>
                  <pic:spPr bwMode="auto">
                    <a:xfrm>
                      <a:off x="0" y="0"/>
                      <a:ext cx="1703705" cy="6350"/>
                    </a:xfrm>
                    <a:prstGeom prst="rect">
                      <a:avLst/>
                    </a:prstGeom>
                    <a:noFill/>
                  </pic:spPr>
                </pic:pic>
              </a:graphicData>
            </a:graphic>
          </wp:anchor>
        </w:drawing>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wp:posOffset>
            </wp:positionH>
            <wp:positionV relativeFrom="paragraph">
              <wp:posOffset>126365</wp:posOffset>
            </wp:positionV>
            <wp:extent cx="1703705" cy="63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2">
                      <a:extLst>
                        <a:ext uri="{28A0092B-C50C-407E-A947-70E740481C1C}"/>
                      </a:extLst>
                    </a:blip>
                    <a:srcRect/>
                    <a:stretch>
                      <a:fillRect/>
                    </a:stretch>
                  </pic:blipFill>
                  <pic:spPr bwMode="auto">
                    <a:xfrm>
                      <a:off x="0" y="0"/>
                      <a:ext cx="1703705" cy="6350"/>
                    </a:xfrm>
                    <a:prstGeom prst="rect">
                      <a:avLst/>
                    </a:prstGeom>
                    <a:noFill/>
                  </pic:spPr>
                </pic:pic>
              </a:graphicData>
            </a:graphic>
          </wp:anchor>
        </w:drawing>
        <w:drawing>
          <wp:anchor simplePos="0" relativeHeight="251657728" behindDoc="1" locked="0" layoutInCell="0" allowOverlap="1">
            <wp:simplePos x="0" y="0"/>
            <wp:positionH relativeFrom="column">
              <wp:posOffset>618490</wp:posOffset>
            </wp:positionH>
            <wp:positionV relativeFrom="paragraph">
              <wp:posOffset>13970</wp:posOffset>
            </wp:positionV>
            <wp:extent cx="1703705" cy="63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3">
                      <a:extLst>
                        <a:ext uri="{28A0092B-C50C-407E-A947-70E740481C1C}"/>
                      </a:extLst>
                    </a:blip>
                    <a:srcRect/>
                    <a:stretch>
                      <a:fillRect/>
                    </a:stretch>
                  </pic:blipFill>
                  <pic:spPr bwMode="auto">
                    <a:xfrm>
                      <a:off x="0" y="0"/>
                      <a:ext cx="1703705" cy="6350"/>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[REVERSE OF WARRANT CERTIFICATE]</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(Instructions for Exercise of Warrant)</w:t>
      </w:r>
    </w:p>
    <w:p>
      <w:pPr>
        <w:spacing w:after="0" w:line="174" w:lineRule="exact"/>
        <w:rPr>
          <w:sz w:val="20"/>
          <w:szCs w:val="20"/>
          <w:color w:val="auto"/>
        </w:rPr>
      </w:pPr>
    </w:p>
    <w:p>
      <w:pPr>
        <w:ind w:left="260" w:right="279" w:firstLine="339"/>
        <w:spacing w:after="0" w:line="254" w:lineRule="auto"/>
        <w:rPr>
          <w:sz w:val="20"/>
          <w:szCs w:val="20"/>
          <w:color w:val="auto"/>
        </w:rPr>
      </w:pPr>
      <w:r>
        <w:rPr>
          <w:rFonts w:ascii="Times New Roman" w:cs="Times New Roman" w:eastAsia="Times New Roman" w:hAnsi="Times New Roman"/>
          <w:sz w:val="14"/>
          <w:szCs w:val="14"/>
          <w:color w:val="auto"/>
        </w:rPr>
        <w:t>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(To be executed upon exercise of Warrants)</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The undersigned hereby irrevocably elects to exercise ______ Warrants, evidenced by this Warrant Certificate, to purchase _______ shares of the</w:t>
      </w:r>
    </w:p>
    <w:p>
      <w:pPr>
        <w:spacing w:after="0" w:line="32" w:lineRule="exact"/>
        <w:rPr>
          <w:sz w:val="20"/>
          <w:szCs w:val="20"/>
          <w:color w:val="auto"/>
        </w:rPr>
      </w:pPr>
    </w:p>
    <w:p>
      <w:pPr>
        <w:ind w:left="260" w:right="299"/>
        <w:spacing w:after="0" w:line="273" w:lineRule="auto"/>
        <w:rPr>
          <w:sz w:val="20"/>
          <w:szCs w:val="20"/>
          <w:color w:val="auto"/>
        </w:rPr>
      </w:pPr>
      <w:r>
        <w:rPr>
          <w:rFonts w:ascii="Times New Roman" w:cs="Times New Roman" w:eastAsia="Times New Roman" w:hAnsi="Times New Roman"/>
          <w:sz w:val="13"/>
          <w:szCs w:val="13"/>
          <w:color w:val="auto"/>
        </w:rPr>
        <w:t>Class A Common Stock, par value $0.0001 per share (the “</w:t>
      </w:r>
      <w:r>
        <w:rPr>
          <w:rFonts w:ascii="Times New Roman" w:cs="Times New Roman" w:eastAsia="Times New Roman" w:hAnsi="Times New Roman"/>
          <w:sz w:val="13"/>
          <w:szCs w:val="13"/>
          <w:b w:val="1"/>
          <w:bCs w:val="1"/>
          <w:i w:val="1"/>
          <w:iCs w:val="1"/>
          <w:color w:val="auto"/>
        </w:rPr>
        <w:t>Warrant Securities</w:t>
      </w:r>
      <w:r>
        <w:rPr>
          <w:rFonts w:ascii="Times New Roman" w:cs="Times New Roman" w:eastAsia="Times New Roman" w:hAnsi="Times New Roman"/>
          <w:sz w:val="13"/>
          <w:szCs w:val="13"/>
          <w:color w:val="auto"/>
        </w:rPr>
        <w:t>”), of Tempus AI, Inc. and represents that the undersigned has tendered payment for such Warrant Securities, in lawful money of the United States of America, [in cash or by certified check or official bank check in New York Clearing House funds] [by bank wire transfer in immediately available funds], to the order of Tempus AI, Inc., c/o [insert name and address of Warrant Agent], in the amount of $_________ in accordance with the terms hereof. The undersigned requests that said Warrant Securities be in fully registered form in the authorized denominations, registered in such names and delivered all as specified in accordance with the instructions set forth below.</w:t>
      </w:r>
    </w:p>
    <w:p>
      <w:pPr>
        <w:spacing w:after="0" w:line="133" w:lineRule="exact"/>
        <w:rPr>
          <w:sz w:val="20"/>
          <w:szCs w:val="20"/>
          <w:color w:val="auto"/>
        </w:rPr>
      </w:pPr>
    </w:p>
    <w:p>
      <w:pPr>
        <w:ind w:left="260" w:right="579" w:firstLine="339"/>
        <w:spacing w:after="0" w:line="263" w:lineRule="auto"/>
        <w:rPr>
          <w:sz w:val="20"/>
          <w:szCs w:val="20"/>
          <w:color w:val="auto"/>
        </w:rPr>
      </w:pPr>
      <w:r>
        <w:rPr>
          <w:rFonts w:ascii="Times New Roman" w:cs="Times New Roman" w:eastAsia="Times New Roman" w:hAnsi="Times New Roman"/>
          <w:sz w:val="14"/>
          <w:szCs w:val="14"/>
          <w:color w:val="auto"/>
        </w:rPr>
        <w:t>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w:t>
      </w:r>
    </w:p>
    <w:p>
      <w:pPr>
        <w:spacing w:after="0" w:line="157" w:lineRule="exact"/>
        <w:rPr>
          <w:sz w:val="20"/>
          <w:szCs w:val="20"/>
          <w:color w:val="auto"/>
        </w:rPr>
      </w:pPr>
    </w:p>
    <w:p>
      <w:pPr>
        <w:ind w:left="260"/>
        <w:spacing w:after="0"/>
        <w:tabs>
          <w:tab w:leader="none" w:pos="4760" w:val="left"/>
        </w:tabs>
        <w:rPr>
          <w:sz w:val="20"/>
          <w:szCs w:val="20"/>
          <w:color w:val="auto"/>
        </w:rPr>
      </w:pPr>
      <w:r>
        <w:rPr>
          <w:rFonts w:ascii="Times New Roman" w:cs="Times New Roman" w:eastAsia="Times New Roman" w:hAnsi="Times New Roman"/>
          <w:sz w:val="14"/>
          <w:szCs w:val="14"/>
          <w:color w:val="auto"/>
        </w:rPr>
        <w:t>Dated:</w:t>
      </w:r>
      <w:r>
        <w:rPr>
          <w:sz w:val="20"/>
          <w:szCs w:val="20"/>
          <w:color w:val="auto"/>
        </w:rPr>
        <w:tab/>
      </w: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12700</wp:posOffset>
            </wp:positionV>
            <wp:extent cx="5123815" cy="63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5">
                      <a:extLst>
                        <a:ext uri="{28A0092B-C50C-407E-A947-70E740481C1C}"/>
                      </a:extLst>
                    </a:blip>
                    <a:srcRect/>
                    <a:stretch>
                      <a:fillRect/>
                    </a:stretch>
                  </pic:blipFill>
                  <pic:spPr bwMode="auto">
                    <a:xfrm>
                      <a:off x="0" y="0"/>
                      <a:ext cx="5123815" cy="6350"/>
                    </a:xfrm>
                    <a:prstGeom prst="rect">
                      <a:avLst/>
                    </a:prstGeom>
                    <a:noFill/>
                  </pic:spPr>
                </pic:pic>
              </a:graphicData>
            </a:graphic>
          </wp:anchor>
        </w:drawing>
      </w:r>
    </w:p>
    <w:p>
      <w:pPr>
        <w:spacing w:after="0" w:line="1"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4"/>
          <w:szCs w:val="14"/>
          <w:color w:val="auto"/>
        </w:rPr>
        <w:t>Please Print</w:t>
      </w:r>
    </w:p>
    <w:p>
      <w:pPr>
        <w:spacing w:after="0" w:line="1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Address:</w:t>
      </w:r>
    </w:p>
    <w:p>
      <w:pPr>
        <w:spacing w:after="0" w:line="200" w:lineRule="exact"/>
        <w:rPr>
          <w:sz w:val="20"/>
          <w:szCs w:val="20"/>
          <w:color w:val="auto"/>
        </w:rPr>
      </w:pP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(Insert Social Security or Other Identifying Number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-99060</wp:posOffset>
            </wp:positionV>
            <wp:extent cx="2152650" cy="63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6">
                      <a:extLst>
                        <a:ext uri="{28A0092B-C50C-407E-A947-70E740481C1C}"/>
                      </a:extLst>
                    </a:blip>
                    <a:srcRect/>
                    <a:stretch>
                      <a:fillRect/>
                    </a:stretch>
                  </pic:blipFill>
                  <pic:spPr bwMode="auto">
                    <a:xfrm>
                      <a:off x="0" y="0"/>
                      <a:ext cx="2152650" cy="6350"/>
                    </a:xfrm>
                    <a:prstGeom prst="rect">
                      <a:avLst/>
                    </a:prstGeom>
                    <a:noFill/>
                  </pic:spPr>
                </pic:pic>
              </a:graphicData>
            </a:graphic>
          </wp:anchor>
        </w:drawing>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Holder)</w:t>
      </w:r>
    </w:p>
    <w:p>
      <w:pPr>
        <w:spacing w:after="0" w:line="3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1113790</wp:posOffset>
            </wp:positionH>
            <wp:positionV relativeFrom="paragraph">
              <wp:posOffset>12700</wp:posOffset>
            </wp:positionV>
            <wp:extent cx="1208405" cy="63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7">
                      <a:extLst>
                        <a:ext uri="{28A0092B-C50C-407E-A947-70E740481C1C}"/>
                      </a:extLst>
                    </a:blip>
                    <a:srcRect/>
                    <a:stretch>
                      <a:fillRect/>
                    </a:stretch>
                  </pic:blipFill>
                  <pic:spPr bwMode="auto">
                    <a:xfrm>
                      <a:off x="0" y="0"/>
                      <a:ext cx="1208405" cy="6350"/>
                    </a:xfrm>
                    <a:prstGeom prst="rect">
                      <a:avLst/>
                    </a:prstGeom>
                    <a:noFill/>
                  </pic:spPr>
                </pic:pic>
              </a:graphicData>
            </a:graphic>
          </wp:anchor>
        </w:drawing>
      </w:r>
    </w:p>
    <w:p>
      <w:pPr>
        <w:spacing w:after="0" w:line="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4"/>
          <w:szCs w:val="14"/>
          <w:color w:val="auto"/>
        </w:rPr>
        <w:t>Signature</w:t>
      </w:r>
    </w:p>
    <w:p>
      <w:pPr>
        <w:spacing w:after="0" w:line="167" w:lineRule="exact"/>
        <w:rPr>
          <w:sz w:val="20"/>
          <w:szCs w:val="20"/>
          <w:color w:val="auto"/>
        </w:rPr>
      </w:pPr>
    </w:p>
    <w:p>
      <w:pPr>
        <w:ind w:left="260" w:right="459"/>
        <w:spacing w:after="0" w:line="278" w:lineRule="auto"/>
        <w:rPr>
          <w:sz w:val="20"/>
          <w:szCs w:val="20"/>
          <w:color w:val="auto"/>
        </w:rPr>
      </w:pPr>
      <w:r>
        <w:rPr>
          <w:rFonts w:ascii="Times New Roman" w:cs="Times New Roman" w:eastAsia="Times New Roman" w:hAnsi="Times New Roman"/>
          <w:sz w:val="14"/>
          <w:szCs w:val="14"/>
          <w:color w:val="auto"/>
        </w:rPr>
        <w:t>(Signature must conform in all respects to name of holder as specified on the face of this Warrant Certificate and must bear a signature guarantee by a FINRA member firm).</w:t>
      </w:r>
    </w:p>
    <w:p>
      <w:pPr>
        <w:spacing w:after="0" w:line="1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This Warrant may be exercised at the following addresses: By hand at:</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237" w:right="1440" w:bottom="1440" w:gutter="0" w:footer="0" w:header="0"/>
        </w:sectPr>
      </w:pPr>
    </w:p>
    <w:bookmarkStart w:id="156" w:name="page157"/>
    <w:bookmarkEnd w:id="156"/>
    <w:p>
      <w:pPr>
        <w:ind w:left="2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By mail at:</w:t>
      </w:r>
    </w:p>
    <w:p>
      <w:pPr>
        <w:spacing w:after="0" w:line="89" w:lineRule="exact"/>
        <w:rPr>
          <w:sz w:val="20"/>
          <w:szCs w:val="20"/>
          <w:color w:val="auto"/>
        </w:rPr>
      </w:pPr>
    </w:p>
    <w:p>
      <w:pPr>
        <w:ind w:left="260" w:right="699"/>
        <w:spacing w:after="0" w:line="278" w:lineRule="auto"/>
        <w:rPr>
          <w:sz w:val="20"/>
          <w:szCs w:val="20"/>
          <w:color w:val="auto"/>
        </w:rPr>
      </w:pPr>
      <w:r>
        <w:rPr>
          <w:rFonts w:ascii="Times New Roman" w:cs="Times New Roman" w:eastAsia="Times New Roman" w:hAnsi="Times New Roman"/>
          <w:sz w:val="14"/>
          <w:szCs w:val="14"/>
          <w:color w:val="auto"/>
        </w:rPr>
        <w:t>[Instructions as to form and delivery of Warrant Securities and, if applicable, Warrant Certificates evidencing Warrants for the number of Warrant Securities remaining unexercised—complete as appropriate.]</w:t>
      </w:r>
    </w:p>
    <w:p>
      <w:pPr>
        <w:sectPr>
          <w:pgSz w:w="11900" w:h="16838" w:orient="portrait"/>
          <w:cols w:equalWidth="0" w:num="1">
            <w:col w:w="9019"/>
          </w:cols>
          <w:pgMar w:left="1440" w:top="239" w:right="1440" w:bottom="1440" w:gutter="0" w:footer="0" w:header="0"/>
        </w:sectPr>
      </w:pPr>
    </w:p>
    <w:bookmarkStart w:id="157" w:name="page158"/>
    <w:bookmarkEnd w:id="15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ASSIGNMENT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 of assignment to be executed if Warrant Holder desires to transfer Warrant]</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1"/>
          <w:szCs w:val="11"/>
          <w:b w:val="1"/>
          <w:bCs w:val="1"/>
          <w:color w:val="auto"/>
        </w:rPr>
        <w:t>OR</w:t>
      </w:r>
      <w:r>
        <w:rPr>
          <w:rFonts w:ascii="Times New Roman" w:cs="Times New Roman" w:eastAsia="Times New Roman" w:hAnsi="Times New Roman"/>
          <w:sz w:val="14"/>
          <w:szCs w:val="14"/>
          <w:b w:val="1"/>
          <w:bCs w:val="1"/>
          <w:color w:val="auto"/>
        </w:rPr>
        <w:t xml:space="preserve"> V</w:t>
      </w:r>
      <w:r>
        <w:rPr>
          <w:rFonts w:ascii="Times New Roman" w:cs="Times New Roman" w:eastAsia="Times New Roman" w:hAnsi="Times New Roman"/>
          <w:sz w:val="11"/>
          <w:szCs w:val="11"/>
          <w:b w:val="1"/>
          <w:bCs w:val="1"/>
          <w:color w:val="auto"/>
        </w:rPr>
        <w:t>ALUE</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ECEIVED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______________ hereby sells, assigns and transfers unto:</w:t>
      </w:r>
    </w:p>
    <w:p>
      <w:pPr>
        <w:spacing w:after="0" w:line="361" w:lineRule="exact"/>
        <w:rPr>
          <w:sz w:val="20"/>
          <w:szCs w:val="20"/>
          <w:color w:val="auto"/>
        </w:rPr>
      </w:pPr>
    </w:p>
    <w:p>
      <w:pPr>
        <w:ind w:left="260"/>
        <w:spacing w:after="0"/>
        <w:tabs>
          <w:tab w:leader="none" w:pos="4320" w:val="left"/>
          <w:tab w:leader="none" w:pos="4920" w:val="left"/>
        </w:tabs>
        <w:rPr>
          <w:sz w:val="20"/>
          <w:szCs w:val="20"/>
          <w:color w:val="auto"/>
        </w:rPr>
      </w:pPr>
      <w:r>
        <w:rPr>
          <w:rFonts w:ascii="Times New Roman" w:cs="Times New Roman" w:eastAsia="Times New Roman" w:hAnsi="Times New Roman"/>
          <w:sz w:val="14"/>
          <w:szCs w:val="14"/>
          <w:color w:val="auto"/>
        </w:rPr>
        <w:t>(Please print name and address including zip code)</w:t>
      </w:r>
      <w:r>
        <w:rPr>
          <w:sz w:val="20"/>
          <w:szCs w:val="20"/>
          <w:color w:val="auto"/>
        </w:rPr>
        <w:tab/>
      </w:r>
      <w:r>
        <w:rPr>
          <w:rFonts w:ascii="Times New Roman" w:cs="Times New Roman" w:eastAsia="Times New Roman" w:hAnsi="Times New Roman"/>
          <w:sz w:val="14"/>
          <w:szCs w:val="14"/>
          <w:color w:val="auto"/>
        </w:rPr>
        <w:t xml:space="preserve">       </w:t>
      </w:r>
      <w:r>
        <w:rPr>
          <w:sz w:val="20"/>
          <w:szCs w:val="20"/>
          <w:color w:val="auto"/>
        </w:rPr>
        <w:tab/>
      </w:r>
      <w:r>
        <w:rPr>
          <w:rFonts w:ascii="Times New Roman" w:cs="Times New Roman" w:eastAsia="Times New Roman" w:hAnsi="Times New Roman"/>
          <w:sz w:val="13"/>
          <w:szCs w:val="13"/>
          <w:color w:val="auto"/>
        </w:rPr>
        <w:t>Please print Social Security 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-92075</wp:posOffset>
            </wp:positionV>
            <wp:extent cx="5387975" cy="63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0">
                      <a:extLst>
                        <a:ext uri="{28A0092B-C50C-407E-A947-70E740481C1C}"/>
                      </a:extLst>
                    </a:blip>
                    <a:srcRect/>
                    <a:stretch>
                      <a:fillRect/>
                    </a:stretch>
                  </pic:blipFill>
                  <pic:spPr bwMode="auto">
                    <a:xfrm>
                      <a:off x="0" y="0"/>
                      <a:ext cx="5387975" cy="6350"/>
                    </a:xfrm>
                    <a:prstGeom prst="rect">
                      <a:avLst/>
                    </a:prstGeom>
                    <a:noFill/>
                  </pic:spPr>
                </pic:pic>
              </a:graphicData>
            </a:graphic>
          </wp:anchor>
        </w:drawing>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the right represented by the within Warrant to purchase _______________ shares of [Title of Warrant Securities] of Tempus AI, Inc. to which the within</w:t>
      </w:r>
    </w:p>
    <w:p>
      <w:pPr>
        <w:spacing w:after="0" w:line="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Warrant relates and appoints ____________________ attorney to transfer such right on the books of the Warrant Agent with full power of substitution in</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premises.</w:t>
      </w:r>
    </w:p>
    <w:p>
      <w:pPr>
        <w:spacing w:after="0" w:line="177" w:lineRule="exact"/>
        <w:rPr>
          <w:sz w:val="20"/>
          <w:szCs w:val="20"/>
          <w:color w:val="auto"/>
        </w:rPr>
      </w:pPr>
    </w:p>
    <w:p>
      <w:pPr>
        <w:ind w:left="260"/>
        <w:spacing w:after="0"/>
        <w:tabs>
          <w:tab w:leader="none" w:pos="4760" w:val="left"/>
        </w:tabs>
        <w:rPr>
          <w:sz w:val="20"/>
          <w:szCs w:val="20"/>
          <w:color w:val="auto"/>
        </w:rPr>
      </w:pPr>
      <w:r>
        <w:rPr>
          <w:rFonts w:ascii="Times New Roman" w:cs="Times New Roman" w:eastAsia="Times New Roman" w:hAnsi="Times New Roman"/>
          <w:sz w:val="14"/>
          <w:szCs w:val="14"/>
          <w:color w:val="auto"/>
        </w:rPr>
        <w:t>Dated:</w:t>
      </w:r>
      <w:r>
        <w:rPr>
          <w:sz w:val="20"/>
          <w:szCs w:val="20"/>
          <w:color w:val="auto"/>
        </w:rPr>
        <w:tab/>
      </w: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12700</wp:posOffset>
            </wp:positionV>
            <wp:extent cx="5123815" cy="63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1">
                      <a:extLst>
                        <a:ext uri="{28A0092B-C50C-407E-A947-70E740481C1C}"/>
                      </a:extLst>
                    </a:blip>
                    <a:srcRect/>
                    <a:stretch>
                      <a:fillRect/>
                    </a:stretch>
                  </pic:blipFill>
                  <pic:spPr bwMode="auto">
                    <a:xfrm>
                      <a:off x="0" y="0"/>
                      <a:ext cx="5123815" cy="6350"/>
                    </a:xfrm>
                    <a:prstGeom prst="rect">
                      <a:avLst/>
                    </a:prstGeom>
                    <a:noFill/>
                  </pic:spPr>
                </pic:pic>
              </a:graphicData>
            </a:graphic>
          </wp:anchor>
        </w:drawing>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4"/>
          <w:szCs w:val="14"/>
          <w:color w:val="auto"/>
        </w:rPr>
        <w:t>Signature</w:t>
      </w:r>
    </w:p>
    <w:p>
      <w:pPr>
        <w:spacing w:after="0" w:line="1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(Signature must conform in all respects to name of holder as specified on the face of the Warrant)</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224155</wp:posOffset>
            </wp:positionV>
            <wp:extent cx="2152650" cy="63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2">
                      <a:extLst>
                        <a:ext uri="{28A0092B-C50C-407E-A947-70E740481C1C}"/>
                      </a:extLst>
                    </a:blip>
                    <a:srcRect/>
                    <a:stretch>
                      <a:fillRect/>
                    </a:stretch>
                  </pic:blipFill>
                  <pic:spPr bwMode="auto">
                    <a:xfrm>
                      <a:off x="0" y="0"/>
                      <a:ext cx="2152650" cy="6350"/>
                    </a:xfrm>
                    <a:prstGeom prst="rect">
                      <a:avLst/>
                    </a:prstGeom>
                    <a:noFill/>
                  </pic:spPr>
                </pic:pic>
              </a:graphicData>
            </a:graphic>
          </wp:anchor>
        </w:drawing>
      </w:r>
    </w:p>
    <w:p>
      <w:pPr>
        <w:sectPr>
          <w:pgSz w:w="11900" w:h="16838" w:orient="portrait"/>
          <w:cols w:equalWidth="0" w:num="1">
            <w:col w:w="9019"/>
          </w:cols>
          <w:pgMar w:left="1440" w:top="237" w:right="1440" w:bottom="1440" w:gutter="0" w:footer="0" w:header="0"/>
        </w:sectPr>
      </w:pPr>
    </w:p>
    <w:bookmarkStart w:id="158" w:name="page159"/>
    <w:bookmarkEnd w:id="158"/>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Exhibit 4.8</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EMPUS</w:t>
      </w:r>
      <w:r>
        <w:rPr>
          <w:rFonts w:ascii="Times New Roman" w:cs="Times New Roman" w:eastAsia="Times New Roman" w:hAnsi="Times New Roman"/>
          <w:sz w:val="14"/>
          <w:szCs w:val="14"/>
          <w:b w:val="1"/>
          <w:bCs w:val="1"/>
          <w:color w:val="auto"/>
        </w:rPr>
        <w:t xml:space="preserve"> AI,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AND</w:t>
      </w:r>
    </w:p>
    <w:p>
      <w:pPr>
        <w:spacing w:after="0" w:line="14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_____________, A</w:t>
      </w:r>
      <w:r>
        <w:rPr>
          <w:rFonts w:ascii="Times New Roman" w:cs="Times New Roman" w:eastAsia="Times New Roman" w:hAnsi="Times New Roman"/>
          <w:sz w:val="11"/>
          <w:szCs w:val="11"/>
          <w:b w:val="1"/>
          <w:bCs w:val="1"/>
          <w:color w:val="auto"/>
        </w:rPr>
        <w:t>S</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1"/>
          <w:szCs w:val="11"/>
          <w:b w:val="1"/>
          <w:bCs w:val="1"/>
          <w:color w:val="auto"/>
        </w:rPr>
        <w:t>ARRANT</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1"/>
          <w:szCs w:val="11"/>
          <w:b w:val="1"/>
          <w:bCs w:val="1"/>
          <w:color w:val="auto"/>
        </w:rPr>
        <w:t>ORM OF</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REFERRED</w:t>
      </w:r>
      <w:r>
        <w:rPr>
          <w:rFonts w:ascii="Times New Roman" w:cs="Times New Roman" w:eastAsia="Times New Roman" w:hAnsi="Times New Roman"/>
          <w:sz w:val="14"/>
          <w:szCs w:val="14"/>
          <w:b w:val="1"/>
          <w:bCs w:val="1"/>
          <w:color w:val="auto"/>
        </w:rPr>
        <w:t xml:space="preserve"> S</w:t>
      </w:r>
      <w:r>
        <w:rPr>
          <w:rFonts w:ascii="Times New Roman" w:cs="Times New Roman" w:eastAsia="Times New Roman" w:hAnsi="Times New Roman"/>
          <w:sz w:val="11"/>
          <w:szCs w:val="11"/>
          <w:b w:val="1"/>
          <w:bCs w:val="1"/>
          <w:color w:val="auto"/>
        </w:rPr>
        <w:t>TOCK</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pacing w:after="0" w:line="15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4"/>
          <w:szCs w:val="14"/>
          <w:b w:val="1"/>
          <w:bCs w:val="1"/>
          <w:color w:val="auto"/>
        </w:rPr>
        <w:t>D</w:t>
      </w:r>
      <w:r>
        <w:rPr>
          <w:rFonts w:ascii="Times New Roman" w:cs="Times New Roman" w:eastAsia="Times New Roman" w:hAnsi="Times New Roman"/>
          <w:sz w:val="11"/>
          <w:szCs w:val="11"/>
          <w:b w:val="1"/>
          <w:bCs w:val="1"/>
          <w:color w:val="auto"/>
        </w:rPr>
        <w:t>ATED</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S</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11"/>
          <w:szCs w:val="11"/>
          <w:b w:val="1"/>
          <w:bCs w:val="1"/>
          <w:color w:val="auto"/>
        </w:rPr>
        <w:t>F</w:t>
      </w:r>
      <w:r>
        <w:rPr>
          <w:rFonts w:ascii="Times New Roman" w:cs="Times New Roman" w:eastAsia="Times New Roman" w:hAnsi="Times New Roman"/>
          <w:sz w:val="14"/>
          <w:szCs w:val="14"/>
          <w:b w:val="1"/>
          <w:bCs w:val="1"/>
          <w:color w:val="auto"/>
        </w:rPr>
        <w:t xml:space="preserve"> __________</w:t>
      </w:r>
    </w:p>
    <w:p>
      <w:pPr>
        <w:sectPr>
          <w:pgSz w:w="11900" w:h="16838" w:orient="portrait"/>
          <w:cols w:equalWidth="0" w:num="1">
            <w:col w:w="9019"/>
          </w:cols>
          <w:pgMar w:left="1440" w:top="123" w:right="1440" w:bottom="1440" w:gutter="0" w:footer="0" w:header="0"/>
        </w:sectPr>
      </w:pPr>
    </w:p>
    <w:bookmarkStart w:id="159" w:name="page160"/>
    <w:bookmarkEnd w:id="15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w:t>
      </w:r>
      <w:r>
        <w:rPr>
          <w:rFonts w:ascii="Times New Roman" w:cs="Times New Roman" w:eastAsia="Times New Roman" w:hAnsi="Times New Roman"/>
          <w:sz w:val="11"/>
          <w:szCs w:val="11"/>
          <w:b w:val="1"/>
          <w:bCs w:val="1"/>
          <w:color w:val="auto"/>
        </w:rPr>
        <w:t>EMPUS</w:t>
      </w:r>
      <w:r>
        <w:rPr>
          <w:rFonts w:ascii="Times New Roman" w:cs="Times New Roman" w:eastAsia="Times New Roman" w:hAnsi="Times New Roman"/>
          <w:sz w:val="14"/>
          <w:szCs w:val="14"/>
          <w:b w:val="1"/>
          <w:bCs w:val="1"/>
          <w:color w:val="auto"/>
        </w:rPr>
        <w:t xml:space="preserve"> AI,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F</w:t>
      </w:r>
      <w:r>
        <w:rPr>
          <w:rFonts w:ascii="Times New Roman" w:cs="Times New Roman" w:eastAsia="Times New Roman" w:hAnsi="Times New Roman"/>
          <w:sz w:val="11"/>
          <w:szCs w:val="11"/>
          <w:b w:val="1"/>
          <w:bCs w:val="1"/>
          <w:color w:val="auto"/>
        </w:rPr>
        <w:t>ORM OF</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REFERRED</w:t>
      </w:r>
      <w:r>
        <w:rPr>
          <w:rFonts w:ascii="Times New Roman" w:cs="Times New Roman" w:eastAsia="Times New Roman" w:hAnsi="Times New Roman"/>
          <w:sz w:val="14"/>
          <w:szCs w:val="14"/>
          <w:b w:val="1"/>
          <w:bCs w:val="1"/>
          <w:color w:val="auto"/>
        </w:rPr>
        <w:t xml:space="preserve"> S</w:t>
      </w:r>
      <w:r>
        <w:rPr>
          <w:rFonts w:ascii="Times New Roman" w:cs="Times New Roman" w:eastAsia="Times New Roman" w:hAnsi="Times New Roman"/>
          <w:sz w:val="11"/>
          <w:szCs w:val="11"/>
          <w:b w:val="1"/>
          <w:bCs w:val="1"/>
          <w:color w:val="auto"/>
        </w:rPr>
        <w:t>TOCK</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1"/>
          <w:szCs w:val="11"/>
          <w:b w:val="1"/>
          <w:bCs w:val="1"/>
          <w:color w:val="auto"/>
        </w:rPr>
        <w:t>ARRANT</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pacing w:after="0" w:line="172" w:lineRule="exact"/>
        <w:rPr>
          <w:sz w:val="20"/>
          <w:szCs w:val="20"/>
          <w:color w:val="auto"/>
        </w:rPr>
      </w:pPr>
    </w:p>
    <w:p>
      <w:pPr>
        <w:jc w:val="both"/>
        <w:ind w:left="260" w:right="399" w:firstLine="339"/>
        <w:spacing w:after="0" w:line="264" w:lineRule="auto"/>
        <w:rPr>
          <w:sz w:val="20"/>
          <w:szCs w:val="20"/>
          <w:color w:val="auto"/>
        </w:rPr>
      </w:pP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HIS</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REFERRED</w:t>
      </w:r>
      <w:r>
        <w:rPr>
          <w:rFonts w:ascii="Times New Roman" w:cs="Times New Roman" w:eastAsia="Times New Roman" w:hAnsi="Times New Roman"/>
          <w:sz w:val="14"/>
          <w:szCs w:val="14"/>
          <w:b w:val="1"/>
          <w:bCs w:val="1"/>
          <w:color w:val="auto"/>
        </w:rPr>
        <w:t xml:space="preserve"> S</w:t>
      </w:r>
      <w:r>
        <w:rPr>
          <w:rFonts w:ascii="Times New Roman" w:cs="Times New Roman" w:eastAsia="Times New Roman" w:hAnsi="Times New Roman"/>
          <w:sz w:val="11"/>
          <w:szCs w:val="11"/>
          <w:b w:val="1"/>
          <w:bCs w:val="1"/>
          <w:color w:val="auto"/>
        </w:rPr>
        <w:t>TOCK</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1"/>
          <w:szCs w:val="11"/>
          <w:b w:val="1"/>
          <w:bCs w:val="1"/>
          <w:color w:val="auto"/>
        </w:rPr>
        <w:t>ARRANT</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(this “</w:t>
      </w:r>
      <w:r>
        <w:rPr>
          <w:rFonts w:ascii="Times New Roman" w:cs="Times New Roman" w:eastAsia="Times New Roman" w:hAnsi="Times New Roman"/>
          <w:sz w:val="14"/>
          <w:szCs w:val="14"/>
          <w:b w:val="1"/>
          <w:bCs w:val="1"/>
          <w:i w:val="1"/>
          <w:iCs w:val="1"/>
          <w:color w:val="auto"/>
        </w:rPr>
        <w:t>Agreement</w:t>
      </w:r>
      <w:r>
        <w:rPr>
          <w:rFonts w:ascii="Times New Roman" w:cs="Times New Roman" w:eastAsia="Times New Roman" w:hAnsi="Times New Roman"/>
          <w:sz w:val="14"/>
          <w:szCs w:val="14"/>
          <w:color w:val="auto"/>
        </w:rPr>
        <w:t>”), dated as of [•], between</w:t>
      </w:r>
      <w:r>
        <w:rPr>
          <w:rFonts w:ascii="Times New Roman" w:cs="Times New Roman" w:eastAsia="Times New Roman" w:hAnsi="Times New Roman"/>
          <w:sz w:val="14"/>
          <w:szCs w:val="14"/>
          <w:b w:val="1"/>
          <w:bCs w:val="1"/>
          <w:color w:val="auto"/>
        </w:rPr>
        <w:t xml:space="preserve"> T</w:t>
      </w:r>
      <w:r>
        <w:rPr>
          <w:rFonts w:ascii="Times New Roman" w:cs="Times New Roman" w:eastAsia="Times New Roman" w:hAnsi="Times New Roman"/>
          <w:sz w:val="11"/>
          <w:szCs w:val="11"/>
          <w:b w:val="1"/>
          <w:bCs w:val="1"/>
          <w:color w:val="auto"/>
        </w:rPr>
        <w:t>EMPUS</w:t>
      </w:r>
      <w:r>
        <w:rPr>
          <w:rFonts w:ascii="Times New Roman" w:cs="Times New Roman" w:eastAsia="Times New Roman" w:hAnsi="Times New Roman"/>
          <w:sz w:val="14"/>
          <w:szCs w:val="14"/>
          <w:b w:val="1"/>
          <w:bCs w:val="1"/>
          <w:color w:val="auto"/>
        </w:rPr>
        <w:t xml:space="preserve"> AI,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a Nevada corporation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and [•], a [corporation] [national banking association] organized and existing under the laws of [•] and having a corporate trust office in [•], as warrant agent (the “</w:t>
      </w:r>
      <w:r>
        <w:rPr>
          <w:rFonts w:ascii="Times New Roman" w:cs="Times New Roman" w:eastAsia="Times New Roman" w:hAnsi="Times New Roman"/>
          <w:sz w:val="14"/>
          <w:szCs w:val="14"/>
          <w:b w:val="1"/>
          <w:bCs w:val="1"/>
          <w:i w:val="1"/>
          <w:iCs w:val="1"/>
          <w:color w:val="auto"/>
        </w:rPr>
        <w:t>Warrant Agent</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ind w:left="260" w:right="299" w:firstLine="339"/>
        <w:spacing w:after="0" w:line="259" w:lineRule="auto"/>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HEREAS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Company proposes to sell [</w:t>
      </w:r>
      <w:r>
        <w:rPr>
          <w:rFonts w:ascii="Times New Roman" w:cs="Times New Roman" w:eastAsia="Times New Roman" w:hAnsi="Times New Roman"/>
          <w:sz w:val="14"/>
          <w:szCs w:val="14"/>
          <w:b w:val="1"/>
          <w:bCs w:val="1"/>
          <w:i w:val="1"/>
          <w:iCs w:val="1"/>
          <w:color w:val="auto"/>
        </w:rPr>
        <w:t>If Warrants are sold with other securities —</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[title of such other securities being offered] (the “</w:t>
      </w:r>
      <w:r>
        <w:rPr>
          <w:rFonts w:ascii="Times New Roman" w:cs="Times New Roman" w:eastAsia="Times New Roman" w:hAnsi="Times New Roman"/>
          <w:sz w:val="14"/>
          <w:szCs w:val="14"/>
          <w:b w:val="1"/>
          <w:bCs w:val="1"/>
          <w:i w:val="1"/>
          <w:iCs w:val="1"/>
          <w:color w:val="auto"/>
        </w:rPr>
        <w:t>Other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Securities</w:t>
      </w:r>
      <w:r>
        <w:rPr>
          <w:rFonts w:ascii="Times New Roman" w:cs="Times New Roman" w:eastAsia="Times New Roman" w:hAnsi="Times New Roman"/>
          <w:sz w:val="14"/>
          <w:szCs w:val="14"/>
          <w:color w:val="auto"/>
        </w:rPr>
        <w:t>”) with] warrant certificates evidencing one or more warrants (the “</w:t>
      </w:r>
      <w:r>
        <w:rPr>
          <w:rFonts w:ascii="Times New Roman" w:cs="Times New Roman" w:eastAsia="Times New Roman" w:hAnsi="Times New Roman"/>
          <w:sz w:val="14"/>
          <w:szCs w:val="14"/>
          <w:b w:val="1"/>
          <w:bCs w:val="1"/>
          <w:i w:val="1"/>
          <w:iCs w:val="1"/>
          <w:color w:val="auto"/>
        </w:rPr>
        <w:t>Warrants</w:t>
      </w:r>
      <w:r>
        <w:rPr>
          <w:rFonts w:ascii="Times New Roman" w:cs="Times New Roman" w:eastAsia="Times New Roman" w:hAnsi="Times New Roman"/>
          <w:sz w:val="14"/>
          <w:szCs w:val="14"/>
          <w:color w:val="auto"/>
        </w:rPr>
        <w:t>” or, individually, a “</w:t>
      </w:r>
      <w:r>
        <w:rPr>
          <w:rFonts w:ascii="Times New Roman" w:cs="Times New Roman" w:eastAsia="Times New Roman" w:hAnsi="Times New Roman"/>
          <w:sz w:val="14"/>
          <w:szCs w:val="14"/>
          <w:b w:val="1"/>
          <w:bCs w:val="1"/>
          <w:i w:val="1"/>
          <w:iCs w:val="1"/>
          <w:color w:val="auto"/>
        </w:rPr>
        <w:t>Warrant</w:t>
      </w:r>
      <w:r>
        <w:rPr>
          <w:rFonts w:ascii="Times New Roman" w:cs="Times New Roman" w:eastAsia="Times New Roman" w:hAnsi="Times New Roman"/>
          <w:sz w:val="14"/>
          <w:szCs w:val="14"/>
          <w:color w:val="auto"/>
        </w:rPr>
        <w:t>”) representing the right to purchase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[title of Preferred Stock purchasable through exercise of Warrants] of the Company, par value $0.0001 per share (the “</w:t>
      </w:r>
      <w:r>
        <w:rPr>
          <w:rFonts w:ascii="Times New Roman" w:cs="Times New Roman" w:eastAsia="Times New Roman" w:hAnsi="Times New Roman"/>
          <w:sz w:val="14"/>
          <w:szCs w:val="14"/>
          <w:b w:val="1"/>
          <w:bCs w:val="1"/>
          <w:i w:val="1"/>
          <w:iCs w:val="1"/>
          <w:color w:val="auto"/>
        </w:rPr>
        <w:t>Warrant Securities</w:t>
      </w:r>
      <w:r>
        <w:rPr>
          <w:rFonts w:ascii="Times New Roman" w:cs="Times New Roman" w:eastAsia="Times New Roman" w:hAnsi="Times New Roman"/>
          <w:sz w:val="14"/>
          <w:szCs w:val="14"/>
          <w:color w:val="auto"/>
        </w:rPr>
        <w:t>”), such warrant certificates and other warrant certificates issued pursuant to this Agreement being herein called the “</w:t>
      </w:r>
      <w:r>
        <w:rPr>
          <w:rFonts w:ascii="Times New Roman" w:cs="Times New Roman" w:eastAsia="Times New Roman" w:hAnsi="Times New Roman"/>
          <w:sz w:val="14"/>
          <w:szCs w:val="14"/>
          <w:b w:val="1"/>
          <w:bCs w:val="1"/>
          <w:i w:val="1"/>
          <w:iCs w:val="1"/>
          <w:color w:val="auto"/>
        </w:rPr>
        <w:t>Warrant Certificates</w:t>
      </w:r>
      <w:r>
        <w:rPr>
          <w:rFonts w:ascii="Times New Roman" w:cs="Times New Roman" w:eastAsia="Times New Roman" w:hAnsi="Times New Roman"/>
          <w:sz w:val="14"/>
          <w:szCs w:val="14"/>
          <w:color w:val="auto"/>
        </w:rPr>
        <w:t>”; and</w:t>
      </w:r>
    </w:p>
    <w:p>
      <w:pPr>
        <w:spacing w:after="0" w:line="137" w:lineRule="exact"/>
        <w:rPr>
          <w:sz w:val="20"/>
          <w:szCs w:val="20"/>
          <w:color w:val="auto"/>
        </w:rPr>
      </w:pPr>
    </w:p>
    <w:p>
      <w:pPr>
        <w:ind w:left="260" w:right="519" w:firstLine="339"/>
        <w:spacing w:after="0" w:line="259" w:lineRule="auto"/>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HEREAS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Company desires the Warrant Agent to act on behalf of the Company, and the Warrant Agent is willing so to act, in connection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 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spacing w:after="0" w:line="13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1"/>
          <w:szCs w:val="11"/>
          <w:b w:val="1"/>
          <w:bCs w:val="1"/>
          <w:color w:val="auto"/>
        </w:rPr>
        <w:t>OW</w:t>
      </w:r>
      <w:r>
        <w:rPr>
          <w:rFonts w:ascii="Times New Roman" w:cs="Times New Roman" w:eastAsia="Times New Roman" w:hAnsi="Times New Roman"/>
          <w:sz w:val="14"/>
          <w:szCs w:val="14"/>
          <w:b w:val="1"/>
          <w:bCs w:val="1"/>
          <w:color w:val="auto"/>
        </w:rPr>
        <w:t xml:space="preserve"> T</w:t>
      </w:r>
      <w:r>
        <w:rPr>
          <w:rFonts w:ascii="Times New Roman" w:cs="Times New Roman" w:eastAsia="Times New Roman" w:hAnsi="Times New Roman"/>
          <w:sz w:val="11"/>
          <w:szCs w:val="11"/>
          <w:b w:val="1"/>
          <w:bCs w:val="1"/>
          <w:color w:val="auto"/>
        </w:rPr>
        <w:t>HEREFORE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consideration of the premises and of the mutual agreements herein contained, the parties hereto agree as follows:</w:t>
      </w:r>
    </w:p>
    <w:p>
      <w:pPr>
        <w:spacing w:after="0" w:line="33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ARTICLE 1</w:t>
      </w:r>
    </w:p>
    <w:p>
      <w:pPr>
        <w:spacing w:after="0" w:line="8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b w:val="1"/>
          <w:bCs w:val="1"/>
          <w:color w:val="auto"/>
        </w:rPr>
        <w:t>ISSUANCE OF WARRANTS AND EXECUTION AND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DELIVERY OF WARRANT CERTIFICATES</w:t>
      </w:r>
    </w:p>
    <w:p>
      <w:pPr>
        <w:spacing w:after="0" w:line="155" w:lineRule="exact"/>
        <w:rPr>
          <w:sz w:val="20"/>
          <w:szCs w:val="20"/>
          <w:color w:val="auto"/>
        </w:rPr>
      </w:pPr>
    </w:p>
    <w:p>
      <w:pPr>
        <w:ind w:left="260" w:right="279" w:firstLine="339"/>
        <w:spacing w:after="0" w:line="280" w:lineRule="auto"/>
        <w:rPr>
          <w:sz w:val="20"/>
          <w:szCs w:val="20"/>
          <w:color w:val="auto"/>
        </w:rPr>
      </w:pPr>
      <w:r>
        <w:rPr>
          <w:rFonts w:ascii="Times New Roman" w:cs="Times New Roman" w:eastAsia="Times New Roman" w:hAnsi="Times New Roman"/>
          <w:sz w:val="13"/>
          <w:szCs w:val="13"/>
          <w:b w:val="1"/>
          <w:bCs w:val="1"/>
          <w:color w:val="auto"/>
        </w:rPr>
        <w:t xml:space="preserve">1.1 Issuance of Warrants.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If Warrants alone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—Upon issuance, each Warrant Certificate shall evidence one or more Warrants.] [</w:t>
      </w:r>
      <w:r>
        <w:rPr>
          <w:rFonts w:ascii="Times New Roman" w:cs="Times New Roman" w:eastAsia="Times New Roman" w:hAnsi="Times New Roman"/>
          <w:sz w:val="13"/>
          <w:szCs w:val="13"/>
          <w:b w:val="1"/>
          <w:bCs w:val="1"/>
          <w:i w:val="1"/>
          <w:iCs w:val="1"/>
          <w:color w:val="auto"/>
        </w:rPr>
        <w:t>If Other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b w:val="1"/>
          <w:bCs w:val="1"/>
          <w:i w:val="1"/>
          <w:iCs w:val="1"/>
          <w:color w:val="auto"/>
        </w:rPr>
        <w:t xml:space="preserve">Securities and Warrants </w:t>
      </w:r>
      <w:r>
        <w:rPr>
          <w:rFonts w:ascii="Times New Roman" w:cs="Times New Roman" w:eastAsia="Times New Roman" w:hAnsi="Times New Roman"/>
          <w:sz w:val="13"/>
          <w:szCs w:val="13"/>
          <w:color w:val="auto"/>
        </w:rPr>
        <w:t>—Warrant Certificates will be issued in connection with the issuance of the Other Securities but shall be separately transferable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and each Warrant Certificate shall evidence one or more Warrants.] Each Warrant evidenced thereby shall represent the right, subject to the provisions contained herein and therein, to purchase one Warrant Security. [</w:t>
      </w:r>
      <w:r>
        <w:rPr>
          <w:rFonts w:ascii="Times New Roman" w:cs="Times New Roman" w:eastAsia="Times New Roman" w:hAnsi="Times New Roman"/>
          <w:sz w:val="13"/>
          <w:szCs w:val="13"/>
          <w:b w:val="1"/>
          <w:bCs w:val="1"/>
          <w:i w:val="1"/>
          <w:iCs w:val="1"/>
          <w:color w:val="auto"/>
        </w:rPr>
        <w:t>If Other Securities and Warrants</w:t>
      </w:r>
      <w:r>
        <w:rPr>
          <w:rFonts w:ascii="Times New Roman" w:cs="Times New Roman" w:eastAsia="Times New Roman" w:hAnsi="Times New Roman"/>
          <w:sz w:val="13"/>
          <w:szCs w:val="13"/>
          <w:color w:val="auto"/>
        </w:rPr>
        <w:t xml:space="preserve"> —Warrant Certificates will be issued with the Other Securities and each Warrant Certificate will evidence [•] Warrants for each [$[•] principal amount] [[•] shares] of Other Securities issued.]</w:t>
      </w:r>
    </w:p>
    <w:p>
      <w:pPr>
        <w:spacing w:after="0" w:line="126" w:lineRule="exact"/>
        <w:rPr>
          <w:sz w:val="20"/>
          <w:szCs w:val="20"/>
          <w:color w:val="auto"/>
        </w:rPr>
      </w:pPr>
    </w:p>
    <w:p>
      <w:pPr>
        <w:ind w:left="260" w:right="319" w:firstLine="339"/>
        <w:spacing w:after="0" w:line="251" w:lineRule="auto"/>
        <w:rPr>
          <w:sz w:val="20"/>
          <w:szCs w:val="20"/>
          <w:color w:val="auto"/>
        </w:rPr>
      </w:pPr>
      <w:r>
        <w:rPr>
          <w:rFonts w:ascii="Times New Roman" w:cs="Times New Roman" w:eastAsia="Times New Roman" w:hAnsi="Times New Roman"/>
          <w:sz w:val="14"/>
          <w:szCs w:val="14"/>
          <w:b w:val="1"/>
          <w:bCs w:val="1"/>
          <w:color w:val="auto"/>
        </w:rPr>
        <w:t xml:space="preserve">1.2 Execution and Delivery of Warrant Certificates. </w:t>
      </w:r>
      <w:r>
        <w:rPr>
          <w:rFonts w:ascii="Times New Roman" w:cs="Times New Roman" w:eastAsia="Times New Roman" w:hAnsi="Times New Roman"/>
          <w:sz w:val="14"/>
          <w:szCs w:val="14"/>
          <w:color w:val="auto"/>
        </w:rPr>
        <w:t>Each Warrant Certificate, whenever issued, shall be in registered form substantially in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form set forth in </w:t>
      </w:r>
      <w:r>
        <w:rPr>
          <w:rFonts w:ascii="Times New Roman" w:cs="Times New Roman" w:eastAsia="Times New Roman" w:hAnsi="Times New Roman"/>
          <w:sz w:val="14"/>
          <w:szCs w:val="14"/>
          <w:b w:val="1"/>
          <w:bCs w:val="1"/>
          <w:color w:val="auto"/>
        </w:rPr>
        <w:t>Exhibit A</w:t>
      </w:r>
      <w:r>
        <w:rPr>
          <w:rFonts w:ascii="Times New Roman" w:cs="Times New Roman" w:eastAsia="Times New Roman" w:hAnsi="Times New Roman"/>
          <w:sz w:val="14"/>
          <w:szCs w:val="14"/>
          <w:color w:val="auto"/>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37" w:right="1440" w:bottom="1440" w:gutter="0" w:footer="0" w:header="0"/>
        </w:sectPr>
      </w:pPr>
    </w:p>
    <w:bookmarkStart w:id="160" w:name="page161"/>
    <w:bookmarkEnd w:id="160"/>
    <w:p>
      <w:pPr>
        <w:jc w:val="both"/>
        <w:ind w:left="260" w:right="459" w:firstLine="339"/>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spacing w:after="0" w:line="136" w:lineRule="exact"/>
        <w:rPr>
          <w:sz w:val="20"/>
          <w:szCs w:val="20"/>
          <w:color w:val="auto"/>
        </w:rPr>
      </w:pPr>
    </w:p>
    <w:p>
      <w:pPr>
        <w:ind w:left="260" w:right="339" w:firstLine="339"/>
        <w:spacing w:after="0" w:line="279" w:lineRule="auto"/>
        <w:rPr>
          <w:sz w:val="20"/>
          <w:szCs w:val="20"/>
          <w:color w:val="auto"/>
        </w:rPr>
      </w:pPr>
      <w:r>
        <w:rPr>
          <w:rFonts w:ascii="Times New Roman" w:cs="Times New Roman" w:eastAsia="Times New Roman" w:hAnsi="Times New Roman"/>
          <w:sz w:val="13"/>
          <w:szCs w:val="13"/>
          <w:color w:val="auto"/>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spacing w:after="0" w:line="127" w:lineRule="exact"/>
        <w:rPr>
          <w:sz w:val="20"/>
          <w:szCs w:val="20"/>
          <w:color w:val="auto"/>
        </w:rPr>
      </w:pPr>
    </w:p>
    <w:p>
      <w:pPr>
        <w:ind w:left="260" w:right="399" w:firstLine="339"/>
        <w:spacing w:after="0" w:line="281" w:lineRule="auto"/>
        <w:rPr>
          <w:sz w:val="20"/>
          <w:szCs w:val="20"/>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b w:val="1"/>
          <w:bCs w:val="1"/>
          <w:i w:val="1"/>
          <w:iCs w:val="1"/>
          <w:color w:val="auto"/>
        </w:rPr>
        <w:t>holder</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i w:val="1"/>
          <w:iCs w:val="1"/>
          <w:color w:val="auto"/>
        </w:rPr>
        <w:t>holder of a Warrant Certificate</w:t>
      </w:r>
      <w:r>
        <w:rPr>
          <w:rFonts w:ascii="Times New Roman" w:cs="Times New Roman" w:eastAsia="Times New Roman" w:hAnsi="Times New Roman"/>
          <w:sz w:val="14"/>
          <w:szCs w:val="14"/>
          <w:color w:val="auto"/>
        </w:rPr>
        <w:t>” as used herein shall mean any person in whose name at the time any Warrant Certificate shall be registered upon the books to be maintained by the Warrant Agent for that purpose.</w:t>
      </w:r>
    </w:p>
    <w:p>
      <w:pPr>
        <w:spacing w:after="0" w:line="122" w:lineRule="exact"/>
        <w:rPr>
          <w:sz w:val="20"/>
          <w:szCs w:val="20"/>
          <w:color w:val="auto"/>
        </w:rPr>
      </w:pPr>
    </w:p>
    <w:p>
      <w:pPr>
        <w:ind w:left="260" w:right="319" w:firstLine="339"/>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1.3 Issuance of Warrant Certificates. </w:t>
      </w:r>
      <w:r>
        <w:rPr>
          <w:rFonts w:ascii="Times New Roman" w:cs="Times New Roman" w:eastAsia="Times New Roman" w:hAnsi="Times New Roman"/>
          <w:sz w:val="14"/>
          <w:szCs w:val="14"/>
          <w:color w:val="auto"/>
        </w:rPr>
        <w:t>Warrant Certificates evidencing the right to purchase Warrant Securities may be executed by the Company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2</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WARRANT PRICE, DURATION AND EXERCISE OF WARRANTS</w:t>
      </w:r>
    </w:p>
    <w:p>
      <w:pPr>
        <w:spacing w:after="0" w:line="172" w:lineRule="exact"/>
        <w:rPr>
          <w:sz w:val="20"/>
          <w:szCs w:val="20"/>
          <w:color w:val="auto"/>
        </w:rPr>
      </w:pPr>
    </w:p>
    <w:p>
      <w:pPr>
        <w:ind w:left="260" w:right="339" w:firstLine="339"/>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2.1 Warrant Price. </w:t>
      </w:r>
      <w:r>
        <w:rPr>
          <w:rFonts w:ascii="Times New Roman" w:cs="Times New Roman" w:eastAsia="Times New Roman" w:hAnsi="Times New Roman"/>
          <w:sz w:val="14"/>
          <w:szCs w:val="14"/>
          <w:color w:val="auto"/>
        </w:rPr>
        <w:t>During the period specified in Section 2.2, each Warrant shall, subject to the terms of this Agreement and the applicable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 Certificate, entitle the holder thereof to purchase the number of Warrant Securities specified in the applicable Warrant Certificate at an exercise price of $[•] per Warrant Security, subject to adjustment upon the occurrence of certain events, as hereinafter provided. Such purchase price per Warrant Security is referred to in this Agreement as the “</w:t>
      </w:r>
      <w:r>
        <w:rPr>
          <w:rFonts w:ascii="Times New Roman" w:cs="Times New Roman" w:eastAsia="Times New Roman" w:hAnsi="Times New Roman"/>
          <w:sz w:val="14"/>
          <w:szCs w:val="14"/>
          <w:b w:val="1"/>
          <w:bCs w:val="1"/>
          <w:i w:val="1"/>
          <w:iCs w:val="1"/>
          <w:color w:val="auto"/>
        </w:rPr>
        <w:t>Warrant Price.</w:t>
      </w:r>
      <w:r>
        <w:rPr>
          <w:rFonts w:ascii="Times New Roman" w:cs="Times New Roman" w:eastAsia="Times New Roman" w:hAnsi="Times New Roman"/>
          <w:sz w:val="14"/>
          <w:szCs w:val="14"/>
          <w:color w:val="auto"/>
        </w:rPr>
        <w:t>”</w:t>
      </w:r>
    </w:p>
    <w:p>
      <w:pPr>
        <w:spacing w:after="0" w:line="137" w:lineRule="exact"/>
        <w:rPr>
          <w:sz w:val="20"/>
          <w:szCs w:val="20"/>
          <w:color w:val="auto"/>
        </w:rPr>
      </w:pPr>
    </w:p>
    <w:p>
      <w:pPr>
        <w:ind w:left="260" w:right="359" w:firstLine="339"/>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2.2 Duration of Warrants. </w:t>
      </w:r>
      <w:r>
        <w:rPr>
          <w:rFonts w:ascii="Times New Roman" w:cs="Times New Roman" w:eastAsia="Times New Roman" w:hAnsi="Times New Roman"/>
          <w:sz w:val="14"/>
          <w:szCs w:val="14"/>
          <w:color w:val="auto"/>
        </w:rPr>
        <w:t>Each Warrant may be exercised in whole or in part at any time, as specified herein, on or after [the date thereof] [•]</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at or before [•] p.m., [City] time, on [•] or such later date as the Company may designate by notice to the Warrant Agent and the holders of Warrant Certificates mailed to their addresses as set forth in the record books of the Warrant Agent (the “</w:t>
      </w:r>
      <w:r>
        <w:rPr>
          <w:rFonts w:ascii="Times New Roman" w:cs="Times New Roman" w:eastAsia="Times New Roman" w:hAnsi="Times New Roman"/>
          <w:sz w:val="14"/>
          <w:szCs w:val="14"/>
          <w:b w:val="1"/>
          <w:bCs w:val="1"/>
          <w:i w:val="1"/>
          <w:iCs w:val="1"/>
          <w:color w:val="auto"/>
        </w:rPr>
        <w:t>Expiration Date</w:t>
      </w:r>
      <w:r>
        <w:rPr>
          <w:rFonts w:ascii="Times New Roman" w:cs="Times New Roman" w:eastAsia="Times New Roman" w:hAnsi="Times New Roman"/>
          <w:sz w:val="14"/>
          <w:szCs w:val="14"/>
          <w:color w:val="auto"/>
        </w:rPr>
        <w:t>”). Each Warrant not exercised at or before [•] p.m., [City] time, on the Expiration Date shall become void, and all rights of the holder of the Warrant Certificate evidencing such Warrant under this Agreement shall cease.</w:t>
      </w:r>
    </w:p>
    <w:p>
      <w:pPr>
        <w:spacing w:after="0" w:line="14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2.3 Exercise of Warrants.</w:t>
      </w:r>
    </w:p>
    <w:p>
      <w:pPr>
        <w:spacing w:after="0" w:line="174" w:lineRule="exact"/>
        <w:rPr>
          <w:sz w:val="20"/>
          <w:szCs w:val="20"/>
          <w:color w:val="auto"/>
        </w:rPr>
      </w:pPr>
    </w:p>
    <w:p>
      <w:pPr>
        <w:ind w:left="260" w:right="379" w:firstLine="765"/>
        <w:spacing w:after="0" w:line="258" w:lineRule="auto"/>
        <w:tabs>
          <w:tab w:leader="none" w:pos="1220" w:val="left"/>
        </w:tabs>
        <w:numPr>
          <w:ilvl w:val="0"/>
          <w:numId w:val="1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Security</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9" w:right="1440" w:bottom="1440" w:gutter="0" w:footer="0" w:header="0"/>
        </w:sectPr>
      </w:pPr>
    </w:p>
    <w:bookmarkStart w:id="161" w:name="page162"/>
    <w:bookmarkEnd w:id="161"/>
    <w:p>
      <w:pPr>
        <w:ind w:left="260" w:right="299"/>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spacing w:after="0" w:line="148" w:lineRule="exact"/>
        <w:rPr>
          <w:sz w:val="20"/>
          <w:szCs w:val="20"/>
          <w:color w:val="auto"/>
        </w:rPr>
      </w:pPr>
    </w:p>
    <w:p>
      <w:pPr>
        <w:ind w:left="260" w:right="399" w:firstLine="765"/>
        <w:spacing w:after="0" w:line="284" w:lineRule="auto"/>
        <w:tabs>
          <w:tab w:leader="none" w:pos="1228" w:val="left"/>
        </w:tabs>
        <w:numPr>
          <w:ilvl w:val="0"/>
          <w:numId w:val="11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Warrant Agent shall, from time to time, as promptly as practicable, advise the Company of (i) the number of Warrant Securities with respect to which Warrants were 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w:t>
      </w:r>
    </w:p>
    <w:p>
      <w:pPr>
        <w:spacing w:after="0" w:line="124" w:lineRule="exact"/>
        <w:rPr>
          <w:rFonts w:ascii="Times New Roman" w:cs="Times New Roman" w:eastAsia="Times New Roman" w:hAnsi="Times New Roman"/>
          <w:sz w:val="13"/>
          <w:szCs w:val="13"/>
          <w:b w:val="1"/>
          <w:bCs w:val="1"/>
          <w:color w:val="auto"/>
        </w:rPr>
      </w:pPr>
    </w:p>
    <w:p>
      <w:pPr>
        <w:ind w:left="260" w:right="299" w:firstLine="765"/>
        <w:spacing w:after="0" w:line="255" w:lineRule="auto"/>
        <w:tabs>
          <w:tab w:leader="none" w:pos="1212" w:val="left"/>
        </w:tabs>
        <w:numPr>
          <w:ilvl w:val="0"/>
          <w:numId w:val="1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w:t>
      </w:r>
    </w:p>
    <w:p>
      <w:pPr>
        <w:spacing w:after="0" w:line="142" w:lineRule="exact"/>
        <w:rPr>
          <w:rFonts w:ascii="Times New Roman" w:cs="Times New Roman" w:eastAsia="Times New Roman" w:hAnsi="Times New Roman"/>
          <w:sz w:val="14"/>
          <w:szCs w:val="14"/>
          <w:b w:val="1"/>
          <w:bCs w:val="1"/>
          <w:color w:val="auto"/>
        </w:rPr>
      </w:pPr>
    </w:p>
    <w:p>
      <w:pPr>
        <w:ind w:left="260" w:right="359" w:firstLine="765"/>
        <w:spacing w:after="0" w:line="258" w:lineRule="auto"/>
        <w:tabs>
          <w:tab w:leader="none" w:pos="1228" w:val="left"/>
        </w:tabs>
        <w:numPr>
          <w:ilvl w:val="0"/>
          <w:numId w:val="1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shall not be required to pay any stamp or other tax or other governmental charge required to be paid in connection with any transfer involved in the issue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w:t>
      </w:r>
    </w:p>
    <w:p>
      <w:pPr>
        <w:spacing w:after="0" w:line="139" w:lineRule="exact"/>
        <w:rPr>
          <w:rFonts w:ascii="Times New Roman" w:cs="Times New Roman" w:eastAsia="Times New Roman" w:hAnsi="Times New Roman"/>
          <w:sz w:val="14"/>
          <w:szCs w:val="14"/>
          <w:b w:val="1"/>
          <w:bCs w:val="1"/>
          <w:color w:val="auto"/>
        </w:rPr>
      </w:pPr>
    </w:p>
    <w:p>
      <w:pPr>
        <w:ind w:left="260" w:right="479" w:firstLine="765"/>
        <w:spacing w:after="0" w:line="278" w:lineRule="auto"/>
        <w:tabs>
          <w:tab w:leader="none" w:pos="1212" w:val="left"/>
        </w:tabs>
        <w:numPr>
          <w:ilvl w:val="0"/>
          <w:numId w:val="1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Prior to the issuance of any Warrants there shall have been reserved, and the Company shall at all times through the Expiration Date keep reserved, out of its authorized but unissued Warrant Securities, a number of shares sufficient to provide for the exercise of the Warrants.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39" w:right="1440" w:bottom="1440" w:gutter="0" w:footer="0" w:header="0"/>
        </w:sectPr>
      </w:pPr>
    </w:p>
    <w:bookmarkStart w:id="162" w:name="page163"/>
    <w:bookmarkEnd w:id="162"/>
    <w:p>
      <w:pPr>
        <w:ind w:left="41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ARTICLE 3</w:t>
      </w:r>
    </w:p>
    <w:p>
      <w:pPr>
        <w:spacing w:after="0" w:line="8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4"/>
          <w:szCs w:val="14"/>
          <w:b w:val="1"/>
          <w:bCs w:val="1"/>
          <w:color w:val="auto"/>
        </w:rPr>
        <w:t>OTHER PROVISIONS RELATING TO RIGHTS OF HOLDERS OF</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WARRANT CERTIFICATES</w:t>
      </w:r>
    </w:p>
    <w:p>
      <w:pPr>
        <w:spacing w:after="0" w:line="155" w:lineRule="exact"/>
        <w:rPr>
          <w:sz w:val="20"/>
          <w:szCs w:val="20"/>
          <w:color w:val="auto"/>
        </w:rPr>
      </w:pPr>
    </w:p>
    <w:p>
      <w:pPr>
        <w:ind w:left="260" w:right="499" w:firstLine="339"/>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3.1 No Rights as Warrant Securityholder Conferred by Warrants or Warrant Certificates. </w:t>
      </w:r>
      <w:r>
        <w:rPr>
          <w:rFonts w:ascii="Times New Roman" w:cs="Times New Roman" w:eastAsia="Times New Roman" w:hAnsi="Times New Roman"/>
          <w:sz w:val="14"/>
          <w:szCs w:val="14"/>
          <w:color w:val="auto"/>
        </w:rPr>
        <w:t>No Warrant Certificate or Warrant evidenced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thereby shall entitle the holder thereof to any 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w:t>
      </w:r>
    </w:p>
    <w:p>
      <w:pPr>
        <w:spacing w:after="0" w:line="137" w:lineRule="exact"/>
        <w:rPr>
          <w:sz w:val="20"/>
          <w:szCs w:val="20"/>
          <w:color w:val="auto"/>
        </w:rPr>
      </w:pPr>
    </w:p>
    <w:p>
      <w:pPr>
        <w:ind w:left="260" w:right="299" w:firstLine="339"/>
        <w:spacing w:after="0" w:line="271" w:lineRule="auto"/>
        <w:rPr>
          <w:sz w:val="20"/>
          <w:szCs w:val="20"/>
          <w:color w:val="auto"/>
        </w:rPr>
      </w:pPr>
      <w:r>
        <w:rPr>
          <w:rFonts w:ascii="Times New Roman" w:cs="Times New Roman" w:eastAsia="Times New Roman" w:hAnsi="Times New Roman"/>
          <w:sz w:val="13"/>
          <w:szCs w:val="13"/>
          <w:b w:val="1"/>
          <w:bCs w:val="1"/>
          <w:color w:val="auto"/>
        </w:rPr>
        <w:t xml:space="preserve">3.2 Lost, Stolen, Mutilated or Destroyed Warrant Certificates. </w:t>
      </w:r>
      <w:r>
        <w:rPr>
          <w:rFonts w:ascii="Times New Roman" w:cs="Times New Roman" w:eastAsia="Times New Roman" w:hAnsi="Times New Roman"/>
          <w:sz w:val="13"/>
          <w:szCs w:val="13"/>
          <w:color w:val="auto"/>
        </w:rPr>
        <w:t>Upon receipt by the Warrant Agent of evidence reasonably satisfactory to it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spacing w:after="0" w:line="135" w:lineRule="exact"/>
        <w:rPr>
          <w:sz w:val="20"/>
          <w:szCs w:val="20"/>
          <w:color w:val="auto"/>
        </w:rPr>
      </w:pPr>
    </w:p>
    <w:p>
      <w:pPr>
        <w:ind w:left="260" w:right="339" w:firstLine="339"/>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3.3 Holder of Warrant Certificate May Enforce Rights. </w:t>
      </w:r>
      <w:r>
        <w:rPr>
          <w:rFonts w:ascii="Times New Roman" w:cs="Times New Roman" w:eastAsia="Times New Roman" w:hAnsi="Times New Roman"/>
          <w:sz w:val="14"/>
          <w:szCs w:val="14"/>
          <w:color w:val="auto"/>
        </w:rPr>
        <w:t>Notwithstanding any of the provisions of this Agreement, any holder of a Warrant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Certificate, without 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w:t>
      </w:r>
    </w:p>
    <w:p>
      <w:pPr>
        <w:spacing w:after="0" w:line="14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3.4 Adjustments.</w:t>
      </w:r>
    </w:p>
    <w:p>
      <w:pPr>
        <w:spacing w:after="0" w:line="174" w:lineRule="exact"/>
        <w:rPr>
          <w:sz w:val="20"/>
          <w:szCs w:val="20"/>
          <w:color w:val="auto"/>
        </w:rPr>
      </w:pPr>
    </w:p>
    <w:p>
      <w:pPr>
        <w:ind w:left="260" w:right="439" w:firstLine="765"/>
        <w:spacing w:after="0" w:line="254" w:lineRule="auto"/>
        <w:tabs>
          <w:tab w:leader="none" w:pos="1220" w:val="left"/>
        </w:tabs>
        <w:numPr>
          <w:ilvl w:val="0"/>
          <w:numId w:val="1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case the Company shall at any time subdivide its outstanding shares of [title of Preferred Stock purchasable through exercise of Warrants] into a greater number of shares, the Warrant Price in effect immediately prior to such subdivision shall be proportionately reduced and the number of Warrant Securities purchasable under the Warrants shall be proportionately increased. Conversely, in case the outstanding shares of [title of Preferred Stock purchasable through exercise of Warrants] shall be combined into a smaller number of shares, the Warrant Price in effect immediately prior to such combination shall be proportionately increased and the number of Warrant Securities purchasable under the Warrants shall be proportionately decreased.</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7" w:right="1440" w:bottom="1440" w:gutter="0" w:footer="0" w:header="0"/>
        </w:sectPr>
      </w:pPr>
    </w:p>
    <w:bookmarkStart w:id="163" w:name="page164"/>
    <w:bookmarkEnd w:id="163"/>
    <w:p>
      <w:pPr>
        <w:ind w:left="260" w:right="399" w:firstLine="765"/>
        <w:spacing w:after="0" w:line="263" w:lineRule="auto"/>
        <w:tabs>
          <w:tab w:leader="none" w:pos="1228" w:val="left"/>
        </w:tabs>
        <w:numPr>
          <w:ilvl w:val="0"/>
          <w:numId w:val="1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If at any time or from time to time the holders of [title of Preferred Stock purchasable through exercise of Warrants] (or any shares of stock or other securities at the time receivable upon the exercise of the Warrants) shall have received or become entitled to receive, without payment therefore,</w:t>
      </w:r>
    </w:p>
    <w:p>
      <w:pPr>
        <w:spacing w:after="0" w:line="136" w:lineRule="exact"/>
        <w:rPr>
          <w:rFonts w:ascii="Times New Roman" w:cs="Times New Roman" w:eastAsia="Times New Roman" w:hAnsi="Times New Roman"/>
          <w:sz w:val="14"/>
          <w:szCs w:val="14"/>
          <w:b w:val="1"/>
          <w:bCs w:val="1"/>
          <w:color w:val="auto"/>
        </w:rPr>
      </w:pPr>
    </w:p>
    <w:p>
      <w:pPr>
        <w:jc w:val="both"/>
        <w:ind w:left="260" w:right="299" w:firstLine="1105"/>
        <w:spacing w:after="0" w:line="263" w:lineRule="auto"/>
        <w:tabs>
          <w:tab w:leader="none" w:pos="1529" w:val="left"/>
        </w:tabs>
        <w:numPr>
          <w:ilvl w:val="1"/>
          <w:numId w:val="1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[title of Preferred Stock purchasable through exercise of Warrants] or any shares of stock or other securities which are at any time directly or indirectly convertible into or exchangeable for [title of Preferred Stock purchasable through exercise of Warrants], or any rights or options to subscribe for, purchase or otherwise acquire any of the foregoing by way of dividend or other distribution;</w:t>
      </w:r>
    </w:p>
    <w:p>
      <w:pPr>
        <w:spacing w:after="0" w:line="136" w:lineRule="exact"/>
        <w:rPr>
          <w:rFonts w:ascii="Times New Roman" w:cs="Times New Roman" w:eastAsia="Times New Roman" w:hAnsi="Times New Roman"/>
          <w:sz w:val="14"/>
          <w:szCs w:val="14"/>
          <w:b w:val="1"/>
          <w:bCs w:val="1"/>
          <w:color w:val="auto"/>
        </w:rPr>
      </w:pPr>
    </w:p>
    <w:p>
      <w:pPr>
        <w:ind w:left="260" w:right="299" w:firstLine="1105"/>
        <w:spacing w:after="0" w:line="278" w:lineRule="auto"/>
        <w:tabs>
          <w:tab w:leader="none" w:pos="1567" w:val="left"/>
        </w:tabs>
        <w:numPr>
          <w:ilvl w:val="1"/>
          <w:numId w:val="1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cash paid or payable otherwise than in accordance with the terms of [title of Preferred Stock purchasable through exercise of Warrants] or as a cash dividend paid or payable out of the Company’s current or retained earnings;</w:t>
      </w:r>
    </w:p>
    <w:p>
      <w:pPr>
        <w:spacing w:after="0" w:line="126" w:lineRule="exact"/>
        <w:rPr>
          <w:rFonts w:ascii="Times New Roman" w:cs="Times New Roman" w:eastAsia="Times New Roman" w:hAnsi="Times New Roman"/>
          <w:sz w:val="14"/>
          <w:szCs w:val="14"/>
          <w:b w:val="1"/>
          <w:bCs w:val="1"/>
          <w:color w:val="auto"/>
        </w:rPr>
      </w:pPr>
    </w:p>
    <w:p>
      <w:pPr>
        <w:ind w:left="1600" w:hanging="235"/>
        <w:spacing w:after="0"/>
        <w:tabs>
          <w:tab w:leader="none" w:pos="1600" w:val="left"/>
        </w:tabs>
        <w:numPr>
          <w:ilvl w:val="1"/>
          <w:numId w:val="1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evidence of the Company’s indebtedness or rights to subscribe for or purchase the Company’s indebtedness; or</w:t>
      </w:r>
    </w:p>
    <w:p>
      <w:pPr>
        <w:spacing w:after="0" w:line="171" w:lineRule="exact"/>
        <w:rPr>
          <w:rFonts w:ascii="Times New Roman" w:cs="Times New Roman" w:eastAsia="Times New Roman" w:hAnsi="Times New Roman"/>
          <w:sz w:val="14"/>
          <w:szCs w:val="14"/>
          <w:b w:val="1"/>
          <w:bCs w:val="1"/>
          <w:color w:val="auto"/>
        </w:rPr>
      </w:pPr>
    </w:p>
    <w:p>
      <w:pPr>
        <w:ind w:left="260" w:right="279" w:firstLine="1105"/>
        <w:spacing w:after="0" w:line="274" w:lineRule="auto"/>
        <w:tabs>
          <w:tab w:leader="none" w:pos="1598" w:val="left"/>
        </w:tabs>
        <w:numPr>
          <w:ilvl w:val="1"/>
          <w:numId w:val="11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[title of Preferred Stock purchasable through exercise of Warrants] or additional stock or other securities or property (including cash) by way of spinoff, split-up, reclassification, combination of shares or similar corporate rearrangement (other than shares of [title of Preferred Stock purchasable through exercise of Warrants] issued as a stock split or adjustments in respect of which shall be covered by the terms of Section 3.4(a) above), then and in each such case, the holder of each Warrant shall, upon the exercise of the Warrant, be entitled to receive, in addition to the number of Warrant Securities receivable thereupon, and without payment of any additional consideration therefore, the amount of stock and other securities and property (including cash and indebtedness or rights to subscribe for or purchase indebtedness) which such holder would hold on the date of such exercise had such holder been the holder of record of such Warrant Securities as of the date on which holders of [title of Preferred Stock purchasable through exercise of Warrants] received or became entitled to receive such shares or all other additional stock and other securities and property.</w:t>
      </w:r>
    </w:p>
    <w:p>
      <w:pPr>
        <w:spacing w:after="0" w:line="131" w:lineRule="exact"/>
        <w:rPr>
          <w:rFonts w:ascii="Times New Roman" w:cs="Times New Roman" w:eastAsia="Times New Roman" w:hAnsi="Times New Roman"/>
          <w:sz w:val="13"/>
          <w:szCs w:val="13"/>
          <w:b w:val="1"/>
          <w:bCs w:val="1"/>
          <w:color w:val="auto"/>
        </w:rPr>
      </w:pPr>
    </w:p>
    <w:p>
      <w:pPr>
        <w:ind w:left="260" w:right="319" w:firstLine="765"/>
        <w:spacing w:after="0" w:line="250" w:lineRule="auto"/>
        <w:tabs>
          <w:tab w:leader="none" w:pos="1212" w:val="left"/>
        </w:tabs>
        <w:numPr>
          <w:ilvl w:val="0"/>
          <w:numId w:val="1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case of (i) any reclassification, capital reorganization, or change in the [title of Preferred Stock purchasable through exercise of Warrants] of the Company (other than as a result of a subdivision, combination, or stock dividend provided for in Section 3.4(a) or Section 3.4(b) above), (ii) share exchange, merger or similar transaction of the Company with or into another person or entity (other than a share exchange, merger or similar transaction in which the Company is the acquiring or surviving corporation and which does not result in any change in the [title of Preferred Stock purchasable through exercise of Warrants] other than the issuance of additional shares of [title of Preferred Stock purchasable through exercise of Warrants]) or (iii) the sale, exchange, lease, transfer or other disposition of all or substantially all of the properties and assets of the Company as an entirety (in any such case, a “</w:t>
      </w:r>
      <w:r>
        <w:rPr>
          <w:rFonts w:ascii="Times New Roman" w:cs="Times New Roman" w:eastAsia="Times New Roman" w:hAnsi="Times New Roman"/>
          <w:sz w:val="14"/>
          <w:szCs w:val="14"/>
          <w:b w:val="1"/>
          <w:bCs w:val="1"/>
          <w:i w:val="1"/>
          <w:iCs w:val="1"/>
          <w:color w:val="auto"/>
        </w:rPr>
        <w:t>Reorganization Event</w:t>
      </w:r>
      <w:r>
        <w:rPr>
          <w:rFonts w:ascii="Times New Roman" w:cs="Times New Roman" w:eastAsia="Times New Roman" w:hAnsi="Times New Roman"/>
          <w:sz w:val="14"/>
          <w:szCs w:val="14"/>
          <w:color w:val="auto"/>
        </w:rPr>
        <w:t>”), then, as a condition of such Reorganization Event, lawful provisions shall be made, and duly executed documents evidencing the same from the Company or its successor shall be delivered to the holders of the Warrants, so that the holders of the Warrants shall have the right at any time prior to the expiration of the Warrants to purchase, at a total price equal to that payable upon the exercise of the Warrants, the kind and amount of shares of stock and other securities and property receivable in connection with such Reorganization Event by a holder of the same number of shares of [title of Preferred Stock purchasable through exercise of Warrants]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of stock or other securities and property deliverable upon exercise the Warrants, and appropriate adjustments shall be made to the Warrant Price</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39" w:right="1440" w:bottom="1440" w:gutter="0" w:footer="0" w:header="0"/>
        </w:sectPr>
      </w:pPr>
    </w:p>
    <w:bookmarkStart w:id="164" w:name="page165"/>
    <w:bookmarkEnd w:id="164"/>
    <w:p>
      <w:pPr>
        <w:ind w:left="260" w:right="339"/>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payable hereunder provided the aggregate purchase price shall remain the same. In the case of any transaction described in clauses (ii) and (iii) above,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spacing w:after="0" w:line="146" w:lineRule="exact"/>
        <w:rPr>
          <w:sz w:val="20"/>
          <w:szCs w:val="20"/>
          <w:color w:val="auto"/>
        </w:rPr>
      </w:pPr>
    </w:p>
    <w:p>
      <w:pPr>
        <w:jc w:val="both"/>
        <w:ind w:left="260" w:right="459" w:firstLine="765"/>
        <w:spacing w:after="0" w:line="263" w:lineRule="auto"/>
        <w:tabs>
          <w:tab w:leader="none" w:pos="1228" w:val="left"/>
        </w:tabs>
        <w:numPr>
          <w:ilvl w:val="0"/>
          <w:numId w:val="11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may, at its option, at any time until the Expiration Date, reduce the then current Warrant Price to any amount deemed appropriate by the Board of Directors of the Company for any period not exceeding twenty consecutive days (as evidenced in a resolution adopted by such Board of Directors), but only upon giving the notices required by Section 3.5 at least ten days prior to taking such action.</w:t>
      </w:r>
    </w:p>
    <w:p>
      <w:pPr>
        <w:spacing w:after="0" w:line="136" w:lineRule="exact"/>
        <w:rPr>
          <w:rFonts w:ascii="Times New Roman" w:cs="Times New Roman" w:eastAsia="Times New Roman" w:hAnsi="Times New Roman"/>
          <w:sz w:val="14"/>
          <w:szCs w:val="14"/>
          <w:b w:val="1"/>
          <w:bCs w:val="1"/>
          <w:color w:val="auto"/>
        </w:rPr>
      </w:pPr>
    </w:p>
    <w:p>
      <w:pPr>
        <w:ind w:left="260" w:right="619" w:firstLine="765"/>
        <w:spacing w:after="0" w:line="278" w:lineRule="auto"/>
        <w:tabs>
          <w:tab w:leader="none" w:pos="1212" w:val="left"/>
        </w:tabs>
        <w:numPr>
          <w:ilvl w:val="0"/>
          <w:numId w:val="11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Except as herein otherwise expressly provided, no adjustment in the Warrant Price shall be made by reason of the issuance of any securities of the Company or for any other reason whatsoever.</w:t>
      </w:r>
    </w:p>
    <w:p>
      <w:pPr>
        <w:spacing w:after="0" w:line="126" w:lineRule="exact"/>
        <w:rPr>
          <w:rFonts w:ascii="Times New Roman" w:cs="Times New Roman" w:eastAsia="Times New Roman" w:hAnsi="Times New Roman"/>
          <w:sz w:val="14"/>
          <w:szCs w:val="14"/>
          <w:b w:val="1"/>
          <w:bCs w:val="1"/>
          <w:color w:val="auto"/>
        </w:rPr>
      </w:pPr>
    </w:p>
    <w:p>
      <w:pPr>
        <w:ind w:left="260" w:right="359" w:firstLine="765"/>
        <w:spacing w:after="0" w:line="271" w:lineRule="auto"/>
        <w:tabs>
          <w:tab w:leader="none" w:pos="1197" w:val="left"/>
        </w:tabs>
        <w:numPr>
          <w:ilvl w:val="0"/>
          <w:numId w:val="11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No fractional Warrant Securities shall be issued upon the exercise of Warrants. If more than one Warrant shall be exercised at one time by the same holder, the number of full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 and low asked prices as reported on the OTC Bulletin Board Service (the “</w:t>
      </w:r>
      <w:r>
        <w:rPr>
          <w:rFonts w:ascii="Times New Roman" w:cs="Times New Roman" w:eastAsia="Times New Roman" w:hAnsi="Times New Roman"/>
          <w:sz w:val="13"/>
          <w:szCs w:val="13"/>
          <w:b w:val="1"/>
          <w:bCs w:val="1"/>
          <w:i w:val="1"/>
          <w:iCs w:val="1"/>
          <w:color w:val="auto"/>
        </w:rPr>
        <w:t>OTC Bulletin Board</w:t>
      </w:r>
      <w:r>
        <w:rPr>
          <w:rFonts w:ascii="Times New Roman" w:cs="Times New Roman" w:eastAsia="Times New Roman" w:hAnsi="Times New Roman"/>
          <w:sz w:val="13"/>
          <w:szCs w:val="13"/>
          <w:color w:val="auto"/>
        </w:rPr>
        <w:t>”) operated by the Financial Industry Regulatory Authority, Inc. (“</w:t>
      </w:r>
      <w:r>
        <w:rPr>
          <w:rFonts w:ascii="Times New Roman" w:cs="Times New Roman" w:eastAsia="Times New Roman" w:hAnsi="Times New Roman"/>
          <w:sz w:val="13"/>
          <w:szCs w:val="13"/>
          <w:b w:val="1"/>
          <w:bCs w:val="1"/>
          <w:i w:val="1"/>
          <w:iCs w:val="1"/>
          <w:color w:val="auto"/>
        </w:rPr>
        <w:t>FINRA</w:t>
      </w:r>
      <w:r>
        <w:rPr>
          <w:rFonts w:ascii="Times New Roman" w:cs="Times New Roman" w:eastAsia="Times New Roman" w:hAnsi="Times New Roman"/>
          <w:sz w:val="13"/>
          <w:szCs w:val="13"/>
          <w:color w:val="auto"/>
        </w:rPr>
        <w:t>” ) or, if not available on the OTC Bulletin Board, then the average of the closing high bid and low asked prices as reported on any other U.S. quotation medium or inter-dealer quotation system on such date, or if on any such date the Warrant Securities are not listed or admitted to trading on a registered national securities exchange, are not included in the OTC Bulletin Board, and are not quoted on any other U.S. quotation medium or inter-dealer quotation system, an amount equal to the same fraction of the average of the closing bid and asked prices as furnished by any FINRA member firm selected from time to time by the Company for that purpose at the close of business on the business day that next precedes the day of exercise.</w:t>
      </w:r>
    </w:p>
    <w:p>
      <w:pPr>
        <w:spacing w:after="0" w:line="134" w:lineRule="exact"/>
        <w:rPr>
          <w:rFonts w:ascii="Times New Roman" w:cs="Times New Roman" w:eastAsia="Times New Roman" w:hAnsi="Times New Roman"/>
          <w:sz w:val="13"/>
          <w:szCs w:val="13"/>
          <w:b w:val="1"/>
          <w:bCs w:val="1"/>
          <w:color w:val="auto"/>
        </w:rPr>
      </w:pPr>
    </w:p>
    <w:p>
      <w:pPr>
        <w:ind w:left="260" w:right="479" w:firstLine="765"/>
        <w:spacing w:after="0" w:line="263" w:lineRule="auto"/>
        <w:tabs>
          <w:tab w:leader="none" w:pos="1220" w:val="left"/>
        </w:tabs>
        <w:numPr>
          <w:ilvl w:val="0"/>
          <w:numId w:val="11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under the provisions hereof, together with the facts, in reasonable detail, upon which such adjustment is based.</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39" w:right="1440" w:bottom="1440" w:gutter="0" w:footer="0" w:header="0"/>
        </w:sectPr>
      </w:pPr>
    </w:p>
    <w:bookmarkStart w:id="165" w:name="page166"/>
    <w:bookmarkEnd w:id="165"/>
    <w:p>
      <w:pPr>
        <w:ind w:left="260" w:right="399" w:firstLine="765"/>
        <w:spacing w:after="0" w:line="278" w:lineRule="auto"/>
        <w:tabs>
          <w:tab w:leader="none" w:pos="1228" w:val="left"/>
        </w:tabs>
        <w:numPr>
          <w:ilvl w:val="0"/>
          <w:numId w:val="1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Notwithstanding anything to the contrary herein, in no event shall the Warrant Price, as adjusted in accordance with the terms hereof, be less than the par value per share of [title of Preferred Stock purchasable through exercise of Warrants].</w:t>
      </w:r>
    </w:p>
    <w:p>
      <w:pPr>
        <w:spacing w:after="0" w:line="124" w:lineRule="exact"/>
        <w:rPr>
          <w:sz w:val="20"/>
          <w:szCs w:val="20"/>
          <w:color w:val="auto"/>
        </w:rPr>
      </w:pPr>
    </w:p>
    <w:p>
      <w:pPr>
        <w:ind w:left="260" w:right="279" w:firstLine="339"/>
        <w:spacing w:after="0" w:line="251" w:lineRule="auto"/>
        <w:rPr>
          <w:sz w:val="20"/>
          <w:szCs w:val="20"/>
          <w:color w:val="auto"/>
        </w:rPr>
      </w:pPr>
      <w:r>
        <w:rPr>
          <w:rFonts w:ascii="Times New Roman" w:cs="Times New Roman" w:eastAsia="Times New Roman" w:hAnsi="Times New Roman"/>
          <w:sz w:val="14"/>
          <w:szCs w:val="14"/>
          <w:b w:val="1"/>
          <w:bCs w:val="1"/>
          <w:color w:val="auto"/>
        </w:rPr>
        <w:t xml:space="preserve">3.5 Notice to Warrantholders. </w:t>
      </w:r>
      <w:r>
        <w:rPr>
          <w:rFonts w:ascii="Times New Roman" w:cs="Times New Roman" w:eastAsia="Times New Roman" w:hAnsi="Times New Roman"/>
          <w:sz w:val="14"/>
          <w:szCs w:val="14"/>
          <w:color w:val="auto"/>
        </w:rPr>
        <w:t>In case the Company shall (a) effect any dividend or distribution described in Section 3.4(b), (b) effect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Reorganization Event, (c) make any distribution on or in respect of the [title of Preferred Stock purchasable through exercise of Warrants] in connection with the dissolution, liquidation or winding up of the Company, or (d) reduce the then current Warrant Price pursuant to Section 3.4(d), then the Company shall mail to each holder of Warrants at such holder’s address as it shall appear on the books of the Warrant Agent, at least ten days prior to the applicable date hereinafter specified, a notice stating (x) the record date for such dividend or distribution, or, if a record is not to be taken, the date as of which the holders of record of [title of Preferred Stock purchasable through exercise of Warrants] that will be entitled to such dividend or distribution are to be determined, (y) the date on which such Reorganization Event, dissolution, liquidation or winding up is expected to become effective, and the date as of which it is expected that holders of [title of Preferred Stock purchasable through exercise of Warrants] of record shall be entitled to exchange their shares of [title of Preferred Stock purchasable through exercise of Warrants] for securities or other property deliverable upon such Reorganization Event, dissolution, liquidation or winding up, or (z) the first date on which the then current Warrant Price shall be reduced pursuant to Section 3.4(d). No failure to mail such notice nor any defect therein or in the mailing thereof shall affect any such transaction or any adjustment in the Warrant Price required by Section 3.4.</w:t>
      </w:r>
    </w:p>
    <w:p>
      <w:pPr>
        <w:spacing w:after="0" w:line="14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 xml:space="preserve">3.6 </w:t>
      </w:r>
      <w:r>
        <w:rPr>
          <w:rFonts w:ascii="Times New Roman" w:cs="Times New Roman" w:eastAsia="Times New Roman" w:hAnsi="Times New Roman"/>
          <w:sz w:val="14"/>
          <w:szCs w:val="14"/>
          <w:color w:val="auto"/>
        </w:rPr>
        <w:t>[If the Warrants are Subject to Acceleration by the Company, Insert — Acceleration of Warrants by the Company.</w:t>
      </w:r>
    </w:p>
    <w:p>
      <w:pPr>
        <w:spacing w:after="0" w:line="174" w:lineRule="exact"/>
        <w:rPr>
          <w:sz w:val="20"/>
          <w:szCs w:val="20"/>
          <w:color w:val="auto"/>
        </w:rPr>
      </w:pPr>
    </w:p>
    <w:p>
      <w:pPr>
        <w:ind w:left="260" w:right="379" w:firstLine="765"/>
        <w:spacing w:after="0" w:line="255" w:lineRule="auto"/>
        <w:tabs>
          <w:tab w:leader="none" w:pos="1220" w:val="left"/>
        </w:tabs>
        <w:numPr>
          <w:ilvl w:val="0"/>
          <w:numId w:val="1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At any time on or after [•], the Company shall have the right to accelerate any or all Warrants at any time by causing them to expire at the close of business on the day next preceding a specified date (the “</w:t>
      </w:r>
      <w:r>
        <w:rPr>
          <w:rFonts w:ascii="Times New Roman" w:cs="Times New Roman" w:eastAsia="Times New Roman" w:hAnsi="Times New Roman"/>
          <w:sz w:val="14"/>
          <w:szCs w:val="14"/>
          <w:b w:val="1"/>
          <w:bCs w:val="1"/>
          <w:i w:val="1"/>
          <w:iCs w:val="1"/>
          <w:color w:val="auto"/>
        </w:rPr>
        <w:t>Acceleration Date</w:t>
      </w:r>
      <w:r>
        <w:rPr>
          <w:rFonts w:ascii="Times New Roman" w:cs="Times New Roman" w:eastAsia="Times New Roman" w:hAnsi="Times New Roman"/>
          <w:sz w:val="14"/>
          <w:szCs w:val="14"/>
          <w:color w:val="auto"/>
        </w:rPr>
        <w:t>”), if the Market Price (as hereinafter defined) of the [title of Preferred Stock purchasable through exercise of Warrants]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w:t>
      </w:r>
    </w:p>
    <w:p>
      <w:pPr>
        <w:spacing w:after="0" w:line="140" w:lineRule="exact"/>
        <w:rPr>
          <w:rFonts w:ascii="Times New Roman" w:cs="Times New Roman" w:eastAsia="Times New Roman" w:hAnsi="Times New Roman"/>
          <w:sz w:val="14"/>
          <w:szCs w:val="14"/>
          <w:b w:val="1"/>
          <w:bCs w:val="1"/>
          <w:color w:val="auto"/>
        </w:rPr>
      </w:pPr>
    </w:p>
    <w:p>
      <w:pPr>
        <w:ind w:left="260" w:right="279" w:firstLine="765"/>
        <w:spacing w:after="0" w:line="250" w:lineRule="auto"/>
        <w:tabs>
          <w:tab w:leader="none" w:pos="1228" w:val="left"/>
        </w:tabs>
        <w:numPr>
          <w:ilvl w:val="0"/>
          <w:numId w:val="1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(b)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Market Price</w:t>
      </w:r>
      <w:r>
        <w:rPr>
          <w:rFonts w:ascii="Times New Roman" w:cs="Times New Roman" w:eastAsia="Times New Roman" w:hAnsi="Times New Roman"/>
          <w:sz w:val="14"/>
          <w:szCs w:val="14"/>
          <w:color w:val="auto"/>
        </w:rPr>
        <w:t>” for each Trading Day shall be, if the [title of Preferred Stock purchasable through exercise of Warrants] is listed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admitted to trading on any registered national securities exchange, the last reported sale price, regular way (or, if no such price is reported, the average of the reported closing bid and asked prices, regular way) of [title of Preferred Stock purchasable through exercise of Warrants], in either case as reported on the principal registered national securities exchange on which the [title of Preferred Stock purchasable through exercise of Warrants] is listed or admitted to trading or, if not listed or admitted to trading on any registered national securities exchange, the average of the closing high bid and low asked prices as reported on the OTC Bulletin Board operated by FINRA, or if not available on the OTC Bulletin Board, then the average of the closing high bid and low asked prices as reported on any other U.S. quotation medium or inter-dealer quotation system, or if on any such date the shares of [title of Preferred Stock purchasable through exercise of Warrants] are not listed or admitted to trading on a registered national securities exchange, are not included in the OTC Bulletin Board, and are not quoted on any other U.S. quotation medium or inter-dealer quotation system, the average of the closing bid and asked prices as furnished by any FINRA member firm selected from time to time by the Company for that purpose. “Trading Day” shall be each Monday through Friday, other than any day on which securities are not traded in the system or on the exchange that is the principal market for the [title of Preferred Stock purchasable through exercise of Warrants], as determined by the Board of Directors of the Company. In the event of an acceleration of less than all of the Warrants, the Warrant Agent shall select the Warrants to be accelerated by lot, pro rata or in such other manner as it deems, in its discretion, to be fair and appropriate.</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39" w:right="1440" w:bottom="1440" w:gutter="0" w:footer="0" w:header="0"/>
        </w:sectPr>
      </w:pPr>
    </w:p>
    <w:bookmarkStart w:id="166" w:name="page167"/>
    <w:bookmarkEnd w:id="166"/>
    <w:p>
      <w:pPr>
        <w:ind w:left="260" w:right="299" w:firstLine="765"/>
        <w:spacing w:after="0" w:line="255" w:lineRule="auto"/>
        <w:tabs>
          <w:tab w:leader="none" w:pos="1212" w:val="left"/>
        </w:tabs>
        <w:numPr>
          <w:ilvl w:val="0"/>
          <w:numId w:val="1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Notice of an acceleration specifying the Acceleration Date shall be sent by mail first class, postage prepaid, to each registered holder of a Warrant Certificate representing a Warrant 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w:t>
      </w:r>
    </w:p>
    <w:p>
      <w:pPr>
        <w:spacing w:after="0" w:line="142" w:lineRule="exact"/>
        <w:rPr>
          <w:rFonts w:ascii="Times New Roman" w:cs="Times New Roman" w:eastAsia="Times New Roman" w:hAnsi="Times New Roman"/>
          <w:sz w:val="14"/>
          <w:szCs w:val="14"/>
          <w:b w:val="1"/>
          <w:bCs w:val="1"/>
          <w:color w:val="auto"/>
        </w:rPr>
      </w:pPr>
    </w:p>
    <w:p>
      <w:pPr>
        <w:ind w:left="260" w:right="459" w:firstLine="765"/>
        <w:spacing w:after="0" w:line="278" w:lineRule="auto"/>
        <w:tabs>
          <w:tab w:leader="none" w:pos="1228" w:val="left"/>
        </w:tabs>
        <w:numPr>
          <w:ilvl w:val="0"/>
          <w:numId w:val="1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Warrant accelerated may be exercised until [•] p.m., [City] time, on the business day next preceding the Acceleration Date. The Warrant Price shall be payable as provided in Section 2.]</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4</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EXCHANGE AND TRANSFER OF WARRANT CERTIFICATES</w:t>
      </w:r>
    </w:p>
    <w:p>
      <w:pPr>
        <w:spacing w:after="0" w:line="172" w:lineRule="exact"/>
        <w:rPr>
          <w:sz w:val="20"/>
          <w:szCs w:val="20"/>
          <w:color w:val="auto"/>
        </w:rPr>
      </w:pPr>
    </w:p>
    <w:p>
      <w:pPr>
        <w:ind w:left="260" w:right="279" w:firstLine="339"/>
        <w:spacing w:after="0" w:line="250" w:lineRule="auto"/>
        <w:rPr>
          <w:sz w:val="20"/>
          <w:szCs w:val="20"/>
          <w:color w:val="auto"/>
        </w:rPr>
      </w:pPr>
      <w:r>
        <w:rPr>
          <w:rFonts w:ascii="Times New Roman" w:cs="Times New Roman" w:eastAsia="Times New Roman" w:hAnsi="Times New Roman"/>
          <w:sz w:val="14"/>
          <w:szCs w:val="14"/>
          <w:b w:val="1"/>
          <w:bCs w:val="1"/>
          <w:color w:val="auto"/>
        </w:rPr>
        <w:t xml:space="preserve">4.1 </w:t>
      </w:r>
      <w:r>
        <w:rPr>
          <w:rFonts w:ascii="Times New Roman" w:cs="Times New Roman" w:eastAsia="Times New Roman" w:hAnsi="Times New Roman"/>
          <w:sz w:val="14"/>
          <w:szCs w:val="14"/>
          <w:color w:val="auto"/>
        </w:rPr>
        <w:t>Exchange and Transfer of Warrant Certificates. Upon surrender at the corporate trust office of the Warrant Agent, Warrant Certificates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evidencing 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spacing w:after="0" w:line="145" w:lineRule="exact"/>
        <w:rPr>
          <w:sz w:val="20"/>
          <w:szCs w:val="20"/>
          <w:color w:val="auto"/>
        </w:rPr>
      </w:pPr>
    </w:p>
    <w:p>
      <w:pPr>
        <w:ind w:left="260" w:right="319" w:firstLine="339"/>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4.2 Treatment of Holders of Warrant Certificates. </w:t>
      </w:r>
      <w:r>
        <w:rPr>
          <w:rFonts w:ascii="Times New Roman" w:cs="Times New Roman" w:eastAsia="Times New Roman" w:hAnsi="Times New Roman"/>
          <w:sz w:val="14"/>
          <w:szCs w:val="14"/>
          <w:color w:val="auto"/>
        </w:rPr>
        <w:t>The Company, the Warrant Agent and all other persons may treat the registered holder of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 Certificate as the absolute owner thereof for any purpose and as the person entitled to exercise the rights represented by the Warrants evidenced thereby, any notice to the contrary notwithstanding.</w:t>
      </w:r>
    </w:p>
    <w:p>
      <w:pPr>
        <w:spacing w:after="0" w:line="134" w:lineRule="exact"/>
        <w:rPr>
          <w:sz w:val="20"/>
          <w:szCs w:val="20"/>
          <w:color w:val="auto"/>
        </w:rPr>
      </w:pPr>
    </w:p>
    <w:p>
      <w:pPr>
        <w:ind w:left="260" w:right="299" w:firstLine="339"/>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4.3 Cancellation of Warrant Certificates. </w:t>
      </w:r>
      <w:r>
        <w:rPr>
          <w:rFonts w:ascii="Times New Roman" w:cs="Times New Roman" w:eastAsia="Times New Roman" w:hAnsi="Times New Roman"/>
          <w:sz w:val="14"/>
          <w:szCs w:val="14"/>
          <w:color w:val="auto"/>
        </w:rPr>
        <w:t>Any Warrant Certificate surrendered for exchange, registration of transfer or exercise of the Warrants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39" w:right="1440" w:bottom="1440" w:gutter="0" w:footer="0" w:header="0"/>
        </w:sectPr>
      </w:pPr>
    </w:p>
    <w:bookmarkStart w:id="167" w:name="page168"/>
    <w:bookmarkEnd w:id="16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ARTICLE 5</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CONCERNING THE WARRANT AGENT</w:t>
      </w:r>
    </w:p>
    <w:p>
      <w:pPr>
        <w:spacing w:after="0" w:line="172" w:lineRule="exact"/>
        <w:rPr>
          <w:sz w:val="20"/>
          <w:szCs w:val="20"/>
          <w:color w:val="auto"/>
        </w:rPr>
      </w:pPr>
    </w:p>
    <w:p>
      <w:pPr>
        <w:ind w:left="260" w:right="339" w:firstLine="339"/>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5.1 Warrant Agent. </w:t>
      </w:r>
      <w:r>
        <w:rPr>
          <w:rFonts w:ascii="Times New Roman" w:cs="Times New Roman" w:eastAsia="Times New Roman" w:hAnsi="Times New Roman"/>
          <w:sz w:val="14"/>
          <w:szCs w:val="14"/>
          <w:color w:val="auto"/>
        </w:rPr>
        <w:t>The Company hereby appoints [•] as Warrant Agent of the Company in respect of the Warrants and the Warrant Certificates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spacing w:after="0" w:line="140" w:lineRule="exact"/>
        <w:rPr>
          <w:sz w:val="20"/>
          <w:szCs w:val="20"/>
          <w:color w:val="auto"/>
        </w:rPr>
      </w:pPr>
    </w:p>
    <w:p>
      <w:pPr>
        <w:jc w:val="both"/>
        <w:ind w:left="260" w:right="659" w:firstLine="339"/>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5.2 Conditions of Warrant Agent’s Obligations. </w:t>
      </w:r>
      <w:r>
        <w:rPr>
          <w:rFonts w:ascii="Times New Roman" w:cs="Times New Roman" w:eastAsia="Times New Roman" w:hAnsi="Times New Roman"/>
          <w:sz w:val="14"/>
          <w:szCs w:val="14"/>
          <w:color w:val="auto"/>
        </w:rPr>
        <w:t>The Warrant Agent accepts its obligations herein set forth upon the terms and conditions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hereof, including the following to all of which the Company agrees and to all of which the rights hereunder of the holders from time to time of the Warrant Certificates shall be subject:</w:t>
      </w:r>
    </w:p>
    <w:p>
      <w:pPr>
        <w:spacing w:after="0" w:line="51" w:lineRule="exact"/>
        <w:rPr>
          <w:sz w:val="20"/>
          <w:szCs w:val="20"/>
          <w:color w:val="auto"/>
        </w:rPr>
      </w:pPr>
    </w:p>
    <w:p>
      <w:pPr>
        <w:ind w:left="260" w:right="359" w:firstLine="765"/>
        <w:spacing w:after="0" w:line="254" w:lineRule="auto"/>
        <w:tabs>
          <w:tab w:leader="none" w:pos="1220" w:val="left"/>
        </w:tabs>
        <w:numPr>
          <w:ilvl w:val="0"/>
          <w:numId w:val="1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Compensation and Indemnification. </w:t>
      </w:r>
      <w:r>
        <w:rPr>
          <w:rFonts w:ascii="Times New Roman" w:cs="Times New Roman" w:eastAsia="Times New Roman" w:hAnsi="Times New Roman"/>
          <w:sz w:val="14"/>
          <w:szCs w:val="14"/>
          <w:color w:val="auto"/>
        </w:rPr>
        <w:t>The Company agrees promptly to pay the Warrant Agent the compensation to be agreed upon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spacing w:after="0" w:line="142" w:lineRule="exact"/>
        <w:rPr>
          <w:rFonts w:ascii="Times New Roman" w:cs="Times New Roman" w:eastAsia="Times New Roman" w:hAnsi="Times New Roman"/>
          <w:sz w:val="14"/>
          <w:szCs w:val="14"/>
          <w:b w:val="1"/>
          <w:bCs w:val="1"/>
          <w:color w:val="auto"/>
        </w:rPr>
      </w:pPr>
    </w:p>
    <w:p>
      <w:pPr>
        <w:ind w:left="260" w:right="359" w:firstLine="765"/>
        <w:spacing w:after="0" w:line="264" w:lineRule="auto"/>
        <w:tabs>
          <w:tab w:leader="none" w:pos="1228" w:val="left"/>
        </w:tabs>
        <w:numPr>
          <w:ilvl w:val="0"/>
          <w:numId w:val="1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Agent for the Company. </w:t>
      </w:r>
      <w:r>
        <w:rPr>
          <w:rFonts w:ascii="Times New Roman" w:cs="Times New Roman" w:eastAsia="Times New Roman" w:hAnsi="Times New Roman"/>
          <w:sz w:val="14"/>
          <w:szCs w:val="14"/>
          <w:color w:val="auto"/>
        </w:rPr>
        <w:t>In acting under this Agreement and in connection with the Warrant Certificates, the Warrant Agent is acting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solely as agent of the Company and does not assume any obligations or relationship of agency or trust for or with any of the holders of Warrant Certificates or beneficial owners of Warrants.</w:t>
      </w:r>
    </w:p>
    <w:p>
      <w:pPr>
        <w:spacing w:after="0" w:line="134" w:lineRule="exact"/>
        <w:rPr>
          <w:rFonts w:ascii="Times New Roman" w:cs="Times New Roman" w:eastAsia="Times New Roman" w:hAnsi="Times New Roman"/>
          <w:sz w:val="14"/>
          <w:szCs w:val="14"/>
          <w:b w:val="1"/>
          <w:bCs w:val="1"/>
          <w:color w:val="auto"/>
        </w:rPr>
      </w:pPr>
    </w:p>
    <w:p>
      <w:pPr>
        <w:ind w:left="260" w:right="319" w:firstLine="765"/>
        <w:spacing w:after="0" w:line="264" w:lineRule="auto"/>
        <w:tabs>
          <w:tab w:leader="none" w:pos="1212" w:val="left"/>
        </w:tabs>
        <w:numPr>
          <w:ilvl w:val="0"/>
          <w:numId w:val="1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Counsel. </w:t>
      </w:r>
      <w:r>
        <w:rPr>
          <w:rFonts w:ascii="Times New Roman" w:cs="Times New Roman" w:eastAsia="Times New Roman" w:hAnsi="Times New Roman"/>
          <w:sz w:val="14"/>
          <w:szCs w:val="14"/>
          <w:color w:val="auto"/>
        </w:rPr>
        <w:t>The Warrant Agent may consult with counsel satisfactory to it, which may include counsel for the Company, and the written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advice of such counsel shall be full and complete authorization and protection in respect of any action taken, suffered or omitted by it hereunder in good faith and in accordance with the advice of such counsel.</w:t>
      </w:r>
    </w:p>
    <w:p>
      <w:pPr>
        <w:spacing w:after="0" w:line="134" w:lineRule="exact"/>
        <w:rPr>
          <w:rFonts w:ascii="Times New Roman" w:cs="Times New Roman" w:eastAsia="Times New Roman" w:hAnsi="Times New Roman"/>
          <w:sz w:val="14"/>
          <w:szCs w:val="14"/>
          <w:b w:val="1"/>
          <w:bCs w:val="1"/>
          <w:color w:val="auto"/>
        </w:rPr>
      </w:pPr>
    </w:p>
    <w:p>
      <w:pPr>
        <w:ind w:left="260" w:right="339" w:firstLine="765"/>
        <w:spacing w:after="0" w:line="264" w:lineRule="auto"/>
        <w:tabs>
          <w:tab w:leader="none" w:pos="1228" w:val="left"/>
        </w:tabs>
        <w:numPr>
          <w:ilvl w:val="0"/>
          <w:numId w:val="1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Documents. </w:t>
      </w:r>
      <w:r>
        <w:rPr>
          <w:rFonts w:ascii="Times New Roman" w:cs="Times New Roman" w:eastAsia="Times New Roman" w:hAnsi="Times New Roman"/>
          <w:sz w:val="14"/>
          <w:szCs w:val="14"/>
          <w:color w:val="auto"/>
        </w:rPr>
        <w:t>The Warrant Agent shall be protected and shall incur no liability for or in respect of any action taken or omitted by it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reliance upon any Warrant Certificate, notice, direction, consent, certificate, affidavit, statement or other paper or document reasonably believed by it to be genuine and to have been presented or signed by the proper parties.</w:t>
      </w:r>
    </w:p>
    <w:p>
      <w:pPr>
        <w:spacing w:after="0" w:line="134" w:lineRule="exact"/>
        <w:rPr>
          <w:rFonts w:ascii="Times New Roman" w:cs="Times New Roman" w:eastAsia="Times New Roman" w:hAnsi="Times New Roman"/>
          <w:sz w:val="14"/>
          <w:szCs w:val="14"/>
          <w:b w:val="1"/>
          <w:bCs w:val="1"/>
          <w:color w:val="auto"/>
        </w:rPr>
      </w:pPr>
    </w:p>
    <w:p>
      <w:pPr>
        <w:ind w:left="260" w:right="299" w:firstLine="765"/>
        <w:spacing w:after="0" w:line="280" w:lineRule="auto"/>
        <w:tabs>
          <w:tab w:leader="none" w:pos="1212" w:val="left"/>
        </w:tabs>
        <w:numPr>
          <w:ilvl w:val="0"/>
          <w:numId w:val="12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Certain Transactions. </w:t>
      </w:r>
      <w:r>
        <w:rPr>
          <w:rFonts w:ascii="Times New Roman" w:cs="Times New Roman" w:eastAsia="Times New Roman" w:hAnsi="Times New Roman"/>
          <w:sz w:val="13"/>
          <w:szCs w:val="13"/>
          <w:color w:val="auto"/>
        </w:rPr>
        <w:t>The Warrant Agent, and its officers, directors and employees, may become the owner of, or acquire any interest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Agreement shall be deemed to prevent the Warrant Agent from acting as trustee under any indenture to which the Company is a party.</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37" w:right="1440" w:bottom="1440" w:gutter="0" w:footer="0" w:header="0"/>
        </w:sectPr>
      </w:pPr>
    </w:p>
    <w:bookmarkStart w:id="168" w:name="page169"/>
    <w:bookmarkEnd w:id="168"/>
    <w:p>
      <w:pPr>
        <w:ind w:left="260" w:right="559" w:firstLine="765"/>
        <w:spacing w:after="0" w:line="281" w:lineRule="auto"/>
        <w:tabs>
          <w:tab w:leader="none" w:pos="1197" w:val="left"/>
        </w:tabs>
        <w:numPr>
          <w:ilvl w:val="0"/>
          <w:numId w:val="1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No Liability for Interest. </w:t>
      </w:r>
      <w:r>
        <w:rPr>
          <w:rFonts w:ascii="Times New Roman" w:cs="Times New Roman" w:eastAsia="Times New Roman" w:hAnsi="Times New Roman"/>
          <w:sz w:val="14"/>
          <w:szCs w:val="14"/>
          <w:color w:val="auto"/>
        </w:rPr>
        <w:t>Unless otherwise agreed with the Company, the Warrant Agent shall have no liability for interest on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monies at any time received by it pursuant to any of the provisions of this Agreement or of the Warrant Certificates.</w:t>
      </w:r>
    </w:p>
    <w:p>
      <w:pPr>
        <w:spacing w:after="0" w:line="122" w:lineRule="exact"/>
        <w:rPr>
          <w:rFonts w:ascii="Times New Roman" w:cs="Times New Roman" w:eastAsia="Times New Roman" w:hAnsi="Times New Roman"/>
          <w:sz w:val="14"/>
          <w:szCs w:val="14"/>
          <w:b w:val="1"/>
          <w:bCs w:val="1"/>
          <w:color w:val="auto"/>
        </w:rPr>
      </w:pPr>
    </w:p>
    <w:p>
      <w:pPr>
        <w:ind w:left="260" w:right="479" w:firstLine="765"/>
        <w:spacing w:after="0" w:line="281" w:lineRule="auto"/>
        <w:tabs>
          <w:tab w:leader="none" w:pos="1220" w:val="left"/>
        </w:tabs>
        <w:numPr>
          <w:ilvl w:val="0"/>
          <w:numId w:val="1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No Liability for Invalidity. </w:t>
      </w:r>
      <w:r>
        <w:rPr>
          <w:rFonts w:ascii="Times New Roman" w:cs="Times New Roman" w:eastAsia="Times New Roman" w:hAnsi="Times New Roman"/>
          <w:sz w:val="14"/>
          <w:szCs w:val="14"/>
          <w:color w:val="auto"/>
        </w:rPr>
        <w:t>The Warrant Agent shall have no liability with respect to any invalidity of this Agreement or any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 Certificates (except as to the Warrant Agent’s countersignature thereon).</w:t>
      </w:r>
    </w:p>
    <w:p>
      <w:pPr>
        <w:spacing w:after="0" w:line="122" w:lineRule="exact"/>
        <w:rPr>
          <w:rFonts w:ascii="Times New Roman" w:cs="Times New Roman" w:eastAsia="Times New Roman" w:hAnsi="Times New Roman"/>
          <w:sz w:val="14"/>
          <w:szCs w:val="14"/>
          <w:b w:val="1"/>
          <w:bCs w:val="1"/>
          <w:color w:val="auto"/>
        </w:rPr>
      </w:pPr>
    </w:p>
    <w:p>
      <w:pPr>
        <w:ind w:left="260" w:right="299" w:firstLine="765"/>
        <w:spacing w:after="0" w:line="281" w:lineRule="auto"/>
        <w:tabs>
          <w:tab w:leader="none" w:pos="1228" w:val="left"/>
        </w:tabs>
        <w:numPr>
          <w:ilvl w:val="0"/>
          <w:numId w:val="1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No Responsibility for Representations. </w:t>
      </w:r>
      <w:r>
        <w:rPr>
          <w:rFonts w:ascii="Times New Roman" w:cs="Times New Roman" w:eastAsia="Times New Roman" w:hAnsi="Times New Roman"/>
          <w:sz w:val="14"/>
          <w:szCs w:val="14"/>
          <w:color w:val="auto"/>
        </w:rPr>
        <w:t>The Warrant Agent shall not be responsible for any of the recitals or representations herein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the Warrant Certificates (except as to the Warrant Agent’s countersignature thereon), all of which are made solely by the Company.</w:t>
      </w:r>
    </w:p>
    <w:p>
      <w:pPr>
        <w:spacing w:after="0" w:line="122" w:lineRule="exact"/>
        <w:rPr>
          <w:rFonts w:ascii="Times New Roman" w:cs="Times New Roman" w:eastAsia="Times New Roman" w:hAnsi="Times New Roman"/>
          <w:sz w:val="14"/>
          <w:szCs w:val="14"/>
          <w:b w:val="1"/>
          <w:bCs w:val="1"/>
          <w:color w:val="auto"/>
        </w:rPr>
      </w:pPr>
    </w:p>
    <w:p>
      <w:pPr>
        <w:ind w:left="260" w:right="279" w:firstLine="765"/>
        <w:spacing w:after="0" w:line="251" w:lineRule="auto"/>
        <w:tabs>
          <w:tab w:leader="none" w:pos="1189" w:val="left"/>
        </w:tabs>
        <w:numPr>
          <w:ilvl w:val="0"/>
          <w:numId w:val="1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No Implied Obligations. </w:t>
      </w:r>
      <w:r>
        <w:rPr>
          <w:rFonts w:ascii="Times New Roman" w:cs="Times New Roman" w:eastAsia="Times New Roman" w:hAnsi="Times New Roman"/>
          <w:sz w:val="14"/>
          <w:szCs w:val="14"/>
          <w:color w:val="auto"/>
        </w:rPr>
        <w:t>The Warrant Agent shall be obligated to perform only such duties as are herein and in the Warrant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spacing w:after="0" w:line="14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5.3 Resignation, Removal and Appointment of Successors.</w:t>
      </w:r>
    </w:p>
    <w:p>
      <w:pPr>
        <w:spacing w:after="0" w:line="174" w:lineRule="exact"/>
        <w:rPr>
          <w:sz w:val="20"/>
          <w:szCs w:val="20"/>
          <w:color w:val="auto"/>
        </w:rPr>
      </w:pPr>
    </w:p>
    <w:p>
      <w:pPr>
        <w:ind w:left="260" w:right="659" w:firstLine="765"/>
        <w:spacing w:after="0" w:line="278" w:lineRule="auto"/>
        <w:tabs>
          <w:tab w:leader="none" w:pos="1220" w:val="left"/>
        </w:tabs>
        <w:numPr>
          <w:ilvl w:val="0"/>
          <w:numId w:val="1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agrees, for the benefit of the holders from time to time of the Warrant Certificates, that there shall at all times be a Warrant Agent hereunder until all the Warrants have been exercised or are no longer exercisable.</w:t>
      </w:r>
    </w:p>
    <w:p>
      <w:pPr>
        <w:spacing w:after="0" w:line="126" w:lineRule="exact"/>
        <w:rPr>
          <w:rFonts w:ascii="Times New Roman" w:cs="Times New Roman" w:eastAsia="Times New Roman" w:hAnsi="Times New Roman"/>
          <w:sz w:val="14"/>
          <w:szCs w:val="14"/>
          <w:b w:val="1"/>
          <w:bCs w:val="1"/>
          <w:color w:val="auto"/>
        </w:rPr>
      </w:pPr>
    </w:p>
    <w:p>
      <w:pPr>
        <w:ind w:left="260" w:right="299" w:firstLine="765"/>
        <w:spacing w:after="0" w:line="252" w:lineRule="auto"/>
        <w:tabs>
          <w:tab w:leader="none" w:pos="1228" w:val="left"/>
        </w:tabs>
        <w:numPr>
          <w:ilvl w:val="0"/>
          <w:numId w:val="1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37" w:right="1440" w:bottom="1440" w:gutter="0" w:footer="0" w:header="0"/>
        </w:sectPr>
      </w:pPr>
    </w:p>
    <w:bookmarkStart w:id="169" w:name="page170"/>
    <w:bookmarkEnd w:id="169"/>
    <w:p>
      <w:pPr>
        <w:ind w:left="260" w:right="379" w:firstLine="765"/>
        <w:spacing w:after="0" w:line="250" w:lineRule="auto"/>
        <w:tabs>
          <w:tab w:leader="none" w:pos="1212" w:val="left"/>
        </w:tabs>
        <w:numPr>
          <w:ilvl w:val="0"/>
          <w:numId w:val="1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spacing w:after="0" w:line="149" w:lineRule="exact"/>
        <w:rPr>
          <w:rFonts w:ascii="Times New Roman" w:cs="Times New Roman" w:eastAsia="Times New Roman" w:hAnsi="Times New Roman"/>
          <w:sz w:val="14"/>
          <w:szCs w:val="14"/>
          <w:b w:val="1"/>
          <w:bCs w:val="1"/>
          <w:color w:val="auto"/>
        </w:rPr>
      </w:pPr>
    </w:p>
    <w:p>
      <w:pPr>
        <w:ind w:left="260" w:right="299" w:firstLine="765"/>
        <w:spacing w:after="0" w:line="254" w:lineRule="auto"/>
        <w:tabs>
          <w:tab w:leader="none" w:pos="1228" w:val="left"/>
        </w:tabs>
        <w:numPr>
          <w:ilvl w:val="0"/>
          <w:numId w:val="1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spacing w:after="0" w:line="142" w:lineRule="exact"/>
        <w:rPr>
          <w:rFonts w:ascii="Times New Roman" w:cs="Times New Roman" w:eastAsia="Times New Roman" w:hAnsi="Times New Roman"/>
          <w:sz w:val="14"/>
          <w:szCs w:val="14"/>
          <w:b w:val="1"/>
          <w:bCs w:val="1"/>
          <w:color w:val="auto"/>
        </w:rPr>
      </w:pPr>
    </w:p>
    <w:p>
      <w:pPr>
        <w:ind w:left="260" w:right="319" w:firstLine="765"/>
        <w:spacing w:after="0" w:line="255" w:lineRule="auto"/>
        <w:tabs>
          <w:tab w:leader="none" w:pos="1212" w:val="left"/>
        </w:tabs>
        <w:numPr>
          <w:ilvl w:val="0"/>
          <w:numId w:val="1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6</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MISCELLANEOUS</w:t>
      </w:r>
    </w:p>
    <w:p>
      <w:pPr>
        <w:spacing w:after="0" w:line="172" w:lineRule="exact"/>
        <w:rPr>
          <w:sz w:val="20"/>
          <w:szCs w:val="20"/>
          <w:color w:val="auto"/>
        </w:rPr>
      </w:pPr>
    </w:p>
    <w:p>
      <w:pPr>
        <w:jc w:val="both"/>
        <w:ind w:left="260" w:right="499" w:firstLine="339"/>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6.1 Amendment. </w:t>
      </w:r>
      <w:r>
        <w:rPr>
          <w:rFonts w:ascii="Times New Roman" w:cs="Times New Roman" w:eastAsia="Times New Roman" w:hAnsi="Times New Roman"/>
          <w:sz w:val="14"/>
          <w:szCs w:val="14"/>
          <w:color w:val="auto"/>
        </w:rPr>
        <w:t>This Agreement may be amended by the parties hereto, without the consent of the holder of any Warrant Certificate, for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spacing w:after="0" w:line="137" w:lineRule="exact"/>
        <w:rPr>
          <w:sz w:val="20"/>
          <w:szCs w:val="20"/>
          <w:color w:val="auto"/>
        </w:rPr>
      </w:pPr>
    </w:p>
    <w:p>
      <w:pPr>
        <w:ind w:left="260" w:right="439" w:firstLine="339"/>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6.2 Notices and Demands to the Company and Warrant Agent. </w:t>
      </w:r>
      <w:r>
        <w:rPr>
          <w:rFonts w:ascii="Times New Roman" w:cs="Times New Roman" w:eastAsia="Times New Roman" w:hAnsi="Times New Roman"/>
          <w:sz w:val="14"/>
          <w:szCs w:val="14"/>
          <w:color w:val="auto"/>
        </w:rPr>
        <w:t>If the Warrant Agent shall receive any notice or demand addressed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 by the holder of a Warrant Certificate pursuant to the provisions of the Warrant Certificates, the Warrant Agent shall promptly forward such notice or demand to the Company.</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39" w:right="1440" w:bottom="1440" w:gutter="0" w:footer="0" w:header="0"/>
        </w:sectPr>
      </w:pPr>
    </w:p>
    <w:bookmarkStart w:id="170" w:name="page171"/>
    <w:bookmarkEnd w:id="170"/>
    <w:p>
      <w:pPr>
        <w:ind w:left="60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6.3 Addresses. </w:t>
      </w:r>
      <w:r>
        <w:rPr>
          <w:rFonts w:ascii="Times New Roman" w:cs="Times New Roman" w:eastAsia="Times New Roman" w:hAnsi="Times New Roman"/>
          <w:sz w:val="13"/>
          <w:szCs w:val="13"/>
          <w:color w:val="auto"/>
        </w:rPr>
        <w:t>Any communication from the Company to the Warrant Agent with respect to this Agreement shall be addressed to [•], Attention:</w:t>
      </w:r>
    </w:p>
    <w:p>
      <w:pPr>
        <w:spacing w:after="0" w:line="34" w:lineRule="exact"/>
        <w:rPr>
          <w:sz w:val="20"/>
          <w:szCs w:val="20"/>
          <w:color w:val="auto"/>
        </w:rPr>
      </w:pPr>
    </w:p>
    <w:p>
      <w:pPr>
        <w:ind w:left="260" w:right="539" w:firstLine="2"/>
        <w:spacing w:after="0" w:line="252" w:lineRule="auto"/>
        <w:tabs>
          <w:tab w:leader="none" w:pos="436"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 any communication from the Warrant Agent to the Company with respect to this Agreement shall be addressed to Tempus AI, Inc., 600 West Chicago Avenue, Suite 510, Chicago, IL 60654, Attention: [•] (or such other address as shall be specified in writing by the Warrant Agent or by the Company).</w:t>
      </w:r>
    </w:p>
    <w:p>
      <w:pPr>
        <w:spacing w:after="0" w:line="141" w:lineRule="exact"/>
        <w:rPr>
          <w:sz w:val="20"/>
          <w:szCs w:val="20"/>
          <w:color w:val="auto"/>
        </w:rPr>
      </w:pPr>
    </w:p>
    <w:p>
      <w:pPr>
        <w:ind w:left="260" w:right="459" w:firstLine="339"/>
        <w:spacing w:after="0" w:line="281" w:lineRule="auto"/>
        <w:rPr>
          <w:sz w:val="20"/>
          <w:szCs w:val="20"/>
          <w:color w:val="auto"/>
        </w:rPr>
      </w:pPr>
      <w:r>
        <w:rPr>
          <w:rFonts w:ascii="Times New Roman" w:cs="Times New Roman" w:eastAsia="Times New Roman" w:hAnsi="Times New Roman"/>
          <w:sz w:val="14"/>
          <w:szCs w:val="14"/>
          <w:b w:val="1"/>
          <w:bCs w:val="1"/>
          <w:color w:val="auto"/>
        </w:rPr>
        <w:t xml:space="preserve">6.4 Governing Law. </w:t>
      </w:r>
      <w:r>
        <w:rPr>
          <w:rFonts w:ascii="Times New Roman" w:cs="Times New Roman" w:eastAsia="Times New Roman" w:hAnsi="Times New Roman"/>
          <w:sz w:val="14"/>
          <w:szCs w:val="14"/>
          <w:color w:val="auto"/>
        </w:rPr>
        <w:t>This Agreement and each Warrant Certificate issued hereunder shall be governed by and construed in accordance with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laws of the State of New York.</w:t>
      </w:r>
    </w:p>
    <w:p>
      <w:pPr>
        <w:spacing w:after="0" w:line="122" w:lineRule="exact"/>
        <w:rPr>
          <w:sz w:val="20"/>
          <w:szCs w:val="20"/>
          <w:color w:val="auto"/>
        </w:rPr>
      </w:pPr>
    </w:p>
    <w:p>
      <w:pPr>
        <w:ind w:left="260" w:right="439" w:firstLine="339"/>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6.5 Delivery of Prospectus. </w:t>
      </w:r>
      <w:r>
        <w:rPr>
          <w:rFonts w:ascii="Times New Roman" w:cs="Times New Roman" w:eastAsia="Times New Roman" w:hAnsi="Times New Roman"/>
          <w:sz w:val="14"/>
          <w:szCs w:val="14"/>
          <w:color w:val="auto"/>
        </w:rPr>
        <w:t>The Company shall furnish to the Warrant Agent sufficient copies of a prospectus meeting the requirements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Securities Act of 1933, as amended, relating to the Warrant Securities deliverable upon exercise of the Warrants (the “</w:t>
      </w:r>
      <w:r>
        <w:rPr>
          <w:rFonts w:ascii="Times New Roman" w:cs="Times New Roman" w:eastAsia="Times New Roman" w:hAnsi="Times New Roman"/>
          <w:sz w:val="14"/>
          <w:szCs w:val="14"/>
          <w:b w:val="1"/>
          <w:bCs w:val="1"/>
          <w:i w:val="1"/>
          <w:iCs w:val="1"/>
          <w:color w:val="auto"/>
        </w:rPr>
        <w:t>Prospectus</w:t>
      </w:r>
      <w:r>
        <w:rPr>
          <w:rFonts w:ascii="Times New Roman" w:cs="Times New Roman" w:eastAsia="Times New Roman" w:hAnsi="Times New Roman"/>
          <w:sz w:val="14"/>
          <w:szCs w:val="14"/>
          <w:color w:val="auto"/>
        </w:rPr>
        <w:t>”),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w:t>
      </w:r>
    </w:p>
    <w:p>
      <w:pPr>
        <w:spacing w:after="0" w:line="140" w:lineRule="exact"/>
        <w:rPr>
          <w:sz w:val="20"/>
          <w:szCs w:val="20"/>
          <w:color w:val="auto"/>
        </w:rPr>
      </w:pPr>
    </w:p>
    <w:p>
      <w:pPr>
        <w:ind w:left="260" w:right="319" w:firstLine="339"/>
        <w:spacing w:after="0" w:line="280" w:lineRule="auto"/>
        <w:rPr>
          <w:sz w:val="20"/>
          <w:szCs w:val="20"/>
          <w:color w:val="auto"/>
        </w:rPr>
      </w:pPr>
      <w:r>
        <w:rPr>
          <w:rFonts w:ascii="Times New Roman" w:cs="Times New Roman" w:eastAsia="Times New Roman" w:hAnsi="Times New Roman"/>
          <w:sz w:val="13"/>
          <w:szCs w:val="13"/>
          <w:b w:val="1"/>
          <w:bCs w:val="1"/>
          <w:color w:val="auto"/>
        </w:rPr>
        <w:t xml:space="preserve">6.6 Obtaining of Governmental Approvals. </w:t>
      </w:r>
      <w:r>
        <w:rPr>
          <w:rFonts w:ascii="Times New Roman" w:cs="Times New Roman" w:eastAsia="Times New Roman" w:hAnsi="Times New Roman"/>
          <w:sz w:val="13"/>
          <w:szCs w:val="13"/>
          <w:color w:val="auto"/>
        </w:rPr>
        <w:t>The Company will from time to time take all action which may be necessary to obtain and keep</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effective any and all permits, consents and 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w:t>
      </w:r>
    </w:p>
    <w:p>
      <w:pPr>
        <w:spacing w:after="0" w:line="126" w:lineRule="exact"/>
        <w:rPr>
          <w:sz w:val="20"/>
          <w:szCs w:val="20"/>
          <w:color w:val="auto"/>
        </w:rPr>
      </w:pPr>
    </w:p>
    <w:p>
      <w:pPr>
        <w:ind w:left="260" w:right="559" w:firstLine="339"/>
        <w:spacing w:after="0" w:line="281" w:lineRule="auto"/>
        <w:rPr>
          <w:sz w:val="20"/>
          <w:szCs w:val="20"/>
          <w:color w:val="auto"/>
        </w:rPr>
      </w:pPr>
      <w:r>
        <w:rPr>
          <w:rFonts w:ascii="Times New Roman" w:cs="Times New Roman" w:eastAsia="Times New Roman" w:hAnsi="Times New Roman"/>
          <w:sz w:val="14"/>
          <w:szCs w:val="14"/>
          <w:b w:val="1"/>
          <w:bCs w:val="1"/>
          <w:color w:val="auto"/>
        </w:rPr>
        <w:t xml:space="preserve">6.7 Persons Having Rights Under the Agreement. </w:t>
      </w:r>
      <w:r>
        <w:rPr>
          <w:rFonts w:ascii="Times New Roman" w:cs="Times New Roman" w:eastAsia="Times New Roman" w:hAnsi="Times New Roman"/>
          <w:sz w:val="14"/>
          <w:szCs w:val="14"/>
          <w:color w:val="auto"/>
        </w:rPr>
        <w:t>Nothing in this Agreement shall give to any person other than the Company, the Warrant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Agent and the holders of the Warrant Certificates any right, remedy or claim under or by reason of this Agreement.</w:t>
      </w:r>
    </w:p>
    <w:p>
      <w:pPr>
        <w:spacing w:after="0" w:line="122" w:lineRule="exact"/>
        <w:rPr>
          <w:sz w:val="20"/>
          <w:szCs w:val="20"/>
          <w:color w:val="auto"/>
        </w:rPr>
      </w:pPr>
    </w:p>
    <w:p>
      <w:pPr>
        <w:ind w:left="260" w:right="539" w:firstLine="339"/>
        <w:spacing w:after="0" w:line="281" w:lineRule="auto"/>
        <w:rPr>
          <w:sz w:val="20"/>
          <w:szCs w:val="20"/>
          <w:color w:val="auto"/>
        </w:rPr>
      </w:pPr>
      <w:r>
        <w:rPr>
          <w:rFonts w:ascii="Times New Roman" w:cs="Times New Roman" w:eastAsia="Times New Roman" w:hAnsi="Times New Roman"/>
          <w:sz w:val="14"/>
          <w:szCs w:val="14"/>
          <w:b w:val="1"/>
          <w:bCs w:val="1"/>
          <w:color w:val="auto"/>
        </w:rPr>
        <w:t xml:space="preserve">6.8 Headings. </w:t>
      </w:r>
      <w:r>
        <w:rPr>
          <w:rFonts w:ascii="Times New Roman" w:cs="Times New Roman" w:eastAsia="Times New Roman" w:hAnsi="Times New Roman"/>
          <w:sz w:val="14"/>
          <w:szCs w:val="14"/>
          <w:color w:val="auto"/>
        </w:rPr>
        <w:t>The descriptive headings of the several Articles and Sections of this Agreement are inserted for convenience only and shall not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control or affect the meaning or construction of any of the provisions hereof.</w:t>
      </w:r>
    </w:p>
    <w:p>
      <w:pPr>
        <w:spacing w:after="0" w:line="122" w:lineRule="exact"/>
        <w:rPr>
          <w:sz w:val="20"/>
          <w:szCs w:val="20"/>
          <w:color w:val="auto"/>
        </w:rPr>
      </w:pPr>
    </w:p>
    <w:p>
      <w:pPr>
        <w:ind w:left="260" w:right="699" w:firstLine="339"/>
        <w:spacing w:after="0" w:line="281" w:lineRule="auto"/>
        <w:rPr>
          <w:sz w:val="20"/>
          <w:szCs w:val="20"/>
          <w:color w:val="auto"/>
        </w:rPr>
      </w:pPr>
      <w:r>
        <w:rPr>
          <w:rFonts w:ascii="Times New Roman" w:cs="Times New Roman" w:eastAsia="Times New Roman" w:hAnsi="Times New Roman"/>
          <w:sz w:val="14"/>
          <w:szCs w:val="14"/>
          <w:b w:val="1"/>
          <w:bCs w:val="1"/>
          <w:color w:val="auto"/>
        </w:rPr>
        <w:t xml:space="preserve">6.9 Counterparts. </w:t>
      </w:r>
      <w:r>
        <w:rPr>
          <w:rFonts w:ascii="Times New Roman" w:cs="Times New Roman" w:eastAsia="Times New Roman" w:hAnsi="Times New Roman"/>
          <w:sz w:val="14"/>
          <w:szCs w:val="14"/>
          <w:color w:val="auto"/>
        </w:rPr>
        <w:t>This Agreement may be executed in any number of counterparts, each of which as so executed shall be deemed to be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original, but such counterparts shall together constitute but one and the same instrument.</w:t>
      </w:r>
    </w:p>
    <w:p>
      <w:pPr>
        <w:spacing w:after="0" w:line="122" w:lineRule="exact"/>
        <w:rPr>
          <w:sz w:val="20"/>
          <w:szCs w:val="20"/>
          <w:color w:val="auto"/>
        </w:rPr>
      </w:pPr>
    </w:p>
    <w:p>
      <w:pPr>
        <w:ind w:left="260" w:right="499" w:firstLine="339"/>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6.10 Inspection of Agreement. </w:t>
      </w:r>
      <w:r>
        <w:rPr>
          <w:rFonts w:ascii="Times New Roman" w:cs="Times New Roman" w:eastAsia="Times New Roman" w:hAnsi="Times New Roman"/>
          <w:sz w:val="14"/>
          <w:szCs w:val="14"/>
          <w:color w:val="auto"/>
        </w:rPr>
        <w:t>A copy of this Agreement shall be available at all reasonable times at the principal corporate trust office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 Agent for inspection by the holder of any Warrant Certificate. The Warrant Agent may require such holder to submit such holder’s Warrant Certificate for inspection by it.</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37" w:right="1440" w:bottom="1440" w:gutter="0" w:footer="0" w:header="0"/>
        </w:sectPr>
      </w:pPr>
    </w:p>
    <w:bookmarkStart w:id="171" w:name="page172"/>
    <w:bookmarkEnd w:id="171"/>
    <w:p>
      <w:pPr>
        <w:ind w:left="60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w:t>
      </w:r>
      <w:r>
        <w:rPr>
          <w:rFonts w:ascii="Times New Roman" w:cs="Times New Roman" w:eastAsia="Times New Roman" w:hAnsi="Times New Roman"/>
          <w:sz w:val="10"/>
          <w:szCs w:val="10"/>
          <w:b w:val="1"/>
          <w:bCs w:val="1"/>
          <w:color w:val="auto"/>
        </w:rPr>
        <w:t>N</w:t>
      </w:r>
      <w:r>
        <w:rPr>
          <w:rFonts w:ascii="Times New Roman" w:cs="Times New Roman" w:eastAsia="Times New Roman" w:hAnsi="Times New Roman"/>
          <w:sz w:val="13"/>
          <w:szCs w:val="13"/>
          <w:b w:val="1"/>
          <w:bCs w:val="1"/>
          <w:color w:val="auto"/>
        </w:rPr>
        <w:t xml:space="preserve"> W</w:t>
      </w:r>
      <w:r>
        <w:rPr>
          <w:rFonts w:ascii="Times New Roman" w:cs="Times New Roman" w:eastAsia="Times New Roman" w:hAnsi="Times New Roman"/>
          <w:sz w:val="10"/>
          <w:szCs w:val="10"/>
          <w:b w:val="1"/>
          <w:bCs w:val="1"/>
          <w:color w:val="auto"/>
        </w:rPr>
        <w:t>ITNESS</w:t>
      </w:r>
      <w:r>
        <w:rPr>
          <w:rFonts w:ascii="Times New Roman" w:cs="Times New Roman" w:eastAsia="Times New Roman" w:hAnsi="Times New Roman"/>
          <w:sz w:val="13"/>
          <w:szCs w:val="13"/>
          <w:b w:val="1"/>
          <w:bCs w:val="1"/>
          <w:color w:val="auto"/>
        </w:rPr>
        <w:t xml:space="preserve"> W</w:t>
      </w:r>
      <w:r>
        <w:rPr>
          <w:rFonts w:ascii="Times New Roman" w:cs="Times New Roman" w:eastAsia="Times New Roman" w:hAnsi="Times New Roman"/>
          <w:sz w:val="10"/>
          <w:szCs w:val="10"/>
          <w:b w:val="1"/>
          <w:bCs w:val="1"/>
          <w:color w:val="auto"/>
        </w:rPr>
        <w:t>HEREOF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parties hereto have caused this Agreement to be duly executed as of the day and year first above written.</w:t>
      </w:r>
    </w:p>
    <w:p>
      <w:pPr>
        <w:spacing w:after="0" w:line="20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Tempus AI, Inc., as Company</w:t>
      </w:r>
    </w:p>
    <w:p>
      <w:pPr>
        <w:spacing w:after="0" w:line="17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12700</wp:posOffset>
            </wp:positionV>
            <wp:extent cx="1789430" cy="63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6">
                      <a:extLst>
                        <a:ext uri="{28A0092B-C50C-407E-A947-70E740481C1C}"/>
                      </a:extLst>
                    </a:blip>
                    <a:srcRect/>
                    <a:stretch>
                      <a:fillRect/>
                    </a:stretch>
                  </pic:blipFill>
                  <pic:spPr bwMode="auto">
                    <a:xfrm>
                      <a:off x="0" y="0"/>
                      <a:ext cx="1789430" cy="6350"/>
                    </a:xfrm>
                    <a:prstGeom prst="rect">
                      <a:avLst/>
                    </a:prstGeom>
                    <a:noFill/>
                  </pic:spPr>
                </pic:pic>
              </a:graphicData>
            </a:graphic>
          </wp:anchor>
        </w:drawing>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16510</wp:posOffset>
            </wp:positionV>
            <wp:extent cx="1789430" cy="63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7">
                      <a:extLst>
                        <a:ext uri="{28A0092B-C50C-407E-A947-70E740481C1C}"/>
                      </a:extLst>
                    </a:blip>
                    <a:srcRect/>
                    <a:stretch>
                      <a:fillRect/>
                    </a:stretch>
                  </pic:blipFill>
                  <pic:spPr bwMode="auto">
                    <a:xfrm>
                      <a:off x="0" y="0"/>
                      <a:ext cx="1789430" cy="635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-95250</wp:posOffset>
            </wp:positionV>
            <wp:extent cx="1789430" cy="63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8">
                      <a:extLst>
                        <a:ext uri="{28A0092B-C50C-407E-A947-70E740481C1C}"/>
                      </a:extLst>
                    </a:blip>
                    <a:srcRect/>
                    <a:stretch>
                      <a:fillRect/>
                    </a:stretch>
                  </pic:blipFill>
                  <pic:spPr bwMode="auto">
                    <a:xfrm>
                      <a:off x="0" y="0"/>
                      <a:ext cx="1789430" cy="6350"/>
                    </a:xfrm>
                    <a:prstGeom prst="rect">
                      <a:avLst/>
                    </a:prstGeom>
                    <a:noFill/>
                  </pic:spPr>
                </pic:pic>
              </a:graphicData>
            </a:graphic>
          </wp:anchor>
        </w:drawing>
      </w:r>
    </w:p>
    <w:p>
      <w:pPr>
        <w:spacing w:after="0" w:line="15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1"/>
          <w:szCs w:val="11"/>
          <w:b w:val="1"/>
          <w:bCs w:val="1"/>
          <w:color w:val="auto"/>
        </w:rPr>
        <w:t>TTEST</w:t>
      </w: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126365</wp:posOffset>
            </wp:positionV>
            <wp:extent cx="1789430" cy="63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9">
                      <a:extLst>
                        <a:ext uri="{28A0092B-C50C-407E-A947-70E740481C1C}"/>
                      </a:extLst>
                    </a:blip>
                    <a:srcRect/>
                    <a:stretch>
                      <a:fillRect/>
                    </a:stretch>
                  </pic:blipFill>
                  <pic:spPr bwMode="auto">
                    <a:xfrm>
                      <a:off x="0" y="0"/>
                      <a:ext cx="1789430" cy="635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13970</wp:posOffset>
            </wp:positionV>
            <wp:extent cx="1789430" cy="63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0">
                      <a:extLst>
                        <a:ext uri="{28A0092B-C50C-407E-A947-70E740481C1C}"/>
                      </a:extLst>
                    </a:blip>
                    <a:srcRect/>
                    <a:stretch>
                      <a:fillRect/>
                    </a:stretch>
                  </pic:blipFill>
                  <pic:spPr bwMode="auto">
                    <a:xfrm>
                      <a:off x="0" y="0"/>
                      <a:ext cx="1789430" cy="6350"/>
                    </a:xfrm>
                    <a:prstGeom prst="rect">
                      <a:avLst/>
                    </a:prstGeom>
                    <a:noFill/>
                  </pic:spPr>
                </pic:pic>
              </a:graphicData>
            </a:graphic>
          </wp:anchor>
        </w:drawing>
      </w:r>
    </w:p>
    <w:p>
      <w:pPr>
        <w:spacing w:after="0" w:line="32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C</w:t>
      </w:r>
      <w:r>
        <w:rPr>
          <w:rFonts w:ascii="Times New Roman" w:cs="Times New Roman" w:eastAsia="Times New Roman" w:hAnsi="Times New Roman"/>
          <w:sz w:val="11"/>
          <w:szCs w:val="11"/>
          <w:b w:val="1"/>
          <w:bCs w:val="1"/>
          <w:color w:val="auto"/>
        </w:rPr>
        <w:t>OUNTERSIGNED</w:t>
      </w:r>
    </w:p>
    <w:p>
      <w:pPr>
        <w:spacing w:after="0" w:line="17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as Warrant Agent</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12700</wp:posOffset>
            </wp:positionV>
            <wp:extent cx="1789430" cy="63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1">
                      <a:extLst>
                        <a:ext uri="{28A0092B-C50C-407E-A947-70E740481C1C}"/>
                      </a:extLst>
                    </a:blip>
                    <a:srcRect/>
                    <a:stretch>
                      <a:fillRect/>
                    </a:stretch>
                  </pic:blipFill>
                  <pic:spPr bwMode="auto">
                    <a:xfrm>
                      <a:off x="0" y="0"/>
                      <a:ext cx="1789430" cy="6350"/>
                    </a:xfrm>
                    <a:prstGeom prst="rect">
                      <a:avLst/>
                    </a:prstGeom>
                    <a:noFill/>
                  </pic:spPr>
                </pic:pic>
              </a:graphicData>
            </a:graphic>
          </wp:anchor>
        </w:drawing>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16510</wp:posOffset>
            </wp:positionV>
            <wp:extent cx="1789430" cy="63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2">
                      <a:extLst>
                        <a:ext uri="{28A0092B-C50C-407E-A947-70E740481C1C}"/>
                      </a:extLst>
                    </a:blip>
                    <a:srcRect/>
                    <a:stretch>
                      <a:fillRect/>
                    </a:stretch>
                  </pic:blipFill>
                  <pic:spPr bwMode="auto">
                    <a:xfrm>
                      <a:off x="0" y="0"/>
                      <a:ext cx="1789430" cy="635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-95250</wp:posOffset>
            </wp:positionV>
            <wp:extent cx="1789430" cy="63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3">
                      <a:extLst>
                        <a:ext uri="{28A0092B-C50C-407E-A947-70E740481C1C}"/>
                      </a:extLst>
                    </a:blip>
                    <a:srcRect/>
                    <a:stretch>
                      <a:fillRect/>
                    </a:stretch>
                  </pic:blipFill>
                  <pic:spPr bwMode="auto">
                    <a:xfrm>
                      <a:off x="0" y="0"/>
                      <a:ext cx="1789430" cy="6350"/>
                    </a:xfrm>
                    <a:prstGeom prst="rect">
                      <a:avLst/>
                    </a:prstGeom>
                    <a:noFill/>
                  </pic:spPr>
                </pic:pic>
              </a:graphicData>
            </a:graphic>
          </wp:anchor>
        </w:drawing>
      </w:r>
    </w:p>
    <w:p>
      <w:pPr>
        <w:spacing w:after="0" w:line="15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1"/>
          <w:szCs w:val="11"/>
          <w:b w:val="1"/>
          <w:bCs w:val="1"/>
          <w:color w:val="auto"/>
        </w:rPr>
        <w:t>TTEST</w:t>
      </w: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126365</wp:posOffset>
            </wp:positionV>
            <wp:extent cx="1789430" cy="63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4">
                      <a:extLst>
                        <a:ext uri="{28A0092B-C50C-407E-A947-70E740481C1C}"/>
                      </a:extLst>
                    </a:blip>
                    <a:srcRect/>
                    <a:stretch>
                      <a:fillRect/>
                    </a:stretch>
                  </pic:blipFill>
                  <pic:spPr bwMode="auto">
                    <a:xfrm>
                      <a:off x="0" y="0"/>
                      <a:ext cx="1789430" cy="635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13970</wp:posOffset>
            </wp:positionV>
            <wp:extent cx="1789430" cy="63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5">
                      <a:extLst>
                        <a:ext uri="{28A0092B-C50C-407E-A947-70E740481C1C}"/>
                      </a:extLst>
                    </a:blip>
                    <a:srcRect/>
                    <a:stretch>
                      <a:fillRect/>
                    </a:stretch>
                  </pic:blipFill>
                  <pic:spPr bwMode="auto">
                    <a:xfrm>
                      <a:off x="0" y="0"/>
                      <a:ext cx="1789430" cy="6350"/>
                    </a:xfrm>
                    <a:prstGeom prst="rect">
                      <a:avLst/>
                    </a:prstGeom>
                    <a:noFill/>
                  </pic:spPr>
                </pic:pic>
              </a:graphicData>
            </a:graphic>
          </wp:anchor>
        </w:drawing>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11"/>
          <w:szCs w:val="11"/>
          <w:color w:val="auto"/>
        </w:rPr>
        <w:t>IGNATURE</w:t>
      </w:r>
      <w:r>
        <w:rPr>
          <w:rFonts w:ascii="Times New Roman" w:cs="Times New Roman" w:eastAsia="Times New Roman" w:hAnsi="Times New Roman"/>
          <w:sz w:val="14"/>
          <w:szCs w:val="14"/>
          <w:color w:val="auto"/>
        </w:rPr>
        <w:t xml:space="preserve"> P</w:t>
      </w:r>
      <w:r>
        <w:rPr>
          <w:rFonts w:ascii="Times New Roman" w:cs="Times New Roman" w:eastAsia="Times New Roman" w:hAnsi="Times New Roman"/>
          <w:sz w:val="11"/>
          <w:szCs w:val="11"/>
          <w:color w:val="auto"/>
        </w:rPr>
        <w:t>AGE TO</w:t>
      </w:r>
      <w:r>
        <w:rPr>
          <w:rFonts w:ascii="Times New Roman" w:cs="Times New Roman" w:eastAsia="Times New Roman" w:hAnsi="Times New Roman"/>
          <w:sz w:val="14"/>
          <w:szCs w:val="14"/>
          <w:color w:val="auto"/>
        </w:rPr>
        <w:t xml:space="preserve"> T</w:t>
      </w:r>
      <w:r>
        <w:rPr>
          <w:rFonts w:ascii="Times New Roman" w:cs="Times New Roman" w:eastAsia="Times New Roman" w:hAnsi="Times New Roman"/>
          <w:sz w:val="11"/>
          <w:szCs w:val="11"/>
          <w:color w:val="auto"/>
        </w:rPr>
        <w:t>EMPUS</w:t>
      </w:r>
      <w:r>
        <w:rPr>
          <w:rFonts w:ascii="Times New Roman" w:cs="Times New Roman" w:eastAsia="Times New Roman" w:hAnsi="Times New Roman"/>
          <w:sz w:val="14"/>
          <w:szCs w:val="14"/>
          <w:color w:val="auto"/>
        </w:rPr>
        <w:t xml:space="preserve"> AI, I</w:t>
      </w:r>
      <w:r>
        <w:rPr>
          <w:rFonts w:ascii="Times New Roman" w:cs="Times New Roman" w:eastAsia="Times New Roman" w:hAnsi="Times New Roman"/>
          <w:sz w:val="11"/>
          <w:szCs w:val="11"/>
          <w:color w:val="auto"/>
        </w:rPr>
        <w:t>NC</w:t>
      </w:r>
      <w:r>
        <w:rPr>
          <w:rFonts w:ascii="Times New Roman" w:cs="Times New Roman" w:eastAsia="Times New Roman" w:hAnsi="Times New Roman"/>
          <w:sz w:val="14"/>
          <w:szCs w:val="14"/>
          <w:color w:val="auto"/>
        </w:rPr>
        <w:t>. P</w:t>
      </w:r>
      <w:r>
        <w:rPr>
          <w:rFonts w:ascii="Times New Roman" w:cs="Times New Roman" w:eastAsia="Times New Roman" w:hAnsi="Times New Roman"/>
          <w:sz w:val="11"/>
          <w:szCs w:val="11"/>
          <w:color w:val="auto"/>
        </w:rPr>
        <w:t>REFERRED</w:t>
      </w:r>
      <w:r>
        <w:rPr>
          <w:rFonts w:ascii="Times New Roman" w:cs="Times New Roman" w:eastAsia="Times New Roman" w:hAnsi="Times New Roman"/>
          <w:sz w:val="14"/>
          <w:szCs w:val="14"/>
          <w:color w:val="auto"/>
        </w:rPr>
        <w:t xml:space="preserve"> S</w:t>
      </w:r>
      <w:r>
        <w:rPr>
          <w:rFonts w:ascii="Times New Roman" w:cs="Times New Roman" w:eastAsia="Times New Roman" w:hAnsi="Times New Roman"/>
          <w:sz w:val="11"/>
          <w:szCs w:val="11"/>
          <w:color w:val="auto"/>
        </w:rPr>
        <w:t>TOCK</w:t>
      </w:r>
      <w:r>
        <w:rPr>
          <w:rFonts w:ascii="Times New Roman" w:cs="Times New Roman" w:eastAsia="Times New Roman" w:hAnsi="Times New Roman"/>
          <w:sz w:val="14"/>
          <w:szCs w:val="14"/>
          <w:color w:val="auto"/>
        </w:rPr>
        <w:t xml:space="preserve"> W</w:t>
      </w:r>
      <w:r>
        <w:rPr>
          <w:rFonts w:ascii="Times New Roman" w:cs="Times New Roman" w:eastAsia="Times New Roman" w:hAnsi="Times New Roman"/>
          <w:sz w:val="11"/>
          <w:szCs w:val="11"/>
          <w:color w:val="auto"/>
        </w:rPr>
        <w:t>ARRANT</w:t>
      </w:r>
      <w:r>
        <w:rPr>
          <w:rFonts w:ascii="Times New Roman" w:cs="Times New Roman" w:eastAsia="Times New Roman" w:hAnsi="Times New Roman"/>
          <w:sz w:val="14"/>
          <w:szCs w:val="14"/>
          <w:color w:val="auto"/>
        </w:rPr>
        <w:t xml:space="preserve"> A</w:t>
      </w:r>
      <w:r>
        <w:rPr>
          <w:rFonts w:ascii="Times New Roman" w:cs="Times New Roman" w:eastAsia="Times New Roman" w:hAnsi="Times New Roman"/>
          <w:sz w:val="11"/>
          <w:szCs w:val="11"/>
          <w:color w:val="auto"/>
        </w:rPr>
        <w:t>GREEMENT</w:t>
      </w: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237" w:right="1440" w:bottom="1440" w:gutter="0" w:footer="0" w:header="0"/>
        </w:sectPr>
      </w:pPr>
    </w:p>
    <w:bookmarkStart w:id="172" w:name="page173"/>
    <w:bookmarkEnd w:id="172"/>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E</w:t>
      </w:r>
      <w:r>
        <w:rPr>
          <w:rFonts w:ascii="Times New Roman" w:cs="Times New Roman" w:eastAsia="Times New Roman" w:hAnsi="Times New Roman"/>
          <w:sz w:val="11"/>
          <w:szCs w:val="11"/>
          <w:b w:val="1"/>
          <w:bCs w:val="1"/>
          <w:color w:val="auto"/>
        </w:rPr>
        <w:t>XHIBIT</w:t>
      </w:r>
      <w:r>
        <w:rPr>
          <w:rFonts w:ascii="Times New Roman" w:cs="Times New Roman" w:eastAsia="Times New Roman" w:hAnsi="Times New Roman"/>
          <w:sz w:val="14"/>
          <w:szCs w:val="14"/>
          <w:b w:val="1"/>
          <w:bCs w:val="1"/>
          <w:color w:val="auto"/>
        </w:rPr>
        <w:t xml:space="preserve"> A</w:t>
      </w:r>
    </w:p>
    <w:p>
      <w:pPr>
        <w:spacing w:after="0" w:line="17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3"/>
          <w:szCs w:val="13"/>
          <w:b w:val="1"/>
          <w:bCs w:val="1"/>
          <w:color w:val="auto"/>
        </w:rPr>
        <w:t>FORM OF WARRANT CERTIFICATE</w:t>
      </w:r>
    </w:p>
    <w:p>
      <w:pPr>
        <w:spacing w:after="0" w:line="34"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3"/>
          <w:szCs w:val="13"/>
          <w:b w:val="1"/>
          <w:bCs w:val="1"/>
          <w:color w:val="auto"/>
        </w:rPr>
        <w:t>[FACE OF WARRANT CERTIFICATE]</w:t>
      </w:r>
    </w:p>
    <w:p>
      <w:pPr>
        <w:sectPr>
          <w:pgSz w:w="11900" w:h="16838" w:orient="portrait"/>
          <w:cols w:equalWidth="0" w:num="1">
            <w:col w:w="9019"/>
          </w:cols>
          <w:pgMar w:left="1440" w:top="237" w:right="1440" w:bottom="1440" w:gutter="0" w:footer="0" w:header="0"/>
        </w:sectPr>
      </w:pP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Form of Legend if Warrants are not immediately exercisable.</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459"/>
        <w:spacing w:after="0" w:line="278" w:lineRule="auto"/>
        <w:rPr>
          <w:sz w:val="20"/>
          <w:szCs w:val="20"/>
          <w:color w:val="auto"/>
        </w:rPr>
      </w:pPr>
      <w:r>
        <w:rPr>
          <w:rFonts w:ascii="Times New Roman" w:cs="Times New Roman" w:eastAsia="Times New Roman" w:hAnsi="Times New Roman"/>
          <w:sz w:val="14"/>
          <w:szCs w:val="14"/>
          <w:color w:val="auto"/>
        </w:rPr>
        <w:t>[Prior to [•], Warrants evidenced by this Warrant Certificate cannot be exercised.]</w:t>
      </w:r>
    </w:p>
    <w:p>
      <w:pPr>
        <w:spacing w:after="0" w:line="126" w:lineRule="exact"/>
        <w:rPr>
          <w:sz w:val="20"/>
          <w:szCs w:val="20"/>
          <w:color w:val="auto"/>
        </w:rPr>
      </w:pPr>
    </w:p>
    <w:p>
      <w:pPr>
        <w:sectPr>
          <w:pgSz w:w="11900" w:h="16838" w:orient="portrait"/>
          <w:cols w:equalWidth="0" w:num="2">
            <w:col w:w="3960" w:space="720"/>
            <w:col w:w="4339"/>
          </w:cols>
          <w:pgMar w:left="1440" w:top="237"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color w:val="auto"/>
        </w:rPr>
        <w:t>EXERCISABLE ONLY IF COUNTERSIGNED BY THE WARRANT AGENT AS PROVIDED HEREIN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VOID AFTER [•] P.M., [City] time, ON [•].</w:t>
      </w:r>
    </w:p>
    <w:p>
      <w:pPr>
        <w:sectPr>
          <w:pgSz w:w="11900" w:h="16838" w:orient="portrait"/>
          <w:cols w:equalWidth="0" w:num="1">
            <w:col w:w="9019"/>
          </w:cols>
          <w:pgMar w:left="1440" w:top="237" w:right="1440" w:bottom="1440" w:gutter="0" w:footer="0" w:header="0"/>
          <w:type w:val="continuous"/>
        </w:sectPr>
      </w:pPr>
    </w:p>
    <w:bookmarkStart w:id="173" w:name="page174"/>
    <w:bookmarkEnd w:id="17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TEMPUS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WARRANT CERTIFICATE REPRESENTING</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WARRANTS TO PURCHASE</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[TITLE OF WARRANT SECURITIES]</w:t>
      </w:r>
    </w:p>
    <w:p>
      <w:pPr>
        <w:spacing w:after="0" w:line="177" w:lineRule="exact"/>
        <w:rPr>
          <w:sz w:val="20"/>
          <w:szCs w:val="20"/>
          <w:color w:val="auto"/>
        </w:rPr>
      </w:pPr>
    </w:p>
    <w:p>
      <w:pPr>
        <w:ind w:left="260"/>
        <w:spacing w:after="0"/>
        <w:tabs>
          <w:tab w:leader="none" w:pos="8060" w:val="left"/>
        </w:tabs>
        <w:rPr>
          <w:sz w:val="20"/>
          <w:szCs w:val="20"/>
          <w:color w:val="auto"/>
        </w:rPr>
      </w:pPr>
      <w:r>
        <w:rPr>
          <w:rFonts w:ascii="Times New Roman" w:cs="Times New Roman" w:eastAsia="Times New Roman" w:hAnsi="Times New Roman"/>
          <w:sz w:val="14"/>
          <w:szCs w:val="14"/>
          <w:color w:val="auto"/>
        </w:rPr>
        <w:t>No. [•]</w:t>
      </w:r>
      <w:r>
        <w:rPr>
          <w:sz w:val="20"/>
          <w:szCs w:val="20"/>
          <w:color w:val="auto"/>
        </w:rPr>
        <w:tab/>
      </w:r>
      <w:r>
        <w:rPr>
          <w:rFonts w:ascii="Times New Roman" w:cs="Times New Roman" w:eastAsia="Times New Roman" w:hAnsi="Times New Roman"/>
          <w:sz w:val="13"/>
          <w:szCs w:val="13"/>
          <w:color w:val="auto"/>
        </w:rPr>
        <w:t>[•] Warrants</w:t>
      </w:r>
    </w:p>
    <w:p>
      <w:pPr>
        <w:spacing w:after="0" w:line="172" w:lineRule="exact"/>
        <w:rPr>
          <w:sz w:val="20"/>
          <w:szCs w:val="20"/>
          <w:color w:val="auto"/>
        </w:rPr>
      </w:pPr>
    </w:p>
    <w:p>
      <w:pPr>
        <w:ind w:left="260" w:right="339"/>
        <w:spacing w:after="0" w:line="251" w:lineRule="auto"/>
        <w:rPr>
          <w:sz w:val="20"/>
          <w:szCs w:val="20"/>
          <w:color w:val="auto"/>
        </w:rPr>
      </w:pPr>
      <w:r>
        <w:rPr>
          <w:rFonts w:ascii="Times New Roman" w:cs="Times New Roman" w:eastAsia="Times New Roman" w:hAnsi="Times New Roman"/>
          <w:sz w:val="14"/>
          <w:szCs w:val="14"/>
          <w:color w:val="auto"/>
        </w:rPr>
        <w:t>This certifies that [•] or registered assigns is the registered owner of the above indicated number of Warrants, each Warrant entitling such owner to purchase, at any time [after [•] p.m., [City] time, [on [•] and] on or before [•] p.m., [City] time, on [•], [•] shares of [TITLE OF WARRANT SECURITIES], par value $0.0001 per share (the “</w:t>
      </w:r>
      <w:r>
        <w:rPr>
          <w:rFonts w:ascii="Times New Roman" w:cs="Times New Roman" w:eastAsia="Times New Roman" w:hAnsi="Times New Roman"/>
          <w:sz w:val="14"/>
          <w:szCs w:val="14"/>
          <w:b w:val="1"/>
          <w:bCs w:val="1"/>
          <w:i w:val="1"/>
          <w:iCs w:val="1"/>
          <w:color w:val="auto"/>
        </w:rPr>
        <w:t>Warrant Securities</w:t>
      </w:r>
      <w:r>
        <w:rPr>
          <w:rFonts w:ascii="Times New Roman" w:cs="Times New Roman" w:eastAsia="Times New Roman" w:hAnsi="Times New Roman"/>
          <w:sz w:val="14"/>
          <w:szCs w:val="14"/>
          <w:color w:val="auto"/>
        </w:rPr>
        <w:t>”), of Tempus AI, Inc.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on the following basis: during the period from [•], through and including [•], the exercise price per Warrant Security will be $[•], subject to adjustment as provided in the Warrant Agreement (as hereinafter defined) (the “</w:t>
      </w:r>
      <w:r>
        <w:rPr>
          <w:rFonts w:ascii="Times New Roman" w:cs="Times New Roman" w:eastAsia="Times New Roman" w:hAnsi="Times New Roman"/>
          <w:sz w:val="14"/>
          <w:szCs w:val="14"/>
          <w:b w:val="1"/>
          <w:bCs w:val="1"/>
          <w:i w:val="1"/>
          <w:iCs w:val="1"/>
          <w:color w:val="auto"/>
        </w:rPr>
        <w:t>Warrant Price</w:t>
      </w:r>
      <w:r>
        <w:rPr>
          <w:rFonts w:ascii="Times New Roman" w:cs="Times New Roman" w:eastAsia="Times New Roman" w:hAnsi="Times New Roman"/>
          <w:sz w:val="14"/>
          <w:szCs w:val="14"/>
          <w:color w:val="auto"/>
        </w:rPr>
        <w:t>”).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 w:cs="Times New Roman" w:eastAsia="Times New Roman" w:hAnsi="Times New Roman"/>
          <w:sz w:val="14"/>
          <w:szCs w:val="14"/>
          <w:b w:val="1"/>
          <w:bCs w:val="1"/>
          <w:i w:val="1"/>
          <w:iCs w:val="1"/>
          <w:color w:val="auto"/>
        </w:rPr>
        <w:t>Warrant Agent</w:t>
      </w:r>
      <w:r>
        <w:rPr>
          <w:rFonts w:ascii="Times New Roman" w:cs="Times New Roman" w:eastAsia="Times New Roman" w:hAnsi="Times New Roman"/>
          <w:sz w:val="14"/>
          <w:szCs w:val="14"/>
          <w:color w:val="auto"/>
        </w:rPr>
        <w:t>”), which is, on the date hereof, at the address specified on the reverse hereof, and upon compliance with and subject to the conditions set forth herein and in the Warrant Agreement (as hereinafter defined).</w:t>
      </w:r>
    </w:p>
    <w:p>
      <w:pPr>
        <w:spacing w:after="0" w:line="142" w:lineRule="exact"/>
        <w:rPr>
          <w:sz w:val="20"/>
          <w:szCs w:val="20"/>
          <w:color w:val="auto"/>
        </w:rPr>
      </w:pPr>
    </w:p>
    <w:p>
      <w:pPr>
        <w:ind w:left="260" w:right="579"/>
        <w:spacing w:after="0" w:line="281" w:lineRule="auto"/>
        <w:rPr>
          <w:sz w:val="20"/>
          <w:szCs w:val="20"/>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b w:val="1"/>
          <w:bCs w:val="1"/>
          <w:i w:val="1"/>
          <w:iCs w:val="1"/>
          <w:color w:val="auto"/>
        </w:rPr>
        <w:t>Holder</w:t>
      </w:r>
      <w:r>
        <w:rPr>
          <w:rFonts w:ascii="Times New Roman" w:cs="Times New Roman" w:eastAsia="Times New Roman" w:hAnsi="Times New Roman"/>
          <w:sz w:val="14"/>
          <w:szCs w:val="14"/>
          <w:color w:val="auto"/>
        </w:rPr>
        <w:t>” as used herein shall mean the person in whose name at the time this Warrant Certificate shall be registered upon the books to be maintained by the Warrant Agent for that purpose pursuant to Section 4 of the Warrant Agreement.</w:t>
      </w:r>
    </w:p>
    <w:p>
      <w:pPr>
        <w:spacing w:after="0" w:line="124" w:lineRule="exact"/>
        <w:rPr>
          <w:sz w:val="20"/>
          <w:szCs w:val="20"/>
          <w:color w:val="auto"/>
        </w:rPr>
      </w:pPr>
    </w:p>
    <w:p>
      <w:pPr>
        <w:ind w:left="260" w:right="459"/>
        <w:spacing w:after="0" w:line="263" w:lineRule="auto"/>
        <w:rPr>
          <w:sz w:val="20"/>
          <w:szCs w:val="20"/>
          <w:color w:val="auto"/>
        </w:rPr>
      </w:pPr>
      <w:r>
        <w:rPr>
          <w:rFonts w:ascii="Times New Roman" w:cs="Times New Roman" w:eastAsia="Times New Roman" w:hAnsi="Times New Roman"/>
          <w:sz w:val="14"/>
          <w:szCs w:val="14"/>
          <w:color w:val="auto"/>
        </w:rPr>
        <w:t>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w:t>
      </w:r>
    </w:p>
    <w:p>
      <w:pPr>
        <w:spacing w:after="0" w:line="134" w:lineRule="exact"/>
        <w:rPr>
          <w:sz w:val="20"/>
          <w:szCs w:val="20"/>
          <w:color w:val="auto"/>
        </w:rPr>
      </w:pPr>
    </w:p>
    <w:p>
      <w:pPr>
        <w:ind w:left="260" w:right="299"/>
        <w:spacing w:after="0" w:line="259" w:lineRule="auto"/>
        <w:rPr>
          <w:sz w:val="20"/>
          <w:szCs w:val="20"/>
          <w:color w:val="auto"/>
        </w:rPr>
      </w:pPr>
      <w:r>
        <w:rPr>
          <w:rFonts w:ascii="Times New Roman" w:cs="Times New Roman" w:eastAsia="Times New Roman" w:hAnsi="Times New Roman"/>
          <w:sz w:val="14"/>
          <w:szCs w:val="14"/>
          <w:color w:val="auto"/>
        </w:rPr>
        <w:t>This Warrant Certificate is issued under and in accordance with the Warrant Agreement dated as of [•] (the “</w:t>
      </w:r>
      <w:r>
        <w:rPr>
          <w:rFonts w:ascii="Times New Roman" w:cs="Times New Roman" w:eastAsia="Times New Roman" w:hAnsi="Times New Roman"/>
          <w:sz w:val="14"/>
          <w:szCs w:val="14"/>
          <w:b w:val="1"/>
          <w:bCs w:val="1"/>
          <w:i w:val="1"/>
          <w:iCs w:val="1"/>
          <w:color w:val="auto"/>
        </w:rPr>
        <w:t>Warrant Agreement</w:t>
      </w:r>
      <w:r>
        <w:rPr>
          <w:rFonts w:ascii="Times New Roman" w:cs="Times New Roman" w:eastAsia="Times New Roman" w:hAnsi="Times New Roman"/>
          <w:sz w:val="14"/>
          <w:szCs w:val="14"/>
          <w:color w:val="auto"/>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spacing w:after="0" w:line="139" w:lineRule="exact"/>
        <w:rPr>
          <w:sz w:val="20"/>
          <w:szCs w:val="20"/>
          <w:color w:val="auto"/>
        </w:rPr>
      </w:pPr>
    </w:p>
    <w:p>
      <w:pPr>
        <w:ind w:left="260" w:right="399"/>
        <w:spacing w:after="0" w:line="278" w:lineRule="auto"/>
        <w:rPr>
          <w:sz w:val="20"/>
          <w:szCs w:val="20"/>
          <w:color w:val="auto"/>
        </w:rPr>
      </w:pPr>
      <w:r>
        <w:rPr>
          <w:rFonts w:ascii="Times New Roman" w:cs="Times New Roman" w:eastAsia="Times New Roman" w:hAnsi="Times New Roman"/>
          <w:sz w:val="14"/>
          <w:szCs w:val="14"/>
          <w:color w:val="auto"/>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spacing w:after="0" w:line="126" w:lineRule="exact"/>
        <w:rPr>
          <w:sz w:val="20"/>
          <w:szCs w:val="20"/>
          <w:color w:val="auto"/>
        </w:rPr>
      </w:pPr>
    </w:p>
    <w:p>
      <w:pPr>
        <w:ind w:left="260" w:right="539"/>
        <w:spacing w:after="0" w:line="318" w:lineRule="auto"/>
        <w:rPr>
          <w:sz w:val="20"/>
          <w:szCs w:val="20"/>
          <w:color w:val="auto"/>
        </w:rPr>
      </w:pPr>
      <w:r>
        <w:rPr>
          <w:rFonts w:ascii="Times New Roman" w:cs="Times New Roman" w:eastAsia="Times New Roman" w:hAnsi="Times New Roman"/>
          <w:sz w:val="13"/>
          <w:szCs w:val="13"/>
          <w:color w:val="auto"/>
        </w:rPr>
        <w:t>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w:t>
      </w:r>
    </w:p>
    <w:p>
      <w:pPr>
        <w:spacing w:after="0" w:line="103" w:lineRule="exact"/>
        <w:rPr>
          <w:sz w:val="20"/>
          <w:szCs w:val="20"/>
          <w:color w:val="auto"/>
        </w:rPr>
      </w:pPr>
    </w:p>
    <w:p>
      <w:pPr>
        <w:jc w:val="both"/>
        <w:ind w:left="260" w:right="439"/>
        <w:spacing w:after="0" w:line="263" w:lineRule="auto"/>
        <w:rPr>
          <w:sz w:val="20"/>
          <w:szCs w:val="20"/>
          <w:color w:val="auto"/>
        </w:rPr>
      </w:pPr>
      <w:r>
        <w:rPr>
          <w:rFonts w:ascii="Times New Roman" w:cs="Times New Roman" w:eastAsia="Times New Roman" w:hAnsi="Times New Roman"/>
          <w:sz w:val="14"/>
          <w:szCs w:val="14"/>
          <w:color w:val="auto"/>
        </w:rPr>
        <w:t>This Warrant Certificate shall not entitle the Holder hereof to any of the rights of a holder of the Warrant Securities, including, without limitation, the right to receive payments of dividends or distributions, if any, on the Warrant Securities (except to the extent set forth in the Warrant Agreement) or to exercise any voting rights.</w:t>
      </w:r>
    </w:p>
    <w:p>
      <w:pPr>
        <w:sectPr>
          <w:pgSz w:w="11900" w:h="16838" w:orient="portrait"/>
          <w:cols w:equalWidth="0" w:num="1">
            <w:col w:w="9019"/>
          </w:cols>
          <w:pgMar w:left="1440" w:top="237" w:right="1440" w:bottom="1440" w:gutter="0" w:footer="0" w:header="0"/>
        </w:sectPr>
      </w:pPr>
    </w:p>
    <w:bookmarkStart w:id="174" w:name="page175"/>
    <w:bookmarkEnd w:id="174"/>
    <w:p>
      <w:pPr>
        <w:ind w:left="260" w:right="679"/>
        <w:spacing w:after="0" w:line="27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Reference is hereby made to the further provisions of this Warrant Certificate set forth on the reverse hereof, which further provisions shall for all purposes have the same effect as if set forth at this place.</w:t>
      </w:r>
    </w:p>
    <w:p>
      <w:pPr>
        <w:spacing w:after="0" w:line="1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This Warrant Certificate shall not be valid or obligatory for any purpose until countersigned by the Warrant Agent.</w:t>
      </w:r>
    </w:p>
    <w:p>
      <w:pPr>
        <w:spacing w:after="0" w:line="170" w:lineRule="exact"/>
        <w:rPr>
          <w:sz w:val="20"/>
          <w:szCs w:val="20"/>
          <w:color w:val="auto"/>
        </w:rPr>
      </w:pPr>
    </w:p>
    <w:p>
      <w:pPr>
        <w:ind w:left="260" w:right="679"/>
        <w:spacing w:after="0" w:line="281" w:lineRule="auto"/>
        <w:rPr>
          <w:sz w:val="20"/>
          <w:szCs w:val="20"/>
          <w:color w:val="auto"/>
        </w:rPr>
      </w:pPr>
      <w:r>
        <w:rPr>
          <w:rFonts w:ascii="Times New Roman" w:cs="Times New Roman" w:eastAsia="Times New Roman" w:hAnsi="Times New Roman"/>
          <w:sz w:val="14"/>
          <w:szCs w:val="14"/>
          <w:b w:val="1"/>
          <w:bCs w:val="1"/>
          <w:color w:val="auto"/>
        </w:rPr>
        <w:t>I</w:t>
      </w:r>
      <w:r>
        <w:rPr>
          <w:rFonts w:ascii="Times New Roman" w:cs="Times New Roman" w:eastAsia="Times New Roman" w:hAnsi="Times New Roman"/>
          <w:sz w:val="11"/>
          <w:szCs w:val="11"/>
          <w:b w:val="1"/>
          <w:bCs w:val="1"/>
          <w:color w:val="auto"/>
        </w:rPr>
        <w:t>N</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1"/>
          <w:szCs w:val="11"/>
          <w:b w:val="1"/>
          <w:bCs w:val="1"/>
          <w:color w:val="auto"/>
        </w:rPr>
        <w:t>ITNESS</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1"/>
          <w:szCs w:val="11"/>
          <w:b w:val="1"/>
          <w:bCs w:val="1"/>
          <w:color w:val="auto"/>
        </w:rPr>
        <w:t>HEREOF</w:t>
      </w:r>
      <w:r>
        <w:rPr>
          <w:rFonts w:ascii="Times New Roman" w:cs="Times New Roman" w:eastAsia="Times New Roman" w:hAnsi="Times New Roman"/>
          <w:sz w:val="14"/>
          <w:szCs w:val="14"/>
          <w:color w:val="auto"/>
        </w:rPr>
        <w:t>, the Company has caused this Warrant to be executed in its name and on its behalf by the facsimile signatures of its duly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authorized officers.</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-6350</wp:posOffset>
            </wp:positionV>
            <wp:extent cx="440055" cy="63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9">
                      <a:extLst>
                        <a:ext uri="{28A0092B-C50C-407E-A947-70E740481C1C}"/>
                      </a:extLst>
                    </a:blip>
                    <a:srcRect/>
                    <a:stretch>
                      <a:fillRect/>
                    </a:stretch>
                  </pic:blipFill>
                  <pic:spPr bwMode="auto">
                    <a:xfrm>
                      <a:off x="0" y="0"/>
                      <a:ext cx="440055" cy="6350"/>
                    </a:xfrm>
                    <a:prstGeom prst="rect">
                      <a:avLst/>
                    </a:prstGeom>
                    <a:noFill/>
                  </pic:spPr>
                </pic:pic>
              </a:graphicData>
            </a:graphic>
          </wp:anchor>
        </w:drawing>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Tempus AI, Inc.</w:t>
      </w:r>
      <w:r>
        <w:rPr>
          <w:rFonts w:ascii="Times New Roman" w:cs="Times New Roman" w:eastAsia="Times New Roman" w:hAnsi="Times New Roman"/>
          <w:sz w:val="14"/>
          <w:szCs w:val="14"/>
          <w:color w:val="auto"/>
        </w:rPr>
        <w:t>, as Company</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12700</wp:posOffset>
            </wp:positionV>
            <wp:extent cx="1657350" cy="63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0">
                      <a:extLst>
                        <a:ext uri="{28A0092B-C50C-407E-A947-70E740481C1C}"/>
                      </a:extLst>
                    </a:blip>
                    <a:srcRect/>
                    <a:stretch>
                      <a:fillRect/>
                    </a:stretch>
                  </pic:blipFill>
                  <pic:spPr bwMode="auto">
                    <a:xfrm>
                      <a:off x="0" y="0"/>
                      <a:ext cx="1657350" cy="6350"/>
                    </a:xfrm>
                    <a:prstGeom prst="rect">
                      <a:avLst/>
                    </a:prstGeom>
                    <a:noFill/>
                  </pic:spPr>
                </pic:pic>
              </a:graphicData>
            </a:graphic>
          </wp:anchor>
        </w:drawing>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Name:</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16510</wp:posOffset>
            </wp:positionV>
            <wp:extent cx="1657350" cy="63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1">
                      <a:extLst>
                        <a:ext uri="{28A0092B-C50C-407E-A947-70E740481C1C}"/>
                      </a:extLst>
                    </a:blip>
                    <a:srcRect/>
                    <a:stretch>
                      <a:fillRect/>
                    </a:stretch>
                  </pic:blipFill>
                  <pic:spPr bwMode="auto">
                    <a:xfrm>
                      <a:off x="0" y="0"/>
                      <a:ext cx="1657350" cy="635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-95250</wp:posOffset>
            </wp:positionV>
            <wp:extent cx="1657350" cy="63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2">
                      <a:extLst>
                        <a:ext uri="{28A0092B-C50C-407E-A947-70E740481C1C}"/>
                      </a:extLst>
                    </a:blip>
                    <a:srcRect/>
                    <a:stretch>
                      <a:fillRect/>
                    </a:stretch>
                  </pic:blipFill>
                  <pic:spPr bwMode="auto">
                    <a:xfrm>
                      <a:off x="0" y="0"/>
                      <a:ext cx="1657350" cy="6350"/>
                    </a:xfrm>
                    <a:prstGeom prst="rect">
                      <a:avLst/>
                    </a:prstGeom>
                    <a:noFill/>
                  </pic:spPr>
                </pic:pic>
              </a:graphicData>
            </a:graphic>
          </wp:anchor>
        </w:drawing>
      </w:r>
    </w:p>
    <w:p>
      <w:pPr>
        <w:spacing w:after="0" w:line="1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134620</wp:posOffset>
            </wp:positionV>
            <wp:extent cx="1657350" cy="63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3">
                      <a:extLst>
                        <a:ext uri="{28A0092B-C50C-407E-A947-70E740481C1C}"/>
                      </a:extLst>
                    </a:blip>
                    <a:srcRect/>
                    <a:stretch>
                      <a:fillRect/>
                    </a:stretch>
                  </pic:blipFill>
                  <pic:spPr bwMode="auto">
                    <a:xfrm>
                      <a:off x="0" y="0"/>
                      <a:ext cx="1657350" cy="635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15875</wp:posOffset>
            </wp:positionV>
            <wp:extent cx="1657350" cy="63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4">
                      <a:extLst>
                        <a:ext uri="{28A0092B-C50C-407E-A947-70E740481C1C}"/>
                      </a:extLst>
                    </a:blip>
                    <a:srcRect/>
                    <a:stretch>
                      <a:fillRect/>
                    </a:stretch>
                  </pic:blipFill>
                  <pic:spPr bwMode="auto">
                    <a:xfrm>
                      <a:off x="0" y="0"/>
                      <a:ext cx="1657350" cy="6350"/>
                    </a:xfrm>
                    <a:prstGeom prst="rect">
                      <a:avLst/>
                    </a:prstGeom>
                    <a:noFill/>
                  </pic:spPr>
                </pic:pic>
              </a:graphicData>
            </a:graphic>
          </wp:anchor>
        </w:drawing>
      </w:r>
    </w:p>
    <w:p>
      <w:pPr>
        <w:spacing w:after="0" w:line="3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color w:val="auto"/>
        </w:rPr>
        <w:t>COUNTERSIGNED</w:t>
      </w:r>
    </w:p>
    <w:p>
      <w:pPr>
        <w:spacing w:after="0" w:line="1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as Warrant Agent</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12700</wp:posOffset>
            </wp:positionV>
            <wp:extent cx="1657350" cy="63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5">
                      <a:extLst>
                        <a:ext uri="{28A0092B-C50C-407E-A947-70E740481C1C}"/>
                      </a:extLst>
                    </a:blip>
                    <a:srcRect/>
                    <a:stretch>
                      <a:fillRect/>
                    </a:stretch>
                  </pic:blipFill>
                  <pic:spPr bwMode="auto">
                    <a:xfrm>
                      <a:off x="0" y="0"/>
                      <a:ext cx="1657350" cy="6350"/>
                    </a:xfrm>
                    <a:prstGeom prst="rect">
                      <a:avLst/>
                    </a:prstGeom>
                    <a:noFill/>
                  </pic:spPr>
                </pic:pic>
              </a:graphicData>
            </a:graphic>
          </wp:anchor>
        </w:drawing>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Name:</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16510</wp:posOffset>
            </wp:positionV>
            <wp:extent cx="1657350" cy="63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6">
                      <a:extLst>
                        <a:ext uri="{28A0092B-C50C-407E-A947-70E740481C1C}"/>
                      </a:extLst>
                    </a:blip>
                    <a:srcRect/>
                    <a:stretch>
                      <a:fillRect/>
                    </a:stretch>
                  </pic:blipFill>
                  <pic:spPr bwMode="auto">
                    <a:xfrm>
                      <a:off x="0" y="0"/>
                      <a:ext cx="1657350" cy="635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-95250</wp:posOffset>
            </wp:positionV>
            <wp:extent cx="1657350" cy="63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7">
                      <a:extLst>
                        <a:ext uri="{28A0092B-C50C-407E-A947-70E740481C1C}"/>
                      </a:extLst>
                    </a:blip>
                    <a:srcRect/>
                    <a:stretch>
                      <a:fillRect/>
                    </a:stretch>
                  </pic:blipFill>
                  <pic:spPr bwMode="auto">
                    <a:xfrm>
                      <a:off x="0" y="0"/>
                      <a:ext cx="1657350" cy="6350"/>
                    </a:xfrm>
                    <a:prstGeom prst="rect">
                      <a:avLst/>
                    </a:prstGeom>
                    <a:noFill/>
                  </pic:spPr>
                </pic:pic>
              </a:graphicData>
            </a:graphic>
          </wp:anchor>
        </w:drawing>
      </w:r>
    </w:p>
    <w:p>
      <w:pPr>
        <w:spacing w:after="0" w:line="1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134620</wp:posOffset>
            </wp:positionV>
            <wp:extent cx="1657350" cy="63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8">
                      <a:extLst>
                        <a:ext uri="{28A0092B-C50C-407E-A947-70E740481C1C}"/>
                      </a:extLst>
                    </a:blip>
                    <a:srcRect/>
                    <a:stretch>
                      <a:fillRect/>
                    </a:stretch>
                  </pic:blipFill>
                  <pic:spPr bwMode="auto">
                    <a:xfrm>
                      <a:off x="0" y="0"/>
                      <a:ext cx="1657350" cy="635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15875</wp:posOffset>
            </wp:positionV>
            <wp:extent cx="1657350" cy="63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9">
                      <a:extLst>
                        <a:ext uri="{28A0092B-C50C-407E-A947-70E740481C1C}"/>
                      </a:extLst>
                    </a:blip>
                    <a:srcRect/>
                    <a:stretch>
                      <a:fillRect/>
                    </a:stretch>
                  </pic:blipFill>
                  <pic:spPr bwMode="auto">
                    <a:xfrm>
                      <a:off x="0" y="0"/>
                      <a:ext cx="1657350" cy="6350"/>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175" w:name="page176"/>
    <w:bookmarkEnd w:id="175"/>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[REVERSE OF WARRANT CERTIFICATE]</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(Instructions for Exercise of Warrant)</w:t>
      </w:r>
    </w:p>
    <w:p>
      <w:pPr>
        <w:spacing w:after="0" w:line="174" w:lineRule="exact"/>
        <w:rPr>
          <w:sz w:val="20"/>
          <w:szCs w:val="20"/>
          <w:color w:val="auto"/>
        </w:rPr>
      </w:pPr>
    </w:p>
    <w:p>
      <w:pPr>
        <w:ind w:left="260" w:right="279" w:firstLine="339"/>
        <w:spacing w:after="0" w:line="254" w:lineRule="auto"/>
        <w:rPr>
          <w:sz w:val="20"/>
          <w:szCs w:val="20"/>
          <w:color w:val="auto"/>
        </w:rPr>
      </w:pPr>
      <w:r>
        <w:rPr>
          <w:rFonts w:ascii="Times New Roman" w:cs="Times New Roman" w:eastAsia="Times New Roman" w:hAnsi="Times New Roman"/>
          <w:sz w:val="14"/>
          <w:szCs w:val="14"/>
          <w:color w:val="auto"/>
        </w:rPr>
        <w:t>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(To be executed upon exercise of Warrants)</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The undersigned hereby irrevocably elects to exercise ______ Warrants, evidenced by this Warrant Certificate, to purchase _______ shares of the</w:t>
      </w:r>
    </w:p>
    <w:p>
      <w:pPr>
        <w:spacing w:after="0" w:line="32" w:lineRule="exact"/>
        <w:rPr>
          <w:sz w:val="20"/>
          <w:szCs w:val="20"/>
          <w:color w:val="auto"/>
        </w:rPr>
      </w:pPr>
    </w:p>
    <w:p>
      <w:pPr>
        <w:ind w:left="260" w:right="299"/>
        <w:spacing w:after="0" w:line="267" w:lineRule="auto"/>
        <w:rPr>
          <w:sz w:val="20"/>
          <w:szCs w:val="20"/>
          <w:color w:val="auto"/>
        </w:rPr>
      </w:pPr>
      <w:r>
        <w:rPr>
          <w:rFonts w:ascii="Times New Roman" w:cs="Times New Roman" w:eastAsia="Times New Roman" w:hAnsi="Times New Roman"/>
          <w:sz w:val="13"/>
          <w:szCs w:val="13"/>
          <w:color w:val="auto"/>
        </w:rPr>
        <w:t>[TITLE OF WARRANT SECURITIES], par value $0.0001 per share (the “</w:t>
      </w:r>
      <w:r>
        <w:rPr>
          <w:rFonts w:ascii="Times New Roman" w:cs="Times New Roman" w:eastAsia="Times New Roman" w:hAnsi="Times New Roman"/>
          <w:sz w:val="13"/>
          <w:szCs w:val="13"/>
          <w:b w:val="1"/>
          <w:bCs w:val="1"/>
          <w:i w:val="1"/>
          <w:iCs w:val="1"/>
          <w:color w:val="auto"/>
        </w:rPr>
        <w:t>Warrant Securities</w:t>
      </w:r>
      <w:r>
        <w:rPr>
          <w:rFonts w:ascii="Times New Roman" w:cs="Times New Roman" w:eastAsia="Times New Roman" w:hAnsi="Times New Roman"/>
          <w:sz w:val="13"/>
          <w:szCs w:val="13"/>
          <w:color w:val="auto"/>
        </w:rPr>
        <w:t>”), of Tempus AI, Inc. and represents that the undersigned has tendered payment for such Warrant Securities, in lawful money of the United States of America, [in cash or by certified check or official bank check in New York Clearing House funds] [by bank wire transfer in immediately available funds], to the order of Tempus AI, Inc., c/o [insert name and address of Warrant Agent], in the amount of $_________ in accordance with the terms hereof. The undersigned requests that said Warrant Securities be</w:t>
      </w:r>
    </w:p>
    <w:p>
      <w:pPr>
        <w:ind w:left="260" w:right="419"/>
        <w:spacing w:after="0" w:line="256" w:lineRule="auto"/>
        <w:rPr>
          <w:sz w:val="20"/>
          <w:szCs w:val="20"/>
          <w:color w:val="auto"/>
        </w:rPr>
      </w:pPr>
      <w:r>
        <w:rPr>
          <w:rFonts w:ascii="Times New Roman" w:cs="Times New Roman" w:eastAsia="Times New Roman" w:hAnsi="Times New Roman"/>
          <w:sz w:val="14"/>
          <w:szCs w:val="14"/>
          <w:color w:val="auto"/>
        </w:rPr>
        <w:t>in fully registered form in the authorized denominations, registered in such names and delivered all as specified in accordance with the instructions set forth below.</w:t>
      </w:r>
    </w:p>
    <w:p>
      <w:pPr>
        <w:spacing w:after="0" w:line="141" w:lineRule="exact"/>
        <w:rPr>
          <w:sz w:val="20"/>
          <w:szCs w:val="20"/>
          <w:color w:val="auto"/>
        </w:rPr>
      </w:pPr>
    </w:p>
    <w:p>
      <w:pPr>
        <w:ind w:left="260" w:right="579" w:firstLine="339"/>
        <w:spacing w:after="0" w:line="263" w:lineRule="auto"/>
        <w:rPr>
          <w:sz w:val="20"/>
          <w:szCs w:val="20"/>
          <w:color w:val="auto"/>
        </w:rPr>
      </w:pPr>
      <w:r>
        <w:rPr>
          <w:rFonts w:ascii="Times New Roman" w:cs="Times New Roman" w:eastAsia="Times New Roman" w:hAnsi="Times New Roman"/>
          <w:sz w:val="14"/>
          <w:szCs w:val="14"/>
          <w:color w:val="auto"/>
        </w:rPr>
        <w:t>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w:t>
      </w:r>
    </w:p>
    <w:p>
      <w:pPr>
        <w:spacing w:after="0" w:line="157" w:lineRule="exact"/>
        <w:rPr>
          <w:sz w:val="20"/>
          <w:szCs w:val="20"/>
          <w:color w:val="auto"/>
        </w:rPr>
      </w:pPr>
    </w:p>
    <w:p>
      <w:pPr>
        <w:ind w:left="260"/>
        <w:spacing w:after="0"/>
        <w:tabs>
          <w:tab w:leader="none" w:pos="4160" w:val="left"/>
          <w:tab w:leader="none" w:pos="5000" w:val="left"/>
        </w:tabs>
        <w:rPr>
          <w:sz w:val="20"/>
          <w:szCs w:val="20"/>
          <w:color w:val="auto"/>
        </w:rPr>
      </w:pPr>
      <w:r>
        <w:rPr>
          <w:rFonts w:ascii="Times New Roman" w:cs="Times New Roman" w:eastAsia="Times New Roman" w:hAnsi="Times New Roman"/>
          <w:sz w:val="14"/>
          <w:szCs w:val="14"/>
          <w:color w:val="auto"/>
        </w:rPr>
        <w:t>Dated:</w:t>
      </w:r>
      <w:r>
        <w:rPr>
          <w:sz w:val="20"/>
          <w:szCs w:val="20"/>
          <w:color w:val="auto"/>
        </w:rPr>
        <w:tab/>
      </w:r>
      <w:r>
        <w:rPr>
          <w:rFonts w:ascii="Times New Roman" w:cs="Times New Roman" w:eastAsia="Times New Roman" w:hAnsi="Times New Roman"/>
          <w:sz w:val="14"/>
          <w:szCs w:val="14"/>
          <w:color w:val="auto"/>
        </w:rPr>
        <w:t xml:space="preserve">             </w:t>
      </w:r>
      <w:r>
        <w:rPr>
          <w:sz w:val="20"/>
          <w:szCs w:val="20"/>
          <w:color w:val="auto"/>
        </w:rPr>
        <w:tab/>
      </w: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12700</wp:posOffset>
            </wp:positionV>
            <wp:extent cx="5116830" cy="63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1">
                      <a:extLst>
                        <a:ext uri="{28A0092B-C50C-407E-A947-70E740481C1C}"/>
                      </a:extLst>
                    </a:blip>
                    <a:srcRect/>
                    <a:stretch>
                      <a:fillRect/>
                    </a:stretch>
                  </pic:blipFill>
                  <pic:spPr bwMode="auto">
                    <a:xfrm>
                      <a:off x="0" y="0"/>
                      <a:ext cx="5116830" cy="6350"/>
                    </a:xfrm>
                    <a:prstGeom prst="rect">
                      <a:avLst/>
                    </a:prstGeom>
                    <a:noFill/>
                  </pic:spPr>
                </pic:pic>
              </a:graphicData>
            </a:graphic>
          </wp:anchor>
        </w:drawing>
      </w:r>
    </w:p>
    <w:p>
      <w:pPr>
        <w:spacing w:after="0" w:line="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color w:val="auto"/>
        </w:rPr>
        <w:t>Please Print</w:t>
      </w:r>
    </w:p>
    <w:p>
      <w:pPr>
        <w:spacing w:after="0" w:line="3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Address:</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(Insert Social Security or Other Identifying Number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-99060</wp:posOffset>
            </wp:positionV>
            <wp:extent cx="2753360" cy="63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2">
                      <a:extLst>
                        <a:ext uri="{28A0092B-C50C-407E-A947-70E740481C1C}"/>
                      </a:extLst>
                    </a:blip>
                    <a:srcRect/>
                    <a:stretch>
                      <a:fillRect/>
                    </a:stretch>
                  </pic:blipFill>
                  <pic:spPr bwMode="auto">
                    <a:xfrm>
                      <a:off x="0" y="0"/>
                      <a:ext cx="2753360" cy="6350"/>
                    </a:xfrm>
                    <a:prstGeom prst="rect">
                      <a:avLst/>
                    </a:prstGeom>
                    <a:noFill/>
                  </pic:spPr>
                </pic:pic>
              </a:graphicData>
            </a:graphic>
          </wp:anchor>
        </w:drawing>
      </w:r>
    </w:p>
    <w:p>
      <w:pPr>
        <w:spacing w:after="0" w:line="3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Signature Guaranteed: 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1047750</wp:posOffset>
            </wp:positionH>
            <wp:positionV relativeFrom="paragraph">
              <wp:posOffset>12700</wp:posOffset>
            </wp:positionV>
            <wp:extent cx="1274445" cy="63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3">
                      <a:extLst>
                        <a:ext uri="{28A0092B-C50C-407E-A947-70E740481C1C}"/>
                      </a:extLst>
                    </a:blip>
                    <a:srcRect/>
                    <a:stretch>
                      <a:fillRect/>
                    </a:stretch>
                  </pic:blipFill>
                  <pic:spPr bwMode="auto">
                    <a:xfrm>
                      <a:off x="0" y="0"/>
                      <a:ext cx="1274445" cy="6350"/>
                    </a:xfrm>
                    <a:prstGeom prst="rect">
                      <a:avLst/>
                    </a:prstGeom>
                    <a:noFill/>
                  </pic:spPr>
                </pic:pic>
              </a:graphicData>
            </a:graphic>
          </wp:anchor>
        </w:drawing>
      </w:r>
    </w:p>
    <w:p>
      <w:pPr>
        <w:spacing w:after="0" w:line="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4"/>
          <w:szCs w:val="14"/>
          <w:color w:val="auto"/>
        </w:rPr>
        <w:t>Signature</w:t>
      </w:r>
    </w:p>
    <w:p>
      <w:pPr>
        <w:spacing w:after="0" w:line="167" w:lineRule="exact"/>
        <w:rPr>
          <w:sz w:val="20"/>
          <w:szCs w:val="20"/>
          <w:color w:val="auto"/>
        </w:rPr>
      </w:pPr>
    </w:p>
    <w:p>
      <w:pPr>
        <w:ind w:left="260" w:right="459"/>
        <w:spacing w:after="0" w:line="278" w:lineRule="auto"/>
        <w:rPr>
          <w:sz w:val="20"/>
          <w:szCs w:val="20"/>
          <w:color w:val="auto"/>
        </w:rPr>
      </w:pPr>
      <w:r>
        <w:rPr>
          <w:rFonts w:ascii="Times New Roman" w:cs="Times New Roman" w:eastAsia="Times New Roman" w:hAnsi="Times New Roman"/>
          <w:sz w:val="14"/>
          <w:szCs w:val="14"/>
          <w:color w:val="auto"/>
        </w:rPr>
        <w:t>(Signature must conform in all respects to name of holder as specified on the face of this Warrant Certificate and must bear a signature guarantee by a FINRA member firm).</w:t>
      </w:r>
    </w:p>
    <w:p>
      <w:pPr>
        <w:spacing w:after="0" w:line="1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This Warrant may be exercised at the following addresses: By hand at:</w:t>
      </w:r>
    </w:p>
    <w:p>
      <w:pPr>
        <w:spacing w:after="0" w:line="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237" w:right="1440" w:bottom="1440" w:gutter="0" w:footer="0" w:header="0"/>
        </w:sectPr>
      </w:pPr>
    </w:p>
    <w:bookmarkStart w:id="176" w:name="page177"/>
    <w:bookmarkEnd w:id="176"/>
    <w:p>
      <w:pPr>
        <w:ind w:left="2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By mail at:</w:t>
      </w:r>
    </w:p>
    <w:p>
      <w:pPr>
        <w:spacing w:after="0" w:line="89" w:lineRule="exact"/>
        <w:rPr>
          <w:sz w:val="20"/>
          <w:szCs w:val="20"/>
          <w:color w:val="auto"/>
        </w:rPr>
      </w:pPr>
    </w:p>
    <w:p>
      <w:pPr>
        <w:ind w:left="260" w:right="699"/>
        <w:spacing w:after="0" w:line="278" w:lineRule="auto"/>
        <w:rPr>
          <w:sz w:val="20"/>
          <w:szCs w:val="20"/>
          <w:color w:val="auto"/>
        </w:rPr>
      </w:pPr>
      <w:r>
        <w:rPr>
          <w:rFonts w:ascii="Times New Roman" w:cs="Times New Roman" w:eastAsia="Times New Roman" w:hAnsi="Times New Roman"/>
          <w:sz w:val="14"/>
          <w:szCs w:val="14"/>
          <w:color w:val="auto"/>
        </w:rPr>
        <w:t>[Instructions as to form and delivery of Warrant Securities and, if applicable, Warrant Certificates evidencing Warrants for the number of Warrant Securities remaining unexercised—complete as appropriate.]</w:t>
      </w:r>
    </w:p>
    <w:p>
      <w:pPr>
        <w:sectPr>
          <w:pgSz w:w="11900" w:h="16838" w:orient="portrait"/>
          <w:cols w:equalWidth="0" w:num="1">
            <w:col w:w="9019"/>
          </w:cols>
          <w:pgMar w:left="1440" w:top="239" w:right="1440" w:bottom="1440" w:gutter="0" w:footer="0" w:header="0"/>
        </w:sectPr>
      </w:pPr>
    </w:p>
    <w:bookmarkStart w:id="177" w:name="page178"/>
    <w:bookmarkEnd w:id="17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ASSIGNMENT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 of assignment to be executed if Warrant Holder desires to transfer Warrant]</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1"/>
          <w:szCs w:val="11"/>
          <w:b w:val="1"/>
          <w:bCs w:val="1"/>
          <w:color w:val="auto"/>
        </w:rPr>
        <w:t>OR</w:t>
      </w:r>
      <w:r>
        <w:rPr>
          <w:rFonts w:ascii="Times New Roman" w:cs="Times New Roman" w:eastAsia="Times New Roman" w:hAnsi="Times New Roman"/>
          <w:sz w:val="14"/>
          <w:szCs w:val="14"/>
          <w:b w:val="1"/>
          <w:bCs w:val="1"/>
          <w:color w:val="auto"/>
        </w:rPr>
        <w:t xml:space="preserve"> V</w:t>
      </w:r>
      <w:r>
        <w:rPr>
          <w:rFonts w:ascii="Times New Roman" w:cs="Times New Roman" w:eastAsia="Times New Roman" w:hAnsi="Times New Roman"/>
          <w:sz w:val="11"/>
          <w:szCs w:val="11"/>
          <w:b w:val="1"/>
          <w:bCs w:val="1"/>
          <w:color w:val="auto"/>
        </w:rPr>
        <w:t>ALUE</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ECEIVED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______________ hereby sells, assigns and transfers unto:</w:t>
      </w:r>
    </w:p>
    <w:p>
      <w:pPr>
        <w:spacing w:after="0" w:line="195" w:lineRule="exact"/>
        <w:rPr>
          <w:sz w:val="20"/>
          <w:szCs w:val="20"/>
          <w:color w:val="auto"/>
        </w:rPr>
      </w:pPr>
    </w:p>
    <w:tbl>
      <w:tblPr>
        <w:tblLayout w:type="fixed"/>
        <w:tblInd w:w="26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45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       </w:t>
            </w:r>
          </w:p>
        </w:tc>
      </w:tr>
      <w:tr>
        <w:trPr>
          <w:trHeight w:val="172"/>
        </w:trPr>
        <w:tc>
          <w:tcPr>
            <w:tcW w:w="20" w:type="dxa"/>
            <w:vAlign w:val="bottom"/>
          </w:tcPr>
          <w:p>
            <w:pPr>
              <w:spacing w:after="0"/>
              <w:rPr>
                <w:sz w:val="14"/>
                <w:szCs w:val="14"/>
                <w:color w:val="auto"/>
              </w:rPr>
            </w:pPr>
          </w:p>
        </w:tc>
        <w:tc>
          <w:tcPr>
            <w:tcW w:w="3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(Please print name and address including zip code)</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Please print Social Security or other identifying number</w:t>
            </w:r>
          </w:p>
        </w:tc>
      </w:tr>
    </w:tbl>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right represented by the within Warrant to purchase __________ shares of [Title of Warrant Securities] of Tempus AI, Inc. to which the within</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Warrant relates and appoints ____________________ attorney to transfer such right on the books of the Warrant Agent with full power of substitution in</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premises.</w:t>
      </w:r>
    </w:p>
    <w:p>
      <w:pPr>
        <w:spacing w:after="0" w:line="177" w:lineRule="exact"/>
        <w:rPr>
          <w:sz w:val="20"/>
          <w:szCs w:val="20"/>
          <w:color w:val="auto"/>
        </w:rPr>
      </w:pPr>
    </w:p>
    <w:p>
      <w:pPr>
        <w:ind w:left="260"/>
        <w:spacing w:after="0"/>
        <w:tabs>
          <w:tab w:leader="none" w:pos="4160" w:val="left"/>
          <w:tab w:leader="none" w:pos="5000" w:val="left"/>
        </w:tabs>
        <w:rPr>
          <w:sz w:val="20"/>
          <w:szCs w:val="20"/>
          <w:color w:val="auto"/>
        </w:rPr>
      </w:pPr>
      <w:r>
        <w:rPr>
          <w:rFonts w:ascii="Times New Roman" w:cs="Times New Roman" w:eastAsia="Times New Roman" w:hAnsi="Times New Roman"/>
          <w:sz w:val="14"/>
          <w:szCs w:val="14"/>
          <w:color w:val="auto"/>
        </w:rPr>
        <w:t>Dated:</w:t>
      </w:r>
      <w:r>
        <w:rPr>
          <w:sz w:val="20"/>
          <w:szCs w:val="20"/>
          <w:color w:val="auto"/>
        </w:rPr>
        <w:tab/>
      </w:r>
      <w:r>
        <w:rPr>
          <w:rFonts w:ascii="Times New Roman" w:cs="Times New Roman" w:eastAsia="Times New Roman" w:hAnsi="Times New Roman"/>
          <w:sz w:val="14"/>
          <w:szCs w:val="14"/>
          <w:color w:val="auto"/>
        </w:rPr>
        <w:t xml:space="preserve">             </w:t>
      </w:r>
      <w:r>
        <w:rPr>
          <w:sz w:val="20"/>
          <w:szCs w:val="20"/>
          <w:color w:val="auto"/>
        </w:rPr>
        <w:tab/>
      </w: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12700</wp:posOffset>
            </wp:positionV>
            <wp:extent cx="5116830" cy="63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6">
                      <a:extLst>
                        <a:ext uri="{28A0092B-C50C-407E-A947-70E740481C1C}"/>
                      </a:extLst>
                    </a:blip>
                    <a:srcRect/>
                    <a:stretch>
                      <a:fillRect/>
                    </a:stretch>
                  </pic:blipFill>
                  <pic:spPr bwMode="auto">
                    <a:xfrm>
                      <a:off x="0" y="0"/>
                      <a:ext cx="5116830" cy="635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4"/>
          <w:szCs w:val="14"/>
          <w:color w:val="auto"/>
        </w:rPr>
        <w:t>Signature</w:t>
      </w:r>
    </w:p>
    <w:p>
      <w:pPr>
        <w:spacing w:after="0" w:line="1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(Signature must conform in all respects to name of holder as specified on the face of the Warrant)</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270510</wp:posOffset>
            </wp:positionV>
            <wp:extent cx="2152650" cy="63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7">
                      <a:extLst>
                        <a:ext uri="{28A0092B-C50C-407E-A947-70E740481C1C}"/>
                      </a:extLst>
                    </a:blip>
                    <a:srcRect/>
                    <a:stretch>
                      <a:fillRect/>
                    </a:stretch>
                  </pic:blipFill>
                  <pic:spPr bwMode="auto">
                    <a:xfrm>
                      <a:off x="0" y="0"/>
                      <a:ext cx="2152650" cy="6350"/>
                    </a:xfrm>
                    <a:prstGeom prst="rect">
                      <a:avLst/>
                    </a:prstGeom>
                    <a:noFill/>
                  </pic:spPr>
                </pic:pic>
              </a:graphicData>
            </a:graphic>
          </wp:anchor>
        </w:drawing>
      </w:r>
    </w:p>
    <w:p>
      <w:pPr>
        <w:sectPr>
          <w:pgSz w:w="11900" w:h="16838" w:orient="portrait"/>
          <w:cols w:equalWidth="0" w:num="1">
            <w:col w:w="9019"/>
          </w:cols>
          <w:pgMar w:left="1440" w:top="237" w:right="1440" w:bottom="1440" w:gutter="0" w:footer="0" w:header="0"/>
        </w:sectPr>
      </w:pPr>
    </w:p>
    <w:bookmarkStart w:id="178" w:name="page179"/>
    <w:bookmarkEnd w:id="178"/>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Exhibit 4.9</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EMPUS</w:t>
      </w:r>
      <w:r>
        <w:rPr>
          <w:rFonts w:ascii="Times New Roman" w:cs="Times New Roman" w:eastAsia="Times New Roman" w:hAnsi="Times New Roman"/>
          <w:sz w:val="14"/>
          <w:szCs w:val="14"/>
          <w:b w:val="1"/>
          <w:bCs w:val="1"/>
          <w:color w:val="auto"/>
        </w:rPr>
        <w:t xml:space="preserve"> AI,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AND</w:t>
      </w:r>
    </w:p>
    <w:p>
      <w:pPr>
        <w:spacing w:after="0" w:line="14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_____________, A</w:t>
      </w:r>
      <w:r>
        <w:rPr>
          <w:rFonts w:ascii="Times New Roman" w:cs="Times New Roman" w:eastAsia="Times New Roman" w:hAnsi="Times New Roman"/>
          <w:sz w:val="11"/>
          <w:szCs w:val="11"/>
          <w:b w:val="1"/>
          <w:bCs w:val="1"/>
          <w:color w:val="auto"/>
        </w:rPr>
        <w:t>S</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1"/>
          <w:szCs w:val="11"/>
          <w:b w:val="1"/>
          <w:bCs w:val="1"/>
          <w:color w:val="auto"/>
        </w:rPr>
        <w:t>ARRANT</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1"/>
          <w:szCs w:val="11"/>
          <w:b w:val="1"/>
          <w:bCs w:val="1"/>
          <w:color w:val="auto"/>
        </w:rPr>
        <w:t>ORM OF</w:t>
      </w:r>
      <w:r>
        <w:rPr>
          <w:rFonts w:ascii="Times New Roman" w:cs="Times New Roman" w:eastAsia="Times New Roman" w:hAnsi="Times New Roman"/>
          <w:sz w:val="14"/>
          <w:szCs w:val="14"/>
          <w:b w:val="1"/>
          <w:bCs w:val="1"/>
          <w:color w:val="auto"/>
        </w:rPr>
        <w:t xml:space="preserve"> D</w:t>
      </w:r>
      <w:r>
        <w:rPr>
          <w:rFonts w:ascii="Times New Roman" w:cs="Times New Roman" w:eastAsia="Times New Roman" w:hAnsi="Times New Roman"/>
          <w:sz w:val="11"/>
          <w:szCs w:val="11"/>
          <w:b w:val="1"/>
          <w:bCs w:val="1"/>
          <w:color w:val="auto"/>
        </w:rPr>
        <w:t>EBT</w:t>
      </w:r>
      <w:r>
        <w:rPr>
          <w:rFonts w:ascii="Times New Roman" w:cs="Times New Roman" w:eastAsia="Times New Roman" w:hAnsi="Times New Roman"/>
          <w:sz w:val="14"/>
          <w:szCs w:val="14"/>
          <w:b w:val="1"/>
          <w:bCs w:val="1"/>
          <w:color w:val="auto"/>
        </w:rPr>
        <w:t xml:space="preserve"> S</w:t>
      </w:r>
      <w:r>
        <w:rPr>
          <w:rFonts w:ascii="Times New Roman" w:cs="Times New Roman" w:eastAsia="Times New Roman" w:hAnsi="Times New Roman"/>
          <w:sz w:val="11"/>
          <w:szCs w:val="11"/>
          <w:b w:val="1"/>
          <w:bCs w:val="1"/>
          <w:color w:val="auto"/>
        </w:rPr>
        <w:t>ECURITIES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ARRANT</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pacing w:after="0" w:line="15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4"/>
          <w:szCs w:val="14"/>
          <w:b w:val="1"/>
          <w:bCs w:val="1"/>
          <w:color w:val="auto"/>
        </w:rPr>
        <w:t>D</w:t>
      </w:r>
      <w:r>
        <w:rPr>
          <w:rFonts w:ascii="Times New Roman" w:cs="Times New Roman" w:eastAsia="Times New Roman" w:hAnsi="Times New Roman"/>
          <w:sz w:val="11"/>
          <w:szCs w:val="11"/>
          <w:b w:val="1"/>
          <w:bCs w:val="1"/>
          <w:color w:val="auto"/>
        </w:rPr>
        <w:t>ATED</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S</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11"/>
          <w:szCs w:val="11"/>
          <w:b w:val="1"/>
          <w:bCs w:val="1"/>
          <w:color w:val="auto"/>
        </w:rPr>
        <w:t>F</w:t>
      </w:r>
      <w:r>
        <w:rPr>
          <w:rFonts w:ascii="Times New Roman" w:cs="Times New Roman" w:eastAsia="Times New Roman" w:hAnsi="Times New Roman"/>
          <w:sz w:val="14"/>
          <w:szCs w:val="14"/>
          <w:b w:val="1"/>
          <w:bCs w:val="1"/>
          <w:color w:val="auto"/>
        </w:rPr>
        <w:t xml:space="preserve"> __________</w:t>
      </w:r>
    </w:p>
    <w:p>
      <w:pPr>
        <w:sectPr>
          <w:pgSz w:w="11900" w:h="16838" w:orient="portrait"/>
          <w:cols w:equalWidth="0" w:num="1">
            <w:col w:w="9019"/>
          </w:cols>
          <w:pgMar w:left="1440" w:top="123" w:right="1440" w:bottom="1440" w:gutter="0" w:footer="0" w:header="0"/>
        </w:sectPr>
      </w:pPr>
    </w:p>
    <w:bookmarkStart w:id="179" w:name="page180"/>
    <w:bookmarkEnd w:id="17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w:t>
      </w:r>
      <w:r>
        <w:rPr>
          <w:rFonts w:ascii="Times New Roman" w:cs="Times New Roman" w:eastAsia="Times New Roman" w:hAnsi="Times New Roman"/>
          <w:sz w:val="11"/>
          <w:szCs w:val="11"/>
          <w:b w:val="1"/>
          <w:bCs w:val="1"/>
          <w:color w:val="auto"/>
        </w:rPr>
        <w:t>EMPUS</w:t>
      </w:r>
      <w:r>
        <w:rPr>
          <w:rFonts w:ascii="Times New Roman" w:cs="Times New Roman" w:eastAsia="Times New Roman" w:hAnsi="Times New Roman"/>
          <w:sz w:val="14"/>
          <w:szCs w:val="14"/>
          <w:b w:val="1"/>
          <w:bCs w:val="1"/>
          <w:color w:val="auto"/>
        </w:rPr>
        <w:t xml:space="preserve"> AI,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 F</w:t>
      </w:r>
      <w:r>
        <w:rPr>
          <w:rFonts w:ascii="Times New Roman" w:cs="Times New Roman" w:eastAsia="Times New Roman" w:hAnsi="Times New Roman"/>
          <w:sz w:val="11"/>
          <w:szCs w:val="11"/>
          <w:b w:val="1"/>
          <w:bCs w:val="1"/>
          <w:color w:val="auto"/>
        </w:rPr>
        <w:t>ORM OF</w:t>
      </w:r>
      <w:r>
        <w:rPr>
          <w:rFonts w:ascii="Times New Roman" w:cs="Times New Roman" w:eastAsia="Times New Roman" w:hAnsi="Times New Roman"/>
          <w:sz w:val="14"/>
          <w:szCs w:val="14"/>
          <w:b w:val="1"/>
          <w:bCs w:val="1"/>
          <w:color w:val="auto"/>
        </w:rPr>
        <w:t xml:space="preserve"> D</w:t>
      </w:r>
      <w:r>
        <w:rPr>
          <w:rFonts w:ascii="Times New Roman" w:cs="Times New Roman" w:eastAsia="Times New Roman" w:hAnsi="Times New Roman"/>
          <w:sz w:val="11"/>
          <w:szCs w:val="11"/>
          <w:b w:val="1"/>
          <w:bCs w:val="1"/>
          <w:color w:val="auto"/>
        </w:rPr>
        <w:t>EBT</w:t>
      </w:r>
      <w:r>
        <w:rPr>
          <w:rFonts w:ascii="Times New Roman" w:cs="Times New Roman" w:eastAsia="Times New Roman" w:hAnsi="Times New Roman"/>
          <w:sz w:val="14"/>
          <w:szCs w:val="14"/>
          <w:b w:val="1"/>
          <w:bCs w:val="1"/>
          <w:color w:val="auto"/>
        </w:rPr>
        <w:t xml:space="preserve"> S</w:t>
      </w:r>
      <w:r>
        <w:rPr>
          <w:rFonts w:ascii="Times New Roman" w:cs="Times New Roman" w:eastAsia="Times New Roman" w:hAnsi="Times New Roman"/>
          <w:sz w:val="11"/>
          <w:szCs w:val="11"/>
          <w:b w:val="1"/>
          <w:bCs w:val="1"/>
          <w:color w:val="auto"/>
        </w:rPr>
        <w:t>ECURITIES</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1"/>
          <w:szCs w:val="11"/>
          <w:b w:val="1"/>
          <w:bCs w:val="1"/>
          <w:color w:val="auto"/>
        </w:rPr>
        <w:t>ARRANT</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p>
    <w:p>
      <w:pPr>
        <w:spacing w:after="0" w:line="172" w:lineRule="exact"/>
        <w:rPr>
          <w:sz w:val="20"/>
          <w:szCs w:val="20"/>
          <w:color w:val="auto"/>
        </w:rPr>
      </w:pPr>
    </w:p>
    <w:p>
      <w:pPr>
        <w:jc w:val="both"/>
        <w:ind w:left="260" w:right="459" w:firstLine="339"/>
        <w:spacing w:after="0" w:line="264" w:lineRule="auto"/>
        <w:rPr>
          <w:sz w:val="20"/>
          <w:szCs w:val="20"/>
          <w:color w:val="auto"/>
        </w:rPr>
      </w:pP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HIS</w:t>
      </w:r>
      <w:r>
        <w:rPr>
          <w:rFonts w:ascii="Times New Roman" w:cs="Times New Roman" w:eastAsia="Times New Roman" w:hAnsi="Times New Roman"/>
          <w:sz w:val="14"/>
          <w:szCs w:val="14"/>
          <w:b w:val="1"/>
          <w:bCs w:val="1"/>
          <w:color w:val="auto"/>
        </w:rPr>
        <w:t xml:space="preserve"> D</w:t>
      </w:r>
      <w:r>
        <w:rPr>
          <w:rFonts w:ascii="Times New Roman" w:cs="Times New Roman" w:eastAsia="Times New Roman" w:hAnsi="Times New Roman"/>
          <w:sz w:val="11"/>
          <w:szCs w:val="11"/>
          <w:b w:val="1"/>
          <w:bCs w:val="1"/>
          <w:color w:val="auto"/>
        </w:rPr>
        <w:t>EBT</w:t>
      </w:r>
      <w:r>
        <w:rPr>
          <w:rFonts w:ascii="Times New Roman" w:cs="Times New Roman" w:eastAsia="Times New Roman" w:hAnsi="Times New Roman"/>
          <w:sz w:val="14"/>
          <w:szCs w:val="14"/>
          <w:b w:val="1"/>
          <w:bCs w:val="1"/>
          <w:color w:val="auto"/>
        </w:rPr>
        <w:t xml:space="preserve"> S</w:t>
      </w:r>
      <w:r>
        <w:rPr>
          <w:rFonts w:ascii="Times New Roman" w:cs="Times New Roman" w:eastAsia="Times New Roman" w:hAnsi="Times New Roman"/>
          <w:sz w:val="11"/>
          <w:szCs w:val="11"/>
          <w:b w:val="1"/>
          <w:bCs w:val="1"/>
          <w:color w:val="auto"/>
        </w:rPr>
        <w:t>ECURITIES</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1"/>
          <w:szCs w:val="11"/>
          <w:b w:val="1"/>
          <w:bCs w:val="1"/>
          <w:color w:val="auto"/>
        </w:rPr>
        <w:t>ARRANT</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11"/>
          <w:szCs w:val="11"/>
          <w:b w:val="1"/>
          <w:bCs w:val="1"/>
          <w:color w:val="auto"/>
        </w:rPr>
        <w:t>GREEMENT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(this “</w:t>
      </w:r>
      <w:r>
        <w:rPr>
          <w:rFonts w:ascii="Times New Roman" w:cs="Times New Roman" w:eastAsia="Times New Roman" w:hAnsi="Times New Roman"/>
          <w:sz w:val="14"/>
          <w:szCs w:val="14"/>
          <w:b w:val="1"/>
          <w:bCs w:val="1"/>
          <w:i w:val="1"/>
          <w:iCs w:val="1"/>
          <w:color w:val="auto"/>
        </w:rPr>
        <w:t>Agreement</w:t>
      </w:r>
      <w:r>
        <w:rPr>
          <w:rFonts w:ascii="Times New Roman" w:cs="Times New Roman" w:eastAsia="Times New Roman" w:hAnsi="Times New Roman"/>
          <w:sz w:val="14"/>
          <w:szCs w:val="14"/>
          <w:color w:val="auto"/>
        </w:rPr>
        <w:t>”), dated as of [•], between</w:t>
      </w:r>
      <w:r>
        <w:rPr>
          <w:rFonts w:ascii="Times New Roman" w:cs="Times New Roman" w:eastAsia="Times New Roman" w:hAnsi="Times New Roman"/>
          <w:sz w:val="14"/>
          <w:szCs w:val="14"/>
          <w:b w:val="1"/>
          <w:bCs w:val="1"/>
          <w:color w:val="auto"/>
        </w:rPr>
        <w:t xml:space="preserve"> T</w:t>
      </w:r>
      <w:r>
        <w:rPr>
          <w:rFonts w:ascii="Times New Roman" w:cs="Times New Roman" w:eastAsia="Times New Roman" w:hAnsi="Times New Roman"/>
          <w:sz w:val="11"/>
          <w:szCs w:val="11"/>
          <w:b w:val="1"/>
          <w:bCs w:val="1"/>
          <w:color w:val="auto"/>
        </w:rPr>
        <w:t>EMPUS</w:t>
      </w:r>
      <w:r>
        <w:rPr>
          <w:rFonts w:ascii="Times New Roman" w:cs="Times New Roman" w:eastAsia="Times New Roman" w:hAnsi="Times New Roman"/>
          <w:sz w:val="14"/>
          <w:szCs w:val="14"/>
          <w:b w:val="1"/>
          <w:bCs w:val="1"/>
          <w:color w:val="auto"/>
        </w:rPr>
        <w:t xml:space="preserve"> AI,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a Nevada corporation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and [•], a [corporation] [national banking association] organized and existing under the laws of [•] and having a corporate trust office in [•], as warrant agent (the “</w:t>
      </w:r>
      <w:r>
        <w:rPr>
          <w:rFonts w:ascii="Times New Roman" w:cs="Times New Roman" w:eastAsia="Times New Roman" w:hAnsi="Times New Roman"/>
          <w:sz w:val="14"/>
          <w:szCs w:val="14"/>
          <w:b w:val="1"/>
          <w:bCs w:val="1"/>
          <w:i w:val="1"/>
          <w:iCs w:val="1"/>
          <w:color w:val="auto"/>
        </w:rPr>
        <w:t>Warrant Agent</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ind w:left="260" w:right="339" w:firstLine="339"/>
        <w:spacing w:after="0" w:line="264"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Company has entered into an indenture dated as of [•] (the “</w:t>
      </w:r>
      <w:r>
        <w:rPr>
          <w:rFonts w:ascii="Times New Roman" w:cs="Times New Roman" w:eastAsia="Times New Roman" w:hAnsi="Times New Roman"/>
          <w:sz w:val="14"/>
          <w:szCs w:val="14"/>
          <w:b w:val="1"/>
          <w:bCs w:val="1"/>
          <w:i w:val="1"/>
          <w:iCs w:val="1"/>
          <w:color w:val="auto"/>
        </w:rPr>
        <w:t>Indenture</w:t>
      </w:r>
      <w:r>
        <w:rPr>
          <w:rFonts w:ascii="Times New Roman" w:cs="Times New Roman" w:eastAsia="Times New Roman" w:hAnsi="Times New Roman"/>
          <w:sz w:val="14"/>
          <w:szCs w:val="14"/>
          <w:color w:val="auto"/>
        </w:rPr>
        <w:t>”), with [•], as trustee (such trustee, and any successors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such trustee, herein called the “</w:t>
      </w:r>
      <w:r>
        <w:rPr>
          <w:rFonts w:ascii="Times New Roman" w:cs="Times New Roman" w:eastAsia="Times New Roman" w:hAnsi="Times New Roman"/>
          <w:sz w:val="14"/>
          <w:szCs w:val="14"/>
          <w:b w:val="1"/>
          <w:bCs w:val="1"/>
          <w:i w:val="1"/>
          <w:iCs w:val="1"/>
          <w:color w:val="auto"/>
        </w:rPr>
        <w:t>Trustee</w:t>
      </w:r>
      <w:r>
        <w:rPr>
          <w:rFonts w:ascii="Times New Roman" w:cs="Times New Roman" w:eastAsia="Times New Roman" w:hAnsi="Times New Roman"/>
          <w:sz w:val="14"/>
          <w:szCs w:val="14"/>
          <w:color w:val="auto"/>
        </w:rPr>
        <w:t>”), providing for the issuance from time to time of its debt securities, to be issued in one or more series as provided in the Indenture (the “</w:t>
      </w:r>
      <w:r>
        <w:rPr>
          <w:rFonts w:ascii="Times New Roman" w:cs="Times New Roman" w:eastAsia="Times New Roman" w:hAnsi="Times New Roman"/>
          <w:sz w:val="14"/>
          <w:szCs w:val="14"/>
          <w:b w:val="1"/>
          <w:bCs w:val="1"/>
          <w:i w:val="1"/>
          <w:iCs w:val="1"/>
          <w:color w:val="auto"/>
        </w:rPr>
        <w:t>Debt Securities</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ind w:left="260" w:right="299" w:firstLine="339"/>
        <w:spacing w:after="0" w:line="259" w:lineRule="auto"/>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HEREAS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Company proposes to sell [</w:t>
      </w:r>
      <w:r>
        <w:rPr>
          <w:rFonts w:ascii="Times New Roman" w:cs="Times New Roman" w:eastAsia="Times New Roman" w:hAnsi="Times New Roman"/>
          <w:sz w:val="14"/>
          <w:szCs w:val="14"/>
          <w:b w:val="1"/>
          <w:bCs w:val="1"/>
          <w:i w:val="1"/>
          <w:iCs w:val="1"/>
          <w:color w:val="auto"/>
        </w:rPr>
        <w:t>If Warrants are sold with other securities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[title of such other securities being offered] (the “</w:t>
      </w:r>
      <w:r>
        <w:rPr>
          <w:rFonts w:ascii="Times New Roman" w:cs="Times New Roman" w:eastAsia="Times New Roman" w:hAnsi="Times New Roman"/>
          <w:sz w:val="14"/>
          <w:szCs w:val="14"/>
          <w:b w:val="1"/>
          <w:bCs w:val="1"/>
          <w:i w:val="1"/>
          <w:iCs w:val="1"/>
          <w:color w:val="auto"/>
        </w:rPr>
        <w:t>Other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Securities</w:t>
      </w:r>
      <w:r>
        <w:rPr>
          <w:rFonts w:ascii="Times New Roman" w:cs="Times New Roman" w:eastAsia="Times New Roman" w:hAnsi="Times New Roman"/>
          <w:sz w:val="14"/>
          <w:szCs w:val="14"/>
          <w:color w:val="auto"/>
        </w:rPr>
        <w:t>”) with] warrant certificates evidencing one or more warrants (the “</w:t>
      </w:r>
      <w:r>
        <w:rPr>
          <w:rFonts w:ascii="Times New Roman" w:cs="Times New Roman" w:eastAsia="Times New Roman" w:hAnsi="Times New Roman"/>
          <w:sz w:val="14"/>
          <w:szCs w:val="14"/>
          <w:b w:val="1"/>
          <w:bCs w:val="1"/>
          <w:i w:val="1"/>
          <w:iCs w:val="1"/>
          <w:color w:val="auto"/>
        </w:rPr>
        <w:t>Warrants</w:t>
      </w:r>
      <w:r>
        <w:rPr>
          <w:rFonts w:ascii="Times New Roman" w:cs="Times New Roman" w:eastAsia="Times New Roman" w:hAnsi="Times New Roman"/>
          <w:sz w:val="14"/>
          <w:szCs w:val="14"/>
          <w:color w:val="auto"/>
        </w:rPr>
        <w:t>” or, individually, a “</w:t>
      </w:r>
      <w:r>
        <w:rPr>
          <w:rFonts w:ascii="Times New Roman" w:cs="Times New Roman" w:eastAsia="Times New Roman" w:hAnsi="Times New Roman"/>
          <w:sz w:val="14"/>
          <w:szCs w:val="14"/>
          <w:b w:val="1"/>
          <w:bCs w:val="1"/>
          <w:i w:val="1"/>
          <w:iCs w:val="1"/>
          <w:color w:val="auto"/>
        </w:rPr>
        <w:t>Warrant</w:t>
      </w:r>
      <w:r>
        <w:rPr>
          <w:rFonts w:ascii="Times New Roman" w:cs="Times New Roman" w:eastAsia="Times New Roman" w:hAnsi="Times New Roman"/>
          <w:sz w:val="14"/>
          <w:szCs w:val="14"/>
          <w:color w:val="auto"/>
        </w:rPr>
        <w:t>”) representing the right to purchase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[title of Debt Securities purchasable through exercise of Warrants] (the “</w:t>
      </w:r>
      <w:r>
        <w:rPr>
          <w:rFonts w:ascii="Times New Roman" w:cs="Times New Roman" w:eastAsia="Times New Roman" w:hAnsi="Times New Roman"/>
          <w:sz w:val="14"/>
          <w:szCs w:val="14"/>
          <w:b w:val="1"/>
          <w:bCs w:val="1"/>
          <w:i w:val="1"/>
          <w:iCs w:val="1"/>
          <w:color w:val="auto"/>
        </w:rPr>
        <w:t>Warrant Debt Securities</w:t>
      </w:r>
      <w:r>
        <w:rPr>
          <w:rFonts w:ascii="Times New Roman" w:cs="Times New Roman" w:eastAsia="Times New Roman" w:hAnsi="Times New Roman"/>
          <w:sz w:val="14"/>
          <w:szCs w:val="14"/>
          <w:color w:val="auto"/>
        </w:rPr>
        <w:t>”), such warrant certificates and other warrant certificates issued pursuant to this Agreement being herein called the “</w:t>
      </w:r>
      <w:r>
        <w:rPr>
          <w:rFonts w:ascii="Times New Roman" w:cs="Times New Roman" w:eastAsia="Times New Roman" w:hAnsi="Times New Roman"/>
          <w:sz w:val="14"/>
          <w:szCs w:val="14"/>
          <w:b w:val="1"/>
          <w:bCs w:val="1"/>
          <w:i w:val="1"/>
          <w:iCs w:val="1"/>
          <w:color w:val="auto"/>
        </w:rPr>
        <w:t>Warrant Certificates</w:t>
      </w:r>
      <w:r>
        <w:rPr>
          <w:rFonts w:ascii="Times New Roman" w:cs="Times New Roman" w:eastAsia="Times New Roman" w:hAnsi="Times New Roman"/>
          <w:sz w:val="14"/>
          <w:szCs w:val="14"/>
          <w:color w:val="auto"/>
        </w:rPr>
        <w:t>”; and</w:t>
      </w:r>
    </w:p>
    <w:p>
      <w:pPr>
        <w:spacing w:after="0" w:line="137" w:lineRule="exact"/>
        <w:rPr>
          <w:sz w:val="20"/>
          <w:szCs w:val="20"/>
          <w:color w:val="auto"/>
        </w:rPr>
      </w:pPr>
    </w:p>
    <w:p>
      <w:pPr>
        <w:ind w:left="260" w:right="519" w:firstLine="339"/>
        <w:spacing w:after="0" w:line="259" w:lineRule="auto"/>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HEREAS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Company desires the Warrant Agent to act on behalf of the Company, and the Warrant Agent is willing so to act, in connection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 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spacing w:after="0" w:line="13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1"/>
          <w:szCs w:val="11"/>
          <w:b w:val="1"/>
          <w:bCs w:val="1"/>
          <w:color w:val="auto"/>
        </w:rPr>
        <w:t>OW</w:t>
      </w:r>
      <w:r>
        <w:rPr>
          <w:rFonts w:ascii="Times New Roman" w:cs="Times New Roman" w:eastAsia="Times New Roman" w:hAnsi="Times New Roman"/>
          <w:sz w:val="14"/>
          <w:szCs w:val="14"/>
          <w:b w:val="1"/>
          <w:bCs w:val="1"/>
          <w:color w:val="auto"/>
        </w:rPr>
        <w:t xml:space="preserve"> T</w:t>
      </w:r>
      <w:r>
        <w:rPr>
          <w:rFonts w:ascii="Times New Roman" w:cs="Times New Roman" w:eastAsia="Times New Roman" w:hAnsi="Times New Roman"/>
          <w:sz w:val="11"/>
          <w:szCs w:val="11"/>
          <w:b w:val="1"/>
          <w:bCs w:val="1"/>
          <w:color w:val="auto"/>
        </w:rPr>
        <w:t>HEREFORE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consideration of the premises and of the mutual agreements herein contained, the parties hereto agree as follows:</w:t>
      </w:r>
    </w:p>
    <w:p>
      <w:pPr>
        <w:spacing w:after="0" w:line="33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ARTICLE 1</w:t>
      </w:r>
    </w:p>
    <w:p>
      <w:pPr>
        <w:spacing w:after="0" w:line="8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b w:val="1"/>
          <w:bCs w:val="1"/>
          <w:color w:val="auto"/>
        </w:rPr>
        <w:t>ISSUANCE OF WARRANTS AND EXECUTION AND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DELIVERY OF WARRANT CERTIFICATES</w:t>
      </w:r>
    </w:p>
    <w:p>
      <w:pPr>
        <w:spacing w:after="0" w:line="155" w:lineRule="exact"/>
        <w:rPr>
          <w:sz w:val="20"/>
          <w:szCs w:val="20"/>
          <w:color w:val="auto"/>
        </w:rPr>
      </w:pPr>
    </w:p>
    <w:p>
      <w:pPr>
        <w:ind w:left="260" w:right="359" w:firstLine="339"/>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1.1 Issuance of Warrants.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If Warrants alone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Upon issuance, each Warrant Certificate shall evidence one or more Warrants.] [</w:t>
      </w:r>
      <w:r>
        <w:rPr>
          <w:rFonts w:ascii="Times New Roman" w:cs="Times New Roman" w:eastAsia="Times New Roman" w:hAnsi="Times New Roman"/>
          <w:sz w:val="14"/>
          <w:szCs w:val="14"/>
          <w:b w:val="1"/>
          <w:bCs w:val="1"/>
          <w:i w:val="1"/>
          <w:iCs w:val="1"/>
          <w:color w:val="auto"/>
        </w:rPr>
        <w:t>If Other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 xml:space="preserve">Securities and Warrants </w:t>
      </w:r>
      <w:r>
        <w:rPr>
          <w:rFonts w:ascii="Times New Roman" w:cs="Times New Roman" w:eastAsia="Times New Roman" w:hAnsi="Times New Roman"/>
          <w:sz w:val="14"/>
          <w:szCs w:val="14"/>
          <w:color w:val="auto"/>
        </w:rPr>
        <w:t>— Warrant Certificates will be issued in connection with the issuance of the Other Securities but shall be separately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transferable and each Warrant Certificate shall evidence one or more Warrants.] Each Warrant evidenced thereby shall represent the right, subject to the provisions contained herein and therein, to purchase one Warrant Debt Security. [</w:t>
      </w:r>
      <w:r>
        <w:rPr>
          <w:rFonts w:ascii="Times New Roman" w:cs="Times New Roman" w:eastAsia="Times New Roman" w:hAnsi="Times New Roman"/>
          <w:sz w:val="14"/>
          <w:szCs w:val="14"/>
          <w:b w:val="1"/>
          <w:bCs w:val="1"/>
          <w:i w:val="1"/>
          <w:iCs w:val="1"/>
          <w:color w:val="auto"/>
        </w:rPr>
        <w:t>If Other Securities and Warrants</w:t>
      </w:r>
      <w:r>
        <w:rPr>
          <w:rFonts w:ascii="Times New Roman" w:cs="Times New Roman" w:eastAsia="Times New Roman" w:hAnsi="Times New Roman"/>
          <w:sz w:val="14"/>
          <w:szCs w:val="14"/>
          <w:color w:val="auto"/>
        </w:rPr>
        <w:t xml:space="preserve"> — Warrant Certificates will be issued with the Other Securities and each Warrant Certificate will evidence [•] Warrants for each [$[•] principal amount] [[•] shares] of Other Securities issued.]</w:t>
      </w:r>
    </w:p>
    <w:p>
      <w:pPr>
        <w:spacing w:after="0" w:line="142" w:lineRule="exact"/>
        <w:rPr>
          <w:sz w:val="20"/>
          <w:szCs w:val="20"/>
          <w:color w:val="auto"/>
        </w:rPr>
      </w:pPr>
    </w:p>
    <w:p>
      <w:pPr>
        <w:ind w:left="260" w:right="339" w:firstLine="339"/>
        <w:spacing w:after="0" w:line="253" w:lineRule="auto"/>
        <w:rPr>
          <w:sz w:val="20"/>
          <w:szCs w:val="20"/>
          <w:color w:val="auto"/>
        </w:rPr>
      </w:pPr>
      <w:r>
        <w:rPr>
          <w:rFonts w:ascii="Times New Roman" w:cs="Times New Roman" w:eastAsia="Times New Roman" w:hAnsi="Times New Roman"/>
          <w:sz w:val="14"/>
          <w:szCs w:val="14"/>
          <w:b w:val="1"/>
          <w:bCs w:val="1"/>
          <w:color w:val="auto"/>
        </w:rPr>
        <w:t xml:space="preserve">1.2 Execution and Delivery of Warrant Certificates. </w:t>
      </w:r>
      <w:r>
        <w:rPr>
          <w:rFonts w:ascii="Times New Roman" w:cs="Times New Roman" w:eastAsia="Times New Roman" w:hAnsi="Times New Roman"/>
          <w:sz w:val="14"/>
          <w:szCs w:val="14"/>
          <w:color w:val="auto"/>
        </w:rPr>
        <w:t>Each Warrant Certificate, whenever issued, shall be in registered form substantially in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form set forth in </w:t>
      </w:r>
      <w:r>
        <w:rPr>
          <w:rFonts w:ascii="Times New Roman" w:cs="Times New Roman" w:eastAsia="Times New Roman" w:hAnsi="Times New Roman"/>
          <w:sz w:val="14"/>
          <w:szCs w:val="14"/>
          <w:b w:val="1"/>
          <w:bCs w:val="1"/>
          <w:color w:val="auto"/>
        </w:rPr>
        <w:t>Exhibit A</w:t>
      </w:r>
      <w:r>
        <w:rPr>
          <w:rFonts w:ascii="Times New Roman" w:cs="Times New Roman" w:eastAsia="Times New Roman" w:hAnsi="Times New Roman"/>
          <w:sz w:val="14"/>
          <w:szCs w:val="14"/>
          <w:color w:val="auto"/>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37" w:right="1440" w:bottom="1440" w:gutter="0" w:footer="0" w:header="0"/>
        </w:sectPr>
      </w:pPr>
    </w:p>
    <w:bookmarkStart w:id="180" w:name="page181"/>
    <w:bookmarkEnd w:id="180"/>
    <w:p>
      <w:pPr>
        <w:ind w:left="260" w:right="41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spacing w:after="0" w:line="140" w:lineRule="exact"/>
        <w:rPr>
          <w:sz w:val="20"/>
          <w:szCs w:val="20"/>
          <w:color w:val="auto"/>
        </w:rPr>
      </w:pPr>
    </w:p>
    <w:p>
      <w:pPr>
        <w:jc w:val="both"/>
        <w:ind w:left="260" w:right="459" w:firstLine="339"/>
        <w:spacing w:after="0" w:line="263" w:lineRule="auto"/>
        <w:rPr>
          <w:sz w:val="20"/>
          <w:szCs w:val="20"/>
          <w:color w:val="auto"/>
        </w:rPr>
      </w:pPr>
      <w:r>
        <w:rPr>
          <w:rFonts w:ascii="Times New Roman" w:cs="Times New Roman" w:eastAsia="Times New Roman" w:hAnsi="Times New Roman"/>
          <w:sz w:val="14"/>
          <w:szCs w:val="14"/>
          <w:color w:val="auto"/>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spacing w:after="0" w:line="136" w:lineRule="exact"/>
        <w:rPr>
          <w:sz w:val="20"/>
          <w:szCs w:val="20"/>
          <w:color w:val="auto"/>
        </w:rPr>
      </w:pPr>
    </w:p>
    <w:p>
      <w:pPr>
        <w:ind w:left="260" w:right="339" w:firstLine="339"/>
        <w:spacing w:after="0" w:line="279" w:lineRule="auto"/>
        <w:rPr>
          <w:sz w:val="20"/>
          <w:szCs w:val="20"/>
          <w:color w:val="auto"/>
        </w:rPr>
      </w:pPr>
      <w:r>
        <w:rPr>
          <w:rFonts w:ascii="Times New Roman" w:cs="Times New Roman" w:eastAsia="Times New Roman" w:hAnsi="Times New Roman"/>
          <w:sz w:val="13"/>
          <w:szCs w:val="13"/>
          <w:color w:val="auto"/>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spacing w:after="0" w:line="127" w:lineRule="exact"/>
        <w:rPr>
          <w:sz w:val="20"/>
          <w:szCs w:val="20"/>
          <w:color w:val="auto"/>
        </w:rPr>
      </w:pPr>
    </w:p>
    <w:p>
      <w:pPr>
        <w:ind w:left="260" w:right="399" w:firstLine="339"/>
        <w:spacing w:after="0" w:line="281" w:lineRule="auto"/>
        <w:rPr>
          <w:sz w:val="20"/>
          <w:szCs w:val="20"/>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b w:val="1"/>
          <w:bCs w:val="1"/>
          <w:i w:val="1"/>
          <w:iCs w:val="1"/>
          <w:color w:val="auto"/>
        </w:rPr>
        <w:t>holder</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i w:val="1"/>
          <w:iCs w:val="1"/>
          <w:color w:val="auto"/>
        </w:rPr>
        <w:t>holder of a Warrant Certificate</w:t>
      </w:r>
      <w:r>
        <w:rPr>
          <w:rFonts w:ascii="Times New Roman" w:cs="Times New Roman" w:eastAsia="Times New Roman" w:hAnsi="Times New Roman"/>
          <w:sz w:val="14"/>
          <w:szCs w:val="14"/>
          <w:color w:val="auto"/>
        </w:rPr>
        <w:t>” as used herein shall mean any person in whose name at the time any Warrant Certificate shall be registered upon the books to be maintained by the Warrant Agent for that purpose.</w:t>
      </w:r>
    </w:p>
    <w:p>
      <w:pPr>
        <w:spacing w:after="0" w:line="122" w:lineRule="exact"/>
        <w:rPr>
          <w:sz w:val="20"/>
          <w:szCs w:val="20"/>
          <w:color w:val="auto"/>
        </w:rPr>
      </w:pPr>
    </w:p>
    <w:p>
      <w:pPr>
        <w:ind w:left="260" w:right="579" w:firstLine="339"/>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1.3 Issuance of Warrant Certificates. </w:t>
      </w:r>
      <w:r>
        <w:rPr>
          <w:rFonts w:ascii="Times New Roman" w:cs="Times New Roman" w:eastAsia="Times New Roman" w:hAnsi="Times New Roman"/>
          <w:sz w:val="14"/>
          <w:szCs w:val="14"/>
          <w:color w:val="auto"/>
        </w:rPr>
        <w:t>Warrant Certificates evidencing the right to purchase Warrant Debt Securities may be executed by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 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2</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WARRANT PRICE, DURATION AND EXERCISE OF WARRANTS</w:t>
      </w:r>
    </w:p>
    <w:p>
      <w:pPr>
        <w:spacing w:after="0" w:line="172" w:lineRule="exact"/>
        <w:rPr>
          <w:sz w:val="20"/>
          <w:szCs w:val="20"/>
          <w:color w:val="auto"/>
        </w:rPr>
      </w:pPr>
    </w:p>
    <w:p>
      <w:pPr>
        <w:ind w:left="260" w:right="319" w:firstLine="339"/>
        <w:spacing w:after="0" w:line="276" w:lineRule="auto"/>
        <w:rPr>
          <w:sz w:val="20"/>
          <w:szCs w:val="20"/>
          <w:color w:val="auto"/>
        </w:rPr>
      </w:pPr>
      <w:r>
        <w:rPr>
          <w:rFonts w:ascii="Times New Roman" w:cs="Times New Roman" w:eastAsia="Times New Roman" w:hAnsi="Times New Roman"/>
          <w:sz w:val="13"/>
          <w:szCs w:val="13"/>
          <w:b w:val="1"/>
          <w:bCs w:val="1"/>
          <w:color w:val="auto"/>
        </w:rPr>
        <w:t xml:space="preserve">2.1 Warrant Price. </w:t>
      </w:r>
      <w:r>
        <w:rPr>
          <w:rFonts w:ascii="Times New Roman" w:cs="Times New Roman" w:eastAsia="Times New Roman" w:hAnsi="Times New Roman"/>
          <w:sz w:val="13"/>
          <w:szCs w:val="13"/>
          <w:color w:val="auto"/>
        </w:rPr>
        <w:t>During the period specified in Section 2.2, each Warrant shall, subject to the terms of this Agreement and the applicable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Warrant Certificate, entitle the holder thereof to purchase the principal amount of Warrant Debt Securities specified in the applicable Warrant Certificate at an exercise price of [•]% of the principal amount thereof [plus accrued amortization, if any, of the original issue discount of the Warrant Debt Securities] [plus accrued interest, if any, from the most recent date from which interest shall have been paid on the Warrant Debt Securities or, if no interest shall have been paid on the Warrant Debt Securities, from the date of their initial issuance.] [The original issue discount ($[•] for each $1,000 principal amount of Warrant Debt Securities) will be amortized at a [•]% annual rate, computed on a[n] [semi-] annual basis [using a 360-day year consisting of twelve 30-day months].] Such purchase price for the Warrant Debt Securities is referred to in this Agreement as the “</w:t>
      </w:r>
      <w:r>
        <w:rPr>
          <w:rFonts w:ascii="Times New Roman" w:cs="Times New Roman" w:eastAsia="Times New Roman" w:hAnsi="Times New Roman"/>
          <w:sz w:val="13"/>
          <w:szCs w:val="13"/>
          <w:b w:val="1"/>
          <w:bCs w:val="1"/>
          <w:i w:val="1"/>
          <w:iCs w:val="1"/>
          <w:color w:val="auto"/>
        </w:rPr>
        <w:t>Warrant Price.</w:t>
      </w:r>
    </w:p>
    <w:p>
      <w:pPr>
        <w:spacing w:after="0" w:line="128" w:lineRule="exact"/>
        <w:rPr>
          <w:sz w:val="20"/>
          <w:szCs w:val="20"/>
          <w:color w:val="auto"/>
        </w:rPr>
      </w:pPr>
    </w:p>
    <w:p>
      <w:pPr>
        <w:ind w:left="260" w:right="359" w:firstLine="339"/>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2.2 Duration of Warrants. </w:t>
      </w:r>
      <w:r>
        <w:rPr>
          <w:rFonts w:ascii="Times New Roman" w:cs="Times New Roman" w:eastAsia="Times New Roman" w:hAnsi="Times New Roman"/>
          <w:sz w:val="14"/>
          <w:szCs w:val="14"/>
          <w:color w:val="auto"/>
        </w:rPr>
        <w:t>Each Warrant may be exercised in whole or in part at any time, as specified herein, on or after [the date thereof] [•]</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at or before [•] p.m., [City] time, on [•] or such later date as the Company may designate by notice to the Warrant Agent and the holders of Warrant Certificates mailed to their addresses as set forth in the record books of the Warrant Agent (the “</w:t>
      </w:r>
      <w:r>
        <w:rPr>
          <w:rFonts w:ascii="Times New Roman" w:cs="Times New Roman" w:eastAsia="Times New Roman" w:hAnsi="Times New Roman"/>
          <w:sz w:val="14"/>
          <w:szCs w:val="14"/>
          <w:b w:val="1"/>
          <w:bCs w:val="1"/>
          <w:i w:val="1"/>
          <w:iCs w:val="1"/>
          <w:color w:val="auto"/>
        </w:rPr>
        <w:t>Expiration Date</w:t>
      </w:r>
      <w:r>
        <w:rPr>
          <w:rFonts w:ascii="Times New Roman" w:cs="Times New Roman" w:eastAsia="Times New Roman" w:hAnsi="Times New Roman"/>
          <w:sz w:val="14"/>
          <w:szCs w:val="14"/>
          <w:color w:val="auto"/>
        </w:rPr>
        <w:t>”). Each Warrant not exercised at or before [•] p.m., [City] time, on the Expiration Date shall become void, and all rights of the holder of the Warrant Certificate evidencing such Warrant under this Agreement shall cease.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9" w:right="1440" w:bottom="1440" w:gutter="0" w:footer="0" w:header="0"/>
        </w:sectPr>
      </w:pPr>
    </w:p>
    <w:bookmarkStart w:id="181" w:name="page182"/>
    <w:bookmarkEnd w:id="181"/>
    <w:p>
      <w:pPr>
        <w:ind w:left="6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2.3 Exercise of Warrants.</w:t>
      </w:r>
    </w:p>
    <w:p>
      <w:pPr>
        <w:spacing w:after="0" w:line="174" w:lineRule="exact"/>
        <w:rPr>
          <w:sz w:val="20"/>
          <w:szCs w:val="20"/>
          <w:color w:val="auto"/>
        </w:rPr>
      </w:pPr>
    </w:p>
    <w:p>
      <w:pPr>
        <w:ind w:left="260" w:right="299" w:firstLine="765"/>
        <w:spacing w:after="0" w:line="249" w:lineRule="auto"/>
        <w:tabs>
          <w:tab w:leader="none" w:pos="1220" w:val="left"/>
        </w:tabs>
        <w:numPr>
          <w:ilvl w:val="0"/>
          <w:numId w:val="1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During the period specified in Section 2.2, the Warrants may be exercised to purchase a whole number of Warrant Debt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Debt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Debt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Debt Securities purchasable upon the exercise of such Warrants shall be closed, no such receipt of such Warrant Certificates and no such payment of such Warrant Price shall be effective to constitute the person so designated to be named as the holder of record of such Warrant Debt Securities on such date, but shall be effective to constitute such person as the holder of record of such Warrant Debt Securities for all purposes at the opening of business on the next succeeding day on which the transfer books for the Warrant Debt Securities purchasable upon the exercise of such Warrants shall be opened, and the certificates for the Warrant Debt Securities in respect of which such Warrants are then exercised shall be issuable as of the date on such next succeeding day on which the transfer books shall next be opened, and until such date the Company shall be under no duty to deliver any certificate for such Warrant Debt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spacing w:after="0" w:line="154" w:lineRule="exact"/>
        <w:rPr>
          <w:rFonts w:ascii="Times New Roman" w:cs="Times New Roman" w:eastAsia="Times New Roman" w:hAnsi="Times New Roman"/>
          <w:sz w:val="14"/>
          <w:szCs w:val="14"/>
          <w:b w:val="1"/>
          <w:bCs w:val="1"/>
          <w:color w:val="auto"/>
        </w:rPr>
      </w:pPr>
    </w:p>
    <w:p>
      <w:pPr>
        <w:ind w:left="260" w:right="319" w:firstLine="765"/>
        <w:spacing w:after="0" w:line="255" w:lineRule="auto"/>
        <w:tabs>
          <w:tab w:leader="none" w:pos="1228" w:val="left"/>
        </w:tabs>
        <w:numPr>
          <w:ilvl w:val="0"/>
          <w:numId w:val="1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Warrant Agent shall, from time to time, as promptly as practicable, advise the Company of (i) the number of Warrant Debt Securities with respect to which Warrants were exercised, (ii) the instructions of each holder of the Warrant Certificates evidencing such Warrants with respect to delivery of the Warrant Debt Securities to which such holder is entitled upon such exercise, (iii) delivery of Warrant Certificates evidencing the balance, if any, of the Warrants for the remaining Warrant Debt Securities after such exercise, and (iv) such other information as the Company or the Trustee shall reasonably require.</w:t>
      </w:r>
    </w:p>
    <w:p>
      <w:pPr>
        <w:spacing w:after="0" w:line="142" w:lineRule="exact"/>
        <w:rPr>
          <w:rFonts w:ascii="Times New Roman" w:cs="Times New Roman" w:eastAsia="Times New Roman" w:hAnsi="Times New Roman"/>
          <w:sz w:val="14"/>
          <w:szCs w:val="14"/>
          <w:b w:val="1"/>
          <w:bCs w:val="1"/>
          <w:color w:val="auto"/>
        </w:rPr>
      </w:pPr>
    </w:p>
    <w:p>
      <w:pPr>
        <w:ind w:left="260" w:right="279" w:firstLine="765"/>
        <w:spacing w:after="0" w:line="255" w:lineRule="auto"/>
        <w:tabs>
          <w:tab w:leader="none" w:pos="1212" w:val="left"/>
        </w:tabs>
        <w:numPr>
          <w:ilvl w:val="0"/>
          <w:numId w:val="1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As soon as practicable after the exercise of any Warrant, the Company shall issue pursuant to the Indenture, in authorized denominations, to or upon the order of the holder of the Warrant Certificate evidencing such Warrant the Warrant Debt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Debt Securities remaining unexercised.</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37" w:right="1440" w:bottom="1440" w:gutter="0" w:footer="0" w:header="0"/>
        </w:sectPr>
      </w:pPr>
    </w:p>
    <w:bookmarkStart w:id="182" w:name="page183"/>
    <w:bookmarkEnd w:id="182"/>
    <w:p>
      <w:pPr>
        <w:jc w:val="both"/>
        <w:ind w:left="260" w:right="359" w:firstLine="765"/>
        <w:spacing w:after="0" w:line="258" w:lineRule="auto"/>
        <w:tabs>
          <w:tab w:leader="none" w:pos="1228" w:val="left"/>
        </w:tabs>
        <w:numPr>
          <w:ilvl w:val="0"/>
          <w:numId w:val="1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Company shall not be required to pay any stamp or other tax or other governmental charge required to be paid in connection with any transfer involved in the issue of the Warrant Debt Securities, and in the event that any such transfer is involved, the Company shall not be required to issue or deliver any Warrant Debt Securities until such tax or other charge shall have been paid or it has been established to the Company’s satisfaction that no such tax or other charge is due.</w:t>
      </w:r>
    </w:p>
    <w:p>
      <w:pPr>
        <w:spacing w:after="0" w:line="139" w:lineRule="exact"/>
        <w:rPr>
          <w:rFonts w:ascii="Times New Roman" w:cs="Times New Roman" w:eastAsia="Times New Roman" w:hAnsi="Times New Roman"/>
          <w:sz w:val="14"/>
          <w:szCs w:val="14"/>
          <w:b w:val="1"/>
          <w:bCs w:val="1"/>
          <w:color w:val="auto"/>
        </w:rPr>
      </w:pPr>
    </w:p>
    <w:p>
      <w:pPr>
        <w:ind w:left="260" w:right="479" w:firstLine="765"/>
        <w:spacing w:after="0" w:line="318" w:lineRule="auto"/>
        <w:tabs>
          <w:tab w:leader="none" w:pos="1212" w:val="left"/>
        </w:tabs>
        <w:numPr>
          <w:ilvl w:val="0"/>
          <w:numId w:val="12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Prior to the issuance of any Warrants there shall have been reserved, and the Company shall at all times through the Expiration Date keep reserved, out of its authorized but unissued Warrant Debt Securities, a number of shares sufficient to provide for the exercise of the Warrants.</w:t>
      </w:r>
    </w:p>
    <w:p>
      <w:pPr>
        <w:spacing w:after="0" w:line="26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ARTICLE 3</w:t>
      </w:r>
    </w:p>
    <w:p>
      <w:pPr>
        <w:spacing w:after="0" w:line="8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4"/>
          <w:szCs w:val="14"/>
          <w:b w:val="1"/>
          <w:bCs w:val="1"/>
          <w:color w:val="auto"/>
        </w:rPr>
        <w:t>OTHER PROVISIONS RELATING TO RIGHTS OF HOLDERS OF</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WARRANT CERTIFICATES</w:t>
      </w:r>
    </w:p>
    <w:p>
      <w:pPr>
        <w:spacing w:after="0" w:line="155" w:lineRule="exact"/>
        <w:rPr>
          <w:sz w:val="20"/>
          <w:szCs w:val="20"/>
          <w:color w:val="auto"/>
        </w:rPr>
      </w:pPr>
    </w:p>
    <w:p>
      <w:pPr>
        <w:ind w:left="260" w:right="479" w:firstLine="339"/>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3.1 No Rights as Holder of Warrant Debt Securities Conferred by Warrants or Warrant Certificates. </w:t>
      </w:r>
      <w:r>
        <w:rPr>
          <w:rFonts w:ascii="Times New Roman" w:cs="Times New Roman" w:eastAsia="Times New Roman" w:hAnsi="Times New Roman"/>
          <w:sz w:val="14"/>
          <w:szCs w:val="14"/>
          <w:color w:val="auto"/>
        </w:rPr>
        <w:t>No Warrant Certificate or Warrant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evidenced thereby shall entitle the holder thereof to any of the rights of a holder of Warrant Debt Securities, including, without limitation, the right to receive the payment of principal of (or premium, if any) or interest, if any, on the Warrant Debt Securities or to enforce any of the covenants in the Indenture.</w:t>
      </w:r>
    </w:p>
    <w:p>
      <w:pPr>
        <w:spacing w:after="0" w:line="137" w:lineRule="exact"/>
        <w:rPr>
          <w:sz w:val="20"/>
          <w:szCs w:val="20"/>
          <w:color w:val="auto"/>
        </w:rPr>
      </w:pPr>
    </w:p>
    <w:p>
      <w:pPr>
        <w:ind w:left="260" w:right="279" w:firstLine="339"/>
        <w:spacing w:after="0" w:line="250" w:lineRule="auto"/>
        <w:rPr>
          <w:sz w:val="20"/>
          <w:szCs w:val="20"/>
          <w:color w:val="auto"/>
        </w:rPr>
      </w:pPr>
      <w:r>
        <w:rPr>
          <w:rFonts w:ascii="Times New Roman" w:cs="Times New Roman" w:eastAsia="Times New Roman" w:hAnsi="Times New Roman"/>
          <w:sz w:val="14"/>
          <w:szCs w:val="14"/>
          <w:b w:val="1"/>
          <w:bCs w:val="1"/>
          <w:color w:val="auto"/>
        </w:rPr>
        <w:t xml:space="preserve">3.2 Lost, Stolen, Mutilated or Destroyed Warrant Certificates. </w:t>
      </w:r>
      <w:r>
        <w:rPr>
          <w:rFonts w:ascii="Times New Roman" w:cs="Times New Roman" w:eastAsia="Times New Roman" w:hAnsi="Times New Roman"/>
          <w:sz w:val="14"/>
          <w:szCs w:val="14"/>
          <w:color w:val="auto"/>
        </w:rPr>
        <w:t>Upon receipt by the Warrant Agent of evidence reasonably satisfactory to it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principal amount of Warrant Debt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spacing w:after="0" w:line="148" w:lineRule="exact"/>
        <w:rPr>
          <w:sz w:val="20"/>
          <w:szCs w:val="20"/>
          <w:color w:val="auto"/>
        </w:rPr>
      </w:pPr>
    </w:p>
    <w:p>
      <w:pPr>
        <w:ind w:left="260" w:right="419" w:firstLine="339"/>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3.3 Holder of Warrant Certificate May Enforce Rights. </w:t>
      </w:r>
      <w:r>
        <w:rPr>
          <w:rFonts w:ascii="Times New Roman" w:cs="Times New Roman" w:eastAsia="Times New Roman" w:hAnsi="Times New Roman"/>
          <w:sz w:val="14"/>
          <w:szCs w:val="14"/>
          <w:color w:val="auto"/>
        </w:rPr>
        <w:t>Notwithstanding any of the provisions of this Agreement, any holder of a Warrant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Certificate, without the consent of the Warrant Agent, , the Trustee, the holder of any Warrant Debt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Certificates and in this Agreement.</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9" w:right="1440" w:bottom="1440" w:gutter="0" w:footer="0" w:header="0"/>
        </w:sectPr>
      </w:pPr>
    </w:p>
    <w:bookmarkStart w:id="183" w:name="page184"/>
    <w:bookmarkEnd w:id="183"/>
    <w:p>
      <w:pPr>
        <w:ind w:left="260" w:right="299" w:firstLine="339"/>
        <w:spacing w:after="0" w:line="250"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3.4 Merger, Sale, Conveyance or Lease. </w:t>
      </w:r>
      <w:r>
        <w:rPr>
          <w:rFonts w:ascii="Times New Roman" w:cs="Times New Roman" w:eastAsia="Times New Roman" w:hAnsi="Times New Roman"/>
          <w:sz w:val="14"/>
          <w:szCs w:val="14"/>
          <w:color w:val="auto"/>
        </w:rPr>
        <w:t>In case of (a) any share exchange, merger or similar transaction of the Company with or into another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person or entity (other than a share exchange, merger or similar transaction in which the Company is the acquiring or surviving corporation) or (b) the sale, exchange, lease, transfer or other disposition of all or substantially all of the properties and assets of the Company as an entirety (in any such case, a “</w:t>
      </w:r>
      <w:r>
        <w:rPr>
          <w:rFonts w:ascii="Times New Roman" w:cs="Times New Roman" w:eastAsia="Times New Roman" w:hAnsi="Times New Roman"/>
          <w:sz w:val="14"/>
          <w:szCs w:val="14"/>
          <w:b w:val="1"/>
          <w:bCs w:val="1"/>
          <w:i w:val="1"/>
          <w:iCs w:val="1"/>
          <w:color w:val="auto"/>
        </w:rPr>
        <w:t>Reorganization Event</w:t>
      </w:r>
      <w:r>
        <w:rPr>
          <w:rFonts w:ascii="Times New Roman" w:cs="Times New Roman" w:eastAsia="Times New Roman" w:hAnsi="Times New Roman"/>
          <w:sz w:val="14"/>
          <w:szCs w:val="14"/>
          <w:color w:val="auto"/>
        </w:rPr>
        <w:t>”), then, as a condition of such Reorganization Event, lawful provisions shall be made, and duly executed documents evidencing the same from the Company’s successor shall be delivered to the holders of the Warrants, so that such successor shall succeed to and be substituted for the Company, and assume all the Company’s obligations under, this Agreement and the Warrants.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Debt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spacing w:after="0" w:line="146" w:lineRule="exact"/>
        <w:rPr>
          <w:sz w:val="20"/>
          <w:szCs w:val="20"/>
          <w:color w:val="auto"/>
        </w:rPr>
      </w:pPr>
    </w:p>
    <w:p>
      <w:pPr>
        <w:ind w:left="260" w:right="319" w:firstLine="339"/>
        <w:spacing w:after="0" w:line="253" w:lineRule="auto"/>
        <w:rPr>
          <w:sz w:val="20"/>
          <w:szCs w:val="20"/>
          <w:color w:val="auto"/>
        </w:rPr>
      </w:pPr>
      <w:r>
        <w:rPr>
          <w:rFonts w:ascii="Times New Roman" w:cs="Times New Roman" w:eastAsia="Times New Roman" w:hAnsi="Times New Roman"/>
          <w:sz w:val="14"/>
          <w:szCs w:val="14"/>
          <w:b w:val="1"/>
          <w:bCs w:val="1"/>
          <w:color w:val="auto"/>
        </w:rPr>
        <w:t xml:space="preserve">3.5 Notice to Warrantholders. </w:t>
      </w:r>
      <w:r>
        <w:rPr>
          <w:rFonts w:ascii="Times New Roman" w:cs="Times New Roman" w:eastAsia="Times New Roman" w:hAnsi="Times New Roman"/>
          <w:sz w:val="14"/>
          <w:szCs w:val="14"/>
          <w:color w:val="auto"/>
        </w:rPr>
        <w:t>In case the Company shall (a) effect any Reorganization Event or (b) make any distribution on or in respect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[title of Warrant Debt Securities] in connection with the dissolution, liquidation or winding up of the Company, then the Company shall mail to each holder of Warrants at such holder’s address as it shall appear on the books of the Warrant Agent, at least ten days prior to the applicable date hereinafter specified, a notice stating the date on which such Reorganization Event, dissolution, liquidation or winding up is expected to become effective, and the date as of which it is expected that holders of [title of Warrant Debt Securities] of record shall be entitled to exchange their shares of [title of Warrant Debt Securities] for securities or other property deliverable upon such Reorganization Event, dissolution, liquidation or winding up. No failure to mail such notice nor any defect therein or in the mailing thereof shall affect any such transaction.</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4</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EXCHANGE AND TRANSFER OF WARRANT CERTIFICATES</w:t>
      </w:r>
    </w:p>
    <w:p>
      <w:pPr>
        <w:spacing w:after="0" w:line="172" w:lineRule="exact"/>
        <w:rPr>
          <w:sz w:val="20"/>
          <w:szCs w:val="20"/>
          <w:color w:val="auto"/>
        </w:rPr>
      </w:pPr>
    </w:p>
    <w:p>
      <w:pPr>
        <w:ind w:left="260" w:right="299" w:firstLine="339"/>
        <w:spacing w:after="0" w:line="250" w:lineRule="auto"/>
        <w:rPr>
          <w:sz w:val="20"/>
          <w:szCs w:val="20"/>
          <w:color w:val="auto"/>
        </w:rPr>
      </w:pPr>
      <w:r>
        <w:rPr>
          <w:rFonts w:ascii="Times New Roman" w:cs="Times New Roman" w:eastAsia="Times New Roman" w:hAnsi="Times New Roman"/>
          <w:sz w:val="14"/>
          <w:szCs w:val="14"/>
          <w:b w:val="1"/>
          <w:bCs w:val="1"/>
          <w:color w:val="auto"/>
        </w:rPr>
        <w:t xml:space="preserve">4.1 </w:t>
      </w:r>
      <w:r>
        <w:rPr>
          <w:rFonts w:ascii="Times New Roman" w:cs="Times New Roman" w:eastAsia="Times New Roman" w:hAnsi="Times New Roman"/>
          <w:sz w:val="14"/>
          <w:szCs w:val="14"/>
          <w:color w:val="auto"/>
        </w:rPr>
        <w:t>Exchange and Transfer of Warrant Certificates. Upon surrender at the corporate trust office of the Warrant Agent, Warrant Certificates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evidencing Warrants may be exchanged for Warrant Certificates in other denominations evidencing such Warrants or the transfer thereof may be registered in whole or in part; provided that such other Warrant Certificates evidence Warrants for the same aggregate principal amount of Warrant Debt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37" w:right="1440" w:bottom="1440" w:gutter="0" w:footer="0" w:header="0"/>
        </w:sectPr>
      </w:pPr>
    </w:p>
    <w:bookmarkStart w:id="184" w:name="page185"/>
    <w:bookmarkEnd w:id="184"/>
    <w:p>
      <w:pPr>
        <w:ind w:left="260" w:right="41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Warrant for a fraction of a Warrant Debt Security or a number of Warrants for a whole number of Warrant Debt Securities and a fraction of a Warrant Debt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spacing w:after="0" w:line="138" w:lineRule="exact"/>
        <w:rPr>
          <w:sz w:val="20"/>
          <w:szCs w:val="20"/>
          <w:color w:val="auto"/>
        </w:rPr>
      </w:pPr>
    </w:p>
    <w:p>
      <w:pPr>
        <w:ind w:left="260" w:right="319" w:firstLine="339"/>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4.2 Treatment of Holders of Warrant Certificates. </w:t>
      </w:r>
      <w:r>
        <w:rPr>
          <w:rFonts w:ascii="Times New Roman" w:cs="Times New Roman" w:eastAsia="Times New Roman" w:hAnsi="Times New Roman"/>
          <w:sz w:val="14"/>
          <w:szCs w:val="14"/>
          <w:color w:val="auto"/>
        </w:rPr>
        <w:t>The Company, the Warrant Agent and all other persons may treat the registered holder of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 Certificate as the absolute owner thereof for any purpose and as the person entitled to exercise the rights represented by the Warrants evidenced thereby, any notice to the contrary notwithstanding.</w:t>
      </w:r>
    </w:p>
    <w:p>
      <w:pPr>
        <w:spacing w:after="0" w:line="134" w:lineRule="exact"/>
        <w:rPr>
          <w:sz w:val="20"/>
          <w:szCs w:val="20"/>
          <w:color w:val="auto"/>
        </w:rPr>
      </w:pPr>
    </w:p>
    <w:p>
      <w:pPr>
        <w:ind w:left="260" w:right="299" w:firstLine="339"/>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4.3 Cancellation of Warrant Certificates. </w:t>
      </w:r>
      <w:r>
        <w:rPr>
          <w:rFonts w:ascii="Times New Roman" w:cs="Times New Roman" w:eastAsia="Times New Roman" w:hAnsi="Times New Roman"/>
          <w:sz w:val="14"/>
          <w:szCs w:val="14"/>
          <w:color w:val="auto"/>
        </w:rPr>
        <w:t>Any Warrant Certificate surrendered for exchange, registration of transfer or exercise of the Warrants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5</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CONCERNING THE WARRANT AGENT</w:t>
      </w:r>
    </w:p>
    <w:p>
      <w:pPr>
        <w:spacing w:after="0" w:line="172" w:lineRule="exact"/>
        <w:rPr>
          <w:sz w:val="20"/>
          <w:szCs w:val="20"/>
          <w:color w:val="auto"/>
        </w:rPr>
      </w:pPr>
    </w:p>
    <w:p>
      <w:pPr>
        <w:ind w:left="260" w:right="339" w:firstLine="339"/>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5.1 Warrant Agent. </w:t>
      </w:r>
      <w:r>
        <w:rPr>
          <w:rFonts w:ascii="Times New Roman" w:cs="Times New Roman" w:eastAsia="Times New Roman" w:hAnsi="Times New Roman"/>
          <w:sz w:val="14"/>
          <w:szCs w:val="14"/>
          <w:color w:val="auto"/>
        </w:rPr>
        <w:t>The Company hereby appoints [•] as Warrant Agent of the Company in respect of the Warrants and the Warrant Certificates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spacing w:after="0" w:line="140" w:lineRule="exact"/>
        <w:rPr>
          <w:sz w:val="20"/>
          <w:szCs w:val="20"/>
          <w:color w:val="auto"/>
        </w:rPr>
      </w:pPr>
    </w:p>
    <w:p>
      <w:pPr>
        <w:jc w:val="both"/>
        <w:ind w:left="260" w:right="659" w:firstLine="339"/>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5.2 Conditions of Warrant Agent’s Obligations. </w:t>
      </w:r>
      <w:r>
        <w:rPr>
          <w:rFonts w:ascii="Times New Roman" w:cs="Times New Roman" w:eastAsia="Times New Roman" w:hAnsi="Times New Roman"/>
          <w:sz w:val="14"/>
          <w:szCs w:val="14"/>
          <w:color w:val="auto"/>
        </w:rPr>
        <w:t>The Warrant Agent accepts its obligations herein set forth upon the terms and conditions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hereof, including the following to all of which the Company agrees and to all of which the rights hereunder of the holders from time to time of the Warrant Certificates shall be subject:</w:t>
      </w:r>
    </w:p>
    <w:p>
      <w:pPr>
        <w:spacing w:after="0" w:line="51" w:lineRule="exact"/>
        <w:rPr>
          <w:sz w:val="20"/>
          <w:szCs w:val="20"/>
          <w:color w:val="auto"/>
        </w:rPr>
      </w:pPr>
    </w:p>
    <w:p>
      <w:pPr>
        <w:ind w:left="260" w:right="359" w:firstLine="765"/>
        <w:spacing w:after="0" w:line="254" w:lineRule="auto"/>
        <w:tabs>
          <w:tab w:leader="none" w:pos="1220" w:val="left"/>
        </w:tabs>
        <w:numPr>
          <w:ilvl w:val="0"/>
          <w:numId w:val="1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Compensation and Indemnification. </w:t>
      </w:r>
      <w:r>
        <w:rPr>
          <w:rFonts w:ascii="Times New Roman" w:cs="Times New Roman" w:eastAsia="Times New Roman" w:hAnsi="Times New Roman"/>
          <w:sz w:val="14"/>
          <w:szCs w:val="14"/>
          <w:color w:val="auto"/>
        </w:rPr>
        <w:t>The Company agrees promptly to pay the Warrant Agent the compensation to be agreed upon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spacing w:after="0" w:line="142" w:lineRule="exact"/>
        <w:rPr>
          <w:rFonts w:ascii="Times New Roman" w:cs="Times New Roman" w:eastAsia="Times New Roman" w:hAnsi="Times New Roman"/>
          <w:sz w:val="14"/>
          <w:szCs w:val="14"/>
          <w:b w:val="1"/>
          <w:bCs w:val="1"/>
          <w:color w:val="auto"/>
        </w:rPr>
      </w:pPr>
    </w:p>
    <w:p>
      <w:pPr>
        <w:ind w:left="260" w:right="359" w:firstLine="765"/>
        <w:spacing w:after="0" w:line="264" w:lineRule="auto"/>
        <w:tabs>
          <w:tab w:leader="none" w:pos="1228" w:val="left"/>
        </w:tabs>
        <w:numPr>
          <w:ilvl w:val="0"/>
          <w:numId w:val="1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Agent for the Company. </w:t>
      </w:r>
      <w:r>
        <w:rPr>
          <w:rFonts w:ascii="Times New Roman" w:cs="Times New Roman" w:eastAsia="Times New Roman" w:hAnsi="Times New Roman"/>
          <w:sz w:val="14"/>
          <w:szCs w:val="14"/>
          <w:color w:val="auto"/>
        </w:rPr>
        <w:t>In acting under this Agreement and in connection with the Warrant Certificates, the Warrant Agent is acting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solely as agent of the Company and does not assume any obligations or relationship of agency or trust for or with any of the holders of Warrant Certificates or beneficial owners of Warrants.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39" w:right="1440" w:bottom="1440" w:gutter="0" w:footer="0" w:header="0"/>
        </w:sectPr>
      </w:pPr>
    </w:p>
    <w:bookmarkStart w:id="185" w:name="page186"/>
    <w:bookmarkEnd w:id="185"/>
    <w:p>
      <w:pPr>
        <w:ind w:left="260" w:right="319" w:firstLine="765"/>
        <w:spacing w:after="0" w:line="264" w:lineRule="auto"/>
        <w:tabs>
          <w:tab w:leader="none" w:pos="1212" w:val="left"/>
        </w:tabs>
        <w:numPr>
          <w:ilvl w:val="0"/>
          <w:numId w:val="1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Counsel. </w:t>
      </w:r>
      <w:r>
        <w:rPr>
          <w:rFonts w:ascii="Times New Roman" w:cs="Times New Roman" w:eastAsia="Times New Roman" w:hAnsi="Times New Roman"/>
          <w:sz w:val="14"/>
          <w:szCs w:val="14"/>
          <w:color w:val="auto"/>
        </w:rPr>
        <w:t>The Warrant Agent may consult with counsel satisfactory to it, which may include counsel for the Company, and the written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advice of such counsel shall be full and complete authorization and protection in respect of any action taken, suffered or omitted by it hereunder in good faith and in accordance with the advice of such counsel.</w:t>
      </w:r>
    </w:p>
    <w:p>
      <w:pPr>
        <w:spacing w:after="0" w:line="134" w:lineRule="exact"/>
        <w:rPr>
          <w:rFonts w:ascii="Times New Roman" w:cs="Times New Roman" w:eastAsia="Times New Roman" w:hAnsi="Times New Roman"/>
          <w:sz w:val="14"/>
          <w:szCs w:val="14"/>
          <w:b w:val="1"/>
          <w:bCs w:val="1"/>
          <w:color w:val="auto"/>
        </w:rPr>
      </w:pPr>
    </w:p>
    <w:p>
      <w:pPr>
        <w:ind w:left="260" w:right="339" w:firstLine="765"/>
        <w:spacing w:after="0" w:line="264" w:lineRule="auto"/>
        <w:tabs>
          <w:tab w:leader="none" w:pos="1228" w:val="left"/>
        </w:tabs>
        <w:numPr>
          <w:ilvl w:val="0"/>
          <w:numId w:val="1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Documents. </w:t>
      </w:r>
      <w:r>
        <w:rPr>
          <w:rFonts w:ascii="Times New Roman" w:cs="Times New Roman" w:eastAsia="Times New Roman" w:hAnsi="Times New Roman"/>
          <w:sz w:val="14"/>
          <w:szCs w:val="14"/>
          <w:color w:val="auto"/>
        </w:rPr>
        <w:t>The Warrant Agent shall be protected and shall incur no liability for or in respect of any action taken or omitted by it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reliance upon any Warrant Certificate, notice, direction, consent, certificate, affidavit, statement or other paper or document reasonably believed by it to be genuine and to have been presented or signed by the proper parties.</w:t>
      </w:r>
    </w:p>
    <w:p>
      <w:pPr>
        <w:spacing w:after="0" w:line="134" w:lineRule="exact"/>
        <w:rPr>
          <w:rFonts w:ascii="Times New Roman" w:cs="Times New Roman" w:eastAsia="Times New Roman" w:hAnsi="Times New Roman"/>
          <w:sz w:val="14"/>
          <w:szCs w:val="14"/>
          <w:b w:val="1"/>
          <w:bCs w:val="1"/>
          <w:color w:val="auto"/>
        </w:rPr>
      </w:pPr>
    </w:p>
    <w:p>
      <w:pPr>
        <w:jc w:val="both"/>
        <w:ind w:left="260" w:right="299" w:firstLine="765"/>
        <w:spacing w:after="0" w:line="254" w:lineRule="auto"/>
        <w:tabs>
          <w:tab w:leader="none" w:pos="1212" w:val="left"/>
        </w:tabs>
        <w:numPr>
          <w:ilvl w:val="0"/>
          <w:numId w:val="1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Certain Transactions. </w:t>
      </w:r>
      <w:r>
        <w:rPr>
          <w:rFonts w:ascii="Times New Roman" w:cs="Times New Roman" w:eastAsia="Times New Roman" w:hAnsi="Times New Roman"/>
          <w:sz w:val="14"/>
          <w:szCs w:val="14"/>
          <w:color w:val="auto"/>
        </w:rPr>
        <w:t>The Warrant Agent, and its officers, directors and employees, may become the owner of, or acquire any interest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Debt Securities or other obligations of the Company as freely as if it were not the Warrant Agent hereunder. Nothing in this Agreement shall be deemed to prevent the Warrant Agent from acting as trustee under any indenture to which the Company is a party, including, without limitation, as Trustee under the Indenture.</w:t>
      </w:r>
    </w:p>
    <w:p>
      <w:pPr>
        <w:spacing w:after="0" w:line="142" w:lineRule="exact"/>
        <w:rPr>
          <w:rFonts w:ascii="Times New Roman" w:cs="Times New Roman" w:eastAsia="Times New Roman" w:hAnsi="Times New Roman"/>
          <w:sz w:val="14"/>
          <w:szCs w:val="14"/>
          <w:b w:val="1"/>
          <w:bCs w:val="1"/>
          <w:color w:val="auto"/>
        </w:rPr>
      </w:pPr>
    </w:p>
    <w:p>
      <w:pPr>
        <w:ind w:left="260" w:right="559" w:firstLine="765"/>
        <w:spacing w:after="0" w:line="281" w:lineRule="auto"/>
        <w:tabs>
          <w:tab w:leader="none" w:pos="1197" w:val="left"/>
        </w:tabs>
        <w:numPr>
          <w:ilvl w:val="0"/>
          <w:numId w:val="1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No Liability for Interest. </w:t>
      </w:r>
      <w:r>
        <w:rPr>
          <w:rFonts w:ascii="Times New Roman" w:cs="Times New Roman" w:eastAsia="Times New Roman" w:hAnsi="Times New Roman"/>
          <w:sz w:val="14"/>
          <w:szCs w:val="14"/>
          <w:color w:val="auto"/>
        </w:rPr>
        <w:t>Unless otherwise agreed with the Company, the Warrant Agent shall have no liability for interest on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monies at any time received by it pursuant to any of the provisions of this Agreement or of the Warrant Certificates.</w:t>
      </w:r>
    </w:p>
    <w:p>
      <w:pPr>
        <w:spacing w:after="0" w:line="122" w:lineRule="exact"/>
        <w:rPr>
          <w:rFonts w:ascii="Times New Roman" w:cs="Times New Roman" w:eastAsia="Times New Roman" w:hAnsi="Times New Roman"/>
          <w:sz w:val="14"/>
          <w:szCs w:val="14"/>
          <w:b w:val="1"/>
          <w:bCs w:val="1"/>
          <w:color w:val="auto"/>
        </w:rPr>
      </w:pPr>
    </w:p>
    <w:p>
      <w:pPr>
        <w:ind w:left="260" w:right="479" w:firstLine="765"/>
        <w:spacing w:after="0" w:line="281" w:lineRule="auto"/>
        <w:tabs>
          <w:tab w:leader="none" w:pos="1220" w:val="left"/>
        </w:tabs>
        <w:numPr>
          <w:ilvl w:val="0"/>
          <w:numId w:val="1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No Liability for Invalidity. </w:t>
      </w:r>
      <w:r>
        <w:rPr>
          <w:rFonts w:ascii="Times New Roman" w:cs="Times New Roman" w:eastAsia="Times New Roman" w:hAnsi="Times New Roman"/>
          <w:sz w:val="14"/>
          <w:szCs w:val="14"/>
          <w:color w:val="auto"/>
        </w:rPr>
        <w:t>The Warrant Agent shall have no liability with respect to any invalidity of this Agreement or any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 Certificates (except as to the Warrant Agent’s countersignature thereon).</w:t>
      </w:r>
    </w:p>
    <w:p>
      <w:pPr>
        <w:spacing w:after="0" w:line="122" w:lineRule="exact"/>
        <w:rPr>
          <w:rFonts w:ascii="Times New Roman" w:cs="Times New Roman" w:eastAsia="Times New Roman" w:hAnsi="Times New Roman"/>
          <w:sz w:val="14"/>
          <w:szCs w:val="14"/>
          <w:b w:val="1"/>
          <w:bCs w:val="1"/>
          <w:color w:val="auto"/>
        </w:rPr>
      </w:pPr>
    </w:p>
    <w:p>
      <w:pPr>
        <w:ind w:left="260" w:right="299" w:firstLine="765"/>
        <w:spacing w:after="0" w:line="281" w:lineRule="auto"/>
        <w:tabs>
          <w:tab w:leader="none" w:pos="1228" w:val="left"/>
        </w:tabs>
        <w:numPr>
          <w:ilvl w:val="0"/>
          <w:numId w:val="1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No Responsibility for Representations. </w:t>
      </w:r>
      <w:r>
        <w:rPr>
          <w:rFonts w:ascii="Times New Roman" w:cs="Times New Roman" w:eastAsia="Times New Roman" w:hAnsi="Times New Roman"/>
          <w:sz w:val="14"/>
          <w:szCs w:val="14"/>
          <w:color w:val="auto"/>
        </w:rPr>
        <w:t>The Warrant Agent shall not be responsible for any of the recitals or representations herein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the Warrant Certificates (except as to the Warrant Agent’s countersignature thereon), all of which are made solely by the Company.</w:t>
      </w:r>
    </w:p>
    <w:p>
      <w:pPr>
        <w:spacing w:after="0" w:line="122" w:lineRule="exact"/>
        <w:rPr>
          <w:rFonts w:ascii="Times New Roman" w:cs="Times New Roman" w:eastAsia="Times New Roman" w:hAnsi="Times New Roman"/>
          <w:sz w:val="14"/>
          <w:szCs w:val="14"/>
          <w:b w:val="1"/>
          <w:bCs w:val="1"/>
          <w:color w:val="auto"/>
        </w:rPr>
      </w:pPr>
    </w:p>
    <w:p>
      <w:pPr>
        <w:ind w:left="260" w:right="279" w:firstLine="765"/>
        <w:spacing w:after="0" w:line="251" w:lineRule="auto"/>
        <w:tabs>
          <w:tab w:leader="none" w:pos="1189" w:val="left"/>
        </w:tabs>
        <w:numPr>
          <w:ilvl w:val="0"/>
          <w:numId w:val="1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No Implied Obligations. </w:t>
      </w:r>
      <w:r>
        <w:rPr>
          <w:rFonts w:ascii="Times New Roman" w:cs="Times New Roman" w:eastAsia="Times New Roman" w:hAnsi="Times New Roman"/>
          <w:sz w:val="14"/>
          <w:szCs w:val="14"/>
          <w:color w:val="auto"/>
        </w:rPr>
        <w:t>The Warrant Agent shall be obligated to perform only such duties as are herein and in the Warrant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spacing w:after="0" w:line="14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5.3 Resignation, Removal and Appointment of Successors.</w:t>
      </w:r>
    </w:p>
    <w:p>
      <w:pPr>
        <w:spacing w:after="0" w:line="174" w:lineRule="exact"/>
        <w:rPr>
          <w:sz w:val="20"/>
          <w:szCs w:val="20"/>
          <w:color w:val="auto"/>
        </w:rPr>
      </w:pPr>
    </w:p>
    <w:p>
      <w:pPr>
        <w:ind w:left="260" w:right="659" w:firstLine="765"/>
        <w:spacing w:after="0" w:line="278" w:lineRule="auto"/>
        <w:tabs>
          <w:tab w:leader="none" w:pos="1220" w:val="left"/>
        </w:tabs>
        <w:numPr>
          <w:ilvl w:val="0"/>
          <w:numId w:val="1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agrees, for the benefit of the holders from time to time of the Warrant Certificates, that there shall at all times be a Warrant Agent hereunder until all the Warrants have been exercised or are no longer exercisable.</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37" w:right="1440" w:bottom="1440" w:gutter="0" w:footer="0" w:header="0"/>
        </w:sectPr>
      </w:pPr>
    </w:p>
    <w:bookmarkStart w:id="186" w:name="page187"/>
    <w:bookmarkEnd w:id="186"/>
    <w:p>
      <w:pPr>
        <w:ind w:left="260" w:right="299" w:firstLine="765"/>
        <w:spacing w:after="0" w:line="252" w:lineRule="auto"/>
        <w:tabs>
          <w:tab w:leader="none" w:pos="1228" w:val="left"/>
        </w:tabs>
        <w:numPr>
          <w:ilvl w:val="0"/>
          <w:numId w:val="1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spacing w:after="0" w:line="145" w:lineRule="exact"/>
        <w:rPr>
          <w:rFonts w:ascii="Times New Roman" w:cs="Times New Roman" w:eastAsia="Times New Roman" w:hAnsi="Times New Roman"/>
          <w:sz w:val="14"/>
          <w:szCs w:val="14"/>
          <w:b w:val="1"/>
          <w:bCs w:val="1"/>
          <w:color w:val="auto"/>
        </w:rPr>
      </w:pPr>
    </w:p>
    <w:p>
      <w:pPr>
        <w:ind w:left="260" w:right="379" w:firstLine="765"/>
        <w:spacing w:after="0" w:line="250" w:lineRule="auto"/>
        <w:tabs>
          <w:tab w:leader="none" w:pos="1212" w:val="left"/>
        </w:tabs>
        <w:numPr>
          <w:ilvl w:val="0"/>
          <w:numId w:val="1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spacing w:after="0" w:line="149" w:lineRule="exact"/>
        <w:rPr>
          <w:rFonts w:ascii="Times New Roman" w:cs="Times New Roman" w:eastAsia="Times New Roman" w:hAnsi="Times New Roman"/>
          <w:sz w:val="14"/>
          <w:szCs w:val="14"/>
          <w:b w:val="1"/>
          <w:bCs w:val="1"/>
          <w:color w:val="auto"/>
        </w:rPr>
      </w:pPr>
    </w:p>
    <w:p>
      <w:pPr>
        <w:ind w:left="260" w:right="299" w:firstLine="765"/>
        <w:spacing w:after="0" w:line="254" w:lineRule="auto"/>
        <w:tabs>
          <w:tab w:leader="none" w:pos="1228" w:val="left"/>
        </w:tabs>
        <w:numPr>
          <w:ilvl w:val="0"/>
          <w:numId w:val="1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spacing w:after="0" w:line="142" w:lineRule="exact"/>
        <w:rPr>
          <w:rFonts w:ascii="Times New Roman" w:cs="Times New Roman" w:eastAsia="Times New Roman" w:hAnsi="Times New Roman"/>
          <w:sz w:val="14"/>
          <w:szCs w:val="14"/>
          <w:b w:val="1"/>
          <w:bCs w:val="1"/>
          <w:color w:val="auto"/>
        </w:rPr>
      </w:pPr>
    </w:p>
    <w:p>
      <w:pPr>
        <w:ind w:left="260" w:right="319" w:firstLine="765"/>
        <w:spacing w:after="0" w:line="255" w:lineRule="auto"/>
        <w:tabs>
          <w:tab w:leader="none" w:pos="1212" w:val="left"/>
        </w:tabs>
        <w:numPr>
          <w:ilvl w:val="0"/>
          <w:numId w:val="1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39" w:right="1440" w:bottom="1440" w:gutter="0" w:footer="0" w:header="0"/>
        </w:sectPr>
      </w:pPr>
    </w:p>
    <w:bookmarkStart w:id="187" w:name="page188"/>
    <w:bookmarkEnd w:id="187"/>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ARTICLE 6</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MISCELLANEOUS</w:t>
      </w:r>
    </w:p>
    <w:p>
      <w:pPr>
        <w:spacing w:after="0" w:line="172" w:lineRule="exact"/>
        <w:rPr>
          <w:sz w:val="20"/>
          <w:szCs w:val="20"/>
          <w:color w:val="auto"/>
        </w:rPr>
      </w:pPr>
    </w:p>
    <w:p>
      <w:pPr>
        <w:jc w:val="both"/>
        <w:ind w:left="260" w:right="499" w:firstLine="339"/>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6.1 Amendment. </w:t>
      </w:r>
      <w:r>
        <w:rPr>
          <w:rFonts w:ascii="Times New Roman" w:cs="Times New Roman" w:eastAsia="Times New Roman" w:hAnsi="Times New Roman"/>
          <w:sz w:val="14"/>
          <w:szCs w:val="14"/>
          <w:color w:val="auto"/>
        </w:rPr>
        <w:t>This Agreement may be amended by the parties hereto, without the consent of the holder of any Warrant Certificate, for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spacing w:after="0" w:line="137" w:lineRule="exact"/>
        <w:rPr>
          <w:sz w:val="20"/>
          <w:szCs w:val="20"/>
          <w:color w:val="auto"/>
        </w:rPr>
      </w:pPr>
    </w:p>
    <w:p>
      <w:pPr>
        <w:ind w:left="260" w:right="439" w:firstLine="339"/>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6.2 Notices and Demands to the Company and Warrant Agent. </w:t>
      </w:r>
      <w:r>
        <w:rPr>
          <w:rFonts w:ascii="Times New Roman" w:cs="Times New Roman" w:eastAsia="Times New Roman" w:hAnsi="Times New Roman"/>
          <w:sz w:val="14"/>
          <w:szCs w:val="14"/>
          <w:color w:val="auto"/>
        </w:rPr>
        <w:t>If the Warrant Agent shall receive any notice or demand addressed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 by the holder of a Warrant Certificate pursuant to the provisions of the Warrant Certificates, the Warrant Agent shall promptly forward such notice or demand to the Company.</w:t>
      </w:r>
    </w:p>
    <w:p>
      <w:pPr>
        <w:spacing w:after="0" w:line="13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b w:val="1"/>
          <w:bCs w:val="1"/>
          <w:color w:val="auto"/>
        </w:rPr>
        <w:t xml:space="preserve">6.3 Addresses. </w:t>
      </w:r>
      <w:r>
        <w:rPr>
          <w:rFonts w:ascii="Times New Roman" w:cs="Times New Roman" w:eastAsia="Times New Roman" w:hAnsi="Times New Roman"/>
          <w:sz w:val="13"/>
          <w:szCs w:val="13"/>
          <w:color w:val="auto"/>
        </w:rPr>
        <w:t>Any communication from the Company to the Warrant Agent with respect to this Agreement shall be addressed to [•], Attention:</w:t>
      </w:r>
    </w:p>
    <w:p>
      <w:pPr>
        <w:spacing w:after="0" w:line="34" w:lineRule="exact"/>
        <w:rPr>
          <w:sz w:val="20"/>
          <w:szCs w:val="20"/>
          <w:color w:val="auto"/>
        </w:rPr>
      </w:pPr>
    </w:p>
    <w:p>
      <w:pPr>
        <w:ind w:left="260" w:right="539" w:firstLine="2"/>
        <w:spacing w:after="0" w:line="252" w:lineRule="auto"/>
        <w:tabs>
          <w:tab w:leader="none" w:pos="436"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 any communication from the Warrant Agent to the Company with respect to this Agreement shall be addressed to Tempus AI, Inc., 600 West Chicago Avenue, Suite 510, Chicago, IL 60654, Attention: [•] (or such other address as shall be specified in writing by the Warrant Agent or by the Company).</w:t>
      </w:r>
    </w:p>
    <w:p>
      <w:pPr>
        <w:spacing w:after="0" w:line="141" w:lineRule="exact"/>
        <w:rPr>
          <w:sz w:val="20"/>
          <w:szCs w:val="20"/>
          <w:color w:val="auto"/>
        </w:rPr>
      </w:pPr>
    </w:p>
    <w:p>
      <w:pPr>
        <w:ind w:left="260" w:right="459" w:firstLine="339"/>
        <w:spacing w:after="0" w:line="281" w:lineRule="auto"/>
        <w:rPr>
          <w:sz w:val="20"/>
          <w:szCs w:val="20"/>
          <w:color w:val="auto"/>
        </w:rPr>
      </w:pPr>
      <w:r>
        <w:rPr>
          <w:rFonts w:ascii="Times New Roman" w:cs="Times New Roman" w:eastAsia="Times New Roman" w:hAnsi="Times New Roman"/>
          <w:sz w:val="14"/>
          <w:szCs w:val="14"/>
          <w:b w:val="1"/>
          <w:bCs w:val="1"/>
          <w:color w:val="auto"/>
        </w:rPr>
        <w:t xml:space="preserve">6.4 Governing Law. </w:t>
      </w:r>
      <w:r>
        <w:rPr>
          <w:rFonts w:ascii="Times New Roman" w:cs="Times New Roman" w:eastAsia="Times New Roman" w:hAnsi="Times New Roman"/>
          <w:sz w:val="14"/>
          <w:szCs w:val="14"/>
          <w:color w:val="auto"/>
        </w:rPr>
        <w:t>This Agreement and each Warrant Certificate issued hereunder shall be governed by and construed in accordance with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laws of the State of New York.</w:t>
      </w:r>
    </w:p>
    <w:p>
      <w:pPr>
        <w:spacing w:after="0" w:line="122" w:lineRule="exact"/>
        <w:rPr>
          <w:sz w:val="20"/>
          <w:szCs w:val="20"/>
          <w:color w:val="auto"/>
        </w:rPr>
      </w:pPr>
    </w:p>
    <w:p>
      <w:pPr>
        <w:ind w:left="260" w:right="339" w:firstLine="339"/>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6.5 Delivery of Prospectus. </w:t>
      </w:r>
      <w:r>
        <w:rPr>
          <w:rFonts w:ascii="Times New Roman" w:cs="Times New Roman" w:eastAsia="Times New Roman" w:hAnsi="Times New Roman"/>
          <w:sz w:val="14"/>
          <w:szCs w:val="14"/>
          <w:color w:val="auto"/>
        </w:rPr>
        <w:t>The Company shall furnish to the Warrant Agent sufficient copies of a prospectus meeting the requirements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Securities Act of 1933, as amended, relating to the Warrant Debt Securities deliverable upon exercise of the Warrants (the “</w:t>
      </w:r>
      <w:r>
        <w:rPr>
          <w:rFonts w:ascii="Times New Roman" w:cs="Times New Roman" w:eastAsia="Times New Roman" w:hAnsi="Times New Roman"/>
          <w:sz w:val="14"/>
          <w:szCs w:val="14"/>
          <w:b w:val="1"/>
          <w:bCs w:val="1"/>
          <w:i w:val="1"/>
          <w:iCs w:val="1"/>
          <w:color w:val="auto"/>
        </w:rPr>
        <w:t>Prospectus</w:t>
      </w:r>
      <w:r>
        <w:rPr>
          <w:rFonts w:ascii="Times New Roman" w:cs="Times New Roman" w:eastAsia="Times New Roman" w:hAnsi="Times New Roman"/>
          <w:sz w:val="14"/>
          <w:szCs w:val="14"/>
          <w:color w:val="auto"/>
        </w:rPr>
        <w:t>”), and the Warrant Agent agrees that upon the exercise of any Warrant, the Warrant Agent will deliver to the holder of the Warrant Certificate evidencing such Warrant, prior to or concurrently with the delivery of the Warrant Debt Securities issued upon such exercise, a Prospectus. The Warrant Agent shall not, by reason of any such delivery, assume any responsibility for the accuracy or adequacy of such Prospectus.</w:t>
      </w:r>
    </w:p>
    <w:p>
      <w:pPr>
        <w:spacing w:after="0" w:line="140" w:lineRule="exact"/>
        <w:rPr>
          <w:sz w:val="20"/>
          <w:szCs w:val="20"/>
          <w:color w:val="auto"/>
        </w:rPr>
      </w:pPr>
    </w:p>
    <w:p>
      <w:pPr>
        <w:ind w:left="260" w:right="319" w:firstLine="339"/>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6.6 Obtaining of Governmental Approvals. </w:t>
      </w:r>
      <w:r>
        <w:rPr>
          <w:rFonts w:ascii="Times New Roman" w:cs="Times New Roman" w:eastAsia="Times New Roman" w:hAnsi="Times New Roman"/>
          <w:sz w:val="14"/>
          <w:szCs w:val="14"/>
          <w:color w:val="auto"/>
        </w:rPr>
        <w:t>The Company will from time to time take all action which may be necessary to obtain and keep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effective any and all permits, consents and approvals of governmental agencies and authorities and securities act filings under United States Federal and state laws (including without limitation a registration statement in respect of the Warrants and Warrant Debt Securities under the Securities Act of 1933, as amended), which may be or become requisite in connection with the issuance, sale, transfer, and delivery of the Warrant Debt Securities issued upon exercise of the Warrants, the issuance, sale, transfer and delivery of the Warrants or upon the expiration of the period during which the Warrants are exercisable.</w:t>
      </w:r>
    </w:p>
    <w:p>
      <w:pPr>
        <w:spacing w:after="0" w:line="142" w:lineRule="exact"/>
        <w:rPr>
          <w:sz w:val="20"/>
          <w:szCs w:val="20"/>
          <w:color w:val="auto"/>
        </w:rPr>
      </w:pPr>
    </w:p>
    <w:p>
      <w:pPr>
        <w:ind w:left="260" w:right="559" w:firstLine="339"/>
        <w:spacing w:after="0" w:line="281" w:lineRule="auto"/>
        <w:rPr>
          <w:sz w:val="20"/>
          <w:szCs w:val="20"/>
          <w:color w:val="auto"/>
        </w:rPr>
      </w:pPr>
      <w:r>
        <w:rPr>
          <w:rFonts w:ascii="Times New Roman" w:cs="Times New Roman" w:eastAsia="Times New Roman" w:hAnsi="Times New Roman"/>
          <w:sz w:val="14"/>
          <w:szCs w:val="14"/>
          <w:b w:val="1"/>
          <w:bCs w:val="1"/>
          <w:color w:val="auto"/>
        </w:rPr>
        <w:t xml:space="preserve">6.7 Persons Having Rights Under the Agreement. </w:t>
      </w:r>
      <w:r>
        <w:rPr>
          <w:rFonts w:ascii="Times New Roman" w:cs="Times New Roman" w:eastAsia="Times New Roman" w:hAnsi="Times New Roman"/>
          <w:sz w:val="14"/>
          <w:szCs w:val="14"/>
          <w:color w:val="auto"/>
        </w:rPr>
        <w:t>Nothing in this Agreement shall give to any person other than the Company, the Warrant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Agent and the holders of the Warrant Certificates any right, remedy or claim under or by reason of this Agreement.</w:t>
      </w:r>
    </w:p>
    <w:p>
      <w:pPr>
        <w:spacing w:after="0" w:line="122" w:lineRule="exact"/>
        <w:rPr>
          <w:sz w:val="20"/>
          <w:szCs w:val="20"/>
          <w:color w:val="auto"/>
        </w:rPr>
      </w:pPr>
    </w:p>
    <w:p>
      <w:pPr>
        <w:ind w:left="260" w:right="539" w:firstLine="339"/>
        <w:spacing w:after="0" w:line="281" w:lineRule="auto"/>
        <w:rPr>
          <w:sz w:val="20"/>
          <w:szCs w:val="20"/>
          <w:color w:val="auto"/>
        </w:rPr>
      </w:pPr>
      <w:r>
        <w:rPr>
          <w:rFonts w:ascii="Times New Roman" w:cs="Times New Roman" w:eastAsia="Times New Roman" w:hAnsi="Times New Roman"/>
          <w:sz w:val="14"/>
          <w:szCs w:val="14"/>
          <w:b w:val="1"/>
          <w:bCs w:val="1"/>
          <w:color w:val="auto"/>
        </w:rPr>
        <w:t xml:space="preserve">6.8 Headings. </w:t>
      </w:r>
      <w:r>
        <w:rPr>
          <w:rFonts w:ascii="Times New Roman" w:cs="Times New Roman" w:eastAsia="Times New Roman" w:hAnsi="Times New Roman"/>
          <w:sz w:val="14"/>
          <w:szCs w:val="14"/>
          <w:color w:val="auto"/>
        </w:rPr>
        <w:t>The descriptive headings of the several Articles and Sections of this Agreement are inserted for convenience only and shall not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control or affect the meaning or construction of any of the provisions hereof.</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37" w:right="1440" w:bottom="1440" w:gutter="0" w:footer="0" w:header="0"/>
        </w:sectPr>
      </w:pPr>
    </w:p>
    <w:bookmarkStart w:id="188" w:name="page189"/>
    <w:bookmarkEnd w:id="188"/>
    <w:p>
      <w:pPr>
        <w:ind w:left="260" w:right="699" w:firstLine="339"/>
        <w:spacing w:after="0" w:line="281"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6.9 Counterparts. </w:t>
      </w:r>
      <w:r>
        <w:rPr>
          <w:rFonts w:ascii="Times New Roman" w:cs="Times New Roman" w:eastAsia="Times New Roman" w:hAnsi="Times New Roman"/>
          <w:sz w:val="14"/>
          <w:szCs w:val="14"/>
          <w:color w:val="auto"/>
        </w:rPr>
        <w:t>This Agreement may be executed in any number of counterparts, each of which as so executed shall be deemed to be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original, but such counterparts shall together constitute but one and the same instrument.</w:t>
      </w:r>
    </w:p>
    <w:p>
      <w:pPr>
        <w:spacing w:after="0" w:line="122" w:lineRule="exact"/>
        <w:rPr>
          <w:sz w:val="20"/>
          <w:szCs w:val="20"/>
          <w:color w:val="auto"/>
        </w:rPr>
      </w:pPr>
    </w:p>
    <w:p>
      <w:pPr>
        <w:ind w:left="260" w:right="499" w:firstLine="339"/>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6.10 Inspection of Agreement. </w:t>
      </w:r>
      <w:r>
        <w:rPr>
          <w:rFonts w:ascii="Times New Roman" w:cs="Times New Roman" w:eastAsia="Times New Roman" w:hAnsi="Times New Roman"/>
          <w:sz w:val="14"/>
          <w:szCs w:val="14"/>
          <w:color w:val="auto"/>
        </w:rPr>
        <w:t>A copy of this Agreement shall be available at all reasonable times at the principal corporate trust office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 Agent for inspection by the holder of any Warrant Certificate. The Warrant Agent may require such holder to submit such holder’s Warrant Certificate for inspection by it.</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37" w:right="1440" w:bottom="1440" w:gutter="0" w:footer="0" w:header="0"/>
        </w:sectPr>
      </w:pPr>
    </w:p>
    <w:bookmarkStart w:id="189" w:name="page190"/>
    <w:bookmarkEnd w:id="189"/>
    <w:p>
      <w:pPr>
        <w:ind w:left="60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w:t>
      </w:r>
      <w:r>
        <w:rPr>
          <w:rFonts w:ascii="Times New Roman" w:cs="Times New Roman" w:eastAsia="Times New Roman" w:hAnsi="Times New Roman"/>
          <w:sz w:val="10"/>
          <w:szCs w:val="10"/>
          <w:b w:val="1"/>
          <w:bCs w:val="1"/>
          <w:color w:val="auto"/>
        </w:rPr>
        <w:t>N</w:t>
      </w:r>
      <w:r>
        <w:rPr>
          <w:rFonts w:ascii="Times New Roman" w:cs="Times New Roman" w:eastAsia="Times New Roman" w:hAnsi="Times New Roman"/>
          <w:sz w:val="13"/>
          <w:szCs w:val="13"/>
          <w:b w:val="1"/>
          <w:bCs w:val="1"/>
          <w:color w:val="auto"/>
        </w:rPr>
        <w:t xml:space="preserve"> W</w:t>
      </w:r>
      <w:r>
        <w:rPr>
          <w:rFonts w:ascii="Times New Roman" w:cs="Times New Roman" w:eastAsia="Times New Roman" w:hAnsi="Times New Roman"/>
          <w:sz w:val="10"/>
          <w:szCs w:val="10"/>
          <w:b w:val="1"/>
          <w:bCs w:val="1"/>
          <w:color w:val="auto"/>
        </w:rPr>
        <w:t>ITNESS</w:t>
      </w:r>
      <w:r>
        <w:rPr>
          <w:rFonts w:ascii="Times New Roman" w:cs="Times New Roman" w:eastAsia="Times New Roman" w:hAnsi="Times New Roman"/>
          <w:sz w:val="13"/>
          <w:szCs w:val="13"/>
          <w:b w:val="1"/>
          <w:bCs w:val="1"/>
          <w:color w:val="auto"/>
        </w:rPr>
        <w:t xml:space="preserve"> W</w:t>
      </w:r>
      <w:r>
        <w:rPr>
          <w:rFonts w:ascii="Times New Roman" w:cs="Times New Roman" w:eastAsia="Times New Roman" w:hAnsi="Times New Roman"/>
          <w:sz w:val="10"/>
          <w:szCs w:val="10"/>
          <w:b w:val="1"/>
          <w:bCs w:val="1"/>
          <w:color w:val="auto"/>
        </w:rPr>
        <w:t>HEREOF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parties hereto have caused this Agreement to be duly executed as of the day and year first above written.</w:t>
      </w:r>
    </w:p>
    <w:p>
      <w:pPr>
        <w:spacing w:after="0" w:line="20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Tempus AI, Inc., as Company</w:t>
      </w:r>
    </w:p>
    <w:p>
      <w:pPr>
        <w:spacing w:after="0" w:line="17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12700</wp:posOffset>
            </wp:positionV>
            <wp:extent cx="1789430" cy="63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9">
                      <a:extLst>
                        <a:ext uri="{28A0092B-C50C-407E-A947-70E740481C1C}"/>
                      </a:extLst>
                    </a:blip>
                    <a:srcRect/>
                    <a:stretch>
                      <a:fillRect/>
                    </a:stretch>
                  </pic:blipFill>
                  <pic:spPr bwMode="auto">
                    <a:xfrm>
                      <a:off x="0" y="0"/>
                      <a:ext cx="1789430" cy="6350"/>
                    </a:xfrm>
                    <a:prstGeom prst="rect">
                      <a:avLst/>
                    </a:prstGeom>
                    <a:noFill/>
                  </pic:spPr>
                </pic:pic>
              </a:graphicData>
            </a:graphic>
          </wp:anchor>
        </w:drawing>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16510</wp:posOffset>
            </wp:positionV>
            <wp:extent cx="1789430" cy="63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0">
                      <a:extLst>
                        <a:ext uri="{28A0092B-C50C-407E-A947-70E740481C1C}"/>
                      </a:extLst>
                    </a:blip>
                    <a:srcRect/>
                    <a:stretch>
                      <a:fillRect/>
                    </a:stretch>
                  </pic:blipFill>
                  <pic:spPr bwMode="auto">
                    <a:xfrm>
                      <a:off x="0" y="0"/>
                      <a:ext cx="1789430" cy="635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-95250</wp:posOffset>
            </wp:positionV>
            <wp:extent cx="1789430" cy="63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1">
                      <a:extLst>
                        <a:ext uri="{28A0092B-C50C-407E-A947-70E740481C1C}"/>
                      </a:extLst>
                    </a:blip>
                    <a:srcRect/>
                    <a:stretch>
                      <a:fillRect/>
                    </a:stretch>
                  </pic:blipFill>
                  <pic:spPr bwMode="auto">
                    <a:xfrm>
                      <a:off x="0" y="0"/>
                      <a:ext cx="1789430" cy="6350"/>
                    </a:xfrm>
                    <a:prstGeom prst="rect">
                      <a:avLst/>
                    </a:prstGeom>
                    <a:noFill/>
                  </pic:spPr>
                </pic:pic>
              </a:graphicData>
            </a:graphic>
          </wp:anchor>
        </w:drawing>
      </w:r>
    </w:p>
    <w:p>
      <w:pPr>
        <w:spacing w:after="0" w:line="15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1"/>
          <w:szCs w:val="11"/>
          <w:b w:val="1"/>
          <w:bCs w:val="1"/>
          <w:color w:val="auto"/>
        </w:rPr>
        <w:t>TTEST</w:t>
      </w: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126365</wp:posOffset>
            </wp:positionV>
            <wp:extent cx="1789430" cy="63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2">
                      <a:extLst>
                        <a:ext uri="{28A0092B-C50C-407E-A947-70E740481C1C}"/>
                      </a:extLst>
                    </a:blip>
                    <a:srcRect/>
                    <a:stretch>
                      <a:fillRect/>
                    </a:stretch>
                  </pic:blipFill>
                  <pic:spPr bwMode="auto">
                    <a:xfrm>
                      <a:off x="0" y="0"/>
                      <a:ext cx="1789430" cy="635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13970</wp:posOffset>
            </wp:positionV>
            <wp:extent cx="1789430" cy="63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3">
                      <a:extLst>
                        <a:ext uri="{28A0092B-C50C-407E-A947-70E740481C1C}"/>
                      </a:extLst>
                    </a:blip>
                    <a:srcRect/>
                    <a:stretch>
                      <a:fillRect/>
                    </a:stretch>
                  </pic:blipFill>
                  <pic:spPr bwMode="auto">
                    <a:xfrm>
                      <a:off x="0" y="0"/>
                      <a:ext cx="1789430" cy="6350"/>
                    </a:xfrm>
                    <a:prstGeom prst="rect">
                      <a:avLst/>
                    </a:prstGeom>
                    <a:noFill/>
                  </pic:spPr>
                </pic:pic>
              </a:graphicData>
            </a:graphic>
          </wp:anchor>
        </w:drawing>
      </w:r>
    </w:p>
    <w:p>
      <w:pPr>
        <w:spacing w:after="0" w:line="32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C</w:t>
      </w:r>
      <w:r>
        <w:rPr>
          <w:rFonts w:ascii="Times New Roman" w:cs="Times New Roman" w:eastAsia="Times New Roman" w:hAnsi="Times New Roman"/>
          <w:sz w:val="11"/>
          <w:szCs w:val="11"/>
          <w:b w:val="1"/>
          <w:bCs w:val="1"/>
          <w:color w:val="auto"/>
        </w:rPr>
        <w:t>OUNTERSIGNED</w:t>
      </w:r>
    </w:p>
    <w:p>
      <w:pPr>
        <w:spacing w:after="0" w:line="17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as Warrant Agent</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12700</wp:posOffset>
            </wp:positionV>
            <wp:extent cx="1789430" cy="63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4">
                      <a:extLst>
                        <a:ext uri="{28A0092B-C50C-407E-A947-70E740481C1C}"/>
                      </a:extLst>
                    </a:blip>
                    <a:srcRect/>
                    <a:stretch>
                      <a:fillRect/>
                    </a:stretch>
                  </pic:blipFill>
                  <pic:spPr bwMode="auto">
                    <a:xfrm>
                      <a:off x="0" y="0"/>
                      <a:ext cx="1789430" cy="6350"/>
                    </a:xfrm>
                    <a:prstGeom prst="rect">
                      <a:avLst/>
                    </a:prstGeom>
                    <a:noFill/>
                  </pic:spPr>
                </pic:pic>
              </a:graphicData>
            </a:graphic>
          </wp:anchor>
        </w:drawing>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16510</wp:posOffset>
            </wp:positionV>
            <wp:extent cx="1789430" cy="63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5">
                      <a:extLst>
                        <a:ext uri="{28A0092B-C50C-407E-A947-70E740481C1C}"/>
                      </a:extLst>
                    </a:blip>
                    <a:srcRect/>
                    <a:stretch>
                      <a:fillRect/>
                    </a:stretch>
                  </pic:blipFill>
                  <pic:spPr bwMode="auto">
                    <a:xfrm>
                      <a:off x="0" y="0"/>
                      <a:ext cx="1789430" cy="635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-95250</wp:posOffset>
            </wp:positionV>
            <wp:extent cx="1789430" cy="63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6">
                      <a:extLst>
                        <a:ext uri="{28A0092B-C50C-407E-A947-70E740481C1C}"/>
                      </a:extLst>
                    </a:blip>
                    <a:srcRect/>
                    <a:stretch>
                      <a:fillRect/>
                    </a:stretch>
                  </pic:blipFill>
                  <pic:spPr bwMode="auto">
                    <a:xfrm>
                      <a:off x="0" y="0"/>
                      <a:ext cx="1789430" cy="6350"/>
                    </a:xfrm>
                    <a:prstGeom prst="rect">
                      <a:avLst/>
                    </a:prstGeom>
                    <a:noFill/>
                  </pic:spPr>
                </pic:pic>
              </a:graphicData>
            </a:graphic>
          </wp:anchor>
        </w:drawing>
      </w:r>
    </w:p>
    <w:p>
      <w:pPr>
        <w:spacing w:after="0" w:line="15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1"/>
          <w:szCs w:val="11"/>
          <w:b w:val="1"/>
          <w:bCs w:val="1"/>
          <w:color w:val="auto"/>
        </w:rPr>
        <w:t>TTEST</w:t>
      </w: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126365</wp:posOffset>
            </wp:positionV>
            <wp:extent cx="1789430" cy="63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7">
                      <a:extLst>
                        <a:ext uri="{28A0092B-C50C-407E-A947-70E740481C1C}"/>
                      </a:extLst>
                    </a:blip>
                    <a:srcRect/>
                    <a:stretch>
                      <a:fillRect/>
                    </a:stretch>
                  </pic:blipFill>
                  <pic:spPr bwMode="auto">
                    <a:xfrm>
                      <a:off x="0" y="0"/>
                      <a:ext cx="1789430" cy="635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13970</wp:posOffset>
            </wp:positionV>
            <wp:extent cx="1789430" cy="63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8">
                      <a:extLst>
                        <a:ext uri="{28A0092B-C50C-407E-A947-70E740481C1C}"/>
                      </a:extLst>
                    </a:blip>
                    <a:srcRect/>
                    <a:stretch>
                      <a:fillRect/>
                    </a:stretch>
                  </pic:blipFill>
                  <pic:spPr bwMode="auto">
                    <a:xfrm>
                      <a:off x="0" y="0"/>
                      <a:ext cx="1789430" cy="635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11"/>
          <w:szCs w:val="11"/>
          <w:color w:val="auto"/>
        </w:rPr>
        <w:t>IGNATURE</w:t>
      </w:r>
      <w:r>
        <w:rPr>
          <w:rFonts w:ascii="Times New Roman" w:cs="Times New Roman" w:eastAsia="Times New Roman" w:hAnsi="Times New Roman"/>
          <w:sz w:val="14"/>
          <w:szCs w:val="14"/>
          <w:color w:val="auto"/>
        </w:rPr>
        <w:t xml:space="preserve"> P</w:t>
      </w:r>
      <w:r>
        <w:rPr>
          <w:rFonts w:ascii="Times New Roman" w:cs="Times New Roman" w:eastAsia="Times New Roman" w:hAnsi="Times New Roman"/>
          <w:sz w:val="11"/>
          <w:szCs w:val="11"/>
          <w:color w:val="auto"/>
        </w:rPr>
        <w:t>AGE TO</w:t>
      </w:r>
      <w:r>
        <w:rPr>
          <w:rFonts w:ascii="Times New Roman" w:cs="Times New Roman" w:eastAsia="Times New Roman" w:hAnsi="Times New Roman"/>
          <w:sz w:val="14"/>
          <w:szCs w:val="14"/>
          <w:color w:val="auto"/>
        </w:rPr>
        <w:t xml:space="preserve"> T</w:t>
      </w:r>
      <w:r>
        <w:rPr>
          <w:rFonts w:ascii="Times New Roman" w:cs="Times New Roman" w:eastAsia="Times New Roman" w:hAnsi="Times New Roman"/>
          <w:sz w:val="11"/>
          <w:szCs w:val="11"/>
          <w:color w:val="auto"/>
        </w:rPr>
        <w:t>EMPUS</w:t>
      </w:r>
      <w:r>
        <w:rPr>
          <w:rFonts w:ascii="Times New Roman" w:cs="Times New Roman" w:eastAsia="Times New Roman" w:hAnsi="Times New Roman"/>
          <w:sz w:val="14"/>
          <w:szCs w:val="14"/>
          <w:color w:val="auto"/>
        </w:rPr>
        <w:t xml:space="preserve"> AI, I</w:t>
      </w:r>
      <w:r>
        <w:rPr>
          <w:rFonts w:ascii="Times New Roman" w:cs="Times New Roman" w:eastAsia="Times New Roman" w:hAnsi="Times New Roman"/>
          <w:sz w:val="11"/>
          <w:szCs w:val="11"/>
          <w:color w:val="auto"/>
        </w:rPr>
        <w:t>NC</w:t>
      </w:r>
      <w:r>
        <w:rPr>
          <w:rFonts w:ascii="Times New Roman" w:cs="Times New Roman" w:eastAsia="Times New Roman" w:hAnsi="Times New Roman"/>
          <w:sz w:val="14"/>
          <w:szCs w:val="14"/>
          <w:color w:val="auto"/>
        </w:rPr>
        <w:t>. D</w:t>
      </w:r>
      <w:r>
        <w:rPr>
          <w:rFonts w:ascii="Times New Roman" w:cs="Times New Roman" w:eastAsia="Times New Roman" w:hAnsi="Times New Roman"/>
          <w:sz w:val="11"/>
          <w:szCs w:val="11"/>
          <w:color w:val="auto"/>
        </w:rPr>
        <w:t>EBT</w:t>
      </w:r>
      <w:r>
        <w:rPr>
          <w:rFonts w:ascii="Times New Roman" w:cs="Times New Roman" w:eastAsia="Times New Roman" w:hAnsi="Times New Roman"/>
          <w:sz w:val="14"/>
          <w:szCs w:val="14"/>
          <w:color w:val="auto"/>
        </w:rPr>
        <w:t xml:space="preserve"> S</w:t>
      </w:r>
      <w:r>
        <w:rPr>
          <w:rFonts w:ascii="Times New Roman" w:cs="Times New Roman" w:eastAsia="Times New Roman" w:hAnsi="Times New Roman"/>
          <w:sz w:val="11"/>
          <w:szCs w:val="11"/>
          <w:color w:val="auto"/>
        </w:rPr>
        <w:t>ECURITIES</w:t>
      </w:r>
      <w:r>
        <w:rPr>
          <w:rFonts w:ascii="Times New Roman" w:cs="Times New Roman" w:eastAsia="Times New Roman" w:hAnsi="Times New Roman"/>
          <w:sz w:val="14"/>
          <w:szCs w:val="14"/>
          <w:color w:val="auto"/>
        </w:rPr>
        <w:t xml:space="preserve"> W</w:t>
      </w:r>
      <w:r>
        <w:rPr>
          <w:rFonts w:ascii="Times New Roman" w:cs="Times New Roman" w:eastAsia="Times New Roman" w:hAnsi="Times New Roman"/>
          <w:sz w:val="11"/>
          <w:szCs w:val="11"/>
          <w:color w:val="auto"/>
        </w:rPr>
        <w:t>ARRANT</w:t>
      </w:r>
      <w:r>
        <w:rPr>
          <w:rFonts w:ascii="Times New Roman" w:cs="Times New Roman" w:eastAsia="Times New Roman" w:hAnsi="Times New Roman"/>
          <w:sz w:val="14"/>
          <w:szCs w:val="14"/>
          <w:color w:val="auto"/>
        </w:rPr>
        <w:t xml:space="preserve"> A</w:t>
      </w:r>
      <w:r>
        <w:rPr>
          <w:rFonts w:ascii="Times New Roman" w:cs="Times New Roman" w:eastAsia="Times New Roman" w:hAnsi="Times New Roman"/>
          <w:sz w:val="11"/>
          <w:szCs w:val="11"/>
          <w:color w:val="auto"/>
        </w:rPr>
        <w:t>GREEMENT</w:t>
      </w: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237" w:right="1440" w:bottom="1440" w:gutter="0" w:footer="0" w:header="0"/>
        </w:sectPr>
      </w:pPr>
    </w:p>
    <w:bookmarkStart w:id="190" w:name="page191"/>
    <w:bookmarkEnd w:id="19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E</w:t>
      </w:r>
      <w:r>
        <w:rPr>
          <w:rFonts w:ascii="Times New Roman" w:cs="Times New Roman" w:eastAsia="Times New Roman" w:hAnsi="Times New Roman"/>
          <w:sz w:val="11"/>
          <w:szCs w:val="11"/>
          <w:b w:val="1"/>
          <w:bCs w:val="1"/>
          <w:color w:val="auto"/>
        </w:rPr>
        <w:t>XHIBIT</w:t>
      </w:r>
      <w:r>
        <w:rPr>
          <w:rFonts w:ascii="Times New Roman" w:cs="Times New Roman" w:eastAsia="Times New Roman" w:hAnsi="Times New Roman"/>
          <w:sz w:val="14"/>
          <w:szCs w:val="14"/>
          <w:b w:val="1"/>
          <w:bCs w:val="1"/>
          <w:color w:val="auto"/>
        </w:rPr>
        <w:t xml:space="preserve"> A</w:t>
      </w:r>
    </w:p>
    <w:p>
      <w:pPr>
        <w:spacing w:after="0" w:line="8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3"/>
          <w:szCs w:val="13"/>
          <w:b w:val="1"/>
          <w:bCs w:val="1"/>
          <w:color w:val="auto"/>
        </w:rPr>
        <w:t>FORM OF WARRANT CERTIFICATE</w:t>
      </w:r>
    </w:p>
    <w:p>
      <w:pPr>
        <w:spacing w:after="0" w:line="34"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3"/>
          <w:szCs w:val="13"/>
          <w:b w:val="1"/>
          <w:bCs w:val="1"/>
          <w:color w:val="auto"/>
        </w:rPr>
        <w:t>[FACE OF WARRANT CERTIFICATE]</w:t>
      </w:r>
    </w:p>
    <w:p>
      <w:pPr>
        <w:sectPr>
          <w:pgSz w:w="11900" w:h="16838" w:orient="portrait"/>
          <w:cols w:equalWidth="0" w:num="1">
            <w:col w:w="9019"/>
          </w:cols>
          <w:pgMar w:left="1440" w:top="237" w:right="1440" w:bottom="1440" w:gutter="0" w:footer="0" w:header="0"/>
        </w:sectPr>
      </w:pP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Form of Legend if Warrants are not immediately exercisable.</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459"/>
        <w:spacing w:after="0" w:line="278" w:lineRule="auto"/>
        <w:rPr>
          <w:sz w:val="20"/>
          <w:szCs w:val="20"/>
          <w:color w:val="auto"/>
        </w:rPr>
      </w:pPr>
      <w:r>
        <w:rPr>
          <w:rFonts w:ascii="Times New Roman" w:cs="Times New Roman" w:eastAsia="Times New Roman" w:hAnsi="Times New Roman"/>
          <w:sz w:val="14"/>
          <w:szCs w:val="14"/>
          <w:color w:val="auto"/>
        </w:rPr>
        <w:t>[Prior to [•], Warrants evidenced by this Warrant Certificate cannot be exercised.]</w:t>
      </w:r>
    </w:p>
    <w:p>
      <w:pPr>
        <w:spacing w:after="0" w:line="126" w:lineRule="exact"/>
        <w:rPr>
          <w:sz w:val="20"/>
          <w:szCs w:val="20"/>
          <w:color w:val="auto"/>
        </w:rPr>
      </w:pPr>
    </w:p>
    <w:p>
      <w:pPr>
        <w:sectPr>
          <w:pgSz w:w="11900" w:h="16838" w:orient="portrait"/>
          <w:cols w:equalWidth="0" w:num="2">
            <w:col w:w="3960" w:space="720"/>
            <w:col w:w="4339"/>
          </w:cols>
          <w:pgMar w:left="1440" w:top="237"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color w:val="auto"/>
        </w:rPr>
        <w:t>EXERCISABLE ONLY IF COUNTERSIGNED BY THE WARRANT AGENT AS PROVIDED HEREIN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VOID AFTER [•] P.M., [City] time, ON [•].</w:t>
      </w:r>
    </w:p>
    <w:p>
      <w:pPr>
        <w:sectPr>
          <w:pgSz w:w="11900" w:h="16838" w:orient="portrait"/>
          <w:cols w:equalWidth="0" w:num="1">
            <w:col w:w="9019"/>
          </w:cols>
          <w:pgMar w:left="1440" w:top="237" w:right="1440" w:bottom="1440" w:gutter="0" w:footer="0" w:header="0"/>
          <w:type w:val="continuous"/>
        </w:sectPr>
      </w:pPr>
    </w:p>
    <w:bookmarkStart w:id="191" w:name="page192"/>
    <w:bookmarkEnd w:id="19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TEMPUS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WARRANT CERTIFICATE REPRESENTING</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WARRANTS TO PURCHASE</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[TITLE OF WARRANT DEBT SECURITIES]</w:t>
      </w:r>
    </w:p>
    <w:p>
      <w:pPr>
        <w:spacing w:after="0" w:line="177" w:lineRule="exact"/>
        <w:rPr>
          <w:sz w:val="20"/>
          <w:szCs w:val="20"/>
          <w:color w:val="auto"/>
        </w:rPr>
      </w:pPr>
    </w:p>
    <w:p>
      <w:pPr>
        <w:ind w:left="260"/>
        <w:spacing w:after="0"/>
        <w:tabs>
          <w:tab w:leader="none" w:pos="8060" w:val="left"/>
        </w:tabs>
        <w:rPr>
          <w:sz w:val="20"/>
          <w:szCs w:val="20"/>
          <w:color w:val="auto"/>
        </w:rPr>
      </w:pPr>
      <w:r>
        <w:rPr>
          <w:rFonts w:ascii="Times New Roman" w:cs="Times New Roman" w:eastAsia="Times New Roman" w:hAnsi="Times New Roman"/>
          <w:sz w:val="14"/>
          <w:szCs w:val="14"/>
          <w:color w:val="auto"/>
        </w:rPr>
        <w:t>No. [•]</w:t>
      </w:r>
      <w:r>
        <w:rPr>
          <w:sz w:val="20"/>
          <w:szCs w:val="20"/>
          <w:color w:val="auto"/>
        </w:rPr>
        <w:tab/>
      </w:r>
      <w:r>
        <w:rPr>
          <w:rFonts w:ascii="Times New Roman" w:cs="Times New Roman" w:eastAsia="Times New Roman" w:hAnsi="Times New Roman"/>
          <w:sz w:val="13"/>
          <w:szCs w:val="13"/>
          <w:color w:val="auto"/>
        </w:rPr>
        <w:t>[•] Warrants</w:t>
      </w:r>
    </w:p>
    <w:p>
      <w:pPr>
        <w:spacing w:after="0" w:line="89" w:lineRule="exact"/>
        <w:rPr>
          <w:sz w:val="20"/>
          <w:szCs w:val="20"/>
          <w:color w:val="auto"/>
        </w:rPr>
      </w:pPr>
    </w:p>
    <w:p>
      <w:pPr>
        <w:ind w:left="260" w:right="339"/>
        <w:spacing w:after="0" w:line="250" w:lineRule="auto"/>
        <w:rPr>
          <w:sz w:val="20"/>
          <w:szCs w:val="20"/>
          <w:color w:val="auto"/>
        </w:rPr>
      </w:pPr>
      <w:r>
        <w:rPr>
          <w:rFonts w:ascii="Times New Roman" w:cs="Times New Roman" w:eastAsia="Times New Roman" w:hAnsi="Times New Roman"/>
          <w:sz w:val="14"/>
          <w:szCs w:val="14"/>
          <w:color w:val="auto"/>
        </w:rPr>
        <w:t>This certifies that [•] or registered assigns is the registered owner of the above indicated number of Warrants, each Warrant entitling such owner to purchase, at any time [after [•] p.m., [City] time, [on [•] and] on or before [•] p.m., [City] time, on [•], $[•] principal amount of [TITLE OF WARRANT DEBT SECURITIES] (the “</w:t>
      </w:r>
      <w:r>
        <w:rPr>
          <w:rFonts w:ascii="Times New Roman" w:cs="Times New Roman" w:eastAsia="Times New Roman" w:hAnsi="Times New Roman"/>
          <w:sz w:val="14"/>
          <w:szCs w:val="14"/>
          <w:b w:val="1"/>
          <w:bCs w:val="1"/>
          <w:i w:val="1"/>
          <w:iCs w:val="1"/>
          <w:color w:val="auto"/>
        </w:rPr>
        <w:t>Warrant Debt Securities</w:t>
      </w:r>
      <w:r>
        <w:rPr>
          <w:rFonts w:ascii="Times New Roman" w:cs="Times New Roman" w:eastAsia="Times New Roman" w:hAnsi="Times New Roman"/>
          <w:sz w:val="14"/>
          <w:szCs w:val="14"/>
          <w:color w:val="auto"/>
        </w:rPr>
        <w:t>”), of Tempus AI, Inc.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issued or to be issued under the Indenture (as hereinafter defined), on the following basis: during the period from [•], through and including [•], each Warrant shall entitle the Holder thereof, subject to the provisions of this Agreement, to purchase the principal amount of Warrant Debt Securities stated in the Warrant Certificate at the warrant price (the “</w:t>
      </w:r>
      <w:r>
        <w:rPr>
          <w:rFonts w:ascii="Times New Roman" w:cs="Times New Roman" w:eastAsia="Times New Roman" w:hAnsi="Times New Roman"/>
          <w:sz w:val="14"/>
          <w:szCs w:val="14"/>
          <w:b w:val="1"/>
          <w:bCs w:val="1"/>
          <w:i w:val="1"/>
          <w:iCs w:val="1"/>
          <w:color w:val="auto"/>
        </w:rPr>
        <w:t>Warrant Price</w:t>
      </w:r>
      <w:r>
        <w:rPr>
          <w:rFonts w:ascii="Times New Roman" w:cs="Times New Roman" w:eastAsia="Times New Roman" w:hAnsi="Times New Roman"/>
          <w:sz w:val="14"/>
          <w:szCs w:val="14"/>
          <w:color w:val="auto"/>
        </w:rPr>
        <w:t>”) of [•]% of the principal amount thereof [plus accrued amortization, if any, of the original issue discount of the Warrant Debt Securities] [plus accrued interest, if any, from the most recent date from which interest shall have been paid on the Warrant Debt Securities or, if no interest shall have been paid on the Warrant Debt Securities, from the date of their original issuance]. [The original issue discount ($[•] for each $1,000 principal amount of Warrant Debt Securities) will be amortized at a [•]% annual rate, computed on a[n] [semi-]annual basis [using a 360-day year consisting of twelve 30-day months].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Debt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 w:cs="Times New Roman" w:eastAsia="Times New Roman" w:hAnsi="Times New Roman"/>
          <w:sz w:val="14"/>
          <w:szCs w:val="14"/>
          <w:b w:val="1"/>
          <w:bCs w:val="1"/>
          <w:i w:val="1"/>
          <w:iCs w:val="1"/>
          <w:color w:val="auto"/>
        </w:rPr>
        <w:t>Warrant Agent</w:t>
      </w:r>
      <w:r>
        <w:rPr>
          <w:rFonts w:ascii="Times New Roman" w:cs="Times New Roman" w:eastAsia="Times New Roman" w:hAnsi="Times New Roman"/>
          <w:sz w:val="14"/>
          <w:szCs w:val="14"/>
          <w:color w:val="auto"/>
        </w:rPr>
        <w:t>”), which is, on the date hereof, at the address specified on the reverse hereof, and upon compliance with and subject to the conditions set forth herein and in the Warrant Agreement (as hereinafter defined).</w:t>
      </w:r>
    </w:p>
    <w:p>
      <w:pPr>
        <w:spacing w:after="0" w:line="143" w:lineRule="exact"/>
        <w:rPr>
          <w:sz w:val="20"/>
          <w:szCs w:val="20"/>
          <w:color w:val="auto"/>
        </w:rPr>
      </w:pPr>
    </w:p>
    <w:p>
      <w:pPr>
        <w:ind w:left="260" w:right="579"/>
        <w:spacing w:after="0" w:line="281" w:lineRule="auto"/>
        <w:rPr>
          <w:sz w:val="20"/>
          <w:szCs w:val="20"/>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b w:val="1"/>
          <w:bCs w:val="1"/>
          <w:i w:val="1"/>
          <w:iCs w:val="1"/>
          <w:color w:val="auto"/>
        </w:rPr>
        <w:t>Holder</w:t>
      </w:r>
      <w:r>
        <w:rPr>
          <w:rFonts w:ascii="Times New Roman" w:cs="Times New Roman" w:eastAsia="Times New Roman" w:hAnsi="Times New Roman"/>
          <w:sz w:val="14"/>
          <w:szCs w:val="14"/>
          <w:color w:val="auto"/>
        </w:rPr>
        <w:t>” as used herein shall mean the person in whose name at the time this Warrant Certificate shall be registered upon the books to be maintained by the Warrant Agent for that purpose pursuant to Section 4 of the Warrant Agreement.</w:t>
      </w:r>
    </w:p>
    <w:p>
      <w:pPr>
        <w:spacing w:after="0" w:line="124" w:lineRule="exact"/>
        <w:rPr>
          <w:sz w:val="20"/>
          <w:szCs w:val="20"/>
          <w:color w:val="auto"/>
        </w:rPr>
      </w:pPr>
    </w:p>
    <w:p>
      <w:pPr>
        <w:jc w:val="both"/>
        <w:ind w:left="260" w:right="539"/>
        <w:spacing w:after="0" w:line="258" w:lineRule="auto"/>
        <w:rPr>
          <w:sz w:val="20"/>
          <w:szCs w:val="20"/>
          <w:color w:val="auto"/>
        </w:rPr>
      </w:pPr>
      <w:r>
        <w:rPr>
          <w:rFonts w:ascii="Times New Roman" w:cs="Times New Roman" w:eastAsia="Times New Roman" w:hAnsi="Times New Roman"/>
          <w:sz w:val="14"/>
          <w:szCs w:val="14"/>
          <w:color w:val="auto"/>
        </w:rPr>
        <w:t>The Warrants evidenced by this Warrant Certificate may be exercised to purchase Warrant Debt Securities in the principal amount of $1,000 or any integral multiple thereof in registered form. Upon any exercise of fewer than all of the Warrants evidenced by this Warrant Certificate, there shall be issued to the Holder hereof a new Warrant Certificate evidencing Warrants for the aggregate principal amount of Warrant Debt Securities remaining unexercised.</w:t>
      </w:r>
    </w:p>
    <w:p>
      <w:pPr>
        <w:spacing w:after="0" w:line="138" w:lineRule="exact"/>
        <w:rPr>
          <w:sz w:val="20"/>
          <w:szCs w:val="20"/>
          <w:color w:val="auto"/>
        </w:rPr>
      </w:pPr>
    </w:p>
    <w:p>
      <w:pPr>
        <w:ind w:left="260" w:right="299"/>
        <w:spacing w:after="0" w:line="259" w:lineRule="auto"/>
        <w:rPr>
          <w:sz w:val="20"/>
          <w:szCs w:val="20"/>
          <w:color w:val="auto"/>
        </w:rPr>
      </w:pPr>
      <w:r>
        <w:rPr>
          <w:rFonts w:ascii="Times New Roman" w:cs="Times New Roman" w:eastAsia="Times New Roman" w:hAnsi="Times New Roman"/>
          <w:sz w:val="14"/>
          <w:szCs w:val="14"/>
          <w:color w:val="auto"/>
        </w:rPr>
        <w:t>This Warrant Certificate is issued under and in accordance with the Warrant Agreement dated as of [•] (the “</w:t>
      </w:r>
      <w:r>
        <w:rPr>
          <w:rFonts w:ascii="Times New Roman" w:cs="Times New Roman" w:eastAsia="Times New Roman" w:hAnsi="Times New Roman"/>
          <w:sz w:val="14"/>
          <w:szCs w:val="14"/>
          <w:b w:val="1"/>
          <w:bCs w:val="1"/>
          <w:i w:val="1"/>
          <w:iCs w:val="1"/>
          <w:color w:val="auto"/>
        </w:rPr>
        <w:t>Warrant Agreement</w:t>
      </w:r>
      <w:r>
        <w:rPr>
          <w:rFonts w:ascii="Times New Roman" w:cs="Times New Roman" w:eastAsia="Times New Roman" w:hAnsi="Times New Roman"/>
          <w:sz w:val="14"/>
          <w:szCs w:val="14"/>
          <w:color w:val="auto"/>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sectPr>
          <w:pgSz w:w="11900" w:h="16838" w:orient="portrait"/>
          <w:cols w:equalWidth="0" w:num="1">
            <w:col w:w="9019"/>
          </w:cols>
          <w:pgMar w:left="1440" w:top="237" w:right="1440" w:bottom="1440" w:gutter="0" w:footer="0" w:header="0"/>
        </w:sectPr>
      </w:pPr>
    </w:p>
    <w:bookmarkStart w:id="192" w:name="page193"/>
    <w:bookmarkEnd w:id="192"/>
    <w:p>
      <w:pPr>
        <w:ind w:left="260" w:right="39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Warrant Debt Securities to be issued and delivered upon the exercise of Warrants evidenced by this Warrant Certificate will be issued under and in accordance with an Indenture, dated as of [•] (the “</w:t>
      </w:r>
      <w:r>
        <w:rPr>
          <w:rFonts w:ascii="Times New Roman" w:cs="Times New Roman" w:eastAsia="Times New Roman" w:hAnsi="Times New Roman"/>
          <w:sz w:val="14"/>
          <w:szCs w:val="14"/>
          <w:b w:val="1"/>
          <w:bCs w:val="1"/>
          <w:i w:val="1"/>
          <w:iCs w:val="1"/>
          <w:color w:val="auto"/>
        </w:rPr>
        <w:t>Indenture</w:t>
      </w:r>
      <w:r>
        <w:rPr>
          <w:rFonts w:ascii="Times New Roman" w:cs="Times New Roman" w:eastAsia="Times New Roman" w:hAnsi="Times New Roman"/>
          <w:sz w:val="14"/>
          <w:szCs w:val="14"/>
          <w:color w:val="auto"/>
        </w:rPr>
        <w:t>”), between the Company and [•], as trustee (such trustee, and any successors to such trustee, the “</w:t>
      </w:r>
      <w:r>
        <w:rPr>
          <w:rFonts w:ascii="Times New Roman" w:cs="Times New Roman" w:eastAsia="Times New Roman" w:hAnsi="Times New Roman"/>
          <w:sz w:val="14"/>
          <w:szCs w:val="14"/>
          <w:b w:val="1"/>
          <w:bCs w:val="1"/>
          <w:i w:val="1"/>
          <w:iCs w:val="1"/>
          <w:color w:val="auto"/>
        </w:rPr>
        <w:t>Trustee</w:t>
      </w:r>
      <w:r>
        <w:rPr>
          <w:rFonts w:ascii="Times New Roman" w:cs="Times New Roman" w:eastAsia="Times New Roman" w:hAnsi="Times New Roman"/>
          <w:sz w:val="14"/>
          <w:szCs w:val="14"/>
          <w:color w:val="auto"/>
        </w:rPr>
        <w:t>”)] and will be subject to the terms and provisions contained in the Warrant Debt Securities and in the Indenture. Copies of the Indenture, including the form of the Warrant Debt Securities, are on file at the corporate trust office of the Trustee.</w:t>
      </w:r>
    </w:p>
    <w:p>
      <w:pPr>
        <w:spacing w:after="0" w:line="140" w:lineRule="exact"/>
        <w:rPr>
          <w:sz w:val="20"/>
          <w:szCs w:val="20"/>
          <w:color w:val="auto"/>
        </w:rPr>
      </w:pPr>
    </w:p>
    <w:p>
      <w:pPr>
        <w:ind w:left="260" w:right="399"/>
        <w:spacing w:after="0" w:line="278" w:lineRule="auto"/>
        <w:rPr>
          <w:sz w:val="20"/>
          <w:szCs w:val="20"/>
          <w:color w:val="auto"/>
        </w:rPr>
      </w:pPr>
      <w:r>
        <w:rPr>
          <w:rFonts w:ascii="Times New Roman" w:cs="Times New Roman" w:eastAsia="Times New Roman" w:hAnsi="Times New Roman"/>
          <w:sz w:val="14"/>
          <w:szCs w:val="14"/>
          <w:color w:val="auto"/>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spacing w:after="0" w:line="126" w:lineRule="exact"/>
        <w:rPr>
          <w:sz w:val="20"/>
          <w:szCs w:val="20"/>
          <w:color w:val="auto"/>
        </w:rPr>
      </w:pPr>
    </w:p>
    <w:p>
      <w:pPr>
        <w:jc w:val="both"/>
        <w:ind w:left="260" w:right="539"/>
        <w:spacing w:after="0" w:line="263" w:lineRule="auto"/>
        <w:rPr>
          <w:sz w:val="20"/>
          <w:szCs w:val="20"/>
          <w:color w:val="auto"/>
        </w:rPr>
      </w:pPr>
      <w:r>
        <w:rPr>
          <w:rFonts w:ascii="Times New Roman" w:cs="Times New Roman" w:eastAsia="Times New Roman" w:hAnsi="Times New Roman"/>
          <w:sz w:val="14"/>
          <w:szCs w:val="14"/>
          <w:color w:val="auto"/>
        </w:rPr>
        <w:t>After countersignature by the Warrant Agent and prior to the expiration of this Warrant Certificate, this Warrant Certificate may be exchanged at the corporate trust office of the Warrant Agent for Warrant Certificates representing Warrants for the same aggregate principal amount of Warrant Debt Securities.</w:t>
      </w:r>
    </w:p>
    <w:p>
      <w:pPr>
        <w:spacing w:after="0" w:line="136" w:lineRule="exact"/>
        <w:rPr>
          <w:sz w:val="20"/>
          <w:szCs w:val="20"/>
          <w:color w:val="auto"/>
        </w:rPr>
      </w:pPr>
    </w:p>
    <w:p>
      <w:pPr>
        <w:jc w:val="both"/>
        <w:ind w:left="260" w:right="379"/>
        <w:spacing w:after="0" w:line="263" w:lineRule="auto"/>
        <w:rPr>
          <w:sz w:val="20"/>
          <w:szCs w:val="20"/>
          <w:color w:val="auto"/>
        </w:rPr>
      </w:pPr>
      <w:r>
        <w:rPr>
          <w:rFonts w:ascii="Times New Roman" w:cs="Times New Roman" w:eastAsia="Times New Roman" w:hAnsi="Times New Roman"/>
          <w:sz w:val="14"/>
          <w:szCs w:val="14"/>
          <w:color w:val="auto"/>
        </w:rPr>
        <w:t>This Warrant Certificate shall not entitle the Holder hereof to any of the rights of a holder of the Warrant Debt Securities, including, without limitation, the right to receive payments of principal of (and premium, if any) or interest, if any, on the Warrant Debt Securities or to enforce any of the covenants of the Indenture.</w:t>
      </w:r>
    </w:p>
    <w:p>
      <w:pPr>
        <w:spacing w:after="0" w:line="136" w:lineRule="exact"/>
        <w:rPr>
          <w:sz w:val="20"/>
          <w:szCs w:val="20"/>
          <w:color w:val="auto"/>
        </w:rPr>
      </w:pPr>
    </w:p>
    <w:p>
      <w:pPr>
        <w:ind w:left="260" w:right="679"/>
        <w:spacing w:after="0" w:line="278" w:lineRule="auto"/>
        <w:rPr>
          <w:sz w:val="20"/>
          <w:szCs w:val="20"/>
          <w:color w:val="auto"/>
        </w:rPr>
      </w:pPr>
      <w:r>
        <w:rPr>
          <w:rFonts w:ascii="Times New Roman" w:cs="Times New Roman" w:eastAsia="Times New Roman" w:hAnsi="Times New Roman"/>
          <w:sz w:val="14"/>
          <w:szCs w:val="14"/>
          <w:color w:val="auto"/>
        </w:rPr>
        <w:t>Reference is hereby made to the further provisions of this Warrant Certificate set forth on the reverse hereof, which further provisions shall for all purposes have the same effect as if set forth at this place.</w:t>
      </w:r>
    </w:p>
    <w:p>
      <w:pPr>
        <w:spacing w:after="0" w:line="1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This Warrant Certificate shall not be valid or obligatory for any purpose until countersigned by the Warrant Agent.</w:t>
      </w:r>
    </w:p>
    <w:p>
      <w:pPr>
        <w:spacing w:after="0" w:line="170" w:lineRule="exact"/>
        <w:rPr>
          <w:sz w:val="20"/>
          <w:szCs w:val="20"/>
          <w:color w:val="auto"/>
        </w:rPr>
      </w:pPr>
    </w:p>
    <w:p>
      <w:pPr>
        <w:ind w:left="260" w:right="679"/>
        <w:spacing w:after="0" w:line="281" w:lineRule="auto"/>
        <w:rPr>
          <w:sz w:val="20"/>
          <w:szCs w:val="20"/>
          <w:color w:val="auto"/>
        </w:rPr>
      </w:pPr>
      <w:r>
        <w:rPr>
          <w:rFonts w:ascii="Times New Roman" w:cs="Times New Roman" w:eastAsia="Times New Roman" w:hAnsi="Times New Roman"/>
          <w:sz w:val="14"/>
          <w:szCs w:val="14"/>
          <w:b w:val="1"/>
          <w:bCs w:val="1"/>
          <w:color w:val="auto"/>
        </w:rPr>
        <w:t>I</w:t>
      </w:r>
      <w:r>
        <w:rPr>
          <w:rFonts w:ascii="Times New Roman" w:cs="Times New Roman" w:eastAsia="Times New Roman" w:hAnsi="Times New Roman"/>
          <w:sz w:val="11"/>
          <w:szCs w:val="11"/>
          <w:b w:val="1"/>
          <w:bCs w:val="1"/>
          <w:color w:val="auto"/>
        </w:rPr>
        <w:t>N</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1"/>
          <w:szCs w:val="11"/>
          <w:b w:val="1"/>
          <w:bCs w:val="1"/>
          <w:color w:val="auto"/>
        </w:rPr>
        <w:t>ITNESS</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11"/>
          <w:szCs w:val="11"/>
          <w:b w:val="1"/>
          <w:bCs w:val="1"/>
          <w:color w:val="auto"/>
        </w:rPr>
        <w:t>HEREOF</w:t>
      </w:r>
      <w:r>
        <w:rPr>
          <w:rFonts w:ascii="Times New Roman" w:cs="Times New Roman" w:eastAsia="Times New Roman" w:hAnsi="Times New Roman"/>
          <w:sz w:val="14"/>
          <w:szCs w:val="14"/>
          <w:color w:val="auto"/>
        </w:rPr>
        <w:t>, the Company has caused this Warrant to be executed in its name and on its behalf by the facsimile signatures of its duly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authorized officers.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Dated: _____________</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Tempus AI, Inc.</w:t>
      </w:r>
      <w:r>
        <w:rPr>
          <w:rFonts w:ascii="Times New Roman" w:cs="Times New Roman" w:eastAsia="Times New Roman" w:hAnsi="Times New Roman"/>
          <w:sz w:val="14"/>
          <w:szCs w:val="14"/>
          <w:color w:val="auto"/>
        </w:rPr>
        <w:t>, as Company</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wp:posOffset>
            </wp:positionH>
            <wp:positionV relativeFrom="paragraph">
              <wp:posOffset>12700</wp:posOffset>
            </wp:positionV>
            <wp:extent cx="1703705" cy="63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2">
                      <a:extLst>
                        <a:ext uri="{28A0092B-C50C-407E-A947-70E740481C1C}"/>
                      </a:extLst>
                    </a:blip>
                    <a:srcRect/>
                    <a:stretch>
                      <a:fillRect/>
                    </a:stretch>
                  </pic:blipFill>
                  <pic:spPr bwMode="auto">
                    <a:xfrm>
                      <a:off x="0" y="0"/>
                      <a:ext cx="1703705" cy="6350"/>
                    </a:xfrm>
                    <a:prstGeom prst="rect">
                      <a:avLst/>
                    </a:prstGeom>
                    <a:noFill/>
                  </pic:spPr>
                </pic:pic>
              </a:graphicData>
            </a:graphic>
          </wp:anchor>
        </w:drawing>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Name:</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wp:posOffset>
            </wp:positionH>
            <wp:positionV relativeFrom="paragraph">
              <wp:posOffset>16510</wp:posOffset>
            </wp:positionV>
            <wp:extent cx="1703705" cy="63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3">
                      <a:extLst>
                        <a:ext uri="{28A0092B-C50C-407E-A947-70E740481C1C}"/>
                      </a:extLst>
                    </a:blip>
                    <a:srcRect/>
                    <a:stretch>
                      <a:fillRect/>
                    </a:stretch>
                  </pic:blipFill>
                  <pic:spPr bwMode="auto">
                    <a:xfrm>
                      <a:off x="0" y="0"/>
                      <a:ext cx="1703705" cy="6350"/>
                    </a:xfrm>
                    <a:prstGeom prst="rect">
                      <a:avLst/>
                    </a:prstGeom>
                    <a:noFill/>
                  </pic:spPr>
                </pic:pic>
              </a:graphicData>
            </a:graphic>
          </wp:anchor>
        </w:drawing>
        <w:drawing>
          <wp:anchor simplePos="0" relativeHeight="251657728" behindDoc="1" locked="0" layoutInCell="0" allowOverlap="1">
            <wp:simplePos x="0" y="0"/>
            <wp:positionH relativeFrom="column">
              <wp:posOffset>618490</wp:posOffset>
            </wp:positionH>
            <wp:positionV relativeFrom="paragraph">
              <wp:posOffset>-95250</wp:posOffset>
            </wp:positionV>
            <wp:extent cx="1703705" cy="63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4">
                      <a:extLst>
                        <a:ext uri="{28A0092B-C50C-407E-A947-70E740481C1C}"/>
                      </a:extLst>
                    </a:blip>
                    <a:srcRect/>
                    <a:stretch>
                      <a:fillRect/>
                    </a:stretch>
                  </pic:blipFill>
                  <pic:spPr bwMode="auto">
                    <a:xfrm>
                      <a:off x="0" y="0"/>
                      <a:ext cx="1703705" cy="6350"/>
                    </a:xfrm>
                    <a:prstGeom prst="rect">
                      <a:avLst/>
                    </a:prstGeom>
                    <a:noFill/>
                  </pic:spPr>
                </pic:pic>
              </a:graphicData>
            </a:graphic>
          </wp:anchor>
        </w:drawing>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wp:posOffset>
            </wp:positionH>
            <wp:positionV relativeFrom="paragraph">
              <wp:posOffset>126365</wp:posOffset>
            </wp:positionV>
            <wp:extent cx="1703705" cy="63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5">
                      <a:extLst>
                        <a:ext uri="{28A0092B-C50C-407E-A947-70E740481C1C}"/>
                      </a:extLst>
                    </a:blip>
                    <a:srcRect/>
                    <a:stretch>
                      <a:fillRect/>
                    </a:stretch>
                  </pic:blipFill>
                  <pic:spPr bwMode="auto">
                    <a:xfrm>
                      <a:off x="0" y="0"/>
                      <a:ext cx="1703705" cy="6350"/>
                    </a:xfrm>
                    <a:prstGeom prst="rect">
                      <a:avLst/>
                    </a:prstGeom>
                    <a:noFill/>
                  </pic:spPr>
                </pic:pic>
              </a:graphicData>
            </a:graphic>
          </wp:anchor>
        </w:drawing>
        <w:drawing>
          <wp:anchor simplePos="0" relativeHeight="251657728" behindDoc="1" locked="0" layoutInCell="0" allowOverlap="1">
            <wp:simplePos x="0" y="0"/>
            <wp:positionH relativeFrom="column">
              <wp:posOffset>618490</wp:posOffset>
            </wp:positionH>
            <wp:positionV relativeFrom="paragraph">
              <wp:posOffset>13970</wp:posOffset>
            </wp:positionV>
            <wp:extent cx="1703705" cy="63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6">
                      <a:extLst>
                        <a:ext uri="{28A0092B-C50C-407E-A947-70E740481C1C}"/>
                      </a:extLst>
                    </a:blip>
                    <a:srcRect/>
                    <a:stretch>
                      <a:fillRect/>
                    </a:stretch>
                  </pic:blipFill>
                  <pic:spPr bwMode="auto">
                    <a:xfrm>
                      <a:off x="0" y="0"/>
                      <a:ext cx="1703705" cy="6350"/>
                    </a:xfrm>
                    <a:prstGeom prst="rect">
                      <a:avLst/>
                    </a:prstGeom>
                    <a:noFill/>
                  </pic:spPr>
                </pic:pic>
              </a:graphicData>
            </a:graphic>
          </wp:anchor>
        </w:drawing>
      </w:r>
    </w:p>
    <w:p>
      <w:pPr>
        <w:spacing w:after="0" w:line="3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COUNTERSIGNED</w:t>
      </w:r>
    </w:p>
    <w:p>
      <w:pPr>
        <w:spacing w:after="0" w:line="1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as Warrant Agent</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wp:posOffset>
            </wp:positionH>
            <wp:positionV relativeFrom="paragraph">
              <wp:posOffset>12700</wp:posOffset>
            </wp:positionV>
            <wp:extent cx="1703705" cy="63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7">
                      <a:extLst>
                        <a:ext uri="{28A0092B-C50C-407E-A947-70E740481C1C}"/>
                      </a:extLst>
                    </a:blip>
                    <a:srcRect/>
                    <a:stretch>
                      <a:fillRect/>
                    </a:stretch>
                  </pic:blipFill>
                  <pic:spPr bwMode="auto">
                    <a:xfrm>
                      <a:off x="0" y="0"/>
                      <a:ext cx="1703705" cy="6350"/>
                    </a:xfrm>
                    <a:prstGeom prst="rect">
                      <a:avLst/>
                    </a:prstGeom>
                    <a:noFill/>
                  </pic:spPr>
                </pic:pic>
              </a:graphicData>
            </a:graphic>
          </wp:anchor>
        </w:drawing>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Name:</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wp:posOffset>
            </wp:positionH>
            <wp:positionV relativeFrom="paragraph">
              <wp:posOffset>128905</wp:posOffset>
            </wp:positionV>
            <wp:extent cx="1703705" cy="63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8">
                      <a:extLst>
                        <a:ext uri="{28A0092B-C50C-407E-A947-70E740481C1C}"/>
                      </a:extLst>
                    </a:blip>
                    <a:srcRect/>
                    <a:stretch>
                      <a:fillRect/>
                    </a:stretch>
                  </pic:blipFill>
                  <pic:spPr bwMode="auto">
                    <a:xfrm>
                      <a:off x="0" y="0"/>
                      <a:ext cx="1703705" cy="6350"/>
                    </a:xfrm>
                    <a:prstGeom prst="rect">
                      <a:avLst/>
                    </a:prstGeom>
                    <a:noFill/>
                  </pic:spPr>
                </pic:pic>
              </a:graphicData>
            </a:graphic>
          </wp:anchor>
        </w:drawing>
        <w:drawing>
          <wp:anchor simplePos="0" relativeHeight="251657728" behindDoc="1" locked="0" layoutInCell="0" allowOverlap="1">
            <wp:simplePos x="0" y="0"/>
            <wp:positionH relativeFrom="column">
              <wp:posOffset>618490</wp:posOffset>
            </wp:positionH>
            <wp:positionV relativeFrom="paragraph">
              <wp:posOffset>16510</wp:posOffset>
            </wp:positionV>
            <wp:extent cx="1703705" cy="63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9">
                      <a:extLst>
                        <a:ext uri="{28A0092B-C50C-407E-A947-70E740481C1C}"/>
                      </a:extLst>
                    </a:blip>
                    <a:srcRect/>
                    <a:stretch>
                      <a:fillRect/>
                    </a:stretch>
                  </pic:blipFill>
                  <pic:spPr bwMode="auto">
                    <a:xfrm>
                      <a:off x="0" y="0"/>
                      <a:ext cx="1703705" cy="6350"/>
                    </a:xfrm>
                    <a:prstGeom prst="rect">
                      <a:avLst/>
                    </a:prstGeom>
                    <a:noFill/>
                  </pic:spPr>
                </pic:pic>
              </a:graphicData>
            </a:graphic>
          </wp:anchor>
        </w:drawing>
        <w:drawing>
          <wp:anchor simplePos="0" relativeHeight="251657728" behindDoc="1" locked="0" layoutInCell="0" allowOverlap="1">
            <wp:simplePos x="0" y="0"/>
            <wp:positionH relativeFrom="column">
              <wp:posOffset>618490</wp:posOffset>
            </wp:positionH>
            <wp:positionV relativeFrom="paragraph">
              <wp:posOffset>-95250</wp:posOffset>
            </wp:positionV>
            <wp:extent cx="1703705" cy="63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0">
                      <a:extLst>
                        <a:ext uri="{28A0092B-C50C-407E-A947-70E740481C1C}"/>
                      </a:extLst>
                    </a:blip>
                    <a:srcRect/>
                    <a:stretch>
                      <a:fillRect/>
                    </a:stretch>
                  </pic:blipFill>
                  <pic:spPr bwMode="auto">
                    <a:xfrm>
                      <a:off x="0" y="0"/>
                      <a:ext cx="1703705" cy="6350"/>
                    </a:xfrm>
                    <a:prstGeom prst="rect">
                      <a:avLst/>
                    </a:prstGeom>
                    <a:noFill/>
                  </pic:spPr>
                </pic:pic>
              </a:graphicData>
            </a:graphic>
          </wp:anchor>
        </w:drawing>
      </w:r>
    </w:p>
    <w:p>
      <w:pPr>
        <w:spacing w:after="0" w:line="3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wp:posOffset>
            </wp:positionH>
            <wp:positionV relativeFrom="paragraph">
              <wp:posOffset>126365</wp:posOffset>
            </wp:positionV>
            <wp:extent cx="1703705" cy="63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1">
                      <a:extLst>
                        <a:ext uri="{28A0092B-C50C-407E-A947-70E740481C1C}"/>
                      </a:extLst>
                    </a:blip>
                    <a:srcRect/>
                    <a:stretch>
                      <a:fillRect/>
                    </a:stretch>
                  </pic:blipFill>
                  <pic:spPr bwMode="auto">
                    <a:xfrm>
                      <a:off x="0" y="0"/>
                      <a:ext cx="1703705" cy="6350"/>
                    </a:xfrm>
                    <a:prstGeom prst="rect">
                      <a:avLst/>
                    </a:prstGeom>
                    <a:noFill/>
                  </pic:spPr>
                </pic:pic>
              </a:graphicData>
            </a:graphic>
          </wp:anchor>
        </w:drawing>
        <w:drawing>
          <wp:anchor simplePos="0" relativeHeight="251657728" behindDoc="1" locked="0" layoutInCell="0" allowOverlap="1">
            <wp:simplePos x="0" y="0"/>
            <wp:positionH relativeFrom="column">
              <wp:posOffset>618490</wp:posOffset>
            </wp:positionH>
            <wp:positionV relativeFrom="paragraph">
              <wp:posOffset>13970</wp:posOffset>
            </wp:positionV>
            <wp:extent cx="1703705" cy="63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2">
                      <a:extLst>
                        <a:ext uri="{28A0092B-C50C-407E-A947-70E740481C1C}"/>
                      </a:extLst>
                    </a:blip>
                    <a:srcRect/>
                    <a:stretch>
                      <a:fillRect/>
                    </a:stretch>
                  </pic:blipFill>
                  <pic:spPr bwMode="auto">
                    <a:xfrm>
                      <a:off x="0" y="0"/>
                      <a:ext cx="1703705" cy="6350"/>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193" w:name="page194"/>
    <w:bookmarkEnd w:id="19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[REVERSE OF WARRANT CERTIFICATE]</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(Instructions for Exercise of Warrant)</w:t>
      </w:r>
    </w:p>
    <w:p>
      <w:pPr>
        <w:spacing w:after="0" w:line="174" w:lineRule="exact"/>
        <w:rPr>
          <w:sz w:val="20"/>
          <w:szCs w:val="20"/>
          <w:color w:val="auto"/>
        </w:rPr>
      </w:pPr>
    </w:p>
    <w:p>
      <w:pPr>
        <w:ind w:left="260" w:right="359" w:firstLine="339"/>
        <w:spacing w:after="0" w:line="253" w:lineRule="auto"/>
        <w:rPr>
          <w:sz w:val="20"/>
          <w:szCs w:val="20"/>
          <w:color w:val="auto"/>
        </w:rPr>
      </w:pPr>
      <w:r>
        <w:rPr>
          <w:rFonts w:ascii="Times New Roman" w:cs="Times New Roman" w:eastAsia="Times New Roman" w:hAnsi="Times New Roman"/>
          <w:sz w:val="14"/>
          <w:szCs w:val="14"/>
          <w:color w:val="auto"/>
        </w:rPr>
        <w:t>To exercise any Warrants evidenced hereby for Warrant Debt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(To be executed upon exercise of Warrants)</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The undersigned hereby irrevocably elects to exercise ______ Warrants, evidenced by this Warrant Certificate, to purchase _______ $[•] principal</w:t>
      </w:r>
    </w:p>
    <w:p>
      <w:pPr>
        <w:spacing w:after="0" w:line="32" w:lineRule="exact"/>
        <w:rPr>
          <w:sz w:val="20"/>
          <w:szCs w:val="20"/>
          <w:color w:val="auto"/>
        </w:rPr>
      </w:pPr>
    </w:p>
    <w:p>
      <w:pPr>
        <w:jc w:val="both"/>
        <w:ind w:left="260" w:right="359"/>
        <w:spacing w:after="0" w:line="267" w:lineRule="auto"/>
        <w:rPr>
          <w:sz w:val="20"/>
          <w:szCs w:val="20"/>
          <w:color w:val="auto"/>
        </w:rPr>
      </w:pPr>
      <w:r>
        <w:rPr>
          <w:rFonts w:ascii="Times New Roman" w:cs="Times New Roman" w:eastAsia="Times New Roman" w:hAnsi="Times New Roman"/>
          <w:sz w:val="13"/>
          <w:szCs w:val="13"/>
          <w:color w:val="auto"/>
        </w:rPr>
        <w:t>amount of the [TITLE OF WARRANT DEBT SECURITIES] (the “</w:t>
      </w:r>
      <w:r>
        <w:rPr>
          <w:rFonts w:ascii="Times New Roman" w:cs="Times New Roman" w:eastAsia="Times New Roman" w:hAnsi="Times New Roman"/>
          <w:sz w:val="13"/>
          <w:szCs w:val="13"/>
          <w:b w:val="1"/>
          <w:bCs w:val="1"/>
          <w:i w:val="1"/>
          <w:iCs w:val="1"/>
          <w:color w:val="auto"/>
        </w:rPr>
        <w:t>Warrant Debt Securities</w:t>
      </w:r>
      <w:r>
        <w:rPr>
          <w:rFonts w:ascii="Times New Roman" w:cs="Times New Roman" w:eastAsia="Times New Roman" w:hAnsi="Times New Roman"/>
          <w:sz w:val="13"/>
          <w:szCs w:val="13"/>
          <w:color w:val="auto"/>
        </w:rPr>
        <w:t>”), of Tempus AI, Inc. and represents that the undersigned has tendered payment for such Warrant Debt Securities, in lawful money of the United States of America, [in cash or by certified check or official bank check in New York Clearing House funds] [by bank wire transfer in immediately available funds], to the order of Tempus AI, Inc., c/o [insert name and address of Warrant Agent], in the amount of $_________ in accordance with the terms hereof. The undersigned requests that said principal amount of</w:t>
      </w:r>
    </w:p>
    <w:p>
      <w:pPr>
        <w:ind w:left="260" w:right="899"/>
        <w:spacing w:after="0" w:line="256" w:lineRule="auto"/>
        <w:rPr>
          <w:sz w:val="20"/>
          <w:szCs w:val="20"/>
          <w:color w:val="auto"/>
        </w:rPr>
      </w:pPr>
      <w:r>
        <w:rPr>
          <w:rFonts w:ascii="Times New Roman" w:cs="Times New Roman" w:eastAsia="Times New Roman" w:hAnsi="Times New Roman"/>
          <w:sz w:val="14"/>
          <w:szCs w:val="14"/>
          <w:color w:val="auto"/>
        </w:rPr>
        <w:t>Warrant Debt Securities be in fully registered form in the authorized denominations, registered in such names and delivered all as specified in accordance with the instructions set forth below.</w:t>
      </w:r>
    </w:p>
    <w:p>
      <w:pPr>
        <w:spacing w:after="0" w:line="141" w:lineRule="exact"/>
        <w:rPr>
          <w:sz w:val="20"/>
          <w:szCs w:val="20"/>
          <w:color w:val="auto"/>
        </w:rPr>
      </w:pPr>
    </w:p>
    <w:p>
      <w:pPr>
        <w:ind w:left="260" w:right="579" w:firstLine="339"/>
        <w:spacing w:after="0" w:line="263" w:lineRule="auto"/>
        <w:rPr>
          <w:sz w:val="20"/>
          <w:szCs w:val="20"/>
          <w:color w:val="auto"/>
        </w:rPr>
      </w:pPr>
      <w:r>
        <w:rPr>
          <w:rFonts w:ascii="Times New Roman" w:cs="Times New Roman" w:eastAsia="Times New Roman" w:hAnsi="Times New Roman"/>
          <w:sz w:val="14"/>
          <w:szCs w:val="14"/>
          <w:color w:val="auto"/>
        </w:rPr>
        <w:t>If the number of Warrants exercised is less than all of the Warrants evidenced hereby, the undersigned requests that a new Warrant Certificate evidencing the Warrants for the aggregate principal amount of Warrant Debt Securities remaining unexercised be issued and delivered to the undersigned unless otherwise specified in the instructions below.</w:t>
      </w:r>
    </w:p>
    <w:p>
      <w:pPr>
        <w:spacing w:after="0" w:line="157" w:lineRule="exact"/>
        <w:rPr>
          <w:sz w:val="20"/>
          <w:szCs w:val="20"/>
          <w:color w:val="auto"/>
        </w:rPr>
      </w:pPr>
    </w:p>
    <w:p>
      <w:pPr>
        <w:ind w:left="260"/>
        <w:spacing w:after="0"/>
        <w:tabs>
          <w:tab w:leader="none" w:pos="4760" w:val="left"/>
        </w:tabs>
        <w:rPr>
          <w:sz w:val="20"/>
          <w:szCs w:val="20"/>
          <w:color w:val="auto"/>
        </w:rPr>
      </w:pPr>
      <w:r>
        <w:rPr>
          <w:rFonts w:ascii="Times New Roman" w:cs="Times New Roman" w:eastAsia="Times New Roman" w:hAnsi="Times New Roman"/>
          <w:sz w:val="14"/>
          <w:szCs w:val="14"/>
          <w:color w:val="auto"/>
        </w:rPr>
        <w:t>Dated:</w:t>
      </w:r>
      <w:r>
        <w:rPr>
          <w:sz w:val="20"/>
          <w:szCs w:val="20"/>
          <w:color w:val="auto"/>
        </w:rPr>
        <w:tab/>
      </w: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12700</wp:posOffset>
            </wp:positionV>
            <wp:extent cx="5123815" cy="63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4">
                      <a:extLst>
                        <a:ext uri="{28A0092B-C50C-407E-A947-70E740481C1C}"/>
                      </a:extLst>
                    </a:blip>
                    <a:srcRect/>
                    <a:stretch>
                      <a:fillRect/>
                    </a:stretch>
                  </pic:blipFill>
                  <pic:spPr bwMode="auto">
                    <a:xfrm>
                      <a:off x="0" y="0"/>
                      <a:ext cx="5123815" cy="6350"/>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color w:val="auto"/>
        </w:rPr>
        <w:t>Please Print</w:t>
      </w:r>
    </w:p>
    <w:p>
      <w:pPr>
        <w:spacing w:after="0" w:line="1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Address:</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(Insert Social Security or Other Identifying Number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-99060</wp:posOffset>
            </wp:positionV>
            <wp:extent cx="2152650" cy="63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5">
                      <a:extLst>
                        <a:ext uri="{28A0092B-C50C-407E-A947-70E740481C1C}"/>
                      </a:extLst>
                    </a:blip>
                    <a:srcRect/>
                    <a:stretch>
                      <a:fillRect/>
                    </a:stretch>
                  </pic:blipFill>
                  <pic:spPr bwMode="auto">
                    <a:xfrm>
                      <a:off x="0" y="0"/>
                      <a:ext cx="2152650" cy="6350"/>
                    </a:xfrm>
                    <a:prstGeom prst="rect">
                      <a:avLst/>
                    </a:prstGeom>
                    <a:noFill/>
                  </pic:spPr>
                </pic:pic>
              </a:graphicData>
            </a:graphic>
          </wp:anchor>
        </w:drawing>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Holder)</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Signature Guaranteed: ______________________</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Signature</w:t>
      </w:r>
    </w:p>
    <w:p>
      <w:pPr>
        <w:spacing w:after="0" w:line="157" w:lineRule="exact"/>
        <w:rPr>
          <w:sz w:val="20"/>
          <w:szCs w:val="20"/>
          <w:color w:val="auto"/>
        </w:rPr>
      </w:pPr>
    </w:p>
    <w:p>
      <w:pPr>
        <w:ind w:left="260" w:right="459"/>
        <w:spacing w:after="0" w:line="278" w:lineRule="auto"/>
        <w:rPr>
          <w:sz w:val="20"/>
          <w:szCs w:val="20"/>
          <w:color w:val="auto"/>
        </w:rPr>
      </w:pPr>
      <w:r>
        <w:rPr>
          <w:rFonts w:ascii="Times New Roman" w:cs="Times New Roman" w:eastAsia="Times New Roman" w:hAnsi="Times New Roman"/>
          <w:sz w:val="14"/>
          <w:szCs w:val="14"/>
          <w:color w:val="auto"/>
        </w:rPr>
        <w:t>(Signature must conform in all respects to name of holder as specified on the face of this Warrant Certificate and must bear a signature guarantee by a FINRA member firm).</w:t>
      </w:r>
    </w:p>
    <w:p>
      <w:pPr>
        <w:spacing w:after="0" w:line="1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This Warrant may be exercised at the following addresses: By hand at:</w:t>
      </w:r>
    </w:p>
    <w:p>
      <w:pPr>
        <w:spacing w:after="0" w:line="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237" w:right="1440" w:bottom="1440" w:gutter="0" w:footer="0" w:header="0"/>
        </w:sectPr>
      </w:pPr>
    </w:p>
    <w:bookmarkStart w:id="194" w:name="page195"/>
    <w:bookmarkEnd w:id="194"/>
    <w:p>
      <w:pPr>
        <w:ind w:left="2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By mail at:</w:t>
      </w:r>
    </w:p>
    <w:p>
      <w:pPr>
        <w:spacing w:after="0" w:line="89" w:lineRule="exact"/>
        <w:rPr>
          <w:sz w:val="20"/>
          <w:szCs w:val="20"/>
          <w:color w:val="auto"/>
        </w:rPr>
      </w:pPr>
    </w:p>
    <w:p>
      <w:pPr>
        <w:ind w:left="260" w:right="379"/>
        <w:spacing w:after="0" w:line="278" w:lineRule="auto"/>
        <w:rPr>
          <w:sz w:val="20"/>
          <w:szCs w:val="20"/>
          <w:color w:val="auto"/>
        </w:rPr>
      </w:pPr>
      <w:r>
        <w:rPr>
          <w:rFonts w:ascii="Times New Roman" w:cs="Times New Roman" w:eastAsia="Times New Roman" w:hAnsi="Times New Roman"/>
          <w:sz w:val="14"/>
          <w:szCs w:val="14"/>
          <w:color w:val="auto"/>
        </w:rPr>
        <w:t>[Instructions as to form and delivery of Warrant Debt Securities and, if applicable, Warrant Certificates evidencing Warrants for the number of Warrant Debt Securities remaining unexercised—complete as appropriate.]</w:t>
      </w:r>
    </w:p>
    <w:p>
      <w:pPr>
        <w:sectPr>
          <w:pgSz w:w="11900" w:h="16838" w:orient="portrait"/>
          <w:cols w:equalWidth="0" w:num="1">
            <w:col w:w="9019"/>
          </w:cols>
          <w:pgMar w:left="1440" w:top="239" w:right="1440" w:bottom="1440" w:gutter="0" w:footer="0" w:header="0"/>
        </w:sectPr>
      </w:pPr>
    </w:p>
    <w:bookmarkStart w:id="195" w:name="page196"/>
    <w:bookmarkEnd w:id="195"/>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ASSIGNMENT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of assignment to be executed if Warrant Holder desires to transfer Warrant]</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1"/>
          <w:szCs w:val="11"/>
          <w:b w:val="1"/>
          <w:bCs w:val="1"/>
          <w:color w:val="auto"/>
        </w:rPr>
        <w:t>OR</w:t>
      </w:r>
      <w:r>
        <w:rPr>
          <w:rFonts w:ascii="Times New Roman" w:cs="Times New Roman" w:eastAsia="Times New Roman" w:hAnsi="Times New Roman"/>
          <w:sz w:val="14"/>
          <w:szCs w:val="14"/>
          <w:b w:val="1"/>
          <w:bCs w:val="1"/>
          <w:color w:val="auto"/>
        </w:rPr>
        <w:t xml:space="preserve"> V</w:t>
      </w:r>
      <w:r>
        <w:rPr>
          <w:rFonts w:ascii="Times New Roman" w:cs="Times New Roman" w:eastAsia="Times New Roman" w:hAnsi="Times New Roman"/>
          <w:sz w:val="11"/>
          <w:szCs w:val="11"/>
          <w:b w:val="1"/>
          <w:bCs w:val="1"/>
          <w:color w:val="auto"/>
        </w:rPr>
        <w:t>ALUE</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ECEIVED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______________ hereby sells, assigns and transfers unto:</w:t>
      </w:r>
    </w:p>
    <w:p>
      <w:pPr>
        <w:spacing w:after="0" w:line="371" w:lineRule="exact"/>
        <w:rPr>
          <w:sz w:val="20"/>
          <w:szCs w:val="20"/>
          <w:color w:val="auto"/>
        </w:rPr>
      </w:pPr>
    </w:p>
    <w:p>
      <w:pPr>
        <w:ind w:left="260"/>
        <w:spacing w:after="0"/>
        <w:tabs>
          <w:tab w:leader="none" w:pos="4740" w:val="left"/>
        </w:tabs>
        <w:rPr>
          <w:sz w:val="20"/>
          <w:szCs w:val="20"/>
          <w:color w:val="auto"/>
        </w:rPr>
      </w:pPr>
      <w:r>
        <w:rPr>
          <w:rFonts w:ascii="Times New Roman" w:cs="Times New Roman" w:eastAsia="Times New Roman" w:hAnsi="Times New Roman"/>
          <w:sz w:val="14"/>
          <w:szCs w:val="14"/>
          <w:color w:val="auto"/>
        </w:rPr>
        <w:t>(Please print name and address including zip code)</w:t>
      </w:r>
      <w:r>
        <w:rPr>
          <w:sz w:val="20"/>
          <w:szCs w:val="20"/>
          <w:color w:val="auto"/>
        </w:rPr>
        <w:tab/>
      </w:r>
      <w:r>
        <w:rPr>
          <w:rFonts w:ascii="Times New Roman" w:cs="Times New Roman" w:eastAsia="Times New Roman" w:hAnsi="Times New Roman"/>
          <w:sz w:val="13"/>
          <w:szCs w:val="13"/>
          <w:color w:val="auto"/>
        </w:rPr>
        <w:t>Please print Social Security 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-99060</wp:posOffset>
            </wp:positionV>
            <wp:extent cx="5387975" cy="63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8">
                      <a:extLst>
                        <a:ext uri="{28A0092B-C50C-407E-A947-70E740481C1C}"/>
                      </a:extLst>
                    </a:blip>
                    <a:srcRect/>
                    <a:stretch>
                      <a:fillRect/>
                    </a:stretch>
                  </pic:blipFill>
                  <pic:spPr bwMode="auto">
                    <a:xfrm>
                      <a:off x="0" y="0"/>
                      <a:ext cx="5387975" cy="6350"/>
                    </a:xfrm>
                    <a:prstGeom prst="rect">
                      <a:avLst/>
                    </a:prstGeom>
                    <a:noFill/>
                  </pic:spPr>
                </pic:pic>
              </a:graphicData>
            </a:graphic>
          </wp:anchor>
        </w:drawing>
      </w:r>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the right represented by the within Warrant to purchase ________ aggregate principal amount of [Title of Warrant Debt Securities] of Tempus AI, Inc. to</w:t>
      </w:r>
    </w:p>
    <w:p>
      <w:pPr>
        <w:spacing w:after="0" w:line="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which the within Warrant relates and appoints ____________________ attorney to transfer such right on the books of the Warrant Agent with full power</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of substitution in the premises.</w:t>
      </w:r>
    </w:p>
    <w:p>
      <w:pPr>
        <w:spacing w:after="0" w:line="177" w:lineRule="exact"/>
        <w:rPr>
          <w:sz w:val="20"/>
          <w:szCs w:val="20"/>
          <w:color w:val="auto"/>
        </w:rPr>
      </w:pPr>
    </w:p>
    <w:p>
      <w:pPr>
        <w:ind w:left="260"/>
        <w:spacing w:after="0"/>
        <w:tabs>
          <w:tab w:leader="none" w:pos="740" w:val="left"/>
          <w:tab w:leader="none" w:pos="4760" w:val="left"/>
        </w:tabs>
        <w:rPr>
          <w:sz w:val="20"/>
          <w:szCs w:val="20"/>
          <w:color w:val="auto"/>
        </w:rPr>
      </w:pPr>
      <w:r>
        <w:rPr>
          <w:rFonts w:ascii="Times New Roman" w:cs="Times New Roman" w:eastAsia="Times New Roman" w:hAnsi="Times New Roman"/>
          <w:sz w:val="14"/>
          <w:szCs w:val="14"/>
          <w:color w:val="auto"/>
        </w:rPr>
        <w:t>Dated:</w:t>
        <w:tab/>
        <w:t>__________________________</w:t>
      </w:r>
      <w:r>
        <w:rPr>
          <w:sz w:val="20"/>
          <w:szCs w:val="20"/>
          <w:color w:val="auto"/>
        </w:rPr>
        <w:tab/>
      </w:r>
      <w:r>
        <w:rPr>
          <w:rFonts w:ascii="Times New Roman" w:cs="Times New Roman" w:eastAsia="Times New Roman" w:hAnsi="Times New Roman"/>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3298825</wp:posOffset>
            </wp:positionH>
            <wp:positionV relativeFrom="paragraph">
              <wp:posOffset>12700</wp:posOffset>
            </wp:positionV>
            <wp:extent cx="2258060" cy="63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9">
                      <a:extLst>
                        <a:ext uri="{28A0092B-C50C-407E-A947-70E740481C1C}"/>
                      </a:extLst>
                    </a:blip>
                    <a:srcRect/>
                    <a:stretch>
                      <a:fillRect/>
                    </a:stretch>
                  </pic:blipFill>
                  <pic:spPr bwMode="auto">
                    <a:xfrm>
                      <a:off x="0" y="0"/>
                      <a:ext cx="2258060" cy="6350"/>
                    </a:xfrm>
                    <a:prstGeom prst="rect">
                      <a:avLst/>
                    </a:prstGeom>
                    <a:noFill/>
                  </pic:spPr>
                </pic:pic>
              </a:graphicData>
            </a:graphic>
          </wp:anchor>
        </w:drawing>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4"/>
          <w:szCs w:val="14"/>
          <w:color w:val="auto"/>
        </w:rPr>
        <w:t>Signature</w:t>
      </w:r>
    </w:p>
    <w:p>
      <w:pPr>
        <w:spacing w:after="0" w:line="1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(Signature must conform in all respects to name of holder as specified on the face of the Warrant)</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224155</wp:posOffset>
            </wp:positionV>
            <wp:extent cx="2152650" cy="63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0">
                      <a:extLst>
                        <a:ext uri="{28A0092B-C50C-407E-A947-70E740481C1C}"/>
                      </a:extLst>
                    </a:blip>
                    <a:srcRect/>
                    <a:stretch>
                      <a:fillRect/>
                    </a:stretch>
                  </pic:blipFill>
                  <pic:spPr bwMode="auto">
                    <a:xfrm>
                      <a:off x="0" y="0"/>
                      <a:ext cx="2152650" cy="6350"/>
                    </a:xfrm>
                    <a:prstGeom prst="rect">
                      <a:avLst/>
                    </a:prstGeom>
                    <a:noFill/>
                  </pic:spPr>
                </pic:pic>
              </a:graphicData>
            </a:graphic>
          </wp:anchor>
        </w:drawing>
      </w:r>
    </w:p>
    <w:p>
      <w:pPr>
        <w:sectPr>
          <w:pgSz w:w="11900" w:h="16838" w:orient="portrait"/>
          <w:cols w:equalWidth="0" w:num="1">
            <w:col w:w="9019"/>
          </w:cols>
          <w:pgMar w:left="1440" w:top="237" w:right="1440" w:bottom="1440" w:gutter="0" w:footer="0" w:header="0"/>
        </w:sectPr>
      </w:pPr>
    </w:p>
    <w:bookmarkStart w:id="196" w:name="page197"/>
    <w:bookmarkEnd w:id="196"/>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August 8, 2025</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Tempus AI, Inc.</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600 West Chicago Avenue, Suite 510</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Chicago, Illinois 60654</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To the addressee set forth above:</w:t>
      </w:r>
    </w:p>
    <w:p>
      <w:pPr>
        <w:spacing w:after="0" w:line="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We have acted as local Nevada counsel to Tempus AI, Inc., a Nevada corporation (the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in connection with the filing by the Company</w:t>
      </w:r>
    </w:p>
    <w:p>
      <w:pPr>
        <w:spacing w:after="0" w:line="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the date hereof of an automatic shelf registration statement on Form S-3 (including the Prospectus (as defined below) contained therein, the</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Registration Statement</w:t>
      </w:r>
      <w:r>
        <w:rPr>
          <w:rFonts w:ascii="Times New Roman" w:cs="Times New Roman" w:eastAsia="Times New Roman" w:hAnsi="Times New Roman"/>
          <w:sz w:val="13"/>
          <w:szCs w:val="13"/>
          <w:color w:val="auto"/>
        </w:rPr>
        <w:t>”) with the Securities and Exchange Commission (the “</w:t>
      </w:r>
      <w:r>
        <w:rPr>
          <w:rFonts w:ascii="Times New Roman" w:cs="Times New Roman" w:eastAsia="Times New Roman" w:hAnsi="Times New Roman"/>
          <w:sz w:val="13"/>
          <w:szCs w:val="13"/>
          <w:u w:val="single" w:color="auto"/>
          <w:color w:val="auto"/>
        </w:rPr>
        <w:t>Commission</w:t>
      </w:r>
      <w:r>
        <w:rPr>
          <w:rFonts w:ascii="Times New Roman" w:cs="Times New Roman" w:eastAsia="Times New Roman" w:hAnsi="Times New Roman"/>
          <w:sz w:val="13"/>
          <w:szCs w:val="13"/>
          <w:color w:val="auto"/>
        </w:rPr>
        <w:t>”) under the Securities Act of 1933, as amended (the “</w:t>
      </w:r>
      <w:r>
        <w:rPr>
          <w:rFonts w:ascii="Times New Roman" w:cs="Times New Roman" w:eastAsia="Times New Roman" w:hAnsi="Times New Roman"/>
          <w:sz w:val="13"/>
          <w:szCs w:val="13"/>
          <w:u w:val="single" w:color="auto"/>
          <w:color w:val="auto"/>
        </w:rPr>
        <w:t>Act</w:t>
      </w:r>
      <w:r>
        <w:rPr>
          <w:rFonts w:ascii="Times New Roman" w:cs="Times New Roman" w:eastAsia="Times New Roman" w:hAnsi="Times New Roman"/>
          <w:sz w:val="13"/>
          <w:szCs w:val="13"/>
          <w:color w:val="auto"/>
        </w:rPr>
        <w:t>”),</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relating to the registration for offering and sale from time to time by the Company of an indeterminate number of the following securities of the</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Company, pursuant to the following prospectuses included therein: (A) the base prospectus (the “</w:t>
      </w:r>
      <w:r>
        <w:rPr>
          <w:rFonts w:ascii="Times New Roman" w:cs="Times New Roman" w:eastAsia="Times New Roman" w:hAnsi="Times New Roman"/>
          <w:sz w:val="13"/>
          <w:szCs w:val="13"/>
          <w:u w:val="single" w:color="auto"/>
          <w:color w:val="auto"/>
        </w:rPr>
        <w:t>Base Prospectus</w:t>
      </w:r>
      <w:r>
        <w:rPr>
          <w:rFonts w:ascii="Times New Roman" w:cs="Times New Roman" w:eastAsia="Times New Roman" w:hAnsi="Times New Roman"/>
          <w:sz w:val="13"/>
          <w:szCs w:val="13"/>
          <w:color w:val="auto"/>
        </w:rPr>
        <w:t>”), relating to the following Securities</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defined below): (i) shares (the “</w:t>
      </w:r>
      <w:r>
        <w:rPr>
          <w:rFonts w:ascii="Times New Roman" w:cs="Times New Roman" w:eastAsia="Times New Roman" w:hAnsi="Times New Roman"/>
          <w:sz w:val="14"/>
          <w:szCs w:val="14"/>
          <w:u w:val="single" w:color="auto"/>
          <w:color w:val="auto"/>
        </w:rPr>
        <w:t>Base Common Shares</w:t>
      </w:r>
      <w:r>
        <w:rPr>
          <w:rFonts w:ascii="Times New Roman" w:cs="Times New Roman" w:eastAsia="Times New Roman" w:hAnsi="Times New Roman"/>
          <w:sz w:val="14"/>
          <w:szCs w:val="14"/>
          <w:color w:val="auto"/>
        </w:rPr>
        <w:t>”) of the Company’s Class A Common Stock, par value $0.0001 per share (the “</w:t>
      </w:r>
      <w:r>
        <w:rPr>
          <w:rFonts w:ascii="Times New Roman" w:cs="Times New Roman" w:eastAsia="Times New Roman" w:hAnsi="Times New Roman"/>
          <w:sz w:val="14"/>
          <w:szCs w:val="14"/>
          <w:u w:val="single" w:color="auto"/>
          <w:color w:val="auto"/>
        </w:rPr>
        <w:t>Common</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u w:val="single" w:color="auto"/>
          <w:color w:val="auto"/>
        </w:rPr>
        <w:t>Stock</w:t>
      </w:r>
      <w:r>
        <w:rPr>
          <w:rFonts w:ascii="Times New Roman" w:cs="Times New Roman" w:eastAsia="Times New Roman" w:hAnsi="Times New Roman"/>
          <w:sz w:val="14"/>
          <w:szCs w:val="14"/>
          <w:color w:val="auto"/>
        </w:rPr>
        <w:t>”), which Base Common Shares include any shares of Common Stock issuable upon the (x) conversion or exchange, as applicable, of any</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Preferred Shares (as defined below) or Debt Securities (as defined below) convertible or exchangeable into shares of Common Stock and (y) exercise of</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any Warrants (as defined below) to purchase shares of Common Stock; (ii) shares (the “</w:t>
      </w:r>
      <w:r>
        <w:rPr>
          <w:rFonts w:ascii="Times New Roman" w:cs="Times New Roman" w:eastAsia="Times New Roman" w:hAnsi="Times New Roman"/>
          <w:sz w:val="13"/>
          <w:szCs w:val="13"/>
          <w:u w:val="single" w:color="auto"/>
          <w:color w:val="auto"/>
        </w:rPr>
        <w:t>Preferred Shares</w:t>
      </w:r>
      <w:r>
        <w:rPr>
          <w:rFonts w:ascii="Times New Roman" w:cs="Times New Roman" w:eastAsia="Times New Roman" w:hAnsi="Times New Roman"/>
          <w:sz w:val="13"/>
          <w:szCs w:val="13"/>
          <w:color w:val="auto"/>
        </w:rPr>
        <w:t>”, and together with the Base Common Shares,</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the “</w:t>
      </w:r>
      <w:r>
        <w:rPr>
          <w:rFonts w:ascii="Times New Roman" w:cs="Times New Roman" w:eastAsia="Times New Roman" w:hAnsi="Times New Roman"/>
          <w:sz w:val="13"/>
          <w:szCs w:val="13"/>
          <w:u w:val="single" w:color="auto"/>
          <w:color w:val="auto"/>
        </w:rPr>
        <w:t>Base Shares</w:t>
      </w:r>
      <w:r>
        <w:rPr>
          <w:rFonts w:ascii="Times New Roman" w:cs="Times New Roman" w:eastAsia="Times New Roman" w:hAnsi="Times New Roman"/>
          <w:sz w:val="13"/>
          <w:szCs w:val="13"/>
          <w:color w:val="auto"/>
        </w:rPr>
        <w:t>”) of the Company’s preferred stock, par value $0.0001 per share (the “</w:t>
      </w:r>
      <w:r>
        <w:rPr>
          <w:rFonts w:ascii="Times New Roman" w:cs="Times New Roman" w:eastAsia="Times New Roman" w:hAnsi="Times New Roman"/>
          <w:sz w:val="13"/>
          <w:szCs w:val="13"/>
          <w:u w:val="single" w:color="auto"/>
          <w:color w:val="auto"/>
        </w:rPr>
        <w:t>Preferred Stock</w:t>
      </w:r>
      <w:r>
        <w:rPr>
          <w:rFonts w:ascii="Times New Roman" w:cs="Times New Roman" w:eastAsia="Times New Roman" w:hAnsi="Times New Roman"/>
          <w:sz w:val="13"/>
          <w:szCs w:val="13"/>
          <w:color w:val="auto"/>
        </w:rPr>
        <w:t>”) in one or more series, which Preferred Shares</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include any shares of Preferred Stock issuable upon the (x) conversion or exchange, as applicable, of any Debt Securities convertible or exchangeable</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into shares of Preferred Stock and (y) exercise of any Warrants to purchase shares of Preferred Stock; (iii) debt securities (the “</w:t>
      </w:r>
      <w:r>
        <w:rPr>
          <w:rFonts w:ascii="Times New Roman" w:cs="Times New Roman" w:eastAsia="Times New Roman" w:hAnsi="Times New Roman"/>
          <w:sz w:val="14"/>
          <w:szCs w:val="14"/>
          <w:u w:val="single" w:color="auto"/>
          <w:color w:val="auto"/>
        </w:rPr>
        <w:t>Debt Securities</w:t>
      </w:r>
      <w:r>
        <w:rPr>
          <w:rFonts w:ascii="Times New Roman" w:cs="Times New Roman" w:eastAsia="Times New Roman" w:hAnsi="Times New Roman"/>
          <w:sz w:val="14"/>
          <w:szCs w:val="14"/>
          <w:color w:val="auto"/>
        </w:rPr>
        <w:t>”) to be</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issued pursuant to one or more indentures, in substantially the form filed as an exhibit to the Registration Statement (each, as amended or supplemented</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through and including the date of each issuance of Debt Securities, an “</w:t>
      </w:r>
      <w:r>
        <w:rPr>
          <w:rFonts w:ascii="Times New Roman" w:cs="Times New Roman" w:eastAsia="Times New Roman" w:hAnsi="Times New Roman"/>
          <w:sz w:val="13"/>
          <w:szCs w:val="13"/>
          <w:u w:val="single" w:color="auto"/>
          <w:color w:val="auto"/>
        </w:rPr>
        <w:t>Indenture</w:t>
      </w:r>
      <w:r>
        <w:rPr>
          <w:rFonts w:ascii="Times New Roman" w:cs="Times New Roman" w:eastAsia="Times New Roman" w:hAnsi="Times New Roman"/>
          <w:sz w:val="13"/>
          <w:szCs w:val="13"/>
          <w:color w:val="auto"/>
        </w:rPr>
        <w:t>”), which Debt Securities include any Debt Securities issuable upon the</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exercise of any Warrants to purchase Debt Securities; and (iv) warrants to purchase shares of Common Stock, shares of Preferred Stock and/or Debt</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Securities (the “</w:t>
      </w:r>
      <w:r>
        <w:rPr>
          <w:rFonts w:ascii="Times New Roman" w:cs="Times New Roman" w:eastAsia="Times New Roman" w:hAnsi="Times New Roman"/>
          <w:sz w:val="14"/>
          <w:szCs w:val="14"/>
          <w:u w:val="single" w:color="auto"/>
          <w:color w:val="auto"/>
        </w:rPr>
        <w:t>Warrants</w:t>
      </w:r>
      <w:r>
        <w:rPr>
          <w:rFonts w:ascii="Times New Roman" w:cs="Times New Roman" w:eastAsia="Times New Roman" w:hAnsi="Times New Roman"/>
          <w:sz w:val="14"/>
          <w:szCs w:val="14"/>
          <w:color w:val="auto"/>
        </w:rPr>
        <w:t>” and together with the Base Shares and the Debt Securities, the “</w:t>
      </w:r>
      <w:r>
        <w:rPr>
          <w:rFonts w:ascii="Times New Roman" w:cs="Times New Roman" w:eastAsia="Times New Roman" w:hAnsi="Times New Roman"/>
          <w:sz w:val="14"/>
          <w:szCs w:val="14"/>
          <w:u w:val="single" w:color="auto"/>
          <w:color w:val="auto"/>
        </w:rPr>
        <w:t>Base Securities</w:t>
      </w:r>
      <w:r>
        <w:rPr>
          <w:rFonts w:ascii="Times New Roman" w:cs="Times New Roman" w:eastAsia="Times New Roman" w:hAnsi="Times New Roman"/>
          <w:sz w:val="14"/>
          <w:szCs w:val="14"/>
          <w:color w:val="auto"/>
        </w:rPr>
        <w:t>”), issued pursuant to one or more warrant</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agreements (each, a “</w:t>
      </w:r>
      <w:r>
        <w:rPr>
          <w:rFonts w:ascii="Times New Roman" w:cs="Times New Roman" w:eastAsia="Times New Roman" w:hAnsi="Times New Roman"/>
          <w:sz w:val="14"/>
          <w:szCs w:val="14"/>
          <w:u w:val="single" w:color="auto"/>
          <w:color w:val="auto"/>
        </w:rPr>
        <w:t>Warrant Agreement</w:t>
      </w:r>
      <w:r>
        <w:rPr>
          <w:rFonts w:ascii="Times New Roman" w:cs="Times New Roman" w:eastAsia="Times New Roman" w:hAnsi="Times New Roman"/>
          <w:sz w:val="14"/>
          <w:szCs w:val="14"/>
          <w:color w:val="auto"/>
        </w:rPr>
        <w:t>”); (B) the selling stockholder prospectus (the “</w:t>
      </w:r>
      <w:r>
        <w:rPr>
          <w:rFonts w:ascii="Times New Roman" w:cs="Times New Roman" w:eastAsia="Times New Roman" w:hAnsi="Times New Roman"/>
          <w:sz w:val="14"/>
          <w:szCs w:val="14"/>
          <w:u w:val="single" w:color="auto"/>
          <w:color w:val="auto"/>
        </w:rPr>
        <w:t>Selling Stockholder Prospectus</w:t>
      </w:r>
      <w:r>
        <w:rPr>
          <w:rFonts w:ascii="Times New Roman" w:cs="Times New Roman" w:eastAsia="Times New Roman" w:hAnsi="Times New Roman"/>
          <w:sz w:val="14"/>
          <w:szCs w:val="14"/>
          <w:color w:val="auto"/>
        </w:rPr>
        <w:t>”), relating to the resale from</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time to time by the selling stockholders identified therein (collectively, the “</w:t>
      </w:r>
      <w:r>
        <w:rPr>
          <w:rFonts w:ascii="Times New Roman" w:cs="Times New Roman" w:eastAsia="Times New Roman" w:hAnsi="Times New Roman"/>
          <w:sz w:val="14"/>
          <w:szCs w:val="14"/>
          <w:u w:val="single" w:color="auto"/>
          <w:color w:val="auto"/>
        </w:rPr>
        <w:t>Selling Stockholders</w:t>
      </w:r>
      <w:r>
        <w:rPr>
          <w:rFonts w:ascii="Times New Roman" w:cs="Times New Roman" w:eastAsia="Times New Roman" w:hAnsi="Times New Roman"/>
          <w:sz w:val="14"/>
          <w:szCs w:val="14"/>
          <w:color w:val="auto"/>
        </w:rPr>
        <w:t>”) of up to 2,439,155 shares (the “</w:t>
      </w:r>
      <w:r>
        <w:rPr>
          <w:rFonts w:ascii="Times New Roman" w:cs="Times New Roman" w:eastAsia="Times New Roman" w:hAnsi="Times New Roman"/>
          <w:sz w:val="14"/>
          <w:szCs w:val="14"/>
          <w:u w:val="single" w:color="auto"/>
          <w:color w:val="auto"/>
        </w:rPr>
        <w:t>Resale Shares</w:t>
      </w:r>
      <w:r>
        <w:rPr>
          <w:rFonts w:ascii="Times New Roman" w:cs="Times New Roman" w:eastAsia="Times New Roman" w:hAnsi="Times New Roman"/>
          <w:sz w:val="14"/>
          <w:szCs w:val="14"/>
          <w:color w:val="auto"/>
        </w:rPr>
        <w:t>”) of</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Common Stock; and (C) the sales agreement prospectus (together with the Base Prospectus and the Selling Stockholder Prospectus, the “</w:t>
      </w:r>
      <w:r>
        <w:rPr>
          <w:rFonts w:ascii="Times New Roman" w:cs="Times New Roman" w:eastAsia="Times New Roman" w:hAnsi="Times New Roman"/>
          <w:sz w:val="13"/>
          <w:szCs w:val="13"/>
          <w:u w:val="single" w:color="auto"/>
          <w:color w:val="auto"/>
        </w:rPr>
        <w:t>Prospectuses</w:t>
      </w:r>
      <w:r>
        <w:rPr>
          <w:rFonts w:ascii="Times New Roman" w:cs="Times New Roman" w:eastAsia="Times New Roman" w:hAnsi="Times New Roman"/>
          <w:sz w:val="13"/>
          <w:szCs w:val="13"/>
          <w:color w:val="auto"/>
        </w:rPr>
        <w:t>”),</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relating to shares (the “</w:t>
      </w:r>
      <w:r>
        <w:rPr>
          <w:rFonts w:ascii="Times New Roman" w:cs="Times New Roman" w:eastAsia="Times New Roman" w:hAnsi="Times New Roman"/>
          <w:sz w:val="14"/>
          <w:szCs w:val="14"/>
          <w:u w:val="single" w:color="auto"/>
          <w:color w:val="auto"/>
        </w:rPr>
        <w:t>ATM Shares</w:t>
      </w:r>
      <w:r>
        <w:rPr>
          <w:rFonts w:ascii="Times New Roman" w:cs="Times New Roman" w:eastAsia="Times New Roman" w:hAnsi="Times New Roman"/>
          <w:sz w:val="14"/>
          <w:szCs w:val="14"/>
          <w:color w:val="auto"/>
        </w:rPr>
        <w:t>” and,</w:t>
      </w:r>
    </w:p>
    <w:p>
      <w:pPr>
        <w:sectPr>
          <w:pgSz w:w="11900" w:h="16838" w:orient="portrait"/>
          <w:cols w:equalWidth="0" w:num="1">
            <w:col w:w="9019"/>
          </w:cols>
          <w:pgMar w:left="1440" w:top="123" w:right="1440" w:bottom="1440" w:gutter="0" w:footer="0" w:header="0"/>
        </w:sectPr>
      </w:pPr>
    </w:p>
    <w:bookmarkStart w:id="197" w:name="page198"/>
    <w:bookmarkEnd w:id="197"/>
    <w:p>
      <w:pPr>
        <w:ind w:left="2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Tempus AI, Inc.</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August 8, 2025</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Page 2</w:t>
      </w:r>
    </w:p>
    <w:p>
      <w:pPr>
        <w:spacing w:after="0" w:line="157" w:lineRule="exact"/>
        <w:rPr>
          <w:sz w:val="20"/>
          <w:szCs w:val="20"/>
          <w:color w:val="auto"/>
        </w:rPr>
      </w:pPr>
    </w:p>
    <w:p>
      <w:pPr>
        <w:ind w:left="260" w:right="299"/>
        <w:spacing w:after="0" w:line="232" w:lineRule="auto"/>
        <w:rPr>
          <w:sz w:val="20"/>
          <w:szCs w:val="20"/>
          <w:color w:val="auto"/>
        </w:rPr>
      </w:pPr>
      <w:r>
        <w:rPr>
          <w:rFonts w:ascii="Times New Roman" w:cs="Times New Roman" w:eastAsia="Times New Roman" w:hAnsi="Times New Roman"/>
          <w:sz w:val="14"/>
          <w:szCs w:val="14"/>
          <w:color w:val="auto"/>
        </w:rPr>
        <w:t>together with the Base Common Shares and the Resale Shares, the “</w:t>
      </w:r>
      <w:r>
        <w:rPr>
          <w:rFonts w:ascii="Times New Roman" w:cs="Times New Roman" w:eastAsia="Times New Roman" w:hAnsi="Times New Roman"/>
          <w:sz w:val="14"/>
          <w:szCs w:val="14"/>
          <w:u w:val="single" w:color="auto"/>
          <w:color w:val="auto"/>
        </w:rPr>
        <w:t>Common Shares</w:t>
      </w:r>
      <w:r>
        <w:rPr>
          <w:rFonts w:ascii="Times New Roman" w:cs="Times New Roman" w:eastAsia="Times New Roman" w:hAnsi="Times New Roman"/>
          <w:sz w:val="14"/>
          <w:szCs w:val="14"/>
          <w:color w:val="auto"/>
        </w:rPr>
        <w:t>”) of Common Stock, with a maximum aggregate offering price of $500,000,000, issuable from time to time pursuant to that certain Controlled Equity Offering</w:t>
      </w:r>
      <w:r>
        <w:rPr>
          <w:rFonts w:ascii="Times New Roman" w:cs="Times New Roman" w:eastAsia="Times New Roman" w:hAnsi="Times New Roman"/>
          <w:sz w:val="20"/>
          <w:szCs w:val="20"/>
          <w:color w:val="auto"/>
          <w:vertAlign w:val="superscript"/>
        </w:rPr>
        <w:t>SM</w:t>
      </w:r>
      <w:r>
        <w:rPr>
          <w:rFonts w:ascii="Times New Roman" w:cs="Times New Roman" w:eastAsia="Times New Roman" w:hAnsi="Times New Roman"/>
          <w:sz w:val="14"/>
          <w:szCs w:val="14"/>
          <w:color w:val="auto"/>
        </w:rPr>
        <w:t xml:space="preserve"> Sales Agreement, dated as of August 8, 2025 (the “</w:t>
      </w:r>
      <w:r>
        <w:rPr>
          <w:rFonts w:ascii="Times New Roman" w:cs="Times New Roman" w:eastAsia="Times New Roman" w:hAnsi="Times New Roman"/>
          <w:sz w:val="14"/>
          <w:szCs w:val="14"/>
          <w:u w:val="single" w:color="auto"/>
          <w:color w:val="auto"/>
        </w:rPr>
        <w:t>Sales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by and among the Company and Morgan Stanley &amp; Co. LLC, Cantor Fitzgerald &amp; Co., TD Securities (USA) LLC and Allen &amp; Company LLC, as sales agents. The Base Securities, the Resale Shares and the ATM Shares are hereinafter collectively referred to as the “</w:t>
      </w:r>
      <w:r>
        <w:rPr>
          <w:rFonts w:ascii="Times New Roman" w:cs="Times New Roman" w:eastAsia="Times New Roman" w:hAnsi="Times New Roman"/>
          <w:sz w:val="14"/>
          <w:szCs w:val="14"/>
          <w:u w:val="single" w:color="auto"/>
          <w:color w:val="auto"/>
        </w:rPr>
        <w:t>Securities</w:t>
      </w:r>
      <w:r>
        <w:rPr>
          <w:rFonts w:ascii="Times New Roman" w:cs="Times New Roman" w:eastAsia="Times New Roman" w:hAnsi="Times New Roman"/>
          <w:sz w:val="14"/>
          <w:szCs w:val="14"/>
          <w:color w:val="auto"/>
        </w:rPr>
        <w:t>”. This opinion letter is being delivered at your request pursuant to the requirements of Item 601(b)(5) of Regulation S-K under the Act.</w:t>
      </w:r>
    </w:p>
    <w:p>
      <w:pPr>
        <w:spacing w:after="0" w:line="153" w:lineRule="exact"/>
        <w:rPr>
          <w:sz w:val="20"/>
          <w:szCs w:val="20"/>
          <w:color w:val="auto"/>
        </w:rPr>
      </w:pPr>
    </w:p>
    <w:p>
      <w:pPr>
        <w:ind w:left="260" w:right="499" w:firstLine="339"/>
        <w:spacing w:after="0" w:line="258" w:lineRule="auto"/>
        <w:rPr>
          <w:sz w:val="20"/>
          <w:szCs w:val="20"/>
          <w:color w:val="auto"/>
        </w:rPr>
      </w:pPr>
      <w:r>
        <w:rPr>
          <w:rFonts w:ascii="Times New Roman" w:cs="Times New Roman" w:eastAsia="Times New Roman" w:hAnsi="Times New Roman"/>
          <w:sz w:val="14"/>
          <w:szCs w:val="14"/>
          <w:color w:val="auto"/>
        </w:rPr>
        <w:t>In our capacity as such counsel, we are familiar with the proceedings taken and proposed to be taken by the Company in connection with the registration of the Securities as described in the Registration Statement. For purposes of this opinion letter, and except to the extent set forth in the opinions expressed below, we have assumed that all such proceedings have been or will be timely completed in the manner presently proposed in the Registration Statement and the applicable Prospectus.</w:t>
      </w:r>
    </w:p>
    <w:p>
      <w:pPr>
        <w:spacing w:after="0" w:line="140" w:lineRule="exact"/>
        <w:rPr>
          <w:sz w:val="20"/>
          <w:szCs w:val="20"/>
          <w:color w:val="auto"/>
        </w:rPr>
      </w:pPr>
    </w:p>
    <w:p>
      <w:pPr>
        <w:ind w:left="260" w:right="339" w:firstLine="339"/>
        <w:spacing w:after="0" w:line="253" w:lineRule="auto"/>
        <w:rPr>
          <w:sz w:val="20"/>
          <w:szCs w:val="20"/>
          <w:color w:val="auto"/>
        </w:rPr>
      </w:pPr>
      <w:r>
        <w:rPr>
          <w:rFonts w:ascii="Times New Roman" w:cs="Times New Roman" w:eastAsia="Times New Roman" w:hAnsi="Times New Roman"/>
          <w:sz w:val="14"/>
          <w:szCs w:val="14"/>
          <w:color w:val="auto"/>
        </w:rPr>
        <w:t>For purposes of issuing this opinion letter, we have made such legal and factual examinations and inquiries, including an examination of originals or copies certified or otherwise identified to our satisfaction as being true copies of (i) the Registration Statement, including the Prospectuses, (ii) the Company’s articles of incorporation and bylaws, each as amended to date (collectively, the “</w:t>
      </w:r>
      <w:r>
        <w:rPr>
          <w:rFonts w:ascii="Times New Roman" w:cs="Times New Roman" w:eastAsia="Times New Roman" w:hAnsi="Times New Roman"/>
          <w:sz w:val="14"/>
          <w:szCs w:val="14"/>
          <w:u w:val="single" w:color="auto"/>
          <w:color w:val="auto"/>
        </w:rPr>
        <w:t>Governing Documents</w:t>
      </w:r>
      <w:r>
        <w:rPr>
          <w:rFonts w:ascii="Times New Roman" w:cs="Times New Roman" w:eastAsia="Times New Roman" w:hAnsi="Times New Roman"/>
          <w:sz w:val="14"/>
          <w:szCs w:val="14"/>
          <w:color w:val="auto"/>
        </w:rPr>
        <w:t>”), and (iii) such agreements (including the Sales Agreement), instruments, corporate records (including resolutions of the board of directors and any committee thereof) and other documents, or forms thereof, as we have deemed necessary or appropriate. For purposes of issuing this opinion letter, we have also obtained from officers and other representatives and agents of the Company and from public officials, and have relied upon, such certificates, representations and assurances, and public filings, as we have deemed necessary or appropriate.</w:t>
      </w:r>
    </w:p>
    <w:p>
      <w:pPr>
        <w:spacing w:after="0" w:line="14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Without limiting the generality of the foregoing, we have, with your permission, assumed without independent verification:</w:t>
      </w:r>
    </w:p>
    <w:p>
      <w:pPr>
        <w:spacing w:after="0" w:line="89" w:lineRule="exact"/>
        <w:rPr>
          <w:sz w:val="20"/>
          <w:szCs w:val="20"/>
          <w:color w:val="auto"/>
        </w:rPr>
      </w:pPr>
    </w:p>
    <w:p>
      <w:pPr>
        <w:ind w:left="260" w:right="319" w:firstLine="341"/>
        <w:spacing w:after="0" w:line="253" w:lineRule="auto"/>
        <w:tabs>
          <w:tab w:leader="none" w:pos="826"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opinions set forth in numbered opinion paragraphs 1 and 2 of this opinion letter, that (i) each agreement, instrument or other document (or form thereof) we have reviewed or which is referenced herein has been or will be duly executed and delivered by the parties thereto to the extent due execution and delivery are prerequisites to the effectiveness thereof; (ii) any and all agreements, instruments or other documents relating to the offering, issuance or sale of any Base Securities, including any and all Indentures (including any officer’s certificate(s) or supplemental indenture(s) relating thereto), Warrant Agreements (including each warrant certificate contemplated thereby) (collectively, the “</w:t>
      </w:r>
      <w:r>
        <w:rPr>
          <w:rFonts w:ascii="Times New Roman" w:cs="Times New Roman" w:eastAsia="Times New Roman" w:hAnsi="Times New Roman"/>
          <w:sz w:val="14"/>
          <w:szCs w:val="14"/>
          <w:u w:val="single" w:color="auto"/>
          <w:color w:val="auto"/>
        </w:rPr>
        <w:t>Securities Documents</w:t>
      </w:r>
      <w:r>
        <w:rPr>
          <w:rFonts w:ascii="Times New Roman" w:cs="Times New Roman" w:eastAsia="Times New Roman" w:hAnsi="Times New Roman"/>
          <w:sz w:val="14"/>
          <w:szCs w:val="14"/>
          <w:color w:val="auto"/>
        </w:rPr>
        <w:t>”), have been or will be duly authorized, executed and delivered by the Company and the other parties thereto; (iii) each of the Securities Documents, the form of which has been filed as an exhibit to the Registration Statement, has been or will be executed</w:t>
      </w:r>
    </w:p>
    <w:p>
      <w:pPr>
        <w:sectPr>
          <w:pgSz w:w="11900" w:h="16838" w:orient="portrait"/>
          <w:cols w:equalWidth="0" w:num="1">
            <w:col w:w="9019"/>
          </w:cols>
          <w:pgMar w:left="1440" w:top="239" w:right="1440" w:bottom="1440" w:gutter="0" w:footer="0" w:header="0"/>
        </w:sectPr>
      </w:pPr>
    </w:p>
    <w:bookmarkStart w:id="198" w:name="page199"/>
    <w:bookmarkEnd w:id="198"/>
    <w:p>
      <w:pPr>
        <w:ind w:left="2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Tempus AI, Inc.</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August 8, 2025</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Page 3</w:t>
      </w:r>
    </w:p>
    <w:p>
      <w:pPr>
        <w:spacing w:after="0" w:line="157" w:lineRule="exact"/>
        <w:rPr>
          <w:sz w:val="20"/>
          <w:szCs w:val="20"/>
          <w:color w:val="auto"/>
        </w:rPr>
      </w:pPr>
    </w:p>
    <w:p>
      <w:pPr>
        <w:ind w:left="260" w:right="299"/>
        <w:spacing w:after="0" w:line="269" w:lineRule="auto"/>
        <w:rPr>
          <w:sz w:val="20"/>
          <w:szCs w:val="20"/>
          <w:color w:val="auto"/>
        </w:rPr>
      </w:pPr>
      <w:r>
        <w:rPr>
          <w:rFonts w:ascii="Times New Roman" w:cs="Times New Roman" w:eastAsia="Times New Roman" w:hAnsi="Times New Roman"/>
          <w:sz w:val="13"/>
          <w:szCs w:val="13"/>
          <w:color w:val="auto"/>
        </w:rPr>
        <w:t>in substantially the form of such exhibit; (iv) the obligations of each party set forth in the Securities Documents are or will be its valid and binding obligations, enforceable in accordance with their respective terms; (v) no Base Securities have been or will be offered, issued or sold in violation or breach of, nor will any such offering, issuance or sale result in a default under, the Governing Documents, any agreement or instrument that is binding upon the Company, or any requirement or restriction imposed by any governmental or regulatory agency, authority or body; (vi) the Company has taken or will take all corporate action required in connection with the authorization, offering, issuance and sale of any Base Securities (including, without limitation, any Base Securities or other securities of the Company underlying, or issued or sold pursuant to or upon conversion, exchange or exercise of, any Base Securities or any other agreement or arrangement), all Base Securities have been or will be offered, issued and sold in compliance with all applicable laws, the Governing Documents and the relevant Securities Documents in effect at all relevant times, and any and all certificates evidencing any Common Shares, Preferred Shares or Warrants are or will be properly signed, registered and delivered, as necessary, in accordance with all applicable laws, the Governing Documents and the relevant Securities Documents (collectively, “</w:t>
      </w:r>
      <w:r>
        <w:rPr>
          <w:rFonts w:ascii="Times New Roman" w:cs="Times New Roman" w:eastAsia="Times New Roman" w:hAnsi="Times New Roman"/>
          <w:sz w:val="13"/>
          <w:szCs w:val="13"/>
          <w:u w:val="single" w:color="auto"/>
          <w:color w:val="auto"/>
        </w:rPr>
        <w:t>Corporate Proceedings</w:t>
      </w:r>
      <w:r>
        <w:rPr>
          <w:rFonts w:ascii="Times New Roman" w:cs="Times New Roman" w:eastAsia="Times New Roman" w:hAnsi="Times New Roman"/>
          <w:sz w:val="13"/>
          <w:szCs w:val="13"/>
          <w:color w:val="auto"/>
        </w:rPr>
        <w:t>”); (vii) the voting rights, designations, preferences, limitations, restrictions, privileges and relative rights of each series of Preferred Stock (including the Preferred Shares) have been or will be fixed in a certificate of designation relating to such series, prepared in the form prescribed by applicable law, duly signed by an officer of the Company and properly filed with the Nevada Secretary of State (each, a “</w:t>
      </w:r>
      <w:r>
        <w:rPr>
          <w:rFonts w:ascii="Times New Roman" w:cs="Times New Roman" w:eastAsia="Times New Roman" w:hAnsi="Times New Roman"/>
          <w:sz w:val="13"/>
          <w:szCs w:val="13"/>
          <w:u w:val="single" w:color="auto"/>
          <w:color w:val="auto"/>
        </w:rPr>
        <w:t>Certificate of Designation</w:t>
      </w:r>
      <w:r>
        <w:rPr>
          <w:rFonts w:ascii="Times New Roman" w:cs="Times New Roman" w:eastAsia="Times New Roman" w:hAnsi="Times New Roman"/>
          <w:sz w:val="13"/>
          <w:szCs w:val="13"/>
          <w:color w:val="auto"/>
        </w:rPr>
        <w:t>”), and at no time will the total number of shares of Preferred Stock designated pursuant to all then-effective Certificates of Designation exceed the total number of shares of Preferred Stock then authorized under the Company’s articles of incorporation; (viii) after any issuance of Preferred Shares, the total number of issued and outstanding shares of each series thereof, together with the total number of shares of such series then reserved for issuance or obligated to be issued by the Company pursuant to any agreement or arrangement (including pursuant to the terms of any Base Securities), or otherwise, will not exceed the total number of shares of such series then designated under the Certificate of Designation for such series; and (ix) after any issuance of Common Shares, the total number of issued and outstanding shares of Common Stock, together with the total number of shares of Common Stock then reserved for issuance or obligated to be issued by the Company pursuant to any agreement or arrangement (including pursuant to the terms of any Base Securities), or otherwise, will not exceed the total number of shares of Common Stock then authorized under the Company’s articles of incorporation;</w:t>
      </w:r>
    </w:p>
    <w:p>
      <w:pPr>
        <w:spacing w:after="0" w:line="226" w:lineRule="exact"/>
        <w:rPr>
          <w:sz w:val="20"/>
          <w:szCs w:val="20"/>
          <w:color w:val="auto"/>
        </w:rPr>
      </w:pPr>
    </w:p>
    <w:p>
      <w:pPr>
        <w:ind w:left="260" w:right="299" w:firstLine="341"/>
        <w:spacing w:after="0" w:line="255" w:lineRule="auto"/>
        <w:tabs>
          <w:tab w:leader="none" w:pos="819"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opinion set forth in numbered opinion paragraph 4 of this opinion letter, that (i) the obligations of each party set forth in the Sales Agreement are or will be its valid and binding obligations, enforceable in accordance with their terms; (ii) prior to each issuance of any ATM Shares, the placement notice under the Sales Agreement with respect to such ATM Shares will be duly authorized, executed and delivered by the Company in accordance with the Sales Agreement; (iii) no ATM Shares have been or will be offered, issued or sold in violation or breach of, nor will any such offering, issuance or sale result in a default under, the Governing Documents, any agreement or</w:t>
      </w:r>
    </w:p>
    <w:p>
      <w:pPr>
        <w:sectPr>
          <w:pgSz w:w="11900" w:h="16838" w:orient="portrait"/>
          <w:cols w:equalWidth="0" w:num="1">
            <w:col w:w="9019"/>
          </w:cols>
          <w:pgMar w:left="1440" w:top="239" w:right="1440" w:bottom="1440" w:gutter="0" w:footer="0" w:header="0"/>
        </w:sectPr>
      </w:pPr>
    </w:p>
    <w:bookmarkStart w:id="199" w:name="page200"/>
    <w:bookmarkEnd w:id="199"/>
    <w:p>
      <w:pPr>
        <w:ind w:left="2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Tempus AI, Inc.</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August 8, 2025</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Page 4</w:t>
      </w:r>
    </w:p>
    <w:p>
      <w:pPr>
        <w:spacing w:after="0" w:line="157" w:lineRule="exact"/>
        <w:rPr>
          <w:sz w:val="20"/>
          <w:szCs w:val="20"/>
          <w:color w:val="auto"/>
        </w:rPr>
      </w:pPr>
    </w:p>
    <w:p>
      <w:pPr>
        <w:ind w:left="260" w:right="279"/>
        <w:spacing w:after="0" w:line="255" w:lineRule="auto"/>
        <w:rPr>
          <w:sz w:val="20"/>
          <w:szCs w:val="20"/>
          <w:color w:val="auto"/>
        </w:rPr>
      </w:pPr>
      <w:r>
        <w:rPr>
          <w:rFonts w:ascii="Times New Roman" w:cs="Times New Roman" w:eastAsia="Times New Roman" w:hAnsi="Times New Roman"/>
          <w:sz w:val="14"/>
          <w:szCs w:val="14"/>
          <w:color w:val="auto"/>
        </w:rPr>
        <w:t>instrument that is binding upon the Company, or any requirement or restriction imposed by any governmental or regulatory agency, authority or body; and (iv) after any issuance of ATM Shares, the total number of issued and outstanding shares of Common Stock, together with the total number of shares of Common Stock then reserved for issuance or obligated to be issued by the Company pursuant to any agreement (including, without limitation, the Sales Agreement) or arrangement or otherwise, will not exceed the total number of shares of Common Stock then authorized under the Company’s articles of incorporation; and</w:t>
      </w:r>
    </w:p>
    <w:p>
      <w:pPr>
        <w:spacing w:after="0" w:line="60" w:lineRule="exact"/>
        <w:rPr>
          <w:sz w:val="20"/>
          <w:szCs w:val="20"/>
          <w:color w:val="auto"/>
        </w:rPr>
      </w:pPr>
    </w:p>
    <w:p>
      <w:pPr>
        <w:ind w:left="260" w:right="279" w:firstLine="341"/>
        <w:spacing w:after="0" w:line="273" w:lineRule="auto"/>
        <w:tabs>
          <w:tab w:leader="none" w:pos="819" w:val="left"/>
        </w:tabs>
        <w:numPr>
          <w:ilvl w:val="1"/>
          <w:numId w:val="1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all opinions set forth in this opinion letter, that (i) the statements of fact and representations and warranties set forth in the documents we have reviewed are, or at all relevant times will be, true and correct as to factual matters; (ii) each natural person executing a document has or will have sufficient legal capacity to do so; (iii) all documents submitted to us as originals are authentic, the signatures on all documents we reviewed are genuine, and any document submitted to us as certified, conformed, photostatic, electronic or facsimile copies conform to the original document; and</w:t>
      </w:r>
    </w:p>
    <w:p>
      <w:pPr>
        <w:ind w:left="500" w:hanging="238"/>
        <w:spacing w:after="0"/>
        <w:tabs>
          <w:tab w:leader="none" w:pos="50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corporate records made available to us by the Company, and all public records we have reviewed, are accurate and complete.</w:t>
      </w:r>
    </w:p>
    <w:p>
      <w:pPr>
        <w:spacing w:after="0" w:line="157" w:lineRule="exact"/>
        <w:rPr>
          <w:sz w:val="20"/>
          <w:szCs w:val="20"/>
          <w:color w:val="auto"/>
        </w:rPr>
      </w:pPr>
    </w:p>
    <w:p>
      <w:pPr>
        <w:ind w:left="260" w:right="319" w:firstLine="339"/>
        <w:spacing w:after="0" w:line="255" w:lineRule="auto"/>
        <w:rPr>
          <w:sz w:val="20"/>
          <w:szCs w:val="20"/>
          <w:color w:val="auto"/>
        </w:rPr>
      </w:pPr>
      <w:r>
        <w:rPr>
          <w:rFonts w:ascii="Times New Roman" w:cs="Times New Roman" w:eastAsia="Times New Roman" w:hAnsi="Times New Roman"/>
          <w:sz w:val="14"/>
          <w:szCs w:val="14"/>
          <w:color w:val="auto"/>
        </w:rPr>
        <w:t>We are qualified to practice law in the State of Nevada. The opinions set forth herein are expressly limited to and based exclusively on the general corporate laws of the State of Nevada, and we do not purport to be experts on, or to express any opinion with respect to the applicability thereto or the effect thereon of, the laws of any other jurisdiction. We express no opinion concerning, and we assume no responsibility as to laws or judicial decisions related to, or any orders, consents or other authorizations or approvals as may be required by, any federal laws, rules or regulations, including, without limitation, any federal securities laws, rules or regulations, or any state securities or “blue sky” laws, rules or regulations.</w:t>
      </w:r>
    </w:p>
    <w:p>
      <w:pPr>
        <w:spacing w:after="0" w:line="143" w:lineRule="exact"/>
        <w:rPr>
          <w:sz w:val="20"/>
          <w:szCs w:val="20"/>
          <w:color w:val="auto"/>
        </w:rPr>
      </w:pPr>
    </w:p>
    <w:p>
      <w:pPr>
        <w:ind w:left="260" w:right="399" w:firstLine="339"/>
        <w:spacing w:after="0" w:line="278" w:lineRule="auto"/>
        <w:rPr>
          <w:sz w:val="20"/>
          <w:szCs w:val="20"/>
          <w:color w:val="auto"/>
        </w:rPr>
      </w:pPr>
      <w:r>
        <w:rPr>
          <w:rFonts w:ascii="Times New Roman" w:cs="Times New Roman" w:eastAsia="Times New Roman" w:hAnsi="Times New Roman"/>
          <w:sz w:val="14"/>
          <w:szCs w:val="14"/>
          <w:color w:val="auto"/>
        </w:rPr>
        <w:t>Based upon the foregoing and in reliance thereon, and having regard to legal considerations and other information that we deem relevant, we are of the opinion that:</w:t>
      </w:r>
    </w:p>
    <w:p>
      <w:pPr>
        <w:spacing w:after="0" w:line="43" w:lineRule="exact"/>
        <w:rPr>
          <w:sz w:val="20"/>
          <w:szCs w:val="20"/>
          <w:color w:val="auto"/>
        </w:rPr>
      </w:pPr>
    </w:p>
    <w:p>
      <w:pPr>
        <w:ind w:left="260" w:right="359" w:firstLine="341"/>
        <w:spacing w:after="0" w:line="255" w:lineRule="auto"/>
        <w:tabs>
          <w:tab w:leader="none" w:pos="738"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and when all Corporate Proceedings have been taken and completed in respect of any offering, issuance or sale of Base Shares, and to the extent such Base Shares have been issued in accordance with all applicable terms and conditions set forth in the relevant Securities Documents and any relevant Certificates of Designation, including proper conversion, exchange or exercise of any relevant Base Securities, and payment in full of all consideration required therefor as authorized by such Corporate Proceedings and prescribed by such Securities Documents, Certificates of Designation and other Base Securities, as applicable, such Base Shares will be duly authorized, validly issued, fully paid and nonassessable.</w:t>
      </w:r>
    </w:p>
    <w:p>
      <w:pPr>
        <w:spacing w:after="0" w:line="59" w:lineRule="exact"/>
        <w:rPr>
          <w:rFonts w:ascii="Times New Roman" w:cs="Times New Roman" w:eastAsia="Times New Roman" w:hAnsi="Times New Roman"/>
          <w:sz w:val="14"/>
          <w:szCs w:val="14"/>
          <w:color w:val="auto"/>
        </w:rPr>
      </w:pPr>
    </w:p>
    <w:p>
      <w:pPr>
        <w:ind w:left="260" w:right="819" w:firstLine="341"/>
        <w:spacing w:after="0" w:line="278" w:lineRule="auto"/>
        <w:tabs>
          <w:tab w:leader="none" w:pos="738"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and when all Corporate Proceedings have been taken and completed in respect of any offering, issuance or sale of Debt Securities or Warrants, such Base Securities will be duly authorized.</w:t>
      </w:r>
    </w:p>
    <w:p>
      <w:pPr>
        <w:sectPr>
          <w:pgSz w:w="11900" w:h="16838" w:orient="portrait"/>
          <w:cols w:equalWidth="0" w:num="1">
            <w:col w:w="9019"/>
          </w:cols>
          <w:pgMar w:left="1440" w:top="239" w:right="1440" w:bottom="1440" w:gutter="0" w:footer="0" w:header="0"/>
        </w:sectPr>
      </w:pPr>
    </w:p>
    <w:bookmarkStart w:id="200" w:name="page201"/>
    <w:bookmarkEnd w:id="200"/>
    <w:p>
      <w:pPr>
        <w:ind w:left="2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Tempus AI, Inc.</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August 8, 2025</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Page 5</w:t>
      </w:r>
    </w:p>
    <w:p>
      <w:pPr>
        <w:spacing w:after="0" w:line="73" w:lineRule="exact"/>
        <w:rPr>
          <w:sz w:val="20"/>
          <w:szCs w:val="20"/>
          <w:color w:val="auto"/>
        </w:rPr>
      </w:pPr>
    </w:p>
    <w:p>
      <w:pPr>
        <w:ind w:left="740" w:hanging="139"/>
        <w:spacing w:after="0"/>
        <w:tabs>
          <w:tab w:leader="none" w:pos="74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Resale Shares have been duly authorized and validly issued, and are fully paid and non-assessable.</w:t>
      </w:r>
    </w:p>
    <w:p>
      <w:pPr>
        <w:spacing w:after="0" w:line="88" w:lineRule="exact"/>
        <w:rPr>
          <w:rFonts w:ascii="Times New Roman" w:cs="Times New Roman" w:eastAsia="Times New Roman" w:hAnsi="Times New Roman"/>
          <w:sz w:val="14"/>
          <w:szCs w:val="14"/>
          <w:color w:val="auto"/>
        </w:rPr>
      </w:pPr>
    </w:p>
    <w:p>
      <w:pPr>
        <w:ind w:left="260" w:right="279" w:firstLine="341"/>
        <w:spacing w:after="0" w:line="292" w:lineRule="auto"/>
        <w:tabs>
          <w:tab w:leader="none" w:pos="738" w:val="left"/>
        </w:tabs>
        <w:numPr>
          <w:ilvl w:val="0"/>
          <w:numId w:val="1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when and to the extent any ATM Shares are issued in accordance with the terms of, and in the manner contemplated by, the Sales Agreement, including payment in full to the Company of the consideration for such ATM Shares as required thereunder, and in accordance with the proceedings described in, and in the manner contemplated by, the Registration Statement, such ATM Shares will be validly issued, fully paid and nonassessable.</w:t>
      </w:r>
    </w:p>
    <w:p>
      <w:pPr>
        <w:spacing w:after="0" w:line="120" w:lineRule="exact"/>
        <w:rPr>
          <w:sz w:val="20"/>
          <w:szCs w:val="20"/>
          <w:color w:val="auto"/>
        </w:rPr>
      </w:pPr>
    </w:p>
    <w:p>
      <w:pPr>
        <w:ind w:left="260" w:right="319" w:firstLine="339"/>
        <w:spacing w:after="0" w:line="258" w:lineRule="auto"/>
        <w:rPr>
          <w:sz w:val="20"/>
          <w:szCs w:val="20"/>
          <w:color w:val="auto"/>
        </w:rPr>
      </w:pPr>
      <w:r>
        <w:rPr>
          <w:rFonts w:ascii="Times New Roman" w:cs="Times New Roman" w:eastAsia="Times New Roman" w:hAnsi="Times New Roman"/>
          <w:sz w:val="14"/>
          <w:szCs w:val="14"/>
          <w:color w:val="auto"/>
        </w:rPr>
        <w:t>The opinions expressed herein are based upon the applicable laws of the State of Nevada and the facts in existence on the date of this opinion letter. In delivering this opinion letter to you, we disclaim any obligation to update or supplement the opinions set forth herein or to apprise you of any changes in any laws or facts after such time as the Registration Statement is declared effective. No opinion is offered or implied as to any matter, and no inference may be drawn, beyond the strict scope of the specific issues expressly addressed by the opinions set forth herein.</w:t>
      </w:r>
    </w:p>
    <w:p>
      <w:pPr>
        <w:spacing w:after="0" w:line="140" w:lineRule="exact"/>
        <w:rPr>
          <w:sz w:val="20"/>
          <w:szCs w:val="20"/>
          <w:color w:val="auto"/>
        </w:rPr>
      </w:pPr>
    </w:p>
    <w:p>
      <w:pPr>
        <w:ind w:left="260" w:right="279" w:firstLine="339"/>
        <w:spacing w:after="0" w:line="263" w:lineRule="auto"/>
        <w:rPr>
          <w:sz w:val="20"/>
          <w:szCs w:val="20"/>
          <w:color w:val="auto"/>
        </w:rPr>
      </w:pPr>
      <w:r>
        <w:rPr>
          <w:rFonts w:ascii="Times New Roman" w:cs="Times New Roman" w:eastAsia="Times New Roman" w:hAnsi="Times New Roman"/>
          <w:sz w:val="14"/>
          <w:szCs w:val="14"/>
          <w:color w:val="auto"/>
        </w:rPr>
        <w:t>We hereby consent to the filing of this opinion letter as an exhibit to the Registration Statement and to the reference to our firm therein under the heading “Legal Matters”. In giving this consent, we do not admit that we are within the category of persons whose consent is required under Section 7 of the Act or the rules and regulations of the Commission promulgated thereunder.</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 Brownstein Hyatt Farber Schreck, LLP</w:t>
      </w:r>
    </w:p>
    <w:p>
      <w:pPr>
        <w:sectPr>
          <w:pgSz w:w="11900" w:h="16838" w:orient="portrait"/>
          <w:cols w:equalWidth="0" w:num="1">
            <w:col w:w="9019"/>
          </w:cols>
          <w:pgMar w:left="1440" w:top="239" w:right="1440" w:bottom="1440" w:gutter="0" w:footer="0" w:header="0"/>
        </w:sectPr>
      </w:pPr>
    </w:p>
    <w:bookmarkStart w:id="201" w:name="page202"/>
    <w:bookmarkEnd w:id="201"/>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132715</wp:posOffset>
            </wp:positionV>
            <wp:extent cx="1043305" cy="3498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5">
                      <a:extLst>
                        <a:ext uri="{28A0092B-C50C-407E-A947-70E740481C1C}"/>
                      </a:extLst>
                    </a:blip>
                    <a:srcRect/>
                    <a:stretch>
                      <a:fillRect/>
                    </a:stretch>
                  </pic:blipFill>
                  <pic:spPr bwMode="auto">
                    <a:xfrm>
                      <a:off x="0" y="0"/>
                      <a:ext cx="1043305" cy="34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Christina T. Roupas</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+1 312 881 6670</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croupas@cooley.com</w:t>
      </w:r>
    </w:p>
    <w:p>
      <w:pPr>
        <w:spacing w:after="0" w:line="1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August 8, 2025</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Tempus AI, Inc.</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600 West Chicago Avenue, Suite 510</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Chicago, Illinois 60654</w:t>
      </w:r>
    </w:p>
    <w:p>
      <w:pPr>
        <w:spacing w:after="0" w:line="175" w:lineRule="exact"/>
        <w:rPr>
          <w:sz w:val="20"/>
          <w:szCs w:val="20"/>
          <w:color w:val="auto"/>
        </w:rPr>
      </w:pPr>
    </w:p>
    <w:p>
      <w:pPr>
        <w:ind w:left="260"/>
        <w:spacing w:after="0"/>
        <w:tabs>
          <w:tab w:leader="none" w:pos="580" w:val="left"/>
        </w:tabs>
        <w:rPr>
          <w:sz w:val="20"/>
          <w:szCs w:val="20"/>
          <w:color w:val="auto"/>
        </w:rPr>
      </w:pPr>
      <w:r>
        <w:rPr>
          <w:rFonts w:ascii="Times New Roman" w:cs="Times New Roman" w:eastAsia="Times New Roman" w:hAnsi="Times New Roman"/>
          <w:sz w:val="14"/>
          <w:szCs w:val="14"/>
          <w:b w:val="1"/>
          <w:bCs w:val="1"/>
          <w:color w:val="auto"/>
        </w:rPr>
        <w:t>Re:</w:t>
      </w:r>
      <w:r>
        <w:rPr>
          <w:sz w:val="20"/>
          <w:szCs w:val="20"/>
          <w:color w:val="auto"/>
        </w:rPr>
        <w:tab/>
      </w:r>
      <w:r>
        <w:rPr>
          <w:rFonts w:ascii="Times New Roman" w:cs="Times New Roman" w:eastAsia="Times New Roman" w:hAnsi="Times New Roman"/>
          <w:sz w:val="13"/>
          <w:szCs w:val="13"/>
          <w:b w:val="1"/>
          <w:bCs w:val="1"/>
          <w:color w:val="auto"/>
        </w:rPr>
        <w:t>Tempus AI, Inc. – Registration Statement on Form S-3</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87" w:lineRule="exact"/>
        <w:rPr>
          <w:sz w:val="20"/>
          <w:szCs w:val="20"/>
          <w:color w:val="auto"/>
        </w:rPr>
      </w:pPr>
    </w:p>
    <w:p>
      <w:pPr>
        <w:ind w:left="260" w:right="319"/>
        <w:spacing w:after="0" w:line="241" w:lineRule="auto"/>
        <w:rPr>
          <w:sz w:val="20"/>
          <w:szCs w:val="20"/>
          <w:color w:val="auto"/>
        </w:rPr>
      </w:pPr>
      <w:r>
        <w:rPr>
          <w:rFonts w:ascii="Times New Roman" w:cs="Times New Roman" w:eastAsia="Times New Roman" w:hAnsi="Times New Roman"/>
          <w:sz w:val="14"/>
          <w:szCs w:val="14"/>
          <w:color w:val="auto"/>
        </w:rPr>
        <w:t>We have acted as counsel to Tempus AI, Inc., a Nevada corporation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in connection with the filing by the Company of a Registration Statement on Form S-3 (the “</w:t>
      </w:r>
      <w:r>
        <w:rPr>
          <w:rFonts w:ascii="Times New Roman" w:cs="Times New Roman" w:eastAsia="Times New Roman" w:hAnsi="Times New Roman"/>
          <w:sz w:val="14"/>
          <w:szCs w:val="14"/>
          <w:b w:val="1"/>
          <w:bCs w:val="1"/>
          <w:i w:val="1"/>
          <w:iCs w:val="1"/>
          <w:color w:val="auto"/>
        </w:rPr>
        <w:t>Registration Statement</w:t>
      </w:r>
      <w:r>
        <w:rPr>
          <w:rFonts w:ascii="Times New Roman" w:cs="Times New Roman" w:eastAsia="Times New Roman" w:hAnsi="Times New Roman"/>
          <w:sz w:val="14"/>
          <w:szCs w:val="14"/>
          <w:color w:val="auto"/>
        </w:rPr>
        <w:t>”) with the Securities and Exchange Commission (the “</w:t>
      </w:r>
      <w:r>
        <w:rPr>
          <w:rFonts w:ascii="Times New Roman" w:cs="Times New Roman" w:eastAsia="Times New Roman" w:hAnsi="Times New Roman"/>
          <w:sz w:val="14"/>
          <w:szCs w:val="14"/>
          <w:b w:val="1"/>
          <w:bCs w:val="1"/>
          <w:i w:val="1"/>
          <w:iCs w:val="1"/>
          <w:color w:val="auto"/>
        </w:rPr>
        <w:t>Commission</w:t>
      </w:r>
      <w:r>
        <w:rPr>
          <w:rFonts w:ascii="Times New Roman" w:cs="Times New Roman" w:eastAsia="Times New Roman" w:hAnsi="Times New Roman"/>
          <w:sz w:val="14"/>
          <w:szCs w:val="14"/>
          <w:color w:val="auto"/>
        </w:rPr>
        <w:t>”) under the Securities Act of 1933, as amended (the “</w:t>
      </w:r>
      <w:r>
        <w:rPr>
          <w:rFonts w:ascii="Times New Roman" w:cs="Times New Roman" w:eastAsia="Times New Roman" w:hAnsi="Times New Roman"/>
          <w:sz w:val="14"/>
          <w:szCs w:val="14"/>
          <w:b w:val="1"/>
          <w:bCs w:val="1"/>
          <w:i w:val="1"/>
          <w:iCs w:val="1"/>
          <w:color w:val="auto"/>
        </w:rPr>
        <w:t>Securities Act</w:t>
      </w:r>
      <w:r>
        <w:rPr>
          <w:rFonts w:ascii="Times New Roman" w:cs="Times New Roman" w:eastAsia="Times New Roman" w:hAnsi="Times New Roman"/>
          <w:sz w:val="14"/>
          <w:szCs w:val="14"/>
          <w:color w:val="auto"/>
        </w:rPr>
        <w:t>”). The Registration Statement includes three prospectuses, (i) a base prospectus (the “</w:t>
      </w:r>
      <w:r>
        <w:rPr>
          <w:rFonts w:ascii="Times New Roman" w:cs="Times New Roman" w:eastAsia="Times New Roman" w:hAnsi="Times New Roman"/>
          <w:sz w:val="14"/>
          <w:szCs w:val="14"/>
          <w:b w:val="1"/>
          <w:bCs w:val="1"/>
          <w:i w:val="1"/>
          <w:iCs w:val="1"/>
          <w:color w:val="auto"/>
        </w:rPr>
        <w:t>Base Prospectus</w:t>
      </w:r>
      <w:r>
        <w:rPr>
          <w:rFonts w:ascii="Times New Roman" w:cs="Times New Roman" w:eastAsia="Times New Roman" w:hAnsi="Times New Roman"/>
          <w:sz w:val="14"/>
          <w:szCs w:val="14"/>
          <w:color w:val="auto"/>
        </w:rPr>
        <w:t>”), (ii) a sales agreement prospectus (the “</w:t>
      </w:r>
      <w:r>
        <w:rPr>
          <w:rFonts w:ascii="Times New Roman" w:cs="Times New Roman" w:eastAsia="Times New Roman" w:hAnsi="Times New Roman"/>
          <w:sz w:val="14"/>
          <w:szCs w:val="14"/>
          <w:b w:val="1"/>
          <w:bCs w:val="1"/>
          <w:i w:val="1"/>
          <w:iCs w:val="1"/>
          <w:color w:val="auto"/>
        </w:rPr>
        <w:t>ATM Prospectus</w:t>
      </w:r>
      <w:r>
        <w:rPr>
          <w:rFonts w:ascii="Times New Roman" w:cs="Times New Roman" w:eastAsia="Times New Roman" w:hAnsi="Times New Roman"/>
          <w:sz w:val="14"/>
          <w:szCs w:val="14"/>
          <w:color w:val="auto"/>
        </w:rPr>
        <w:t>”) covering the offering and sale by the Company of up to $500,000,000 of the Company’s Class A common stock, $0.0001 par value per share (“</w:t>
      </w:r>
      <w:r>
        <w:rPr>
          <w:rFonts w:ascii="Times New Roman" w:cs="Times New Roman" w:eastAsia="Times New Roman" w:hAnsi="Times New Roman"/>
          <w:sz w:val="14"/>
          <w:szCs w:val="14"/>
          <w:b w:val="1"/>
          <w:bCs w:val="1"/>
          <w:i w:val="1"/>
          <w:iCs w:val="1"/>
          <w:color w:val="auto"/>
        </w:rPr>
        <w:t>Common Stock</w:t>
      </w:r>
      <w:r>
        <w:rPr>
          <w:rFonts w:ascii="Times New Roman" w:cs="Times New Roman" w:eastAsia="Times New Roman" w:hAnsi="Times New Roman"/>
          <w:sz w:val="14"/>
          <w:szCs w:val="14"/>
          <w:color w:val="auto"/>
        </w:rPr>
        <w:t>”), that may be sold under that certain Controlled Equity Offering</w:t>
      </w:r>
      <w:r>
        <w:rPr>
          <w:rFonts w:ascii="Times New Roman" w:cs="Times New Roman" w:eastAsia="Times New Roman" w:hAnsi="Times New Roman"/>
          <w:sz w:val="20"/>
          <w:szCs w:val="20"/>
          <w:color w:val="auto"/>
          <w:vertAlign w:val="superscript"/>
        </w:rPr>
        <w:t>SM</w:t>
      </w:r>
      <w:r>
        <w:rPr>
          <w:rFonts w:ascii="Times New Roman" w:cs="Times New Roman" w:eastAsia="Times New Roman" w:hAnsi="Times New Roman"/>
          <w:sz w:val="14"/>
          <w:szCs w:val="14"/>
          <w:color w:val="auto"/>
        </w:rPr>
        <w:t xml:space="preserve"> Sales Agreement, dated August 8, 2025, by and among the Company, Cantor Fitzgerald &amp; Co., Morgan Stanley &amp; Co. LLC, Cowen and Company, LLC and Allen &amp; Company LLC (such agreement, the “</w:t>
      </w:r>
      <w:r>
        <w:rPr>
          <w:rFonts w:ascii="Times New Roman" w:cs="Times New Roman" w:eastAsia="Times New Roman" w:hAnsi="Times New Roman"/>
          <w:sz w:val="14"/>
          <w:szCs w:val="14"/>
          <w:b w:val="1"/>
          <w:bCs w:val="1"/>
          <w:i w:val="1"/>
          <w:iCs w:val="1"/>
          <w:color w:val="auto"/>
        </w:rPr>
        <w:t>Sales Agreement</w:t>
      </w:r>
      <w:r>
        <w:rPr>
          <w:rFonts w:ascii="Times New Roman" w:cs="Times New Roman" w:eastAsia="Times New Roman" w:hAnsi="Times New Roman"/>
          <w:sz w:val="14"/>
          <w:szCs w:val="14"/>
          <w:color w:val="auto"/>
        </w:rPr>
        <w:t>”, and such shares, the “</w:t>
      </w:r>
      <w:r>
        <w:rPr>
          <w:rFonts w:ascii="Times New Roman" w:cs="Times New Roman" w:eastAsia="Times New Roman" w:hAnsi="Times New Roman"/>
          <w:sz w:val="14"/>
          <w:szCs w:val="14"/>
          <w:b w:val="1"/>
          <w:bCs w:val="1"/>
          <w:i w:val="1"/>
          <w:iCs w:val="1"/>
          <w:color w:val="auto"/>
        </w:rPr>
        <w:t>ATM Shares</w:t>
      </w:r>
      <w:r>
        <w:rPr>
          <w:rFonts w:ascii="Times New Roman" w:cs="Times New Roman" w:eastAsia="Times New Roman" w:hAnsi="Times New Roman"/>
          <w:sz w:val="14"/>
          <w:szCs w:val="14"/>
          <w:color w:val="auto"/>
        </w:rPr>
        <w:t>”), and (iii) a resale prospectus (the “</w:t>
      </w:r>
      <w:r>
        <w:rPr>
          <w:rFonts w:ascii="Times New Roman" w:cs="Times New Roman" w:eastAsia="Times New Roman" w:hAnsi="Times New Roman"/>
          <w:sz w:val="14"/>
          <w:szCs w:val="14"/>
          <w:b w:val="1"/>
          <w:bCs w:val="1"/>
          <w:i w:val="1"/>
          <w:iCs w:val="1"/>
          <w:color w:val="auto"/>
        </w:rPr>
        <w:t>Selling Stockholder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Prospectus</w:t>
      </w:r>
      <w:r>
        <w:rPr>
          <w:rFonts w:ascii="Times New Roman" w:cs="Times New Roman" w:eastAsia="Times New Roman" w:hAnsi="Times New Roman"/>
          <w:sz w:val="14"/>
          <w:szCs w:val="14"/>
          <w:color w:val="auto"/>
        </w:rPr>
        <w:t>”) covering the registration for resale of up to 2,439,155 shares of Common Stock (the “</w:t>
      </w:r>
      <w:r>
        <w:rPr>
          <w:rFonts w:ascii="Times New Roman" w:cs="Times New Roman" w:eastAsia="Times New Roman" w:hAnsi="Times New Roman"/>
          <w:sz w:val="14"/>
          <w:szCs w:val="14"/>
          <w:b w:val="1"/>
          <w:bCs w:val="1"/>
          <w:i w:val="1"/>
          <w:iCs w:val="1"/>
          <w:color w:val="auto"/>
        </w:rPr>
        <w:t>Resale Shares</w:t>
      </w:r>
      <w:r>
        <w:rPr>
          <w:rFonts w:ascii="Times New Roman" w:cs="Times New Roman" w:eastAsia="Times New Roman" w:hAnsi="Times New Roman"/>
          <w:sz w:val="14"/>
          <w:szCs w:val="14"/>
          <w:color w:val="auto"/>
        </w:rPr>
        <w:t>”) held by certain selling stockholders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identified in the Selling Stockholder Prospectus. The Base Prospectus provides that it will be supplemented in the future by one or more prospectus supplements (each, a “</w:t>
      </w:r>
      <w:r>
        <w:rPr>
          <w:rFonts w:ascii="Times New Roman" w:cs="Times New Roman" w:eastAsia="Times New Roman" w:hAnsi="Times New Roman"/>
          <w:sz w:val="14"/>
          <w:szCs w:val="14"/>
          <w:b w:val="1"/>
          <w:bCs w:val="1"/>
          <w:i w:val="1"/>
          <w:iCs w:val="1"/>
          <w:color w:val="auto"/>
        </w:rPr>
        <w:t>Prospectus Supplement</w:t>
      </w:r>
      <w:r>
        <w:rPr>
          <w:rFonts w:ascii="Times New Roman" w:cs="Times New Roman" w:eastAsia="Times New Roman" w:hAnsi="Times New Roman"/>
          <w:sz w:val="14"/>
          <w:szCs w:val="14"/>
          <w:color w:val="auto"/>
        </w:rPr>
        <w:t>”). The Registration Statement, including the Base Prospectus (as supplemented from time to time by one or more Prospectus Supplements), the ATM Prospectus, and the Selling Stockholder Prospectus (collectively, the “</w:t>
      </w:r>
      <w:r>
        <w:rPr>
          <w:rFonts w:ascii="Times New Roman" w:cs="Times New Roman" w:eastAsia="Times New Roman" w:hAnsi="Times New Roman"/>
          <w:sz w:val="14"/>
          <w:szCs w:val="14"/>
          <w:b w:val="1"/>
          <w:bCs w:val="1"/>
          <w:i w:val="1"/>
          <w:iCs w:val="1"/>
          <w:color w:val="auto"/>
        </w:rPr>
        <w:t>Prospectuses</w:t>
      </w:r>
      <w:r>
        <w:rPr>
          <w:rFonts w:ascii="Times New Roman" w:cs="Times New Roman" w:eastAsia="Times New Roman" w:hAnsi="Times New Roman"/>
          <w:sz w:val="14"/>
          <w:szCs w:val="14"/>
          <w:color w:val="auto"/>
        </w:rPr>
        <w:t>”) will provide for the registration by the Company of the sale or resale, as applicable, of the following securities:</w:t>
      </w:r>
    </w:p>
    <w:p>
      <w:pPr>
        <w:spacing w:after="0" w:line="81" w:lineRule="exact"/>
        <w:rPr>
          <w:sz w:val="20"/>
          <w:szCs w:val="20"/>
          <w:color w:val="auto"/>
        </w:rPr>
      </w:pPr>
    </w:p>
    <w:p>
      <w:pPr>
        <w:ind w:left="1020" w:hanging="342"/>
        <w:spacing w:after="0"/>
        <w:tabs>
          <w:tab w:leader="none" w:pos="102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Common Stock (the “</w:t>
      </w:r>
      <w:r>
        <w:rPr>
          <w:rFonts w:ascii="Times New Roman" w:cs="Times New Roman" w:eastAsia="Times New Roman" w:hAnsi="Times New Roman"/>
          <w:sz w:val="14"/>
          <w:szCs w:val="14"/>
          <w:b w:val="1"/>
          <w:bCs w:val="1"/>
          <w:i w:val="1"/>
          <w:iCs w:val="1"/>
          <w:color w:val="auto"/>
        </w:rPr>
        <w:t>Base Prospectus Shares</w:t>
      </w:r>
      <w:r>
        <w:rPr>
          <w:rFonts w:ascii="Times New Roman" w:cs="Times New Roman" w:eastAsia="Times New Roman" w:hAnsi="Times New Roman"/>
          <w:sz w:val="14"/>
          <w:szCs w:val="14"/>
          <w:color w:val="auto"/>
        </w:rPr>
        <w:t>”);</w:t>
      </w:r>
    </w:p>
    <w:p>
      <w:pPr>
        <w:spacing w:after="0" w:line="98" w:lineRule="exact"/>
        <w:rPr>
          <w:rFonts w:ascii="Times New Roman" w:cs="Times New Roman" w:eastAsia="Times New Roman" w:hAnsi="Times New Roman"/>
          <w:sz w:val="14"/>
          <w:szCs w:val="14"/>
          <w:color w:val="auto"/>
        </w:rPr>
      </w:pPr>
    </w:p>
    <w:p>
      <w:pPr>
        <w:ind w:left="1020" w:hanging="342"/>
        <w:spacing w:after="0"/>
        <w:tabs>
          <w:tab w:leader="none" w:pos="102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preferred stock, par value $0.0001 per share, of the Company (the “</w:t>
      </w:r>
      <w:r>
        <w:rPr>
          <w:rFonts w:ascii="Times New Roman" w:cs="Times New Roman" w:eastAsia="Times New Roman" w:hAnsi="Times New Roman"/>
          <w:sz w:val="14"/>
          <w:szCs w:val="14"/>
          <w:b w:val="1"/>
          <w:bCs w:val="1"/>
          <w:i w:val="1"/>
          <w:iCs w:val="1"/>
          <w:color w:val="auto"/>
        </w:rPr>
        <w:t>Preferred Stock</w:t>
      </w:r>
      <w:r>
        <w:rPr>
          <w:rFonts w:ascii="Times New Roman" w:cs="Times New Roman" w:eastAsia="Times New Roman" w:hAnsi="Times New Roman"/>
          <w:sz w:val="14"/>
          <w:szCs w:val="14"/>
          <w:color w:val="auto"/>
        </w:rPr>
        <w:t>”)</w:t>
      </w:r>
    </w:p>
    <w:p>
      <w:pPr>
        <w:spacing w:after="0" w:line="98" w:lineRule="exact"/>
        <w:rPr>
          <w:rFonts w:ascii="Times New Roman" w:cs="Times New Roman" w:eastAsia="Times New Roman" w:hAnsi="Times New Roman"/>
          <w:sz w:val="14"/>
          <w:szCs w:val="14"/>
          <w:color w:val="auto"/>
        </w:rPr>
      </w:pPr>
    </w:p>
    <w:p>
      <w:pPr>
        <w:ind w:left="1020" w:right="279" w:hanging="342"/>
        <w:spacing w:after="0" w:line="259" w:lineRule="auto"/>
        <w:tabs>
          <w:tab w:leader="none" w:pos="102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securities, in one or more series (the “</w:t>
      </w:r>
      <w:r>
        <w:rPr>
          <w:rFonts w:ascii="Times New Roman" w:cs="Times New Roman" w:eastAsia="Times New Roman" w:hAnsi="Times New Roman"/>
          <w:sz w:val="14"/>
          <w:szCs w:val="14"/>
          <w:b w:val="1"/>
          <w:bCs w:val="1"/>
          <w:i w:val="1"/>
          <w:iCs w:val="1"/>
          <w:color w:val="auto"/>
        </w:rPr>
        <w:t>Debt Securities</w:t>
      </w:r>
      <w:r>
        <w:rPr>
          <w:rFonts w:ascii="Times New Roman" w:cs="Times New Roman" w:eastAsia="Times New Roman" w:hAnsi="Times New Roman"/>
          <w:sz w:val="14"/>
          <w:szCs w:val="14"/>
          <w:color w:val="auto"/>
        </w:rPr>
        <w:t>”), which may be issued pursuant to an indenture to be dated on or about the date of the first issuance of Debt Securities thereunder, by and between a trustee to be selected by the Company (the “</w:t>
      </w:r>
      <w:r>
        <w:rPr>
          <w:rFonts w:ascii="Times New Roman" w:cs="Times New Roman" w:eastAsia="Times New Roman" w:hAnsi="Times New Roman"/>
          <w:sz w:val="14"/>
          <w:szCs w:val="14"/>
          <w:b w:val="1"/>
          <w:bCs w:val="1"/>
          <w:i w:val="1"/>
          <w:iCs w:val="1"/>
          <w:color w:val="auto"/>
        </w:rPr>
        <w:t>Trustee</w:t>
      </w:r>
      <w:r>
        <w:rPr>
          <w:rFonts w:ascii="Times New Roman" w:cs="Times New Roman" w:eastAsia="Times New Roman" w:hAnsi="Times New Roman"/>
          <w:sz w:val="14"/>
          <w:szCs w:val="14"/>
          <w:color w:val="auto"/>
        </w:rPr>
        <w:t>”) and the Company, in the form filed as Exhibit 4.5 to the Registration Statement and one or more indentures supplemental thereto with respect to any particular series of Debt Securities (the “</w:t>
      </w:r>
      <w:r>
        <w:rPr>
          <w:rFonts w:ascii="Times New Roman" w:cs="Times New Roman" w:eastAsia="Times New Roman" w:hAnsi="Times New Roman"/>
          <w:sz w:val="14"/>
          <w:szCs w:val="14"/>
          <w:b w:val="1"/>
          <w:bCs w:val="1"/>
          <w:i w:val="1"/>
          <w:iCs w:val="1"/>
          <w:color w:val="auto"/>
        </w:rPr>
        <w:t>Indenture</w:t>
      </w:r>
      <w:r>
        <w:rPr>
          <w:rFonts w:ascii="Times New Roman" w:cs="Times New Roman" w:eastAsia="Times New Roman" w:hAnsi="Times New Roman"/>
          <w:sz w:val="14"/>
          <w:szCs w:val="14"/>
          <w:color w:val="auto"/>
        </w:rPr>
        <w:t>”);</w:t>
      </w:r>
    </w:p>
    <w:p>
      <w:pPr>
        <w:spacing w:after="0" w:line="64" w:lineRule="exact"/>
        <w:rPr>
          <w:rFonts w:ascii="Times New Roman" w:cs="Times New Roman" w:eastAsia="Times New Roman" w:hAnsi="Times New Roman"/>
          <w:sz w:val="14"/>
          <w:szCs w:val="14"/>
          <w:color w:val="auto"/>
        </w:rPr>
      </w:pPr>
    </w:p>
    <w:p>
      <w:pPr>
        <w:ind w:left="1020" w:right="339" w:hanging="342"/>
        <w:spacing w:after="0" w:line="259" w:lineRule="auto"/>
        <w:tabs>
          <w:tab w:leader="none" w:pos="102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 to purchase Common Stock, Preferred Stock or Debt Securities (the “</w:t>
      </w:r>
      <w:r>
        <w:rPr>
          <w:rFonts w:ascii="Times New Roman" w:cs="Times New Roman" w:eastAsia="Times New Roman" w:hAnsi="Times New Roman"/>
          <w:sz w:val="14"/>
          <w:szCs w:val="14"/>
          <w:b w:val="1"/>
          <w:bCs w:val="1"/>
          <w:i w:val="1"/>
          <w:iCs w:val="1"/>
          <w:color w:val="auto"/>
        </w:rPr>
        <w:t>Warrants</w:t>
      </w:r>
      <w:r>
        <w:rPr>
          <w:rFonts w:ascii="Times New Roman" w:cs="Times New Roman" w:eastAsia="Times New Roman" w:hAnsi="Times New Roman"/>
          <w:sz w:val="14"/>
          <w:szCs w:val="14"/>
          <w:color w:val="auto"/>
        </w:rPr>
        <w:t>”), which may be issued under one or more warrant agreements, to be dated on or about the date of the first issuance of the Warrants thereunder, by and between a warrant agent to be selected by the Company (the “</w:t>
      </w:r>
      <w:r>
        <w:rPr>
          <w:rFonts w:ascii="Times New Roman" w:cs="Times New Roman" w:eastAsia="Times New Roman" w:hAnsi="Times New Roman"/>
          <w:sz w:val="14"/>
          <w:szCs w:val="14"/>
          <w:b w:val="1"/>
          <w:bCs w:val="1"/>
          <w:i w:val="1"/>
          <w:iCs w:val="1"/>
          <w:color w:val="auto"/>
        </w:rPr>
        <w:t>Warrant Agent</w:t>
      </w:r>
      <w:r>
        <w:rPr>
          <w:rFonts w:ascii="Times New Roman" w:cs="Times New Roman" w:eastAsia="Times New Roman" w:hAnsi="Times New Roman"/>
          <w:sz w:val="14"/>
          <w:szCs w:val="14"/>
          <w:color w:val="auto"/>
        </w:rPr>
        <w:t>”) and the Company, in the forms filed as Exhibits 4.7, 4.8 and 4.9, respectively, to the Registration Statement (each, a “</w:t>
      </w:r>
      <w:r>
        <w:rPr>
          <w:rFonts w:ascii="Times New Roman" w:cs="Times New Roman" w:eastAsia="Times New Roman" w:hAnsi="Times New Roman"/>
          <w:sz w:val="14"/>
          <w:szCs w:val="14"/>
          <w:b w:val="1"/>
          <w:bCs w:val="1"/>
          <w:i w:val="1"/>
          <w:iCs w:val="1"/>
          <w:color w:val="auto"/>
        </w:rPr>
        <w:t>Warrant Agreement</w:t>
      </w:r>
      <w:r>
        <w:rPr>
          <w:rFonts w:ascii="Times New Roman" w:cs="Times New Roman" w:eastAsia="Times New Roman" w:hAnsi="Times New Roman"/>
          <w:sz w:val="14"/>
          <w:szCs w:val="14"/>
          <w:color w:val="auto"/>
        </w:rPr>
        <w:t>”);</w:t>
      </w:r>
    </w:p>
    <w:p>
      <w:pPr>
        <w:spacing w:after="0" w:line="66" w:lineRule="exact"/>
        <w:rPr>
          <w:rFonts w:ascii="Times New Roman" w:cs="Times New Roman" w:eastAsia="Times New Roman" w:hAnsi="Times New Roman"/>
          <w:sz w:val="14"/>
          <w:szCs w:val="14"/>
          <w:color w:val="auto"/>
        </w:rPr>
      </w:pPr>
    </w:p>
    <w:p>
      <w:pPr>
        <w:ind w:left="1020" w:hanging="342"/>
        <w:spacing w:after="0"/>
        <w:tabs>
          <w:tab w:leader="none" w:pos="102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ATM Shares; and</w:t>
      </w:r>
    </w:p>
    <w:p>
      <w:pPr>
        <w:spacing w:after="0" w:line="98" w:lineRule="exact"/>
        <w:rPr>
          <w:rFonts w:ascii="Times New Roman" w:cs="Times New Roman" w:eastAsia="Times New Roman" w:hAnsi="Times New Roman"/>
          <w:sz w:val="14"/>
          <w:szCs w:val="14"/>
          <w:color w:val="auto"/>
        </w:rPr>
      </w:pPr>
    </w:p>
    <w:p>
      <w:pPr>
        <w:ind w:left="1020" w:hanging="342"/>
        <w:spacing w:after="0"/>
        <w:tabs>
          <w:tab w:leader="none" w:pos="102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Resale Shares.</w:t>
      </w:r>
    </w:p>
    <w:p>
      <w:pPr>
        <w:sectPr>
          <w:pgSz w:w="11900" w:h="16838" w:orient="portrait"/>
          <w:cols w:equalWidth="0" w:num="1">
            <w:col w:w="9019"/>
          </w:cols>
          <w:pgMar w:left="1440" w:top="123" w:right="1440" w:bottom="1440" w:gutter="0" w:footer="0" w:header="0"/>
        </w:sectPr>
      </w:pPr>
    </w:p>
    <w:bookmarkStart w:id="202" w:name="page203"/>
    <w:bookmarkEnd w:id="202"/>
    <w:p>
      <w:pPr>
        <w:ind w:left="2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6">
                      <a:extLst>
                        <a:ext uri="{28A0092B-C50C-407E-A947-70E740481C1C}"/>
                      </a:extLst>
                    </a:blip>
                    <a:srcRect/>
                    <a:stretch>
                      <a:fillRect/>
                    </a:stretch>
                  </pic:blipFill>
                  <pic:spPr bwMode="auto">
                    <a:xfrm>
                      <a:off x="0" y="0"/>
                      <a:ext cx="7202170" cy="32385"/>
                    </a:xfrm>
                    <a:prstGeom prst="rect">
                      <a:avLst/>
                    </a:prstGeom>
                    <a:noFill/>
                  </pic:spPr>
                </pic:pic>
              </a:graphicData>
            </a:graphic>
          </wp:anchor>
        </w:drawing>
        <w:drawing>
          <wp:anchor simplePos="0" relativeHeight="251657728" behindDoc="1" locked="0" layoutInCell="0" allowOverlap="1">
            <wp:simplePos x="0" y="0"/>
            <wp:positionH relativeFrom="page">
              <wp:posOffset>1083945</wp:posOffset>
            </wp:positionH>
            <wp:positionV relativeFrom="page">
              <wp:posOffset>161290</wp:posOffset>
            </wp:positionV>
            <wp:extent cx="1043305" cy="34988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7">
                      <a:clrChange>
                        <a:clrFrom>
                          <a:srgbClr val="FFFFFF"/>
                        </a:clrFrom>
                        <a:clrTo>
                          <a:srgbClr val="FFFFFF">
                            <a:alpha val="0"/>
                          </a:srgbClr>
                        </a:clrTo>
                      </a:clrChange>
                      <a:extLst>
                        <a:ext uri="{28A0092B-C50C-407E-A947-70E740481C1C}"/>
                      </a:extLst>
                    </a:blip>
                    <a:srcRect/>
                    <a:stretch>
                      <a:fillRect/>
                    </a:stretch>
                  </pic:blipFill>
                  <pic:spPr bwMode="auto">
                    <a:xfrm>
                      <a:off x="0" y="0"/>
                      <a:ext cx="1043305" cy="349885"/>
                    </a:xfrm>
                    <a:prstGeom prst="rect">
                      <a:avLst/>
                    </a:prstGeom>
                    <a:noFill/>
                  </pic:spPr>
                </pic:pic>
              </a:graphicData>
            </a:graphic>
          </wp:anchor>
        </w:drawing>
        <w:t>Tempus AI, Inc.</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August 8, 2025</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Page Two</w:t>
      </w:r>
    </w:p>
    <w:p>
      <w:pPr>
        <w:spacing w:after="0" w:line="167" w:lineRule="exact"/>
        <w:rPr>
          <w:sz w:val="20"/>
          <w:szCs w:val="20"/>
          <w:color w:val="auto"/>
        </w:rPr>
      </w:pPr>
    </w:p>
    <w:p>
      <w:pPr>
        <w:ind w:left="260" w:right="419"/>
        <w:spacing w:after="0" w:line="278" w:lineRule="auto"/>
        <w:rPr>
          <w:sz w:val="20"/>
          <w:szCs w:val="20"/>
          <w:color w:val="auto"/>
        </w:rPr>
      </w:pPr>
      <w:r>
        <w:rPr>
          <w:rFonts w:ascii="Times New Roman" w:cs="Times New Roman" w:eastAsia="Times New Roman" w:hAnsi="Times New Roman"/>
          <w:sz w:val="14"/>
          <w:szCs w:val="14"/>
          <w:color w:val="auto"/>
        </w:rPr>
        <w:t>The Base Prospectus Shares, the Preferred Stock, the Debt Securities, the Warrants, the ATM Shares, and the Resale Shares are collectively referred to herein as the “</w:t>
      </w:r>
      <w:r>
        <w:rPr>
          <w:rFonts w:ascii="Times New Roman" w:cs="Times New Roman" w:eastAsia="Times New Roman" w:hAnsi="Times New Roman"/>
          <w:sz w:val="14"/>
          <w:szCs w:val="14"/>
          <w:b w:val="1"/>
          <w:bCs w:val="1"/>
          <w:i w:val="1"/>
          <w:iCs w:val="1"/>
          <w:color w:val="auto"/>
        </w:rPr>
        <w:t>Securities</w:t>
      </w:r>
      <w:r>
        <w:rPr>
          <w:rFonts w:ascii="Times New Roman" w:cs="Times New Roman" w:eastAsia="Times New Roman" w:hAnsi="Times New Roman"/>
          <w:sz w:val="14"/>
          <w:szCs w:val="14"/>
          <w:color w:val="auto"/>
        </w:rPr>
        <w:t>.” The Securities are being registered for offer and sale from time to time pursuant to Rule 415 under the Securities Act.</w:t>
      </w:r>
    </w:p>
    <w:p>
      <w:pPr>
        <w:spacing w:after="0" w:line="126" w:lineRule="exact"/>
        <w:rPr>
          <w:sz w:val="20"/>
          <w:szCs w:val="20"/>
          <w:color w:val="auto"/>
        </w:rPr>
      </w:pPr>
    </w:p>
    <w:p>
      <w:pPr>
        <w:ind w:left="260" w:right="299"/>
        <w:spacing w:after="0" w:line="254" w:lineRule="auto"/>
        <w:rPr>
          <w:sz w:val="20"/>
          <w:szCs w:val="20"/>
          <w:color w:val="auto"/>
        </w:rPr>
      </w:pPr>
      <w:r>
        <w:rPr>
          <w:rFonts w:ascii="Times New Roman" w:cs="Times New Roman" w:eastAsia="Times New Roman" w:hAnsi="Times New Roman"/>
          <w:sz w:val="14"/>
          <w:szCs w:val="14"/>
          <w:color w:val="auto"/>
        </w:rPr>
        <w:t>In connection with this opinion, we have examined and relied upon the Registration Statement, the Prospectuses and such other records, documents, certificates, opinions,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authorization, execution and delivery are prerequisites to the effectiveness thereof. As to certain factual matters, we have relied upon a certificate of an officer of the Company and have not independently verified such matters.</w:t>
      </w:r>
    </w:p>
    <w:p>
      <w:pPr>
        <w:spacing w:after="0" w:line="142" w:lineRule="exact"/>
        <w:rPr>
          <w:sz w:val="20"/>
          <w:szCs w:val="20"/>
          <w:color w:val="auto"/>
        </w:rPr>
      </w:pPr>
    </w:p>
    <w:p>
      <w:pPr>
        <w:ind w:left="260" w:right="319"/>
        <w:spacing w:after="0" w:line="250" w:lineRule="auto"/>
        <w:rPr>
          <w:sz w:val="20"/>
          <w:szCs w:val="20"/>
          <w:color w:val="auto"/>
        </w:rPr>
      </w:pPr>
      <w:r>
        <w:rPr>
          <w:rFonts w:ascii="Times New Roman" w:cs="Times New Roman" w:eastAsia="Times New Roman" w:hAnsi="Times New Roman"/>
          <w:sz w:val="14"/>
          <w:szCs w:val="14"/>
          <w:color w:val="auto"/>
        </w:rPr>
        <w:t>We are not hereby rendering any opinion with respect to any Common Stock or Preferred Stock issuable upon the conversion or exercise, as applicable, of any Preferred Stock, Debt Securities, or any Warrants. We have also assumed that with respect to any Debt Securities issuable upon the exercise of any Warrants, the applicable Warrants will be valid and legally binding obligations of the Company, except as may be limited by applicable bankruptcy, insolvency, reorganization, arrangement, moratorium or other similar laws affecting creditors’ rights, and subject to general equity principles and to limitations on availability of equitable relief including, without limitation, specific performance. We have assumed that (i) the Company is validly existing under the laws of Nevada, has the corporate power to enter into and perform its obligations under the Debt Securities, the Indenture and the Warrants in accordance with their terms, (ii) upon issuance, the Company will have duly authorized, executed and delivered the Debt Securities, the Indenture and the Warrants in accordance with its organizational documents and the laws of Nevada, (iii) any Securities issued upon conversion of the Debt Securities or upon exercise of Warrants will be duly authorized, validly issued, fully paid and nonassessable and (iv) the execution, delivery and performance by the Company of its obligations under the Debt Securities, the Indenture and the Warrants will not violate the laws of Nevada or any other applicable laws (excepting from such assumption the laws of the State of New York). We have also assumed that any Debt Securities or any Warrants offered under the Registration Statement and the related Indenture or Warrant Agreements, as applicable, will be executed in the forms filed or will be incorporated by reference as exhibits to the Registration Statement.</w:t>
      </w:r>
    </w:p>
    <w:p>
      <w:pPr>
        <w:spacing w:after="0" w:line="149" w:lineRule="exact"/>
        <w:rPr>
          <w:sz w:val="20"/>
          <w:szCs w:val="20"/>
          <w:color w:val="auto"/>
        </w:rPr>
      </w:pPr>
    </w:p>
    <w:p>
      <w:pPr>
        <w:ind w:left="260" w:right="579"/>
        <w:spacing w:after="0" w:line="263" w:lineRule="auto"/>
        <w:rPr>
          <w:sz w:val="20"/>
          <w:szCs w:val="20"/>
          <w:color w:val="auto"/>
        </w:rPr>
      </w:pPr>
      <w:r>
        <w:rPr>
          <w:rFonts w:ascii="Times New Roman" w:cs="Times New Roman" w:eastAsia="Times New Roman" w:hAnsi="Times New Roman"/>
          <w:sz w:val="14"/>
          <w:szCs w:val="14"/>
          <w:color w:val="auto"/>
        </w:rPr>
        <w:t>Our opinion herein is expressed solely with respect to the laws of the State of New York. Our opinion is based on these laws as in effect on the date hereof. We express no opinion to the extent that any other laws are applicable to the subject matter hereof and express no opinion and provide no assurance as to compliance with any federal or state securities law, rule or regulation.</w:t>
      </w:r>
    </w:p>
    <w:p>
      <w:pPr>
        <w:spacing w:after="0" w:line="136" w:lineRule="exact"/>
        <w:rPr>
          <w:sz w:val="20"/>
          <w:szCs w:val="20"/>
          <w:color w:val="auto"/>
        </w:rPr>
      </w:pPr>
    </w:p>
    <w:p>
      <w:pPr>
        <w:ind w:left="260" w:right="299"/>
        <w:spacing w:after="0" w:line="278" w:lineRule="auto"/>
        <w:rPr>
          <w:sz w:val="20"/>
          <w:szCs w:val="20"/>
          <w:color w:val="auto"/>
        </w:rPr>
      </w:pPr>
      <w:r>
        <w:rPr>
          <w:rFonts w:ascii="Times New Roman" w:cs="Times New Roman" w:eastAsia="Times New Roman" w:hAnsi="Times New Roman"/>
          <w:sz w:val="14"/>
          <w:szCs w:val="14"/>
          <w:color w:val="auto"/>
        </w:rPr>
        <w:t>On the basis of the foregoing, in reliance thereon and subject to the assumptions, qualifications, limitations and exceptions set forth herein, we are of the opinion that:</w:t>
      </w:r>
    </w:p>
    <w:p>
      <w:pPr>
        <w:spacing w:after="0" w:line="43" w:lineRule="exact"/>
        <w:rPr>
          <w:sz w:val="20"/>
          <w:szCs w:val="20"/>
          <w:color w:val="auto"/>
        </w:rPr>
      </w:pPr>
    </w:p>
    <w:p>
      <w:pPr>
        <w:ind w:left="260" w:right="319" w:firstLine="341"/>
        <w:spacing w:after="0" w:line="253" w:lineRule="auto"/>
        <w:tabs>
          <w:tab w:leader="none" w:pos="738" w:val="left"/>
        </w:tabs>
        <w:numPr>
          <w:ilvl w:val="0"/>
          <w:numId w:val="14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With respect to any series of Debt Securities issued under the Indenture and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Indenture has been duly authorized by the Company and the Trustee by all necessary corporate action; (iii) the Indenture has been duly executed and delivered by the Company and the Trustee; (iv) the terms of the Debt Securities and their issuance and sale have been duly authorized by the Company by all necessary corporate action and the Indenture has been qualified under the Trust Indenture Act of 1939, as amended; (v) the terms of the Debt Securities and of their issuance and sale have been duly</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Cooley LLP 110 N. Wacker Drive, Suite 4200 Chicago, IL 60606</w:t>
      </w:r>
    </w:p>
    <w:p>
      <w:pPr>
        <w:jc w:val="center"/>
        <w:spacing w:after="0"/>
        <w:rPr>
          <w:sz w:val="20"/>
          <w:szCs w:val="20"/>
          <w:color w:val="auto"/>
        </w:rPr>
      </w:pPr>
      <w:r>
        <w:rPr>
          <w:rFonts w:ascii="Times New Roman" w:cs="Times New Roman" w:eastAsia="Times New Roman" w:hAnsi="Times New Roman"/>
          <w:sz w:val="11"/>
          <w:szCs w:val="11"/>
          <w:color w:val="auto"/>
        </w:rPr>
        <w:t>t: (312) 881-6500 f: (312) 881-6598 cooley.com</w:t>
      </w:r>
    </w:p>
    <w:p>
      <w:pPr>
        <w:sectPr>
          <w:pgSz w:w="11900" w:h="16838" w:orient="portrait"/>
          <w:cols w:equalWidth="0" w:num="1">
            <w:col w:w="9019"/>
          </w:cols>
          <w:pgMar w:left="1440" w:top="988" w:right="1440" w:bottom="1440" w:gutter="0" w:footer="0" w:header="0"/>
        </w:sectPr>
      </w:pPr>
    </w:p>
    <w:bookmarkStart w:id="203" w:name="page204"/>
    <w:bookmarkEnd w:id="203"/>
    <w:p>
      <w:pPr>
        <w:ind w:left="2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8">
                      <a:extLst>
                        <a:ext uri="{28A0092B-C50C-407E-A947-70E740481C1C}"/>
                      </a:extLst>
                    </a:blip>
                    <a:srcRect/>
                    <a:stretch>
                      <a:fillRect/>
                    </a:stretch>
                  </pic:blipFill>
                  <pic:spPr bwMode="auto">
                    <a:xfrm>
                      <a:off x="0" y="0"/>
                      <a:ext cx="7202170" cy="32385"/>
                    </a:xfrm>
                    <a:prstGeom prst="rect">
                      <a:avLst/>
                    </a:prstGeom>
                    <a:noFill/>
                  </pic:spPr>
                </pic:pic>
              </a:graphicData>
            </a:graphic>
          </wp:anchor>
        </w:drawing>
        <w:drawing>
          <wp:anchor simplePos="0" relativeHeight="251657728" behindDoc="1" locked="0" layoutInCell="0" allowOverlap="1">
            <wp:simplePos x="0" y="0"/>
            <wp:positionH relativeFrom="page">
              <wp:posOffset>1083945</wp:posOffset>
            </wp:positionH>
            <wp:positionV relativeFrom="page">
              <wp:posOffset>161290</wp:posOffset>
            </wp:positionV>
            <wp:extent cx="1043305" cy="3498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9">
                      <a:clrChange>
                        <a:clrFrom>
                          <a:srgbClr val="FFFFFF"/>
                        </a:clrFrom>
                        <a:clrTo>
                          <a:srgbClr val="FFFFFF">
                            <a:alpha val="0"/>
                          </a:srgbClr>
                        </a:clrTo>
                      </a:clrChange>
                      <a:extLst>
                        <a:ext uri="{28A0092B-C50C-407E-A947-70E740481C1C}"/>
                      </a:extLst>
                    </a:blip>
                    <a:srcRect/>
                    <a:stretch>
                      <a:fillRect/>
                    </a:stretch>
                  </pic:blipFill>
                  <pic:spPr bwMode="auto">
                    <a:xfrm>
                      <a:off x="0" y="0"/>
                      <a:ext cx="1043305" cy="349885"/>
                    </a:xfrm>
                    <a:prstGeom prst="rect">
                      <a:avLst/>
                    </a:prstGeom>
                    <a:noFill/>
                  </pic:spPr>
                </pic:pic>
              </a:graphicData>
            </a:graphic>
          </wp:anchor>
        </w:drawing>
        <w:t>Tempus AI, Inc.</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August 8, 2025</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Page Three</w:t>
      </w:r>
    </w:p>
    <w:p>
      <w:pPr>
        <w:spacing w:after="0" w:line="157" w:lineRule="exact"/>
        <w:rPr>
          <w:sz w:val="20"/>
          <w:szCs w:val="20"/>
          <w:color w:val="auto"/>
        </w:rPr>
      </w:pPr>
    </w:p>
    <w:p>
      <w:pPr>
        <w:ind w:left="260" w:right="319"/>
        <w:spacing w:after="0" w:line="251" w:lineRule="auto"/>
        <w:rPr>
          <w:sz w:val="20"/>
          <w:szCs w:val="20"/>
          <w:color w:val="auto"/>
        </w:rPr>
      </w:pPr>
      <w:r>
        <w:rPr>
          <w:rFonts w:ascii="Times New Roman" w:cs="Times New Roman" w:eastAsia="Times New Roman" w:hAnsi="Times New Roman"/>
          <w:sz w:val="14"/>
          <w:szCs w:val="14"/>
          <w:color w:val="auto"/>
        </w:rPr>
        <w:t>established in conformity with the Indenture so as not to violate any applicable law or result in a default under or breach of any agreement or instrument binding upon the Company, so as to be in conformity with the Company’s then operative articles of incorporation (the “</w:t>
      </w:r>
      <w:r>
        <w:rPr>
          <w:rFonts w:ascii="Times New Roman" w:cs="Times New Roman" w:eastAsia="Times New Roman" w:hAnsi="Times New Roman"/>
          <w:sz w:val="14"/>
          <w:szCs w:val="14"/>
          <w:b w:val="1"/>
          <w:bCs w:val="1"/>
          <w:i w:val="1"/>
          <w:iCs w:val="1"/>
          <w:color w:val="auto"/>
        </w:rPr>
        <w:t>Articles of Incorporation</w:t>
      </w:r>
      <w:r>
        <w:rPr>
          <w:rFonts w:ascii="Times New Roman" w:cs="Times New Roman" w:eastAsia="Times New Roman" w:hAnsi="Times New Roman"/>
          <w:sz w:val="14"/>
          <w:szCs w:val="14"/>
          <w:color w:val="auto"/>
        </w:rPr>
        <w:t>”) and bylaws (the “</w:t>
      </w:r>
      <w:r>
        <w:rPr>
          <w:rFonts w:ascii="Times New Roman" w:cs="Times New Roman" w:eastAsia="Times New Roman" w:hAnsi="Times New Roman"/>
          <w:sz w:val="14"/>
          <w:szCs w:val="14"/>
          <w:b w:val="1"/>
          <w:bCs w:val="1"/>
          <w:i w:val="1"/>
          <w:iCs w:val="1"/>
          <w:color w:val="auto"/>
        </w:rPr>
        <w:t>Bylaws</w:t>
      </w:r>
      <w:r>
        <w:rPr>
          <w:rFonts w:ascii="Times New Roman" w:cs="Times New Roman" w:eastAsia="Times New Roman" w:hAnsi="Times New Roman"/>
          <w:sz w:val="14"/>
          <w:szCs w:val="14"/>
          <w:color w:val="auto"/>
        </w:rPr>
        <w:t>”), and so as to comply with any requirement or restriction imposed by any court or governmental body having jurisdiction over the Company; and (vi) the notes representing the Debt Securities have been duly executed and delivered by the Company and authenticated by the Trustee pursuant to the Indenture and delivered against payment therefor, then the Debt Securities, when issued and sold in accordance with the Indenture and a duly authorized, executed and delivered purchase, underwriting or similar agreement or upon exercise of any Warrants in accordance with their terms,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spacing w:after="0" w:line="65" w:lineRule="exact"/>
        <w:rPr>
          <w:sz w:val="20"/>
          <w:szCs w:val="20"/>
          <w:color w:val="auto"/>
        </w:rPr>
      </w:pPr>
    </w:p>
    <w:p>
      <w:pPr>
        <w:ind w:left="260" w:right="299" w:firstLine="341"/>
        <w:spacing w:after="0" w:line="271" w:lineRule="auto"/>
        <w:tabs>
          <w:tab w:leader="none" w:pos="738" w:val="left"/>
        </w:tabs>
        <w:numPr>
          <w:ilvl w:val="0"/>
          <w:numId w:val="14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With respect to the Warrants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any applicable Warrant Agreement has been duly authorized by the Company and the Warrant Agent by all necessary corporate action; (iii) the Warrants and any applicable Warrant Agreement has been duly executed and delivered by the Company and, if applicable, the Warrant Agent; (iv) the issuance and terms of the Warrants have been duly authorized by the Company by all necessary corporate action; (v) the terms of the Warrants and of their issuance and sale have been duly established in conformity with any applicable Warrant Agreement and as described in the Registration Statement, the Base Prospectus and the related Prospectus Supplements, so as not to violate any applicable law or result in a default under or breach of any agreement or instrument binding upon the Company, so as to be in conformity with the Articles of Incorporation and the Bylaws, and so as to comply with any requirement or restriction imposed by any court or governmental body having jurisdiction over the Company; and (vi) the Warrants have been duly executed and delivered by the Company and, if applicable, authenticated by the Warrant Agent pursuant to the applicable Warrant Agreement and delivered against payment therefor, then the Warrants, when issued and sold in accordance with any applicable Warrant Agreement and a duly authorized, executed and delivered purchase, underwriting or similar agreement,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spacing w:after="0" w:line="132" w:lineRule="exact"/>
        <w:rPr>
          <w:sz w:val="20"/>
          <w:szCs w:val="20"/>
          <w:color w:val="auto"/>
        </w:rPr>
      </w:pPr>
    </w:p>
    <w:p>
      <w:pPr>
        <w:ind w:left="260" w:right="319"/>
        <w:spacing w:after="0" w:line="258" w:lineRule="auto"/>
        <w:rPr>
          <w:sz w:val="20"/>
          <w:szCs w:val="20"/>
          <w:color w:val="auto"/>
        </w:rPr>
      </w:pPr>
      <w:r>
        <w:rPr>
          <w:rFonts w:ascii="Times New Roman" w:cs="Times New Roman" w:eastAsia="Times New Roman" w:hAnsi="Times New Roman"/>
          <w:sz w:val="14"/>
          <w:szCs w:val="14"/>
          <w:color w:val="auto"/>
        </w:rPr>
        <w:t>Our opinion set forth above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spacing w:after="0" w:line="140" w:lineRule="exact"/>
        <w:rPr>
          <w:sz w:val="20"/>
          <w:szCs w:val="20"/>
          <w:color w:val="auto"/>
        </w:rPr>
      </w:pPr>
    </w:p>
    <w:p>
      <w:pPr>
        <w:ind w:left="260" w:right="319"/>
        <w:spacing w:after="0" w:line="263" w:lineRule="auto"/>
        <w:rPr>
          <w:sz w:val="20"/>
          <w:szCs w:val="20"/>
          <w:color w:val="auto"/>
        </w:rPr>
      </w:pPr>
      <w:r>
        <w:rPr>
          <w:rFonts w:ascii="Times New Roman" w:cs="Times New Roman" w:eastAsia="Times New Roman" w:hAnsi="Times New Roman"/>
          <w:sz w:val="14"/>
          <w:szCs w:val="14"/>
          <w:color w:val="auto"/>
        </w:rPr>
        <w:t>We hereby consent to the filing of this opinion as an exhibit to the Registration Statement and to the reference to our firm under the caption “Legal Matters” in the Base Prospectus. In giving such consent, we do not thereby admit that we are in the category of persons whose consent is required under Section 7 of the Securities Act or the rules and regulations of the Commission thereunder.</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Cooley LLP 110 N. Wacker Drive, Suite 4200 Chicago, IL 60606</w:t>
      </w:r>
    </w:p>
    <w:p>
      <w:pPr>
        <w:jc w:val="center"/>
        <w:spacing w:after="0"/>
        <w:rPr>
          <w:sz w:val="20"/>
          <w:szCs w:val="20"/>
          <w:color w:val="auto"/>
        </w:rPr>
      </w:pPr>
      <w:r>
        <w:rPr>
          <w:rFonts w:ascii="Times New Roman" w:cs="Times New Roman" w:eastAsia="Times New Roman" w:hAnsi="Times New Roman"/>
          <w:sz w:val="11"/>
          <w:szCs w:val="11"/>
          <w:color w:val="auto"/>
        </w:rPr>
        <w:t>t: (312) 881-6500 f: (312) 881-6598 cooley.com</w:t>
      </w:r>
    </w:p>
    <w:p>
      <w:pPr>
        <w:sectPr>
          <w:pgSz w:w="11900" w:h="16838" w:orient="portrait"/>
          <w:cols w:equalWidth="0" w:num="1">
            <w:col w:w="9019"/>
          </w:cols>
          <w:pgMar w:left="1440" w:top="956" w:right="1440" w:bottom="1440" w:gutter="0" w:footer="0" w:header="0"/>
        </w:sectPr>
      </w:pPr>
    </w:p>
    <w:bookmarkStart w:id="204" w:name="page205"/>
    <w:bookmarkEnd w:id="204"/>
    <w:p>
      <w:pPr>
        <w:ind w:left="2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0">
                      <a:extLst>
                        <a:ext uri="{28A0092B-C50C-407E-A947-70E740481C1C}"/>
                      </a:extLst>
                    </a:blip>
                    <a:srcRect/>
                    <a:stretch>
                      <a:fillRect/>
                    </a:stretch>
                  </pic:blipFill>
                  <pic:spPr bwMode="auto">
                    <a:xfrm>
                      <a:off x="0" y="0"/>
                      <a:ext cx="7202170" cy="32385"/>
                    </a:xfrm>
                    <a:prstGeom prst="rect">
                      <a:avLst/>
                    </a:prstGeom>
                    <a:noFill/>
                  </pic:spPr>
                </pic:pic>
              </a:graphicData>
            </a:graphic>
          </wp:anchor>
        </w:drawing>
        <w:drawing>
          <wp:anchor simplePos="0" relativeHeight="251657728" behindDoc="1" locked="0" layoutInCell="0" allowOverlap="1">
            <wp:simplePos x="0" y="0"/>
            <wp:positionH relativeFrom="page">
              <wp:posOffset>1083945</wp:posOffset>
            </wp:positionH>
            <wp:positionV relativeFrom="page">
              <wp:posOffset>161290</wp:posOffset>
            </wp:positionV>
            <wp:extent cx="1043305" cy="3498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1">
                      <a:clrChange>
                        <a:clrFrom>
                          <a:srgbClr val="FFFFFF"/>
                        </a:clrFrom>
                        <a:clrTo>
                          <a:srgbClr val="FFFFFF">
                            <a:alpha val="0"/>
                          </a:srgbClr>
                        </a:clrTo>
                      </a:clrChange>
                      <a:extLst>
                        <a:ext uri="{28A0092B-C50C-407E-A947-70E740481C1C}"/>
                      </a:extLst>
                    </a:blip>
                    <a:srcRect/>
                    <a:stretch>
                      <a:fillRect/>
                    </a:stretch>
                  </pic:blipFill>
                  <pic:spPr bwMode="auto">
                    <a:xfrm>
                      <a:off x="0" y="0"/>
                      <a:ext cx="1043305" cy="349885"/>
                    </a:xfrm>
                    <a:prstGeom prst="rect">
                      <a:avLst/>
                    </a:prstGeom>
                    <a:noFill/>
                  </pic:spPr>
                </pic:pic>
              </a:graphicData>
            </a:graphic>
          </wp:anchor>
        </w:drawing>
        <w:t>Tempus AI, Inc.</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August 8, 2025</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Page Four</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Sincerely,</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Cooley LLP</w:t>
      </w:r>
    </w:p>
    <w:p>
      <w:pPr>
        <w:spacing w:after="0" w:line="172" w:lineRule="exact"/>
        <w:rPr>
          <w:sz w:val="20"/>
          <w:szCs w:val="20"/>
          <w:color w:val="auto"/>
        </w:rPr>
      </w:pPr>
    </w:p>
    <w:p>
      <w:pPr>
        <w:jc w:val="right"/>
        <w:ind w:right="7359"/>
        <w:spacing w:after="0"/>
        <w:rPr>
          <w:sz w:val="20"/>
          <w:szCs w:val="20"/>
          <w:color w:val="auto"/>
        </w:rPr>
      </w:pPr>
      <w:r>
        <w:rPr>
          <w:rFonts w:ascii="Times New Roman" w:cs="Times New Roman" w:eastAsia="Times New Roman" w:hAnsi="Times New Roman"/>
          <w:sz w:val="14"/>
          <w:szCs w:val="14"/>
          <w:color w:val="auto"/>
        </w:rPr>
        <w:t>By: /s/ Christina Roupas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12700</wp:posOffset>
            </wp:positionV>
            <wp:extent cx="1974215" cy="63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2">
                      <a:extLst>
                        <a:ext uri="{28A0092B-C50C-407E-A947-70E740481C1C}"/>
                      </a:extLst>
                    </a:blip>
                    <a:srcRect/>
                    <a:stretch>
                      <a:fillRect/>
                    </a:stretch>
                  </pic:blipFill>
                  <pic:spPr bwMode="auto">
                    <a:xfrm>
                      <a:off x="0" y="0"/>
                      <a:ext cx="1974215" cy="6350"/>
                    </a:xfrm>
                    <a:prstGeom prst="rect">
                      <a:avLst/>
                    </a:prstGeom>
                    <a:noFill/>
                  </pic:spPr>
                </pic:pic>
              </a:graphicData>
            </a:graphic>
          </wp:anchor>
        </w:drawing>
      </w:r>
    </w:p>
    <w:p>
      <w:pPr>
        <w:spacing w:after="0" w:line="6" w:lineRule="exact"/>
        <w:rPr>
          <w:sz w:val="20"/>
          <w:szCs w:val="20"/>
          <w:color w:val="auto"/>
        </w:rPr>
      </w:pPr>
    </w:p>
    <w:p>
      <w:pPr>
        <w:jc w:val="right"/>
        <w:ind w:right="7379"/>
        <w:spacing w:after="0"/>
        <w:rPr>
          <w:sz w:val="20"/>
          <w:szCs w:val="20"/>
          <w:color w:val="auto"/>
        </w:rPr>
      </w:pPr>
      <w:r>
        <w:rPr>
          <w:rFonts w:ascii="Times New Roman" w:cs="Times New Roman" w:eastAsia="Times New Roman" w:hAnsi="Times New Roman"/>
          <w:sz w:val="14"/>
          <w:szCs w:val="14"/>
          <w:color w:val="auto"/>
        </w:rPr>
        <w:t>Christina Roupas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Cooley LLP 110 N. Wacker Drive, Suite 4200 Chicago, IL 60606</w:t>
      </w:r>
    </w:p>
    <w:p>
      <w:pPr>
        <w:jc w:val="center"/>
        <w:spacing w:after="0"/>
        <w:rPr>
          <w:sz w:val="20"/>
          <w:szCs w:val="20"/>
          <w:color w:val="auto"/>
        </w:rPr>
      </w:pPr>
      <w:r>
        <w:rPr>
          <w:rFonts w:ascii="Times New Roman" w:cs="Times New Roman" w:eastAsia="Times New Roman" w:hAnsi="Times New Roman"/>
          <w:sz w:val="11"/>
          <w:szCs w:val="11"/>
          <w:color w:val="auto"/>
        </w:rPr>
        <w:t>t: (312) 881-6500 f: (312) 881-6598 cooley.com</w:t>
      </w:r>
    </w:p>
    <w:p>
      <w:pPr>
        <w:sectPr>
          <w:pgSz w:w="11900" w:h="16838" w:orient="portrait"/>
          <w:cols w:equalWidth="0" w:num="1">
            <w:col w:w="9019"/>
          </w:cols>
          <w:pgMar w:left="1440" w:top="956" w:right="1440" w:bottom="1440" w:gutter="0" w:footer="0" w:header="0"/>
        </w:sectPr>
      </w:pPr>
    </w:p>
    <w:bookmarkStart w:id="205" w:name="page206"/>
    <w:bookmarkEnd w:id="205"/>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4" w:lineRule="exact"/>
        <w:rPr>
          <w:sz w:val="20"/>
          <w:szCs w:val="20"/>
          <w:color w:val="auto"/>
        </w:rPr>
      </w:pPr>
    </w:p>
    <w:p>
      <w:pPr>
        <w:ind w:left="260" w:right="439"/>
        <w:spacing w:after="0" w:line="263" w:lineRule="auto"/>
        <w:rPr>
          <w:sz w:val="20"/>
          <w:szCs w:val="20"/>
          <w:color w:val="auto"/>
        </w:rPr>
      </w:pPr>
      <w:r>
        <w:rPr>
          <w:rFonts w:ascii="Times New Roman" w:cs="Times New Roman" w:eastAsia="Times New Roman" w:hAnsi="Times New Roman"/>
          <w:sz w:val="14"/>
          <w:szCs w:val="14"/>
          <w:color w:val="auto"/>
        </w:rPr>
        <w:t>We hereby consent to the incorporation by reference in this Registration Statement on Form S-3 of Tempus AI, Inc. of our report dated February 24, 2025 relating to the financial statements which appears in Tempus AI, Inc.’s Annual Report on Form 10-K for the year ended December 31, 2024. We also consent to the reference to us under the heading “Experts” in such Registration Statement.</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Chicago, Illinois</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August 8, 2025</w:t>
      </w:r>
    </w:p>
    <w:p>
      <w:pPr>
        <w:sectPr>
          <w:pgSz w:w="11900" w:h="16838" w:orient="portrait"/>
          <w:cols w:equalWidth="0" w:num="1">
            <w:col w:w="9019"/>
          </w:cols>
          <w:pgMar w:left="1440" w:top="123" w:right="1440" w:bottom="1440" w:gutter="0" w:footer="0" w:header="0"/>
        </w:sectPr>
      </w:pPr>
    </w:p>
    <w:bookmarkStart w:id="206" w:name="page207"/>
    <w:bookmarkEnd w:id="206"/>
    <w:p>
      <w:pPr>
        <w:spacing w:after="0" w:line="61" w:lineRule="exact"/>
        <w:rPr>
          <w:sz w:val="20"/>
          <w:szCs w:val="20"/>
          <w:color w:val="auto"/>
        </w:rPr>
      </w:pPr>
    </w:p>
    <w:p>
      <w:pPr>
        <w:ind w:left="3520"/>
        <w:spacing w:after="0"/>
        <w:rPr>
          <w:sz w:val="20"/>
          <w:szCs w:val="20"/>
          <w:color w:val="auto"/>
        </w:rPr>
      </w:pPr>
      <w:r>
        <w:rPr>
          <w:rFonts w:ascii="Arial" w:cs="Arial" w:eastAsia="Arial" w:hAnsi="Arial"/>
          <w:sz w:val="28"/>
          <w:szCs w:val="28"/>
          <w:b w:val="1"/>
          <w:bCs w:val="1"/>
          <w:color w:val="auto"/>
        </w:rPr>
        <w:t>Calculation of Filing Fee Tables</w:t>
      </w:r>
    </w:p>
    <w:p>
      <w:pPr>
        <w:spacing w:after="0" w:line="167"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4"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Tempus AI, Inc.</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40" w:type="dxa"/>
            <w:vAlign w:val="bottom"/>
            <w:tcBorders>
              <w:bottom w:val="single" w:sz="8" w:color="auto"/>
            </w:tcBorders>
          </w:tcPr>
          <w:p>
            <w:pPr>
              <w:spacing w:after="0"/>
              <w:rPr>
                <w:sz w:val="23"/>
                <w:szCs w:val="23"/>
                <w:color w:val="auto"/>
              </w:rPr>
            </w:pPr>
          </w:p>
        </w:tc>
        <w:tc>
          <w:tcPr>
            <w:tcW w:w="514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4"/>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Filing Fee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Previously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Proposed</w:t>
            </w: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Paid in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4"/>
              </w:rPr>
              <w:t>Carry</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Connection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20"/>
              <w:spacing w:after="0" w:line="187" w:lineRule="exact"/>
              <w:rPr>
                <w:sz w:val="20"/>
                <w:szCs w:val="20"/>
                <w:color w:val="auto"/>
              </w:rPr>
            </w:pPr>
            <w:r>
              <w:rPr>
                <w:rFonts w:ascii="Arial" w:cs="Arial" w:eastAsia="Arial" w:hAnsi="Arial"/>
                <w:sz w:val="17"/>
                <w:szCs w:val="17"/>
                <w:b w:val="1"/>
                <w:bCs w:val="1"/>
                <w:color w:val="auto"/>
                <w:w w:val="95"/>
              </w:rPr>
              <w:t>Security</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6"/>
                <w:szCs w:val="16"/>
                <w:color w:val="auto"/>
              </w:rPr>
            </w:pPr>
          </w:p>
        </w:tc>
        <w:tc>
          <w:tcPr>
            <w:tcW w:w="940" w:type="dxa"/>
            <w:vAlign w:val="bottom"/>
            <w:shd w:val="clear" w:color="auto" w:fill="9ADAF6"/>
          </w:tcPr>
          <w:p>
            <w:pPr>
              <w:jc w:val="right"/>
              <w:ind w:right="77"/>
              <w:spacing w:after="0" w:line="187"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right"/>
              <w:spacing w:after="0" w:line="187" w:lineRule="exact"/>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Forward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with</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60"/>
              <w:spacing w:after="0" w:line="187"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Class</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6"/>
                <w:szCs w:val="16"/>
                <w:color w:val="auto"/>
              </w:rPr>
            </w:pPr>
          </w:p>
        </w:tc>
        <w:tc>
          <w:tcPr>
            <w:tcW w:w="940" w:type="dxa"/>
            <w:vAlign w:val="bottom"/>
            <w:shd w:val="clear" w:color="auto" w:fill="9ADAF6"/>
          </w:tcPr>
          <w:p>
            <w:pPr>
              <w:jc w:val="right"/>
              <w:spacing w:after="0" w:line="187"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00" w:type="dxa"/>
            <w:vAlign w:val="bottom"/>
            <w:shd w:val="clear" w:color="auto" w:fill="9ADAF6"/>
          </w:tcPr>
          <w:p>
            <w:pPr>
              <w:jc w:val="right"/>
              <w:spacing w:after="0" w:line="187"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Offering Price</w:t>
            </w: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right"/>
              <w:ind w:right="257"/>
              <w:spacing w:after="0" w:line="187"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Effective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Securities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Rule</w:t>
            </w: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to be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Carried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20" w:type="dxa"/>
            <w:vAlign w:val="bottom"/>
            <w:gridSpan w:val="5"/>
          </w:tcPr>
          <w:p>
            <w:pPr>
              <w:ind w:left="200"/>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ind w:left="20"/>
              <w:spacing w:after="0" w:line="182" w:lineRule="exact"/>
              <w:rPr>
                <w:sz w:val="20"/>
                <w:szCs w:val="20"/>
                <w:color w:val="auto"/>
              </w:rPr>
            </w:pPr>
            <w:r>
              <w:rPr>
                <w:rFonts w:ascii="Arial" w:cs="Arial" w:eastAsia="Arial" w:hAnsi="Arial"/>
                <w:sz w:val="17"/>
                <w:szCs w:val="17"/>
                <w:color w:val="auto"/>
              </w:rPr>
              <w:t>Class A</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6"/>
                <w:szCs w:val="16"/>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76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0.0001531</w:t>
            </w: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40" w:type="dxa"/>
            <w:vAlign w:val="bottom"/>
          </w:tcPr>
          <w:p>
            <w:pPr>
              <w:spacing w:after="0"/>
              <w:rPr>
                <w:sz w:val="10"/>
                <w:szCs w:val="10"/>
                <w:color w:val="auto"/>
              </w:rPr>
            </w:pPr>
          </w:p>
        </w:tc>
        <w:tc>
          <w:tcPr>
            <w:tcW w:w="780" w:type="dxa"/>
            <w:vAlign w:val="bottom"/>
            <w:vMerge w:val="restart"/>
            <w:shd w:val="clear" w:color="auto" w:fill="E7E7E2"/>
          </w:tcPr>
          <w:p>
            <w:pPr>
              <w:spacing w:after="0" w:line="187"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0"/>
                <w:szCs w:val="10"/>
                <w:color w:val="auto"/>
              </w:rPr>
            </w:pPr>
          </w:p>
        </w:tc>
        <w:tc>
          <w:tcPr>
            <w:tcW w:w="1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restart"/>
            <w:shd w:val="clear" w:color="auto" w:fill="E7E7E2"/>
          </w:tcPr>
          <w:p>
            <w:pPr>
              <w:ind w:left="20"/>
              <w:spacing w:after="0" w:line="187" w:lineRule="exact"/>
              <w:rPr>
                <w:sz w:val="20"/>
                <w:szCs w:val="20"/>
                <w:color w:val="auto"/>
              </w:rPr>
            </w:pPr>
            <w:r>
              <w:rPr>
                <w:rFonts w:ascii="Arial" w:cs="Arial" w:eastAsia="Arial" w:hAnsi="Arial"/>
                <w:sz w:val="17"/>
                <w:szCs w:val="17"/>
                <w:color w:val="auto"/>
              </w:rPr>
              <w:t>par value</w:t>
            </w:r>
          </w:p>
        </w:tc>
        <w:tc>
          <w:tcPr>
            <w:tcW w:w="20" w:type="dxa"/>
            <w:vAlign w:val="bottom"/>
          </w:tcPr>
          <w:p>
            <w:pPr>
              <w:spacing w:after="0"/>
              <w:rPr>
                <w:sz w:val="10"/>
                <w:szCs w:val="10"/>
                <w:color w:val="auto"/>
              </w:rPr>
            </w:pPr>
          </w:p>
        </w:tc>
        <w:tc>
          <w:tcPr>
            <w:tcW w:w="9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40" w:type="dxa"/>
            <w:vAlign w:val="bottom"/>
          </w:tcPr>
          <w:p>
            <w:pPr>
              <w:spacing w:after="0"/>
              <w:rPr>
                <w:sz w:val="5"/>
                <w:szCs w:val="5"/>
                <w:color w:val="auto"/>
              </w:rPr>
            </w:pPr>
          </w:p>
        </w:tc>
        <w:tc>
          <w:tcPr>
            <w:tcW w:w="78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$0.0001</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ind w:left="20"/>
              <w:spacing w:after="0"/>
              <w:rPr>
                <w:sz w:val="20"/>
                <w:szCs w:val="20"/>
                <w:color w:val="auto"/>
              </w:rPr>
            </w:pPr>
            <w:r>
              <w:rPr>
                <w:rFonts w:ascii="Arial" w:cs="Arial" w:eastAsia="Arial" w:hAnsi="Arial"/>
                <w:sz w:val="17"/>
                <w:szCs w:val="17"/>
                <w:color w:val="auto"/>
              </w:rPr>
              <w:t>per 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ind w:left="20"/>
              <w:spacing w:after="0" w:line="176" w:lineRule="exact"/>
              <w:rPr>
                <w:sz w:val="20"/>
                <w:szCs w:val="20"/>
                <w:color w:val="auto"/>
              </w:rPr>
            </w:pPr>
            <w:r>
              <w:rPr>
                <w:rFonts w:ascii="Arial" w:cs="Arial" w:eastAsia="Arial" w:hAnsi="Arial"/>
                <w:sz w:val="17"/>
                <w:szCs w:val="17"/>
                <w:color w:val="auto"/>
              </w:rPr>
              <w:t>Preferred</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line="187" w:lineRule="exact"/>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8"/>
                <w:szCs w:val="8"/>
                <w:color w:val="auto"/>
              </w:rPr>
            </w:pPr>
          </w:p>
        </w:tc>
        <w:tc>
          <w:tcPr>
            <w:tcW w:w="680" w:type="dxa"/>
            <w:vAlign w:val="bottom"/>
            <w:vMerge w:val="restart"/>
            <w:shd w:val="clear" w:color="auto" w:fill="E7E7E2"/>
          </w:tcPr>
          <w:p>
            <w:pPr>
              <w:ind w:left="20"/>
              <w:spacing w:after="0" w:line="187"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60" w:type="dxa"/>
            <w:vAlign w:val="bottom"/>
            <w:vMerge w:val="restart"/>
            <w:shd w:val="clear" w:color="auto" w:fill="E7E7E2"/>
          </w:tcPr>
          <w:p>
            <w:pPr>
              <w:ind w:left="20"/>
              <w:spacing w:after="0" w:line="187" w:lineRule="exact"/>
              <w:rPr>
                <w:sz w:val="20"/>
                <w:szCs w:val="20"/>
                <w:color w:val="auto"/>
              </w:rPr>
            </w:pPr>
            <w:r>
              <w:rPr>
                <w:rFonts w:ascii="Arial" w:cs="Arial" w:eastAsia="Arial" w:hAnsi="Arial"/>
                <w:sz w:val="17"/>
                <w:szCs w:val="17"/>
                <w:color w:val="auto"/>
              </w:rPr>
              <w:t>par value</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line="187" w:lineRule="exact"/>
              <w:rPr>
                <w:sz w:val="20"/>
                <w:szCs w:val="20"/>
                <w:color w:val="auto"/>
              </w:rPr>
            </w:pPr>
            <w:r>
              <w:rPr>
                <w:rFonts w:ascii="Arial" w:cs="Arial" w:eastAsia="Arial" w:hAnsi="Arial"/>
                <w:sz w:val="17"/>
                <w:szCs w:val="17"/>
                <w:color w:val="auto"/>
              </w:rPr>
              <w:t>457(r)</w:t>
            </w: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restart"/>
            <w:shd w:val="clear" w:color="auto" w:fill="E7E7E2"/>
          </w:tcPr>
          <w:p>
            <w:pPr>
              <w:jc w:val="center"/>
              <w:spacing w:after="0" w:line="187" w:lineRule="exact"/>
              <w:rPr>
                <w:sz w:val="20"/>
                <w:szCs w:val="20"/>
                <w:color w:val="auto"/>
              </w:rPr>
            </w:pPr>
            <w:r>
              <w:rPr>
                <w:rFonts w:ascii="Arial" w:cs="Arial" w:eastAsia="Arial" w:hAnsi="Arial"/>
                <w:sz w:val="17"/>
                <w:szCs w:val="17"/>
                <w:color w:val="auto"/>
                <w:w w:val="97"/>
              </w:rPr>
              <w:t>0.0001531</w:t>
            </w: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4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restart"/>
            <w:shd w:val="clear" w:color="auto" w:fill="E7E7E2"/>
          </w:tcPr>
          <w:p>
            <w:pPr>
              <w:ind w:left="20"/>
              <w:spacing w:after="0" w:line="187" w:lineRule="exact"/>
              <w:rPr>
                <w:sz w:val="20"/>
                <w:szCs w:val="20"/>
                <w:color w:val="auto"/>
              </w:rPr>
            </w:pPr>
            <w:r>
              <w:rPr>
                <w:rFonts w:ascii="Arial" w:cs="Arial" w:eastAsia="Arial" w:hAnsi="Arial"/>
                <w:sz w:val="17"/>
                <w:szCs w:val="17"/>
                <w:color w:val="auto"/>
              </w:rPr>
              <w:t>$0.0001</w:t>
            </w: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40" w:type="dxa"/>
            <w:vAlign w:val="bottom"/>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ind w:left="20"/>
              <w:spacing w:after="0"/>
              <w:rPr>
                <w:sz w:val="20"/>
                <w:szCs w:val="20"/>
                <w:color w:val="auto"/>
              </w:rPr>
            </w:pPr>
            <w:r>
              <w:rPr>
                <w:rFonts w:ascii="Arial" w:cs="Arial" w:eastAsia="Arial" w:hAnsi="Arial"/>
                <w:sz w:val="17"/>
                <w:szCs w:val="17"/>
                <w:color w:val="auto"/>
              </w:rPr>
              <w:t>per 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Pr>
          <w:p>
            <w:pPr>
              <w:spacing w:after="0"/>
              <w:rPr>
                <w:sz w:val="15"/>
                <w:szCs w:val="15"/>
                <w:color w:val="auto"/>
              </w:rPr>
            </w:pPr>
          </w:p>
        </w:tc>
        <w:tc>
          <w:tcPr>
            <w:tcW w:w="78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3</w:t>
            </w:r>
          </w:p>
        </w:tc>
        <w:tc>
          <w:tcPr>
            <w:tcW w:w="20" w:type="dxa"/>
            <w:vAlign w:val="bottom"/>
          </w:tcPr>
          <w:p>
            <w:pPr>
              <w:spacing w:after="0"/>
              <w:rPr>
                <w:sz w:val="15"/>
                <w:szCs w:val="15"/>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15"/>
                <w:szCs w:val="15"/>
                <w:color w:val="auto"/>
              </w:rPr>
            </w:pPr>
          </w:p>
        </w:tc>
        <w:tc>
          <w:tcPr>
            <w:tcW w:w="760" w:type="dxa"/>
            <w:vAlign w:val="bottom"/>
            <w:shd w:val="clear" w:color="auto" w:fill="E7E7E2"/>
          </w:tcPr>
          <w:p>
            <w:pPr>
              <w:ind w:left="20"/>
              <w:spacing w:after="0" w:line="176"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15"/>
                <w:szCs w:val="15"/>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0.0001531</w:t>
            </w: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0" w:type="dxa"/>
            <w:vAlign w:val="bottom"/>
          </w:tcPr>
          <w:p>
            <w:pPr>
              <w:spacing w:after="0"/>
              <w:rPr>
                <w:sz w:val="10"/>
                <w:szCs w:val="10"/>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0"/>
                <w:szCs w:val="10"/>
                <w:color w:val="auto"/>
              </w:rPr>
            </w:pPr>
          </w:p>
        </w:tc>
        <w:tc>
          <w:tcPr>
            <w:tcW w:w="1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w w:val="96"/>
              </w:rPr>
              <w:t>Securities</w:t>
            </w:r>
          </w:p>
        </w:tc>
        <w:tc>
          <w:tcPr>
            <w:tcW w:w="20" w:type="dxa"/>
            <w:vAlign w:val="bottom"/>
          </w:tcPr>
          <w:p>
            <w:pPr>
              <w:spacing w:after="0"/>
              <w:rPr>
                <w:sz w:val="10"/>
                <w:szCs w:val="10"/>
                <w:color w:val="auto"/>
              </w:rPr>
            </w:pPr>
          </w:p>
        </w:tc>
        <w:tc>
          <w:tcPr>
            <w:tcW w:w="9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Pr>
          <w:p>
            <w:pPr>
              <w:spacing w:after="0"/>
              <w:rPr>
                <w:sz w:val="15"/>
                <w:szCs w:val="15"/>
                <w:color w:val="auto"/>
              </w:rPr>
            </w:pPr>
          </w:p>
        </w:tc>
        <w:tc>
          <w:tcPr>
            <w:tcW w:w="78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4</w:t>
            </w:r>
          </w:p>
        </w:tc>
        <w:tc>
          <w:tcPr>
            <w:tcW w:w="20" w:type="dxa"/>
            <w:vAlign w:val="bottom"/>
          </w:tcPr>
          <w:p>
            <w:pPr>
              <w:spacing w:after="0"/>
              <w:rPr>
                <w:sz w:val="15"/>
                <w:szCs w:val="15"/>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Warrants</w:t>
            </w:r>
          </w:p>
        </w:tc>
        <w:tc>
          <w:tcPr>
            <w:tcW w:w="20" w:type="dxa"/>
            <w:vAlign w:val="bottom"/>
          </w:tcPr>
          <w:p>
            <w:pPr>
              <w:spacing w:after="0"/>
              <w:rPr>
                <w:sz w:val="15"/>
                <w:szCs w:val="15"/>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0.0001531</w:t>
            </w: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0" w:type="dxa"/>
            <w:vAlign w:val="bottom"/>
          </w:tcPr>
          <w:p>
            <w:pPr>
              <w:spacing w:after="0"/>
              <w:rPr>
                <w:sz w:val="10"/>
                <w:szCs w:val="10"/>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0"/>
                <w:szCs w:val="10"/>
                <w:color w:val="auto"/>
              </w:rPr>
            </w:pPr>
          </w:p>
        </w:tc>
        <w:tc>
          <w:tcPr>
            <w:tcW w:w="1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ind w:left="20"/>
              <w:spacing w:after="0" w:line="176" w:lineRule="exact"/>
              <w:rPr>
                <w:sz w:val="20"/>
                <w:szCs w:val="20"/>
                <w:color w:val="auto"/>
              </w:rPr>
            </w:pPr>
            <w:r>
              <w:rPr>
                <w:rFonts w:ascii="Arial" w:cs="Arial" w:eastAsia="Arial" w:hAnsi="Arial"/>
                <w:sz w:val="17"/>
                <w:szCs w:val="17"/>
                <w:color w:val="auto"/>
              </w:rPr>
              <w:t>Class A</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22"/>
                <w:szCs w:val="22"/>
                <w:color w:val="auto"/>
              </w:rPr>
            </w:pPr>
          </w:p>
        </w:tc>
        <w:tc>
          <w:tcPr>
            <w:tcW w:w="120" w:type="dxa"/>
            <w:vAlign w:val="bottom"/>
            <w:shd w:val="clear" w:color="auto" w:fill="E7E7E2"/>
          </w:tcPr>
          <w:p>
            <w:pPr>
              <w:jc w:val="right"/>
              <w:spacing w:after="0"/>
              <w:rPr>
                <w:sz w:val="20"/>
                <w:szCs w:val="20"/>
                <w:color w:val="auto"/>
              </w:rPr>
            </w:pPr>
            <w:r>
              <w:rPr>
                <w:rFonts w:ascii="Arial" w:cs="Arial" w:eastAsia="Arial" w:hAnsi="Arial"/>
                <w:sz w:val="17"/>
                <w:szCs w:val="17"/>
                <w:color w:val="auto"/>
                <w:w w:val="84"/>
              </w:rPr>
              <w:t>5</w:t>
            </w:r>
          </w:p>
        </w:tc>
        <w:tc>
          <w:tcPr>
            <w:tcW w:w="20" w:type="dxa"/>
            <w:vAlign w:val="bottom"/>
          </w:tcPr>
          <w:p>
            <w:pPr>
              <w:spacing w:after="0"/>
              <w:rPr>
                <w:sz w:val="22"/>
                <w:szCs w:val="22"/>
                <w:color w:val="auto"/>
              </w:rPr>
            </w:pPr>
          </w:p>
        </w:tc>
        <w:tc>
          <w:tcPr>
            <w:tcW w:w="680" w:type="dxa"/>
            <w:vAlign w:val="bottom"/>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22"/>
                <w:szCs w:val="22"/>
                <w:color w:val="auto"/>
              </w:rPr>
            </w:pPr>
          </w:p>
        </w:tc>
        <w:tc>
          <w:tcPr>
            <w:tcW w:w="760" w:type="dxa"/>
            <w:vAlign w:val="bottom"/>
            <w:shd w:val="clear" w:color="auto" w:fill="E7E7E2"/>
          </w:tcPr>
          <w:p>
            <w:pPr>
              <w:ind w:left="20"/>
              <w:spacing w:after="0"/>
              <w:rPr>
                <w:sz w:val="20"/>
                <w:szCs w:val="20"/>
                <w:color w:val="auto"/>
              </w:rPr>
            </w:pPr>
            <w:r>
              <w:rPr>
                <w:rFonts w:ascii="Arial" w:cs="Arial" w:eastAsia="Arial" w:hAnsi="Arial"/>
                <w:sz w:val="17"/>
                <w:szCs w:val="17"/>
                <w:color w:val="auto"/>
              </w:rPr>
              <w:t>Stock,</w:t>
            </w:r>
          </w:p>
        </w:tc>
        <w:tc>
          <w:tcPr>
            <w:tcW w:w="20" w:type="dxa"/>
            <w:vAlign w:val="bottom"/>
          </w:tcPr>
          <w:p>
            <w:pPr>
              <w:spacing w:after="0"/>
              <w:rPr>
                <w:sz w:val="22"/>
                <w:szCs w:val="22"/>
                <w:color w:val="auto"/>
              </w:rPr>
            </w:pPr>
          </w:p>
        </w:tc>
        <w:tc>
          <w:tcPr>
            <w:tcW w:w="940" w:type="dxa"/>
            <w:vAlign w:val="bottom"/>
            <w:shd w:val="clear" w:color="auto" w:fill="E7E7E2"/>
          </w:tcPr>
          <w:p>
            <w:pPr>
              <w:jc w:val="center"/>
              <w:spacing w:after="0"/>
              <w:rPr>
                <w:sz w:val="20"/>
                <w:szCs w:val="20"/>
                <w:color w:val="auto"/>
              </w:rPr>
            </w:pPr>
            <w:r>
              <w:rPr>
                <w:rFonts w:ascii="Arial" w:cs="Arial" w:eastAsia="Arial" w:hAnsi="Arial"/>
                <w:sz w:val="17"/>
                <w:szCs w:val="17"/>
                <w:color w:val="auto"/>
              </w:rPr>
              <w:t>457(o)</w:t>
            </w:r>
          </w:p>
        </w:tc>
        <w:tc>
          <w:tcPr>
            <w:tcW w:w="20" w:type="dxa"/>
            <w:vAlign w:val="bottom"/>
          </w:tcPr>
          <w:p>
            <w:pPr>
              <w:spacing w:after="0"/>
              <w:rPr>
                <w:sz w:val="22"/>
                <w:szCs w:val="22"/>
                <w:color w:val="auto"/>
              </w:rPr>
            </w:pPr>
          </w:p>
        </w:tc>
        <w:tc>
          <w:tcPr>
            <w:tcW w:w="940" w:type="dxa"/>
            <w:vAlign w:val="bottom"/>
            <w:shd w:val="clear" w:color="auto" w:fill="E7E7E2"/>
          </w:tcPr>
          <w:p>
            <w:pPr>
              <w:jc w:val="right"/>
              <w:spacing w:after="0"/>
              <w:rPr>
                <w:sz w:val="20"/>
                <w:szCs w:val="20"/>
                <w:color w:val="auto"/>
              </w:rPr>
            </w:pPr>
            <w:r>
              <w:rPr>
                <w:rFonts w:ascii="Arial" w:cs="Arial" w:eastAsia="Arial" w:hAnsi="Arial"/>
                <w:sz w:val="17"/>
                <w:szCs w:val="17"/>
                <w:color w:val="auto"/>
                <w:w w:val="95"/>
              </w:rPr>
              <w:t>500,000,000</w:t>
            </w:r>
          </w:p>
        </w:tc>
        <w:tc>
          <w:tcPr>
            <w:tcW w:w="20" w:type="dxa"/>
            <w:vAlign w:val="bottom"/>
          </w:tcPr>
          <w:p>
            <w:pPr>
              <w:spacing w:after="0"/>
              <w:rPr>
                <w:sz w:val="22"/>
                <w:szCs w:val="22"/>
                <w:color w:val="auto"/>
              </w:rPr>
            </w:pPr>
          </w:p>
        </w:tc>
        <w:tc>
          <w:tcPr>
            <w:tcW w:w="800" w:type="dxa"/>
            <w:vAlign w:val="bottom"/>
            <w:shd w:val="clear" w:color="auto" w:fill="E7E7E2"/>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2"/>
                <w:szCs w:val="22"/>
                <w:color w:val="auto"/>
              </w:rPr>
            </w:pPr>
          </w:p>
        </w:tc>
        <w:tc>
          <w:tcPr>
            <w:tcW w:w="800" w:type="dxa"/>
            <w:vAlign w:val="bottom"/>
            <w:shd w:val="clear" w:color="auto" w:fill="E7E7E2"/>
          </w:tcPr>
          <w:p>
            <w:pPr>
              <w:jc w:val="center"/>
              <w:spacing w:after="0"/>
              <w:rPr>
                <w:sz w:val="20"/>
                <w:szCs w:val="20"/>
                <w:color w:val="auto"/>
              </w:rPr>
            </w:pPr>
            <w:r>
              <w:rPr>
                <w:rFonts w:ascii="Arial" w:cs="Arial" w:eastAsia="Arial" w:hAnsi="Arial"/>
                <w:sz w:val="17"/>
                <w:szCs w:val="17"/>
                <w:color w:val="auto"/>
                <w:w w:val="97"/>
              </w:rPr>
              <w:t>0.0001531</w:t>
            </w:r>
          </w:p>
        </w:tc>
        <w:tc>
          <w:tcPr>
            <w:tcW w:w="20" w:type="dxa"/>
            <w:vAlign w:val="bottom"/>
          </w:tcPr>
          <w:p>
            <w:pPr>
              <w:spacing w:after="0"/>
              <w:rPr>
                <w:sz w:val="22"/>
                <w:szCs w:val="22"/>
                <w:color w:val="auto"/>
              </w:rPr>
            </w:pPr>
          </w:p>
        </w:tc>
        <w:tc>
          <w:tcPr>
            <w:tcW w:w="1000" w:type="dxa"/>
            <w:vAlign w:val="bottom"/>
            <w:shd w:val="clear" w:color="auto" w:fill="E7E7E2"/>
          </w:tcPr>
          <w:p>
            <w:pPr>
              <w:jc w:val="right"/>
              <w:spacing w:after="0"/>
              <w:rPr>
                <w:sz w:val="20"/>
                <w:szCs w:val="20"/>
                <w:color w:val="auto"/>
              </w:rPr>
            </w:pPr>
            <w:r>
              <w:rPr>
                <w:rFonts w:ascii="Arial" w:cs="Arial" w:eastAsia="Arial" w:hAnsi="Arial"/>
                <w:sz w:val="17"/>
                <w:szCs w:val="17"/>
                <w:color w:val="auto"/>
              </w:rPr>
              <w:t>$ 76,550.00</w:t>
            </w:r>
          </w:p>
        </w:tc>
        <w:tc>
          <w:tcPr>
            <w:tcW w:w="20" w:type="dxa"/>
            <w:vAlign w:val="bottom"/>
          </w:tcPr>
          <w:p>
            <w:pPr>
              <w:spacing w:after="0"/>
              <w:rPr>
                <w:sz w:val="22"/>
                <w:szCs w:val="22"/>
                <w:color w:val="auto"/>
              </w:rPr>
            </w:pPr>
          </w:p>
        </w:tc>
        <w:tc>
          <w:tcPr>
            <w:tcW w:w="700" w:type="dxa"/>
            <w:vAlign w:val="bottom"/>
            <w:shd w:val="clear" w:color="auto" w:fill="E7E7E2"/>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shd w:val="clear" w:color="auto" w:fill="E7E7E2"/>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shd w:val="clear" w:color="auto" w:fill="E7E7E2"/>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shd w:val="clear" w:color="auto" w:fill="E7E7E2"/>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780" w:type="dxa"/>
            <w:vAlign w:val="bottom"/>
            <w:shd w:val="clear" w:color="auto" w:fill="E7E7E2"/>
          </w:tcPr>
          <w:p>
            <w:pPr>
              <w:spacing w:after="0" w:line="114" w:lineRule="exact"/>
              <w:rPr>
                <w:sz w:val="20"/>
                <w:szCs w:val="20"/>
                <w:color w:val="auto"/>
              </w:rPr>
            </w:pPr>
            <w:r>
              <w:rPr>
                <w:rFonts w:ascii="Arial" w:cs="Arial" w:eastAsia="Arial" w:hAnsi="Arial"/>
                <w:sz w:val="12"/>
                <w:szCs w:val="12"/>
                <w:color w:val="auto"/>
              </w:rPr>
              <w:t>be Paid</w:t>
            </w:r>
          </w:p>
        </w:tc>
        <w:tc>
          <w:tcPr>
            <w:tcW w:w="2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E7E7E2"/>
          </w:tcPr>
          <w:p>
            <w:pPr>
              <w:ind w:left="20"/>
              <w:spacing w:after="0" w:line="114" w:lineRule="exact"/>
              <w:rPr>
                <w:sz w:val="20"/>
                <w:szCs w:val="20"/>
                <w:color w:val="auto"/>
              </w:rPr>
            </w:pPr>
            <w:r>
              <w:rPr>
                <w:rFonts w:ascii="Arial" w:cs="Arial" w:eastAsia="Arial" w:hAnsi="Arial"/>
                <w:sz w:val="12"/>
                <w:szCs w:val="12"/>
                <w:color w:val="auto"/>
              </w:rPr>
              <w:t>par value</w:t>
            </w:r>
          </w:p>
        </w:tc>
        <w:tc>
          <w:tcPr>
            <w:tcW w:w="20" w:type="dxa"/>
            <w:vAlign w:val="bottom"/>
          </w:tcPr>
          <w:p>
            <w:pPr>
              <w:spacing w:after="0"/>
              <w:rPr>
                <w:sz w:val="9"/>
                <w:szCs w:val="9"/>
                <w:color w:val="auto"/>
              </w:rPr>
            </w:pPr>
          </w:p>
        </w:tc>
        <w:tc>
          <w:tcPr>
            <w:tcW w:w="9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shd w:val="clear" w:color="auto" w:fill="E7E7E2"/>
          </w:tcPr>
          <w:p>
            <w:pPr>
              <w:jc w:val="right"/>
              <w:spacing w:after="0" w:line="114" w:lineRule="exact"/>
              <w:rPr>
                <w:sz w:val="20"/>
                <w:szCs w:val="20"/>
                <w:color w:val="auto"/>
              </w:rPr>
            </w:pPr>
            <w:r>
              <w:rPr>
                <w:rFonts w:ascii="Arial" w:cs="Arial" w:eastAsia="Arial" w:hAnsi="Arial"/>
                <w:sz w:val="12"/>
                <w:szCs w:val="12"/>
                <w:color w:val="auto"/>
              </w:rPr>
              <w:t>500,000,000.00</w:t>
            </w: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$0.0001</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ind w:left="20"/>
              <w:spacing w:after="0"/>
              <w:rPr>
                <w:sz w:val="20"/>
                <w:szCs w:val="20"/>
                <w:color w:val="auto"/>
              </w:rPr>
            </w:pPr>
            <w:r>
              <w:rPr>
                <w:rFonts w:ascii="Arial" w:cs="Arial" w:eastAsia="Arial" w:hAnsi="Arial"/>
                <w:sz w:val="17"/>
                <w:szCs w:val="17"/>
                <w:color w:val="auto"/>
              </w:rPr>
              <w:t>per 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ind w:left="20"/>
              <w:spacing w:after="0" w:line="176" w:lineRule="exact"/>
              <w:rPr>
                <w:sz w:val="20"/>
                <w:szCs w:val="20"/>
                <w:color w:val="auto"/>
              </w:rPr>
            </w:pPr>
            <w:r>
              <w:rPr>
                <w:rFonts w:ascii="Arial" w:cs="Arial" w:eastAsia="Arial" w:hAnsi="Arial"/>
                <w:sz w:val="17"/>
                <w:szCs w:val="17"/>
                <w:color w:val="auto"/>
              </w:rPr>
              <w:t>Class A</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6</w:t>
            </w:r>
          </w:p>
        </w:tc>
        <w:tc>
          <w:tcPr>
            <w:tcW w:w="20" w:type="dxa"/>
            <w:vAlign w:val="bottom"/>
          </w:tcPr>
          <w:p>
            <w:pPr>
              <w:spacing w:after="0"/>
              <w:rPr>
                <w:sz w:val="16"/>
                <w:szCs w:val="16"/>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76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457(a)</w:t>
            </w:r>
          </w:p>
        </w:tc>
        <w:tc>
          <w:tcPr>
            <w:tcW w:w="20" w:type="dxa"/>
            <w:vAlign w:val="bottom"/>
          </w:tcPr>
          <w:p>
            <w:pPr>
              <w:spacing w:after="0"/>
              <w:rPr>
                <w:sz w:val="16"/>
                <w:szCs w:val="16"/>
                <w:color w:val="auto"/>
              </w:rPr>
            </w:pPr>
          </w:p>
        </w:tc>
        <w:tc>
          <w:tcPr>
            <w:tcW w:w="94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2,439,155</w:t>
            </w:r>
          </w:p>
        </w:tc>
        <w:tc>
          <w:tcPr>
            <w:tcW w:w="20" w:type="dxa"/>
            <w:vAlign w:val="bottom"/>
          </w:tcPr>
          <w:p>
            <w:pPr>
              <w:spacing w:after="0"/>
              <w:rPr>
                <w:sz w:val="16"/>
                <w:szCs w:val="16"/>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$ 54.72</w:t>
            </w:r>
          </w:p>
        </w:tc>
        <w:tc>
          <w:tcPr>
            <w:tcW w:w="20" w:type="dxa"/>
            <w:vAlign w:val="bottom"/>
          </w:tcPr>
          <w:p>
            <w:pPr>
              <w:spacing w:after="0"/>
              <w:rPr>
                <w:sz w:val="16"/>
                <w:szCs w:val="16"/>
                <w:color w:val="auto"/>
              </w:rPr>
            </w:pPr>
          </w:p>
        </w:tc>
        <w:tc>
          <w:tcPr>
            <w:tcW w:w="1180" w:type="dxa"/>
            <w:vAlign w:val="bottom"/>
            <w:shd w:val="clear" w:color="auto" w:fill="E7E7E2"/>
          </w:tcPr>
          <w:p>
            <w:pPr>
              <w:jc w:val="right"/>
              <w:spacing w:after="0" w:line="187"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0.0001531</w:t>
            </w:r>
          </w:p>
        </w:tc>
        <w:tc>
          <w:tcPr>
            <w:tcW w:w="20" w:type="dxa"/>
            <w:vAlign w:val="bottom"/>
          </w:tcPr>
          <w:p>
            <w:pPr>
              <w:spacing w:after="0"/>
              <w:rPr>
                <w:sz w:val="16"/>
                <w:szCs w:val="16"/>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$ 20,434.34</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6"/>
                <w:szCs w:val="16"/>
                <w:color w:val="auto"/>
              </w:rPr>
            </w:pPr>
          </w:p>
        </w:tc>
        <w:tc>
          <w:tcPr>
            <w:tcW w:w="1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par value</w:t>
            </w:r>
          </w:p>
        </w:tc>
        <w:tc>
          <w:tcPr>
            <w:tcW w:w="20" w:type="dxa"/>
            <w:vAlign w:val="bottom"/>
          </w:tcPr>
          <w:p>
            <w:pPr>
              <w:spacing w:after="0"/>
              <w:rPr>
                <w:sz w:val="16"/>
                <w:szCs w:val="16"/>
                <w:color w:val="auto"/>
              </w:rPr>
            </w:pPr>
          </w:p>
        </w:tc>
        <w:tc>
          <w:tcPr>
            <w:tcW w:w="94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jc w:val="right"/>
              <w:spacing w:after="0" w:line="187" w:lineRule="exact"/>
              <w:rPr>
                <w:sz w:val="20"/>
                <w:szCs w:val="20"/>
                <w:color w:val="auto"/>
              </w:rPr>
            </w:pPr>
            <w:r>
              <w:rPr>
                <w:rFonts w:ascii="Arial" w:cs="Arial" w:eastAsia="Arial" w:hAnsi="Arial"/>
                <w:sz w:val="17"/>
                <w:szCs w:val="17"/>
                <w:color w:val="auto"/>
                <w:w w:val="96"/>
              </w:rPr>
              <w:t>133,470,561.60</w:t>
            </w:r>
          </w:p>
        </w:tc>
        <w:tc>
          <w:tcPr>
            <w:tcW w:w="20" w:type="dxa"/>
            <w:vAlign w:val="bottom"/>
          </w:tcPr>
          <w:p>
            <w:pPr>
              <w:spacing w:after="0"/>
              <w:rPr>
                <w:sz w:val="16"/>
                <w:szCs w:val="16"/>
                <w:color w:val="auto"/>
              </w:rPr>
            </w:pPr>
          </w:p>
        </w:tc>
        <w:tc>
          <w:tcPr>
            <w:tcW w:w="8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$0.0001</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ind w:left="20"/>
              <w:spacing w:after="0"/>
              <w:rPr>
                <w:sz w:val="20"/>
                <w:szCs w:val="20"/>
                <w:color w:val="auto"/>
              </w:rPr>
            </w:pPr>
            <w:r>
              <w:rPr>
                <w:rFonts w:ascii="Arial" w:cs="Arial" w:eastAsia="Arial" w:hAnsi="Arial"/>
                <w:sz w:val="17"/>
                <w:szCs w:val="17"/>
                <w:color w:val="auto"/>
              </w:rPr>
              <w:t>per 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-4736465</wp:posOffset>
            </wp:positionV>
            <wp:extent cx="7214870" cy="63709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3">
                      <a:extLst>
                        <a:ext uri="{28A0092B-C50C-407E-A947-70E740481C1C}"/>
                      </a:extLst>
                    </a:blip>
                    <a:srcRect/>
                    <a:stretch>
                      <a:fillRect/>
                    </a:stretch>
                  </pic:blipFill>
                  <pic:spPr bwMode="auto">
                    <a:xfrm>
                      <a:off x="0" y="0"/>
                      <a:ext cx="7214870" cy="6370955"/>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Fees</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Previously</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7"/>
          <w:szCs w:val="17"/>
          <w:color w:val="auto"/>
        </w:rPr>
        <w:t>Paid</w:t>
      </w:r>
    </w:p>
    <w:p>
      <w:pPr>
        <w:spacing w:after="0" w:line="17"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20" w:type="dxa"/>
            <w:vAlign w:val="bottom"/>
            <w:gridSpan w:val="5"/>
          </w:tcPr>
          <w:p>
            <w:pPr>
              <w:ind w:left="320"/>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87"/>
        </w:trPr>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r>
      <w:tr>
        <w:trPr>
          <w:trHeight w:val="187"/>
        </w:trPr>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r>
      <w:tr>
        <w:trPr>
          <w:trHeight w:val="219"/>
        </w:trPr>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r>
      <w:tr>
        <w:trPr>
          <w:trHeight w:val="197"/>
        </w:trPr>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gridSpan w:val="3"/>
          </w:tcPr>
          <w:p>
            <w:pPr>
              <w:jc w:val="right"/>
              <w:ind w:right="20"/>
              <w:spacing w:after="0"/>
              <w:rPr>
                <w:sz w:val="20"/>
                <w:szCs w:val="20"/>
                <w:color w:val="auto"/>
              </w:rPr>
            </w:pPr>
            <w:r>
              <w:rPr>
                <w:rFonts w:ascii="Arial" w:cs="Arial" w:eastAsia="Arial" w:hAnsi="Arial"/>
                <w:sz w:val="17"/>
                <w:szCs w:val="17"/>
                <w:color w:val="auto"/>
              </w:rPr>
              <w:t>Total Offering Amounts:</w:t>
            </w:r>
          </w:p>
        </w:tc>
        <w:tc>
          <w:tcPr>
            <w:tcW w:w="202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$ 96,984.34</w:t>
            </w:r>
          </w:p>
        </w:tc>
      </w:tr>
      <w:tr>
        <w:trPr>
          <w:trHeight w:val="219"/>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20" w:type="dxa"/>
            <w:vAlign w:val="bottom"/>
            <w:gridSpan w:val="4"/>
          </w:tcPr>
          <w:p>
            <w:pPr>
              <w:jc w:val="right"/>
              <w:ind w:right="20"/>
              <w:spacing w:after="0"/>
              <w:rPr>
                <w:sz w:val="20"/>
                <w:szCs w:val="20"/>
                <w:color w:val="auto"/>
              </w:rPr>
            </w:pPr>
            <w:r>
              <w:rPr>
                <w:rFonts w:ascii="Arial" w:cs="Arial" w:eastAsia="Arial" w:hAnsi="Arial"/>
                <w:sz w:val="17"/>
                <w:szCs w:val="17"/>
                <w:color w:val="auto"/>
              </w:rPr>
              <w:t>633,470,561.60</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80" w:type="dxa"/>
            <w:vAlign w:val="bottom"/>
            <w:gridSpan w:val="5"/>
          </w:tcPr>
          <w:p>
            <w:pPr>
              <w:jc w:val="right"/>
              <w:ind w:right="20"/>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r>
      <w:tr>
        <w:trPr>
          <w:trHeight w:val="229"/>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00" w:type="dxa"/>
            <w:vAlign w:val="bottom"/>
            <w:gridSpan w:val="3"/>
          </w:tcPr>
          <w:p>
            <w:pPr>
              <w:jc w:val="right"/>
              <w:ind w:right="20"/>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$ 22,999.19</w:t>
            </w:r>
          </w:p>
        </w:tc>
      </w:tr>
      <w:tr>
        <w:trPr>
          <w:trHeight w:val="229"/>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00" w:type="dxa"/>
            <w:vAlign w:val="bottom"/>
            <w:gridSpan w:val="3"/>
          </w:tcPr>
          <w:p>
            <w:pPr>
              <w:jc w:val="right"/>
              <w:ind w:right="20"/>
              <w:spacing w:after="0"/>
              <w:rPr>
                <w:sz w:val="20"/>
                <w:szCs w:val="20"/>
                <w:color w:val="auto"/>
              </w:rPr>
            </w:pPr>
            <w:r>
              <w:rPr>
                <w:rFonts w:ascii="Arial" w:cs="Arial" w:eastAsia="Arial" w:hAnsi="Arial"/>
                <w:sz w:val="17"/>
                <w:szCs w:val="17"/>
                <w:color w:val="auto"/>
              </w:rPr>
              <w:t>Net Fee Due:</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$ 73,985.15</w:t>
            </w:r>
          </w:p>
        </w:tc>
      </w:tr>
    </w:tbl>
    <w:p>
      <w:pPr>
        <w:spacing w:after="0" w:line="24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06" w:lineRule="exact"/>
        <w:rPr>
          <w:sz w:val="20"/>
          <w:szCs w:val="20"/>
          <w:color w:val="auto"/>
        </w:rPr>
      </w:pPr>
    </w:p>
    <w:p>
      <w:pPr>
        <w:ind w:left="220" w:right="120" w:hanging="186"/>
        <w:spacing w:after="0" w:line="242" w:lineRule="auto"/>
        <w:tabs>
          <w:tab w:leader="none" w:pos="220" w:val="left"/>
        </w:tabs>
        <w:numPr>
          <w:ilvl w:val="0"/>
          <w:numId w:val="144"/>
        </w:numPr>
        <w:rPr>
          <w:rFonts w:ascii="Arial" w:cs="Arial" w:eastAsia="Arial" w:hAnsi="Arial"/>
          <w:sz w:val="20"/>
          <w:szCs w:val="20"/>
          <w:color w:val="auto"/>
          <w:vertAlign w:val="superscript"/>
        </w:rPr>
      </w:pPr>
      <w:r>
        <w:rPr>
          <w:rFonts w:ascii="Arial" w:cs="Arial" w:eastAsia="Arial" w:hAnsi="Arial"/>
          <w:sz w:val="16"/>
          <w:szCs w:val="16"/>
          <w:color w:val="auto"/>
        </w:rPr>
        <w:t>(1) There are being registered hereunder such indeterminate number of shares of Class A common stock, such indeterminate number of shares of preferred stock, such indeterminate principal amount of debt securities and such indeterminate number of warrants to purchase Class A common stock, preferred stock or debt securities. The securities registered also include such indeterminate amount of all securities previously issued hereunder. The securities registered also include such indeterminate number of shares of common stock, preferred stock and amount of debt securities as may be issued upon conversion of or exchange for debt securities that provide for conversion or exchange, upon exercise of warrants or pursuant to the antidilution provisions of any such securities. (2) Pursuant to Rule 416 under the Securities Act of 1933, as amended (the "Securities Act"), the shares being registered hereunder include such indeterminate number of shares of Class A common stock and preferred stock as may be issuable with respect to the shares being registered hereunder as a result of stock splits, stock dividends or similar transactions. (3) The proposed maximum per security and aggregate offering prices per class of securities will be determined from time to time by the registrant in connection with the issuance by the registrant of the securities registered hereunder and is not specified as to each class of security. Separate consideration may or may not be received for securities that are issuable on exercise, conversion or exchange of other securities. (4) The registrant is relying on Rule 456(b) and Rule 457(r) under the Securities Act to defer payment of all of the registration fee. In connection with the securities offered hereby, the registrant will pay "pay-as-you-go registration fees" in accordance with Rule 456(b). The registrant will calculate the registration fee applicable to an offer of securities pursuant to this Registration Statement based on the fee rate in effect on the date of such fee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494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4">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227" w:lineRule="exact"/>
        <w:rPr>
          <w:sz w:val="20"/>
          <w:szCs w:val="20"/>
          <w:color w:val="auto"/>
        </w:rPr>
      </w:pPr>
    </w:p>
    <w:p>
      <w:pPr>
        <w:ind w:left="220" w:right="180" w:hanging="186"/>
        <w:spacing w:after="0" w:line="241" w:lineRule="auto"/>
        <w:tabs>
          <w:tab w:leader="none" w:pos="220" w:val="left"/>
        </w:tabs>
        <w:numPr>
          <w:ilvl w:val="0"/>
          <w:numId w:val="145"/>
        </w:numPr>
        <w:rPr>
          <w:rFonts w:ascii="Arial" w:cs="Arial" w:eastAsia="Arial" w:hAnsi="Arial"/>
          <w:sz w:val="20"/>
          <w:szCs w:val="20"/>
          <w:color w:val="auto"/>
          <w:vertAlign w:val="superscript"/>
        </w:rPr>
      </w:pPr>
      <w:r>
        <w:rPr>
          <w:rFonts w:ascii="Arial" w:cs="Arial" w:eastAsia="Arial" w:hAnsi="Arial"/>
          <w:sz w:val="16"/>
          <w:szCs w:val="16"/>
          <w:color w:val="auto"/>
        </w:rPr>
        <w:t>(1) There are being registered hereunder such indeterminate number of shares of Class A common stock, such indeterminate number of shares of preferred stock, such indeterminate principal amount of debt securities and such indeterminate number of warrants to purchase Class A common stock, preferred stock or debt securities. The securities registered also include such indeterminate amount of all securities previously issued hereunder. The securities registered also include such indeterminate number of shares of common stock, preferred stock and amount of debt securities as may be issued upon conversion of or exchange for debt securities that provide for conversion or exchange, upon exercise of warrants or pursuant to the antidilution provisions of any such securities. (2) Pursuant to Rule 416 under the Securities Act of 1933, as amended (the "Securities Act"), the shares being registered hereunder include such indeterminate number of shares of Class A common stock and preferred stock as may be issuable with respect to the shares being registered hereunder as a result of stock splits, stock dividends or similar transactions. (3) The proposed</w:t>
      </w:r>
    </w:p>
    <w:p>
      <w:pPr>
        <w:sectPr>
          <w:pgSz w:w="11900" w:h="16899" w:orient="portrait"/>
          <w:cols w:equalWidth="0" w:num="1">
            <w:col w:w="11360"/>
          </w:cols>
          <w:pgMar w:left="300" w:top="141" w:right="239" w:bottom="0" w:gutter="0" w:footer="0" w:header="0"/>
        </w:sectPr>
      </w:pPr>
    </w:p>
    <w:bookmarkStart w:id="207" w:name="page208"/>
    <w:bookmarkEnd w:id="207"/>
    <w:p>
      <w:pPr>
        <w:ind w:left="220" w:right="40"/>
        <w:spacing w:after="0" w:line="235" w:lineRule="auto"/>
        <w:rPr>
          <w:sz w:val="20"/>
          <w:szCs w:val="20"/>
          <w:color w:val="auto"/>
        </w:rPr>
      </w:pPr>
      <w:r>
        <w:rPr>
          <w:rFonts w:ascii="Arial" w:cs="Arial" w:eastAsia="Arial" w:hAnsi="Arial"/>
          <w:sz w:val="17"/>
          <w:szCs w:val="17"/>
          <w:color w:val="auto"/>
        </w:rPr>
        <w:t>maximum per security and aggregate offering prices per class of securities will be determined from time to time by the registrant in connection with the issuance by the registrant of the securities registered hereunder and is not specified as to each class of security. Separate consideration may or may not be received for securities that are issuable on exercise, conversion or exchange of other securities. (4) The registrant is relying on Rule 456(b) and Rule 457(r) under the Securities Act to defer payment of all of the registration fee. In connection with the securities offered hereby, the registrant will pay "pay-as-you-go registration fees" in accordance with Rule 456(b). The registrant will calculate the registration fee applicable to an offer of securities pursuant to this Registration Statement based on the fee rate in effect on the date of such fee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494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5">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224" w:lineRule="exact"/>
        <w:rPr>
          <w:sz w:val="20"/>
          <w:szCs w:val="20"/>
          <w:color w:val="auto"/>
        </w:rPr>
      </w:pPr>
    </w:p>
    <w:p>
      <w:pPr>
        <w:ind w:left="220" w:right="40" w:hanging="186"/>
        <w:spacing w:after="0" w:line="242" w:lineRule="auto"/>
        <w:tabs>
          <w:tab w:leader="none" w:pos="220" w:val="left"/>
        </w:tabs>
        <w:numPr>
          <w:ilvl w:val="0"/>
          <w:numId w:val="146"/>
        </w:numPr>
        <w:rPr>
          <w:rFonts w:ascii="Arial" w:cs="Arial" w:eastAsia="Arial" w:hAnsi="Arial"/>
          <w:sz w:val="20"/>
          <w:szCs w:val="20"/>
          <w:color w:val="auto"/>
          <w:vertAlign w:val="superscript"/>
        </w:rPr>
      </w:pPr>
      <w:r>
        <w:rPr>
          <w:rFonts w:ascii="Arial" w:cs="Arial" w:eastAsia="Arial" w:hAnsi="Arial"/>
          <w:sz w:val="16"/>
          <w:szCs w:val="16"/>
          <w:color w:val="auto"/>
        </w:rPr>
        <w:t>(1) There are being registered hereunder such indeterminate number of shares of Class A common stock, such indeterminate number of shares of preferred stock, such indeterminate principal amount of debt securities and such indeterminate number of warrants to purchase Class A common stock, preferred stock or debt securities. The securities registered also include such indeterminate amount of all securities previously issued hereunder. The securities registered also include such indeterminate number of shares of common stock, preferred stock and amount of debt securities as may be issued upon conversion of or exchange for debt securities that provide for conversion or exchange, upon exercise of warrants or pursuant to the antidilution provisions of any such securities. (2) Pursuant to Rule 416 under the Securities Act of 1933, as amended (the "Securities Act"), the shares being registered hereunder include such indeterminate number of shares of Class A common stock and preferred stock as may be issuable with respect to the shares being registered hereunder as a result of stock splits, stock dividends or similar transactions. (3) The proposed maximum per security and aggregate offering prices per class of securities will be determined from time to time by the registrant in connection with the issuance by the registrant of the securities registered hereunder and is not specified as to each class of security. Separate consideration may or may not be received for securities that are issuable on exercise, conversion or exchange of other securities. (4) The registrant is relying on Rule 456(b) and Rule 457(r) under the Securities Act to defer payment of all of the registration fee. In connection with the securities offered hereby, the registrant will pay "pay-as-you-go registration fees" in accordance with Rule 456(b). The registrant will calculate the registration fee applicable to an offer of securities pursuant to this Registration Statement based on the fee rate in effect on the date of such fee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494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6">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227" w:lineRule="exact"/>
        <w:rPr>
          <w:sz w:val="20"/>
          <w:szCs w:val="20"/>
          <w:color w:val="auto"/>
        </w:rPr>
      </w:pPr>
    </w:p>
    <w:p>
      <w:pPr>
        <w:ind w:left="220" w:right="40" w:hanging="186"/>
        <w:spacing w:after="0" w:line="242" w:lineRule="auto"/>
        <w:tabs>
          <w:tab w:leader="none" w:pos="220" w:val="left"/>
        </w:tabs>
        <w:numPr>
          <w:ilvl w:val="0"/>
          <w:numId w:val="147"/>
        </w:numPr>
        <w:rPr>
          <w:rFonts w:ascii="Arial" w:cs="Arial" w:eastAsia="Arial" w:hAnsi="Arial"/>
          <w:sz w:val="20"/>
          <w:szCs w:val="20"/>
          <w:color w:val="auto"/>
          <w:vertAlign w:val="superscript"/>
        </w:rPr>
      </w:pPr>
      <w:r>
        <w:rPr>
          <w:rFonts w:ascii="Arial" w:cs="Arial" w:eastAsia="Arial" w:hAnsi="Arial"/>
          <w:sz w:val="16"/>
          <w:szCs w:val="16"/>
          <w:color w:val="auto"/>
        </w:rPr>
        <w:t>(1) There are being registered hereunder such indeterminate number of shares of Class A common stock, such indeterminate number of shares of preferred stock, such indeterminate principal amount of debt securities and such indeterminate number of warrants to purchase Class A common stock, preferred stock or debt securities. The securities registered also include such indeterminate amount of all securities previously issued hereunder. The securities registered also include such indeterminate number of shares of common stock, preferred stock and amount of debt securities as may be issued upon conversion of or exchange for debt securities that provide for conversion or exchange, upon exercise of warrants or pursuant to the antidilution provisions of any such securities. (2) Pursuant to Rule 416 under the Securities Act of 1933, as amended (the "Securities Act"), the shares being registered hereunder include such indeterminate number of shares of Class A common stock and preferred stock as may be issuable with respect to the shares being registered hereunder as a result of stock splits, stock dividends or similar transactions. (3) The proposed maximum per security and aggregate offering prices per class of securities will be determined from time to time by the registrant in connection with the issuance by the registrant of the securities registered hereunder and is not specified as to each class of security. Separate consideration may or may not be received for securities that are issuable on exercise, conversion or exchange of other securities. (4) The registrant is relying on Rule 456(b) and Rule 457(r) under the Securities Act to defer payment of all of the registration fee. In connection with the securities offered hereby, the registrant will pay "pay-as-you-go registration fees" in accordance with Rule 456(b). The registrant will calculate the registration fee applicable to an offer of securities pursuant to this Registration Statement based on the fee rate in effect on the date of such fee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494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7">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227" w:lineRule="exact"/>
        <w:rPr>
          <w:sz w:val="20"/>
          <w:szCs w:val="20"/>
          <w:color w:val="auto"/>
        </w:rPr>
      </w:pPr>
    </w:p>
    <w:p>
      <w:pPr>
        <w:ind w:left="220" w:right="380" w:hanging="186"/>
        <w:spacing w:after="0" w:line="224" w:lineRule="auto"/>
        <w:tabs>
          <w:tab w:leader="none" w:pos="220" w:val="left"/>
        </w:tabs>
        <w:numPr>
          <w:ilvl w:val="0"/>
          <w:numId w:val="148"/>
        </w:numPr>
        <w:rPr>
          <w:rFonts w:ascii="Arial" w:cs="Arial" w:eastAsia="Arial" w:hAnsi="Arial"/>
          <w:sz w:val="21"/>
          <w:szCs w:val="21"/>
          <w:color w:val="auto"/>
          <w:vertAlign w:val="superscript"/>
        </w:rPr>
      </w:pPr>
      <w:r>
        <w:rPr>
          <w:rFonts w:ascii="Arial" w:cs="Arial" w:eastAsia="Arial" w:hAnsi="Arial"/>
          <w:sz w:val="17"/>
          <w:szCs w:val="17"/>
          <w:color w:val="auto"/>
        </w:rPr>
        <w:t>(2) Pursuant to Rule 416 under the Securities Act of 1933, as amended (the "Securities Act"), the shares being registered hereunder include such indeterminate number of shares of Class A common stock and preferred stock as may be issuable with respect to the shares being registered hereunder as a result of stock splits, stock dividends or similar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494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8">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222" w:lineRule="exact"/>
        <w:rPr>
          <w:sz w:val="20"/>
          <w:szCs w:val="20"/>
          <w:color w:val="auto"/>
        </w:rPr>
      </w:pPr>
    </w:p>
    <w:p>
      <w:pPr>
        <w:ind w:left="220" w:right="60" w:hanging="186"/>
        <w:spacing w:after="0" w:line="227" w:lineRule="auto"/>
        <w:tabs>
          <w:tab w:leader="none" w:pos="220" w:val="left"/>
        </w:tabs>
        <w:numPr>
          <w:ilvl w:val="0"/>
          <w:numId w:val="149"/>
        </w:numPr>
        <w:rPr>
          <w:rFonts w:ascii="Arial" w:cs="Arial" w:eastAsia="Arial" w:hAnsi="Arial"/>
          <w:sz w:val="21"/>
          <w:szCs w:val="21"/>
          <w:color w:val="auto"/>
          <w:vertAlign w:val="superscript"/>
        </w:rPr>
      </w:pPr>
      <w:r>
        <w:rPr>
          <w:rFonts w:ascii="Arial" w:cs="Arial" w:eastAsia="Arial" w:hAnsi="Arial"/>
          <w:sz w:val="17"/>
          <w:szCs w:val="17"/>
          <w:color w:val="auto"/>
        </w:rPr>
        <w:t>(2) Pursuant to Rule 416 under the Securities Act of 1933, as amended (the "Securities Act"), the shares being registered hereunder include such indeterminate number of shares of Class A common stock and preferred stock as may be issuable with respect to the shares being registered hereunder as a result of stock splits, stock dividends or similar transactions. (5) The shares of Class A common stock will be offered for resale by the selling stockholders pursuant to the prospectus contained herein. (6) Estimated solely for the purpose of calculating the registration fee in accordance with Rule 457(c) under the Securities Act. The price per share and aggregate offering price are based on the average of the high and low prices of the registrant's Class A common stock as reported on the Nasdaq Global Select Market on August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60960</wp:posOffset>
            </wp:positionV>
            <wp:extent cx="71494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9">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40" w:type="dxa"/>
            <w:vAlign w:val="bottom"/>
            <w:tcBorders>
              <w:bottom w:val="single" w:sz="8" w:color="auto"/>
            </w:tcBorders>
          </w:tcPr>
          <w:p>
            <w:pPr>
              <w:spacing w:after="0"/>
              <w:rPr>
                <w:sz w:val="23"/>
                <w:szCs w:val="23"/>
                <w:color w:val="auto"/>
              </w:rPr>
            </w:pPr>
          </w:p>
        </w:tc>
        <w:tc>
          <w:tcPr>
            <w:tcW w:w="3120" w:type="dxa"/>
            <w:vAlign w:val="bottom"/>
            <w:tcBorders>
              <w:bottom w:val="single" w:sz="8" w:color="auto"/>
            </w:tcBorders>
            <w:gridSpan w:val="8"/>
          </w:tcPr>
          <w:p>
            <w:pPr>
              <w:spacing w:after="0"/>
              <w:rPr>
                <w:sz w:val="20"/>
                <w:szCs w:val="20"/>
                <w:color w:val="auto"/>
              </w:rPr>
            </w:pPr>
            <w:r>
              <w:rPr>
                <w:rFonts w:ascii="Arial" w:cs="Arial" w:eastAsia="Arial" w:hAnsi="Arial"/>
                <w:sz w:val="17"/>
                <w:szCs w:val="17"/>
                <w:b w:val="1"/>
                <w:bCs w:val="1"/>
                <w:color w:val="auto"/>
                <w:w w:val="97"/>
              </w:rPr>
              <w:t>Table 2: Fee Offset Claims and Sources</w:t>
            </w:r>
          </w:p>
        </w:tc>
        <w:tc>
          <w:tcPr>
            <w:tcW w:w="7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gridSpan w:val="4"/>
          </w:tcPr>
          <w:p>
            <w:pPr>
              <w:ind w:left="68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Fee 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w:t>
            </w:r>
          </w:p>
        </w:tc>
        <w:tc>
          <w:tcPr>
            <w:tcW w:w="20" w:type="dxa"/>
            <w:vAlign w:val="bottom"/>
          </w:tcPr>
          <w:p>
            <w:pPr>
              <w:spacing w:after="0"/>
              <w:rPr>
                <w:sz w:val="8"/>
                <w:szCs w:val="8"/>
                <w:color w:val="auto"/>
              </w:rPr>
            </w:pPr>
          </w:p>
        </w:tc>
        <w:tc>
          <w:tcPr>
            <w:tcW w:w="5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8"/>
                <w:szCs w:val="8"/>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8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8"/>
                <w:szCs w:val="8"/>
                <w:color w:val="auto"/>
              </w:rPr>
            </w:pPr>
          </w:p>
        </w:tc>
        <w:tc>
          <w:tcPr>
            <w:tcW w:w="7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vMerge w:val="restart"/>
            <w:shd w:val="clear" w:color="auto" w:fill="9ADAF6"/>
          </w:tcPr>
          <w:p>
            <w:pPr>
              <w:ind w:left="20"/>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Amount</w:t>
            </w:r>
          </w:p>
        </w:tc>
        <w:tc>
          <w:tcPr>
            <w:tcW w:w="20" w:type="dxa"/>
            <w:vAlign w:val="bottom"/>
          </w:tcPr>
          <w:p>
            <w:pPr>
              <w:spacing w:after="0"/>
              <w:rPr>
                <w:sz w:val="8"/>
                <w:szCs w:val="8"/>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with Fee</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40" w:type="dxa"/>
            <w:vAlign w:val="bottom"/>
            <w:tcBorders>
              <w:left w:val="single" w:sz="8" w:color="auto"/>
            </w:tcBorders>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8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40" w:type="dxa"/>
            <w:vAlign w:val="bottom"/>
            <w:tcBorders>
              <w:left w:val="single" w:sz="8" w:color="auto"/>
            </w:tcBorders>
          </w:tcPr>
          <w:p>
            <w:pPr>
              <w:spacing w:after="0"/>
              <w:rPr>
                <w:sz w:val="9"/>
                <w:szCs w:val="9"/>
                <w:color w:val="auto"/>
              </w:rPr>
            </w:pPr>
          </w:p>
        </w:tc>
        <w:tc>
          <w:tcPr>
            <w:tcW w:w="8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Filer Name</w:t>
            </w:r>
          </w:p>
        </w:tc>
        <w:tc>
          <w:tcPr>
            <w:tcW w:w="20" w:type="dxa"/>
            <w:vAlign w:val="bottom"/>
          </w:tcPr>
          <w:p>
            <w:pPr>
              <w:spacing w:after="0"/>
              <w:rPr>
                <w:sz w:val="9"/>
                <w:szCs w:val="9"/>
                <w:color w:val="auto"/>
              </w:rPr>
            </w:pPr>
          </w:p>
        </w:tc>
        <w:tc>
          <w:tcPr>
            <w:tcW w:w="54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Filing</w:t>
            </w:r>
          </w:p>
        </w:tc>
        <w:tc>
          <w:tcPr>
            <w:tcW w:w="20" w:type="dxa"/>
            <w:vAlign w:val="bottom"/>
          </w:tcPr>
          <w:p>
            <w:pPr>
              <w:spacing w:after="0"/>
              <w:rPr>
                <w:sz w:val="9"/>
                <w:szCs w:val="9"/>
                <w:color w:val="auto"/>
              </w:rPr>
            </w:pPr>
          </w:p>
        </w:tc>
        <w:tc>
          <w:tcPr>
            <w:tcW w:w="72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9"/>
                <w:szCs w:val="9"/>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9"/>
                <w:szCs w:val="9"/>
                <w:color w:val="auto"/>
              </w:rPr>
            </w:pPr>
          </w:p>
        </w:tc>
        <w:tc>
          <w:tcPr>
            <w:tcW w:w="86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9"/>
                <w:szCs w:val="9"/>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9"/>
                <w:szCs w:val="9"/>
                <w:color w:val="auto"/>
              </w:rPr>
            </w:pPr>
          </w:p>
        </w:tc>
        <w:tc>
          <w:tcPr>
            <w:tcW w:w="92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92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92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118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Associated</w:t>
            </w:r>
          </w:p>
        </w:tc>
        <w:tc>
          <w:tcPr>
            <w:tcW w:w="20" w:type="dxa"/>
            <w:vAlign w:val="bottom"/>
          </w:tcPr>
          <w:p>
            <w:pPr>
              <w:spacing w:after="0"/>
              <w:rPr>
                <w:sz w:val="9"/>
                <w:szCs w:val="9"/>
                <w:color w:val="auto"/>
              </w:rPr>
            </w:pPr>
          </w:p>
        </w:tc>
        <w:tc>
          <w:tcPr>
            <w:tcW w:w="78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8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1"/>
                <w:szCs w:val="11"/>
                <w:color w:val="auto"/>
              </w:rPr>
            </w:pPr>
          </w:p>
        </w:tc>
        <w:tc>
          <w:tcPr>
            <w:tcW w:w="92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1"/>
                <w:szCs w:val="11"/>
                <w:color w:val="auto"/>
              </w:rPr>
            </w:pPr>
          </w:p>
        </w:tc>
        <w:tc>
          <w:tcPr>
            <w:tcW w:w="92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1"/>
                <w:szCs w:val="11"/>
                <w:color w:val="auto"/>
              </w:rPr>
            </w:pPr>
          </w:p>
        </w:tc>
        <w:tc>
          <w:tcPr>
            <w:tcW w:w="118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1"/>
                <w:szCs w:val="11"/>
                <w:color w:val="auto"/>
              </w:rPr>
            </w:pPr>
          </w:p>
        </w:tc>
        <w:tc>
          <w:tcPr>
            <w:tcW w:w="78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40" w:type="dxa"/>
            <w:vAlign w:val="bottom"/>
            <w:tcBorders>
              <w:left w:val="single" w:sz="8" w:color="auto"/>
            </w:tcBorders>
          </w:tcPr>
          <w:p>
            <w:pPr>
              <w:spacing w:after="0"/>
              <w:rPr>
                <w:sz w:val="4"/>
                <w:szCs w:val="4"/>
                <w:color w:val="auto"/>
              </w:rPr>
            </w:pPr>
          </w:p>
        </w:tc>
        <w:tc>
          <w:tcPr>
            <w:tcW w:w="8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vMerge w:val="continue"/>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vMerge w:val="continue"/>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vMerge w:val="continue"/>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vMerge w:val="continue"/>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vMerge w:val="continue"/>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vMerge w:val="continue"/>
            <w:shd w:val="clear" w:color="auto" w:fill="9ADAF6"/>
          </w:tcPr>
          <w:p>
            <w:pPr>
              <w:spacing w:after="0"/>
              <w:rPr>
                <w:sz w:val="4"/>
                <w:szCs w:val="4"/>
                <w:color w:val="auto"/>
              </w:rPr>
            </w:pPr>
          </w:p>
        </w:tc>
        <w:tc>
          <w:tcPr>
            <w:tcW w:w="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60" w:type="dxa"/>
            <w:vAlign w:val="bottom"/>
            <w:gridSpan w:val="7"/>
          </w:tcPr>
          <w:p>
            <w:pPr>
              <w:ind w:left="700"/>
              <w:spacing w:after="0"/>
              <w:rPr>
                <w:sz w:val="20"/>
                <w:szCs w:val="20"/>
                <w:color w:val="auto"/>
              </w:rPr>
            </w:pPr>
            <w:r>
              <w:rPr>
                <w:rFonts w:ascii="Arial" w:cs="Arial" w:eastAsia="Arial" w:hAnsi="Arial"/>
                <w:sz w:val="17"/>
                <w:szCs w:val="17"/>
                <w:b w:val="1"/>
                <w:bCs w:val="1"/>
                <w:color w:val="auto"/>
              </w:rPr>
              <w:t>Rules 457(b) and 0-11(a)(2)</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4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4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4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4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40" w:type="dxa"/>
            <w:vAlign w:val="bottom"/>
            <w:gridSpan w:val="3"/>
          </w:tcPr>
          <w:p>
            <w:pPr>
              <w:jc w:val="right"/>
              <w:ind w:right="237"/>
              <w:spacing w:after="0"/>
              <w:rPr>
                <w:sz w:val="20"/>
                <w:szCs w:val="20"/>
                <w:color w:val="auto"/>
              </w:rPr>
            </w:pPr>
            <w:r>
              <w:rPr>
                <w:rFonts w:ascii="Arial" w:cs="Arial" w:eastAsia="Arial" w:hAnsi="Arial"/>
                <w:sz w:val="17"/>
                <w:szCs w:val="17"/>
                <w:b w:val="1"/>
                <w:bCs w:val="1"/>
                <w:color w:val="auto"/>
              </w:rPr>
              <w:t>Rule 457(p)</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line="182" w:lineRule="exact"/>
              <w:rPr>
                <w:sz w:val="20"/>
                <w:szCs w:val="20"/>
                <w:color w:val="auto"/>
              </w:rPr>
            </w:pPr>
            <w:r>
              <w:rPr>
                <w:rFonts w:ascii="Arial" w:cs="Arial" w:eastAsia="Arial" w:hAnsi="Arial"/>
                <w:sz w:val="17"/>
                <w:szCs w:val="17"/>
                <w:color w:val="auto"/>
              </w:rPr>
              <w:t>Class A</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440" w:type="dxa"/>
            <w:vAlign w:val="bottom"/>
            <w:vMerge w:val="restart"/>
            <w:shd w:val="clear" w:color="auto" w:fill="E7E7E2"/>
          </w:tcPr>
          <w:p>
            <w:pPr>
              <w:jc w:val="right"/>
              <w:ind w:right="97"/>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6"/>
                <w:szCs w:val="16"/>
                <w:color w:val="auto"/>
              </w:rPr>
            </w:pPr>
          </w:p>
        </w:tc>
        <w:tc>
          <w:tcPr>
            <w:tcW w:w="12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Tempus AI, Inc.</w:t>
            </w:r>
          </w:p>
        </w:tc>
        <w:tc>
          <w:tcPr>
            <w:tcW w:w="20" w:type="dxa"/>
            <w:vAlign w:val="bottom"/>
          </w:tcPr>
          <w:p>
            <w:pPr>
              <w:spacing w:after="0"/>
              <w:rPr>
                <w:sz w:val="16"/>
                <w:szCs w:val="16"/>
                <w:color w:val="auto"/>
              </w:rPr>
            </w:pPr>
          </w:p>
        </w:tc>
        <w:tc>
          <w:tcPr>
            <w:tcW w:w="5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S-1</w:t>
            </w:r>
          </w:p>
        </w:tc>
        <w:tc>
          <w:tcPr>
            <w:tcW w:w="20" w:type="dxa"/>
            <w:vAlign w:val="bottom"/>
          </w:tcPr>
          <w:p>
            <w:pPr>
              <w:spacing w:after="0"/>
              <w:rPr>
                <w:sz w:val="16"/>
                <w:szCs w:val="16"/>
                <w:color w:val="auto"/>
              </w:rPr>
            </w:pPr>
          </w:p>
        </w:tc>
        <w:tc>
          <w:tcPr>
            <w:tcW w:w="720" w:type="dxa"/>
            <w:vAlign w:val="bottom"/>
            <w:shd w:val="clear" w:color="auto" w:fill="E7E7E2"/>
          </w:tcPr>
          <w:p>
            <w:pPr>
              <w:jc w:val="center"/>
              <w:spacing w:after="0" w:line="187" w:lineRule="exact"/>
              <w:rPr>
                <w:sz w:val="20"/>
                <w:szCs w:val="20"/>
                <w:color w:val="auto"/>
              </w:rPr>
            </w:pPr>
            <w:r>
              <w:rPr>
                <w:rFonts w:ascii="Arial" w:cs="Arial" w:eastAsia="Arial" w:hAnsi="Arial"/>
                <w:sz w:val="17"/>
                <w:szCs w:val="17"/>
                <w:color w:val="auto"/>
                <w:w w:val="93"/>
              </w:rPr>
              <w:t>333-</w:t>
            </w:r>
          </w:p>
        </w:tc>
        <w:tc>
          <w:tcPr>
            <w:tcW w:w="20" w:type="dxa"/>
            <w:vAlign w:val="bottom"/>
          </w:tcPr>
          <w:p>
            <w:pPr>
              <w:spacing w:after="0"/>
              <w:rPr>
                <w:sz w:val="16"/>
                <w:szCs w:val="16"/>
                <w:color w:val="auto"/>
              </w:rPr>
            </w:pPr>
          </w:p>
        </w:tc>
        <w:tc>
          <w:tcPr>
            <w:tcW w:w="8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02/25/2025</w:t>
            </w: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jc w:val="right"/>
              <w:spacing w:after="0" w:line="187"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Stock, par</w:t>
            </w:r>
          </w:p>
        </w:tc>
        <w:tc>
          <w:tcPr>
            <w:tcW w:w="20" w:type="dxa"/>
            <w:vAlign w:val="bottom"/>
          </w:tcPr>
          <w:p>
            <w:pPr>
              <w:spacing w:after="0"/>
              <w:rPr>
                <w:sz w:val="16"/>
                <w:szCs w:val="16"/>
                <w:color w:val="auto"/>
              </w:rPr>
            </w:pPr>
          </w:p>
        </w:tc>
        <w:tc>
          <w:tcPr>
            <w:tcW w:w="9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2,152,505</w:t>
            </w:r>
          </w:p>
        </w:tc>
        <w:tc>
          <w:tcPr>
            <w:tcW w:w="20" w:type="dxa"/>
            <w:vAlign w:val="bottom"/>
          </w:tcPr>
          <w:p>
            <w:pPr>
              <w:spacing w:after="0"/>
              <w:rPr>
                <w:sz w:val="16"/>
                <w:szCs w:val="16"/>
                <w:color w:val="auto"/>
              </w:rPr>
            </w:pPr>
          </w:p>
        </w:tc>
        <w:tc>
          <w:tcPr>
            <w:tcW w:w="1180" w:type="dxa"/>
            <w:vAlign w:val="bottom"/>
            <w:shd w:val="clear" w:color="auto" w:fill="E7E7E2"/>
          </w:tcPr>
          <w:p>
            <w:pPr>
              <w:jc w:val="right"/>
              <w:spacing w:after="0" w:line="187"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Claims</w:t>
            </w:r>
          </w:p>
        </w:tc>
        <w:tc>
          <w:tcPr>
            <w:tcW w:w="20" w:type="dxa"/>
            <w:vAlign w:val="bottom"/>
          </w:tcPr>
          <w:p>
            <w:pPr>
              <w:spacing w:after="0"/>
              <w:rPr>
                <w:sz w:val="16"/>
                <w:szCs w:val="16"/>
                <w:color w:val="auto"/>
              </w:rPr>
            </w:pPr>
          </w:p>
        </w:tc>
        <w:tc>
          <w:tcPr>
            <w:tcW w:w="44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jc w:val="center"/>
              <w:spacing w:after="0" w:line="187" w:lineRule="exact"/>
              <w:rPr>
                <w:sz w:val="20"/>
                <w:szCs w:val="20"/>
                <w:color w:val="auto"/>
              </w:rPr>
            </w:pPr>
            <w:r>
              <w:rPr>
                <w:rFonts w:ascii="Arial" w:cs="Arial" w:eastAsia="Arial" w:hAnsi="Arial"/>
                <w:sz w:val="17"/>
                <w:szCs w:val="17"/>
                <w:color w:val="auto"/>
                <w:w w:val="98"/>
              </w:rPr>
              <w:t>285186</w:t>
            </w:r>
          </w:p>
        </w:tc>
        <w:tc>
          <w:tcPr>
            <w:tcW w:w="20" w:type="dxa"/>
            <w:vAlign w:val="bottom"/>
          </w:tcPr>
          <w:p>
            <w:pPr>
              <w:spacing w:after="0"/>
              <w:rPr>
                <w:sz w:val="16"/>
                <w:szCs w:val="16"/>
                <w:color w:val="auto"/>
              </w:rPr>
            </w:pPr>
          </w:p>
        </w:tc>
        <w:tc>
          <w:tcPr>
            <w:tcW w:w="86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jc w:val="right"/>
              <w:spacing w:after="0" w:line="187" w:lineRule="exact"/>
              <w:rPr>
                <w:sz w:val="20"/>
                <w:szCs w:val="20"/>
                <w:color w:val="auto"/>
              </w:rPr>
            </w:pPr>
            <w:r>
              <w:rPr>
                <w:rFonts w:ascii="Arial" w:cs="Arial" w:eastAsia="Arial" w:hAnsi="Arial"/>
                <w:sz w:val="17"/>
                <w:szCs w:val="17"/>
                <w:color w:val="auto"/>
                <w:w w:val="97"/>
              </w:rPr>
              <w:t>22,999.19</w:t>
            </w:r>
          </w:p>
        </w:tc>
        <w:tc>
          <w:tcPr>
            <w:tcW w:w="20" w:type="dxa"/>
            <w:vAlign w:val="bottom"/>
          </w:tcPr>
          <w:p>
            <w:pPr>
              <w:spacing w:after="0"/>
              <w:rPr>
                <w:sz w:val="16"/>
                <w:szCs w:val="16"/>
                <w:color w:val="auto"/>
              </w:rPr>
            </w:pPr>
          </w:p>
        </w:tc>
        <w:tc>
          <w:tcPr>
            <w:tcW w:w="9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value</w:t>
            </w:r>
          </w:p>
        </w:tc>
        <w:tc>
          <w:tcPr>
            <w:tcW w:w="20" w:type="dxa"/>
            <w:vAlign w:val="bottom"/>
          </w:tcPr>
          <w:p>
            <w:pPr>
              <w:spacing w:after="0"/>
              <w:rPr>
                <w:sz w:val="16"/>
                <w:szCs w:val="16"/>
                <w:color w:val="auto"/>
              </w:rPr>
            </w:pPr>
          </w:p>
        </w:tc>
        <w:tc>
          <w:tcPr>
            <w:tcW w:w="9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jc w:val="right"/>
              <w:spacing w:after="0" w:line="187" w:lineRule="exact"/>
              <w:rPr>
                <w:sz w:val="20"/>
                <w:szCs w:val="20"/>
                <w:color w:val="auto"/>
              </w:rPr>
            </w:pPr>
            <w:r>
              <w:rPr>
                <w:rFonts w:ascii="Arial" w:cs="Arial" w:eastAsia="Arial" w:hAnsi="Arial"/>
                <w:sz w:val="17"/>
                <w:szCs w:val="17"/>
                <w:color w:val="auto"/>
                <w:w w:val="98"/>
              </w:rPr>
              <w:t>150,223,323.95</w:t>
            </w: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w w:val="96"/>
              </w:rPr>
              <w:t>$0.0001 per</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440" w:type="dxa"/>
            <w:vAlign w:val="bottom"/>
            <w:vMerge w:val="restart"/>
            <w:shd w:val="clear" w:color="auto" w:fill="E7E7E2"/>
          </w:tcPr>
          <w:p>
            <w:pPr>
              <w:jc w:val="right"/>
              <w:ind w:right="97"/>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5"/>
                <w:szCs w:val="15"/>
                <w:color w:val="auto"/>
              </w:rPr>
            </w:pPr>
          </w:p>
        </w:tc>
        <w:tc>
          <w:tcPr>
            <w:tcW w:w="12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Tempus AI, Inc.</w:t>
            </w:r>
          </w:p>
        </w:tc>
        <w:tc>
          <w:tcPr>
            <w:tcW w:w="20" w:type="dxa"/>
            <w:vAlign w:val="bottom"/>
          </w:tcPr>
          <w:p>
            <w:pPr>
              <w:spacing w:after="0"/>
              <w:rPr>
                <w:sz w:val="15"/>
                <w:szCs w:val="15"/>
                <w:color w:val="auto"/>
              </w:rPr>
            </w:pPr>
          </w:p>
        </w:tc>
        <w:tc>
          <w:tcPr>
            <w:tcW w:w="5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S-1</w:t>
            </w:r>
          </w:p>
        </w:tc>
        <w:tc>
          <w:tcPr>
            <w:tcW w:w="20" w:type="dxa"/>
            <w:vAlign w:val="bottom"/>
          </w:tcPr>
          <w:p>
            <w:pPr>
              <w:spacing w:after="0"/>
              <w:rPr>
                <w:sz w:val="15"/>
                <w:szCs w:val="15"/>
                <w:color w:val="auto"/>
              </w:rPr>
            </w:pPr>
          </w:p>
        </w:tc>
        <w:tc>
          <w:tcPr>
            <w:tcW w:w="720" w:type="dxa"/>
            <w:vAlign w:val="bottom"/>
            <w:shd w:val="clear" w:color="auto" w:fill="E7E7E2"/>
          </w:tcPr>
          <w:p>
            <w:pPr>
              <w:jc w:val="center"/>
              <w:spacing w:after="0" w:line="176" w:lineRule="exact"/>
              <w:rPr>
                <w:sz w:val="20"/>
                <w:szCs w:val="20"/>
                <w:color w:val="auto"/>
              </w:rPr>
            </w:pPr>
            <w:r>
              <w:rPr>
                <w:rFonts w:ascii="Arial" w:cs="Arial" w:eastAsia="Arial" w:hAnsi="Arial"/>
                <w:sz w:val="17"/>
                <w:szCs w:val="17"/>
                <w:color w:val="auto"/>
                <w:w w:val="93"/>
              </w:rPr>
              <w:t>333-</w:t>
            </w: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6"/>
              </w:rPr>
              <w:t>02/25/2025</w:t>
            </w: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780" w:type="dxa"/>
            <w:vAlign w:val="bottom"/>
            <w:shd w:val="clear" w:color="auto" w:fill="E7E7E2"/>
          </w:tcPr>
          <w:p>
            <w:pPr>
              <w:jc w:val="right"/>
              <w:spacing w:after="0" w:line="176" w:lineRule="exact"/>
              <w:rPr>
                <w:sz w:val="20"/>
                <w:szCs w:val="20"/>
                <w:color w:val="auto"/>
              </w:rPr>
            </w:pPr>
            <w:r>
              <w:rPr>
                <w:rFonts w:ascii="Arial" w:cs="Arial" w:eastAsia="Arial" w:hAnsi="Arial"/>
                <w:sz w:val="17"/>
                <w:szCs w:val="17"/>
                <w:color w:val="auto"/>
              </w:rPr>
              <w:t>$</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tcBorders>
          </w:tcPr>
          <w:p>
            <w:pPr>
              <w:spacing w:after="0"/>
              <w:rPr>
                <w:sz w:val="10"/>
                <w:szCs w:val="10"/>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0"/>
                <w:szCs w:val="10"/>
                <w:color w:val="auto"/>
              </w:rPr>
            </w:pPr>
          </w:p>
        </w:tc>
        <w:tc>
          <w:tcPr>
            <w:tcW w:w="4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285186</w:t>
            </w: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22,999.19</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Rule 457(p) Statement of Withdrawal, Termination, or Completion:</w:t>
      </w:r>
    </w:p>
    <w:p>
      <w:pPr>
        <w:spacing w:after="0" w:line="106" w:lineRule="exact"/>
        <w:rPr>
          <w:sz w:val="20"/>
          <w:szCs w:val="20"/>
          <w:color w:val="auto"/>
        </w:rPr>
      </w:pPr>
    </w:p>
    <w:p>
      <w:pPr>
        <w:ind w:left="220" w:right="160" w:hanging="186"/>
        <w:spacing w:after="0" w:line="227" w:lineRule="auto"/>
        <w:tabs>
          <w:tab w:leader="none" w:pos="220" w:val="left"/>
        </w:tabs>
        <w:numPr>
          <w:ilvl w:val="0"/>
          <w:numId w:val="150"/>
        </w:numPr>
        <w:rPr>
          <w:rFonts w:ascii="Arial" w:cs="Arial" w:eastAsia="Arial" w:hAnsi="Arial"/>
          <w:sz w:val="21"/>
          <w:szCs w:val="21"/>
          <w:color w:val="auto"/>
          <w:vertAlign w:val="superscript"/>
        </w:rPr>
      </w:pPr>
      <w:r>
        <w:rPr>
          <w:rFonts w:ascii="Arial" w:cs="Arial" w:eastAsia="Arial" w:hAnsi="Arial"/>
          <w:sz w:val="17"/>
          <w:szCs w:val="17"/>
          <w:color w:val="auto"/>
        </w:rPr>
        <w:t>(7) The registrant previously filed a registration statement on Form S-1 (Registration No. 333-285186), initially filed on February 25, 2025 and initially declared effective by the Securities and Exchange Commission on March 7, 2025 (the "Prior Registration Statement"), which registered the resale of up to 4,843,136 shares of Class A common stock (the "Resale Shares") for a proposed maximum aggregate offering price of $338,002,461.44. A fee of $51,748.18 was previously paid in connection with the registration of the Resale Shares. 2,152,505 of the Resale Shares (the "Unsold Securities") registered for resale under the Prior Registration Statement were not sold. Pursuant to Rule 457(p), a remaining fee amount of $22,999.19, representing the portion of the registration fee previously paid with respect to the Unsold Securities, is being used to offset the fee due in connection with the filing of this Registration Statement. The offering of the Unsold Securities under the Prior Registration Statement will be deemed terminated as of the time of the filing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494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0">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ectPr>
          <w:pgSz w:w="11900" w:h="16838" w:orient="portrait"/>
          <w:cols w:equalWidth="0" w:num="1">
            <w:col w:w="11280"/>
          </w:cols>
          <w:pgMar w:left="300" w:top="120" w:right="319" w:bottom="0" w:gutter="0" w:footer="0" w:header="0"/>
        </w:sectPr>
      </w:pPr>
    </w:p>
    <w:bookmarkStart w:id="208" w:name="page209"/>
    <w:bookmarkEnd w:id="208"/>
    <w:p>
      <w:pPr>
        <w:ind w:left="40"/>
        <w:spacing w:after="0"/>
        <w:rPr>
          <w:sz w:val="20"/>
          <w:szCs w:val="20"/>
          <w:color w:val="auto"/>
        </w:rPr>
      </w:pPr>
      <w:r>
        <w:rPr>
          <w:rFonts w:ascii="Arial" w:cs="Arial" w:eastAsia="Arial" w:hAnsi="Arial"/>
          <w:sz w:val="17"/>
          <w:szCs w:val="17"/>
          <w:b w:val="1"/>
          <w:bCs w:val="1"/>
          <w:color w:val="auto"/>
        </w:rPr>
        <w:t>Offset Note</w:t>
      </w:r>
    </w:p>
    <w:p>
      <w:pPr>
        <w:spacing w:after="0" w:line="106" w:lineRule="exact"/>
        <w:rPr>
          <w:sz w:val="20"/>
          <w:szCs w:val="20"/>
          <w:color w:val="auto"/>
        </w:rPr>
      </w:pPr>
    </w:p>
    <w:p>
      <w:pPr>
        <w:ind w:left="220" w:right="160" w:hanging="186"/>
        <w:spacing w:after="0" w:line="227" w:lineRule="auto"/>
        <w:tabs>
          <w:tab w:leader="none" w:pos="220" w:val="left"/>
        </w:tabs>
        <w:numPr>
          <w:ilvl w:val="0"/>
          <w:numId w:val="151"/>
        </w:numPr>
        <w:rPr>
          <w:rFonts w:ascii="Arial" w:cs="Arial" w:eastAsia="Arial" w:hAnsi="Arial"/>
          <w:sz w:val="21"/>
          <w:szCs w:val="21"/>
          <w:color w:val="auto"/>
          <w:vertAlign w:val="superscript"/>
        </w:rPr>
      </w:pPr>
      <w:r>
        <w:rPr>
          <w:rFonts w:ascii="Arial" w:cs="Arial" w:eastAsia="Arial" w:hAnsi="Arial"/>
          <w:sz w:val="17"/>
          <w:szCs w:val="17"/>
          <w:color w:val="auto"/>
        </w:rPr>
        <w:t>(7) The registrant previously filed a registration statement on Form S-1 (Registration No. 333-285186), initially filed on February 25, 2025 and initially declared effective by the Securities and Exchange Commission on March 7, 2025 (the "Prior Registration Statement"), which registered the resale of up to 4,843,136 shares of Class A common stock (the "Resale Shares") for a proposed maximum aggregate offering price of $338,002,461.44. A fee of $51,748.18 was previously paid in connection with the registration of the Resale Shares. 2,152,505 of the Resale Shares (the "Unsold Securities") registered for resale under the Prior Registration Statement were not sold. Pursuant to Rule 457(p), a remaining fee amount of $22,999.19, representing the portion of the registration fee previously paid with respect to the Unsold Securities, is being used to offset the fee due in connection with the filing of this Registration Statement. The offering of the Unsold Securities under the Prior Registration Statement will be deemed terminated as of the time of the filing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494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1">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40" w:type="dxa"/>
            <w:vAlign w:val="bottom"/>
            <w:tcBorders>
              <w:bottom w:val="single" w:sz="8" w:color="auto"/>
            </w:tcBorders>
          </w:tcPr>
          <w:p>
            <w:pPr>
              <w:spacing w:after="0"/>
              <w:rPr>
                <w:sz w:val="23"/>
                <w:szCs w:val="23"/>
                <w:color w:val="auto"/>
              </w:rPr>
            </w:pPr>
          </w:p>
        </w:tc>
        <w:tc>
          <w:tcPr>
            <w:tcW w:w="4840" w:type="dxa"/>
            <w:vAlign w:val="bottom"/>
            <w:tcBorders>
              <w:bottom w:val="single" w:sz="8" w:color="auto"/>
            </w:tcBorders>
            <w:gridSpan w:val="5"/>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gridSpan w:val="3"/>
          </w:tcPr>
          <w:p>
            <w:pPr>
              <w:ind w:left="72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9ADAF6"/>
          </w:tcPr>
          <w:p>
            <w:pPr>
              <w:ind w:left="360"/>
              <w:spacing w:after="0" w:line="193" w:lineRule="exact"/>
              <w:rPr>
                <w:sz w:val="20"/>
                <w:szCs w:val="20"/>
                <w:color w:val="auto"/>
              </w:rPr>
            </w:pPr>
            <w:r>
              <w:rPr>
                <w:rFonts w:ascii="Arial" w:cs="Arial" w:eastAsia="Arial" w:hAnsi="Arial"/>
                <w:sz w:val="17"/>
                <w:szCs w:val="17"/>
                <w:b w:val="1"/>
                <w:bCs w:val="1"/>
                <w:color w:val="auto"/>
              </w:rPr>
              <w:t>Amount of</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Maximum Aggregate</w:t>
            </w: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vMerge w:val="restart"/>
            <w:shd w:val="clear" w:color="auto" w:fill="9ADAF6"/>
          </w:tcPr>
          <w:p>
            <w:pPr>
              <w:ind w:left="380"/>
              <w:spacing w:after="0" w:line="187" w:lineRule="exact"/>
              <w:rPr>
                <w:sz w:val="20"/>
                <w:szCs w:val="20"/>
                <w:color w:val="auto"/>
              </w:rPr>
            </w:pPr>
            <w:r>
              <w:rPr>
                <w:rFonts w:ascii="Arial" w:cs="Arial" w:eastAsia="Arial" w:hAnsi="Arial"/>
                <w:sz w:val="17"/>
                <w:szCs w:val="17"/>
                <w:b w:val="1"/>
                <w:bCs w:val="1"/>
                <w:color w:val="auto"/>
              </w:rPr>
              <w:t>Securities</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8"/>
                <w:szCs w:val="8"/>
                <w:color w:val="auto"/>
              </w:rPr>
            </w:pPr>
          </w:p>
        </w:tc>
        <w:tc>
          <w:tcPr>
            <w:tcW w:w="1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240"/>
              <w:spacing w:after="0" w:line="187"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800" w:type="dxa"/>
            <w:vAlign w:val="bottom"/>
            <w:vMerge w:val="restart"/>
            <w:shd w:val="clear" w:color="auto" w:fill="9ADAF6"/>
          </w:tcPr>
          <w:p>
            <w:pPr>
              <w:ind w:left="640"/>
              <w:spacing w:after="0" w:line="187"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tcPr>
          <w:p>
            <w:pPr>
              <w:spacing w:after="0"/>
              <w:rPr>
                <w:sz w:val="8"/>
                <w:szCs w:val="8"/>
                <w:color w:val="auto"/>
              </w:rPr>
            </w:pPr>
          </w:p>
        </w:tc>
        <w:tc>
          <w:tcPr>
            <w:tcW w:w="1240" w:type="dxa"/>
            <w:vAlign w:val="bottom"/>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File Number</w:t>
            </w:r>
          </w:p>
        </w:tc>
        <w:tc>
          <w:tcPr>
            <w:tcW w:w="20" w:type="dxa"/>
            <w:vAlign w:val="bottom"/>
          </w:tcPr>
          <w:p>
            <w:pPr>
              <w:spacing w:after="0"/>
              <w:rPr>
                <w:sz w:val="8"/>
                <w:szCs w:val="8"/>
                <w:color w:val="auto"/>
              </w:rPr>
            </w:pPr>
          </w:p>
        </w:tc>
        <w:tc>
          <w:tcPr>
            <w:tcW w:w="940" w:type="dxa"/>
            <w:vAlign w:val="bottom"/>
            <w:tcBorders>
              <w:right w:val="single" w:sz="8" w:color="auto"/>
            </w:tcBorders>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Effective</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vMerge w:val="restart"/>
            <w:shd w:val="clear" w:color="auto" w:fill="9ADAF6"/>
          </w:tcPr>
          <w:p>
            <w:pPr>
              <w:ind w:left="360"/>
              <w:spacing w:after="0" w:line="187" w:lineRule="exact"/>
              <w:rPr>
                <w:sz w:val="20"/>
                <w:szCs w:val="20"/>
                <w:color w:val="auto"/>
              </w:rPr>
            </w:pPr>
            <w:r>
              <w:rPr>
                <w:rFonts w:ascii="Arial" w:cs="Arial" w:eastAsia="Arial" w:hAnsi="Arial"/>
                <w:sz w:val="17"/>
                <w:szCs w:val="17"/>
                <w:b w:val="1"/>
                <w:bCs w:val="1"/>
                <w:color w:val="auto"/>
                <w:w w:val="99"/>
              </w:rPr>
              <w:t>Previously</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Securities Previously</w:t>
            </w: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8"/>
                <w:szCs w:val="8"/>
                <w:color w:val="auto"/>
              </w:rPr>
            </w:pPr>
          </w:p>
        </w:tc>
        <w:tc>
          <w:tcPr>
            <w:tcW w:w="11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8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vMerge w:val="restart"/>
            <w:shd w:val="clear" w:color="auto" w:fill="9ADAF6"/>
          </w:tcPr>
          <w:p>
            <w:pPr>
              <w:ind w:left="360"/>
              <w:spacing w:after="0"/>
              <w:rPr>
                <w:sz w:val="20"/>
                <w:szCs w:val="20"/>
                <w:color w:val="auto"/>
              </w:rPr>
            </w:pPr>
            <w:r>
              <w:rPr>
                <w:rFonts w:ascii="Arial" w:cs="Arial" w:eastAsia="Arial" w:hAnsi="Arial"/>
                <w:sz w:val="17"/>
                <w:szCs w:val="17"/>
                <w:b w:val="1"/>
                <w:bCs w:val="1"/>
                <w:color w:val="auto"/>
                <w:w w:val="97"/>
              </w:rPr>
              <w:t>Registered</w:t>
            </w: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Borders>
              <w:right w:val="single" w:sz="8" w:color="auto"/>
            </w:tcBorders>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8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156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8"/>
                <w:szCs w:val="18"/>
                <w:color w:val="auto"/>
              </w:rPr>
            </w:pPr>
          </w:p>
        </w:tc>
        <w:tc>
          <w:tcPr>
            <w:tcW w:w="2800" w:type="dxa"/>
            <w:vAlign w:val="bottom"/>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8"/>
                <w:szCs w:val="18"/>
                <w:color w:val="auto"/>
              </w:rPr>
            </w:pPr>
          </w:p>
        </w:tc>
        <w:tc>
          <w:tcPr>
            <w:tcW w:w="1240" w:type="dxa"/>
            <w:vAlign w:val="bottom"/>
            <w:shd w:val="clear" w:color="auto" w:fill="E7E7E2"/>
          </w:tcPr>
          <w:p>
            <w:pPr>
              <w:spacing w:after="0"/>
              <w:rPr>
                <w:sz w:val="18"/>
                <w:szCs w:val="18"/>
                <w:color w:val="auto"/>
              </w:rPr>
            </w:pPr>
          </w:p>
        </w:tc>
        <w:tc>
          <w:tcPr>
            <w:tcW w:w="340" w:type="dxa"/>
            <w:vAlign w:val="bottom"/>
            <w:shd w:val="clear" w:color="auto" w:fill="E7E7E2"/>
          </w:tcPr>
          <w:p>
            <w:pPr>
              <w:ind w:left="4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2000" w:type="dxa"/>
            <w:vAlign w:val="bottom"/>
            <w:shd w:val="clear" w:color="auto" w:fill="E7E7E2"/>
          </w:tcPr>
          <w:p>
            <w:pPr>
              <w:ind w:left="172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8"/>
                <w:szCs w:val="18"/>
                <w:color w:val="auto"/>
              </w:rPr>
            </w:pPr>
          </w:p>
        </w:tc>
        <w:tc>
          <w:tcPr>
            <w:tcW w:w="680" w:type="dxa"/>
            <w:vAlign w:val="bottom"/>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1100" w:type="dxa"/>
            <w:vAlign w:val="bottom"/>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38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3EFDC5"/>
    <w:multiLevelType w:val="hybridMultilevel"/>
    <w:lvl w:ilvl="0">
      <w:lvlJc w:val="left"/>
      <w:lvlText w:val="•"/>
      <w:numFmt w:val="bullet"/>
      <w:start w:val="1"/>
    </w:lvl>
  </w:abstractNum>
  <w:abstractNum w:abstractNumId="1">
    <w:nsid w:val="BF72B14"/>
    <w:multiLevelType w:val="hybridMultilevel"/>
    <w:lvl w:ilvl="0">
      <w:lvlJc w:val="left"/>
      <w:lvlText w:val="•"/>
      <w:numFmt w:val="bullet"/>
      <w:start w:val="1"/>
    </w:lvl>
  </w:abstractNum>
  <w:abstractNum w:abstractNumId="2">
    <w:nsid w:val="11447B73"/>
    <w:multiLevelType w:val="hybridMultilevel"/>
    <w:lvl w:ilvl="0">
      <w:lvlJc w:val="left"/>
      <w:lvlText w:val="•"/>
      <w:numFmt w:val="bullet"/>
      <w:start w:val="1"/>
    </w:lvl>
  </w:abstractNum>
  <w:abstractNum w:abstractNumId="3">
    <w:nsid w:val="42963E5A"/>
    <w:multiLevelType w:val="hybridMultilevel"/>
    <w:lvl w:ilvl="0">
      <w:lvlJc w:val="left"/>
      <w:lvlText w:val="•"/>
      <w:numFmt w:val="bullet"/>
      <w:start w:val="1"/>
    </w:lvl>
  </w:abstractNum>
  <w:abstractNum w:abstractNumId="4">
    <w:nsid w:val="A0382C5"/>
    <w:multiLevelType w:val="hybridMultilevel"/>
    <w:lvl w:ilvl="0">
      <w:lvlJc w:val="left"/>
      <w:lvlText w:val="•"/>
      <w:numFmt w:val="bullet"/>
      <w:start w:val="1"/>
    </w:lvl>
  </w:abstractNum>
  <w:abstractNum w:abstractNumId="5">
    <w:nsid w:val="8F2B15E"/>
    <w:multiLevelType w:val="hybridMultilevel"/>
    <w:lvl w:ilvl="0">
      <w:lvlJc w:val="left"/>
      <w:lvlText w:val="•"/>
      <w:numFmt w:val="bullet"/>
      <w:start w:val="1"/>
    </w:lvl>
  </w:abstractNum>
  <w:abstractNum w:abstractNumId="6">
    <w:nsid w:val="1A32234B"/>
    <w:multiLevelType w:val="hybridMultilevel"/>
    <w:lvl w:ilvl="0">
      <w:lvlJc w:val="left"/>
      <w:lvlText w:val="•"/>
      <w:numFmt w:val="bullet"/>
      <w:start w:val="1"/>
    </w:lvl>
  </w:abstractNum>
  <w:abstractNum w:abstractNumId="7">
    <w:nsid w:val="3B0FD379"/>
    <w:multiLevelType w:val="hybridMultilevel"/>
    <w:lvl w:ilvl="0">
      <w:lvlJc w:val="left"/>
      <w:lvlText w:val="•"/>
      <w:numFmt w:val="bullet"/>
      <w:start w:val="1"/>
    </w:lvl>
  </w:abstractNum>
  <w:abstractNum w:abstractNumId="8">
    <w:nsid w:val="68EB2F63"/>
    <w:multiLevelType w:val="hybridMultilevel"/>
    <w:lvl w:ilvl="0">
      <w:lvlJc w:val="left"/>
      <w:lvlText w:val="•"/>
      <w:numFmt w:val="bullet"/>
      <w:start w:val="1"/>
    </w:lvl>
  </w:abstractNum>
  <w:abstractNum w:abstractNumId="9">
    <w:nsid w:val="4962813B"/>
    <w:multiLevelType w:val="hybridMultilevel"/>
    <w:lvl w:ilvl="0">
      <w:lvlJc w:val="left"/>
      <w:lvlText w:val="•"/>
      <w:numFmt w:val="bullet"/>
      <w:start w:val="1"/>
    </w:lvl>
  </w:abstractNum>
  <w:abstractNum w:abstractNumId="10">
    <w:nsid w:val="60B6DF70"/>
    <w:multiLevelType w:val="hybridMultilevel"/>
    <w:lvl w:ilvl="0">
      <w:lvlJc w:val="left"/>
      <w:lvlText w:val="•"/>
      <w:numFmt w:val="bullet"/>
      <w:start w:val="1"/>
    </w:lvl>
  </w:abstractNum>
  <w:abstractNum w:abstractNumId="11">
    <w:nsid w:val="6A5EE64"/>
    <w:multiLevelType w:val="hybridMultilevel"/>
    <w:lvl w:ilvl="0">
      <w:lvlJc w:val="left"/>
      <w:lvlText w:val="•"/>
      <w:numFmt w:val="bullet"/>
      <w:start w:val="1"/>
    </w:lvl>
  </w:abstractNum>
  <w:abstractNum w:abstractNumId="12">
    <w:nsid w:val="14330624"/>
    <w:multiLevelType w:val="hybridMultilevel"/>
    <w:lvl w:ilvl="0">
      <w:lvlJc w:val="left"/>
      <w:lvlText w:val="•"/>
      <w:numFmt w:val="bullet"/>
      <w:start w:val="1"/>
    </w:lvl>
  </w:abstractNum>
  <w:abstractNum w:abstractNumId="13">
    <w:nsid w:val="7FFFCA11"/>
    <w:multiLevelType w:val="hybridMultilevel"/>
    <w:lvl w:ilvl="0">
      <w:lvlJc w:val="left"/>
      <w:lvlText w:val="•"/>
      <w:numFmt w:val="bullet"/>
      <w:start w:val="1"/>
    </w:lvl>
  </w:abstractNum>
  <w:abstractNum w:abstractNumId="14">
    <w:nsid w:val="1A27709E"/>
    <w:multiLevelType w:val="hybridMultilevel"/>
    <w:lvl w:ilvl="0">
      <w:lvlJc w:val="left"/>
      <w:lvlText w:val="•"/>
      <w:numFmt w:val="bullet"/>
      <w:start w:val="1"/>
    </w:lvl>
  </w:abstractNum>
  <w:abstractNum w:abstractNumId="15">
    <w:nsid w:val="71EA1109"/>
    <w:multiLevelType w:val="hybridMultilevel"/>
    <w:lvl w:ilvl="0">
      <w:lvlJc w:val="left"/>
      <w:lvlText w:val="•"/>
      <w:numFmt w:val="bullet"/>
      <w:start w:val="1"/>
    </w:lvl>
  </w:abstractNum>
  <w:abstractNum w:abstractNumId="16">
    <w:nsid w:val="100F59DC"/>
    <w:multiLevelType w:val="hybridMultilevel"/>
    <w:lvl w:ilvl="0">
      <w:lvlJc w:val="left"/>
      <w:lvlText w:val="•"/>
      <w:numFmt w:val="bullet"/>
      <w:start w:val="1"/>
    </w:lvl>
  </w:abstractNum>
  <w:abstractNum w:abstractNumId="17">
    <w:nsid w:val="7FB7E0AA"/>
    <w:multiLevelType w:val="hybridMultilevel"/>
    <w:lvl w:ilvl="0">
      <w:lvlJc w:val="left"/>
      <w:lvlText w:val="•"/>
      <w:numFmt w:val="bullet"/>
      <w:start w:val="1"/>
    </w:lvl>
  </w:abstractNum>
  <w:abstractNum w:abstractNumId="18">
    <w:nsid w:val="6EB5BD4"/>
    <w:multiLevelType w:val="hybridMultilevel"/>
    <w:lvl w:ilvl="0">
      <w:lvlJc w:val="left"/>
      <w:lvlText w:val="•"/>
      <w:numFmt w:val="bullet"/>
      <w:start w:val="1"/>
    </w:lvl>
  </w:abstractNum>
  <w:abstractNum w:abstractNumId="19">
    <w:nsid w:val="6F6DD9AC"/>
    <w:multiLevelType w:val="hybridMultilevel"/>
    <w:lvl w:ilvl="0">
      <w:lvlJc w:val="left"/>
      <w:lvlText w:val="•"/>
      <w:numFmt w:val="bullet"/>
      <w:start w:val="1"/>
    </w:lvl>
  </w:abstractNum>
  <w:abstractNum w:abstractNumId="20">
    <w:nsid w:val="94211F2"/>
    <w:multiLevelType w:val="hybridMultilevel"/>
    <w:lvl w:ilvl="0">
      <w:lvlJc w:val="left"/>
      <w:lvlText w:val="•"/>
      <w:numFmt w:val="bullet"/>
      <w:start w:val="1"/>
    </w:lvl>
  </w:abstractNum>
  <w:abstractNum w:abstractNumId="21">
    <w:nsid w:val="885E1B"/>
    <w:multiLevelType w:val="hybridMultilevel"/>
    <w:lvl w:ilvl="0">
      <w:lvlJc w:val="left"/>
      <w:lvlText w:val="•"/>
      <w:numFmt w:val="bullet"/>
      <w:start w:val="1"/>
    </w:lvl>
  </w:abstractNum>
  <w:abstractNum w:abstractNumId="22">
    <w:nsid w:val="76272110"/>
    <w:multiLevelType w:val="hybridMultilevel"/>
    <w:lvl w:ilvl="0">
      <w:lvlJc w:val="left"/>
      <w:lvlText w:val="•"/>
      <w:numFmt w:val="bullet"/>
      <w:start w:val="1"/>
    </w:lvl>
  </w:abstractNum>
  <w:abstractNum w:abstractNumId="23">
    <w:nsid w:val="4C04A8AF"/>
    <w:multiLevelType w:val="hybridMultilevel"/>
    <w:lvl w:ilvl="0">
      <w:lvlJc w:val="left"/>
      <w:lvlText w:val="•"/>
      <w:numFmt w:val="bullet"/>
      <w:start w:val="1"/>
    </w:lvl>
  </w:abstractNum>
  <w:abstractNum w:abstractNumId="24">
    <w:nsid w:val="1716703B"/>
    <w:multiLevelType w:val="hybridMultilevel"/>
    <w:lvl w:ilvl="0">
      <w:lvlJc w:val="left"/>
      <w:lvlText w:val="•"/>
      <w:numFmt w:val="bullet"/>
      <w:start w:val="1"/>
    </w:lvl>
  </w:abstractNum>
  <w:abstractNum w:abstractNumId="25">
    <w:nsid w:val="14E17E33"/>
    <w:multiLevelType w:val="hybridMultilevel"/>
    <w:lvl w:ilvl="0">
      <w:lvlJc w:val="left"/>
      <w:lvlText w:val="•"/>
      <w:numFmt w:val="bullet"/>
      <w:start w:val="1"/>
    </w:lvl>
  </w:abstractNum>
  <w:abstractNum w:abstractNumId="26">
    <w:nsid w:val="3222E7CD"/>
    <w:multiLevelType w:val="hybridMultilevel"/>
    <w:lvl w:ilvl="0">
      <w:lvlJc w:val="left"/>
      <w:lvlText w:val="•"/>
      <w:numFmt w:val="bullet"/>
      <w:start w:val="1"/>
    </w:lvl>
  </w:abstractNum>
  <w:abstractNum w:abstractNumId="27">
    <w:nsid w:val="74DE0EE3"/>
    <w:multiLevelType w:val="hybridMultilevel"/>
    <w:lvl w:ilvl="0">
      <w:lvlJc w:val="left"/>
      <w:lvlText w:val="•"/>
      <w:numFmt w:val="bullet"/>
      <w:start w:val="1"/>
    </w:lvl>
  </w:abstractNum>
  <w:abstractNum w:abstractNumId="28">
    <w:nsid w:val="68EBC550"/>
    <w:multiLevelType w:val="hybridMultilevel"/>
    <w:lvl w:ilvl="0">
      <w:lvlJc w:val="left"/>
      <w:lvlText w:val="•"/>
      <w:numFmt w:val="bullet"/>
      <w:start w:val="1"/>
    </w:lvl>
  </w:abstractNum>
  <w:abstractNum w:abstractNumId="29">
    <w:nsid w:val="2DF6D648"/>
    <w:multiLevelType w:val="hybridMultilevel"/>
    <w:lvl w:ilvl="0">
      <w:lvlJc w:val="left"/>
      <w:lvlText w:val="•"/>
      <w:numFmt w:val="bullet"/>
      <w:start w:val="1"/>
    </w:lvl>
  </w:abstractNum>
  <w:abstractNum w:abstractNumId="30">
    <w:nsid w:val="46B7D447"/>
    <w:multiLevelType w:val="hybridMultilevel"/>
    <w:lvl w:ilvl="0">
      <w:lvlJc w:val="left"/>
      <w:lvlText w:val="*"/>
      <w:numFmt w:val="bullet"/>
      <w:start w:val="1"/>
    </w:lvl>
  </w:abstractNum>
  <w:abstractNum w:abstractNumId="31">
    <w:nsid w:val="4A2AC315"/>
    <w:multiLevelType w:val="hybridMultilevel"/>
    <w:lvl w:ilvl="0">
      <w:lvlJc w:val="left"/>
      <w:lvlText w:val="(%1)"/>
      <w:numFmt w:val="decimal"/>
      <w:start w:val="1"/>
    </w:lvl>
  </w:abstractNum>
  <w:abstractNum w:abstractNumId="32">
    <w:nsid w:val="39EE015C"/>
    <w:multiLevelType w:val="hybridMultilevel"/>
    <w:lvl w:ilvl="0">
      <w:lvlJc w:val="left"/>
      <w:lvlText w:val="•"/>
      <w:numFmt w:val="bullet"/>
      <w:start w:val="1"/>
    </w:lvl>
  </w:abstractNum>
  <w:abstractNum w:abstractNumId="33">
    <w:nsid w:val="57FC4FBB"/>
    <w:multiLevelType w:val="hybridMultilevel"/>
    <w:lvl w:ilvl="0">
      <w:lvlJc w:val="left"/>
      <w:lvlText w:val="•"/>
      <w:numFmt w:val="bullet"/>
      <w:start w:val="1"/>
    </w:lvl>
  </w:abstractNum>
  <w:abstractNum w:abstractNumId="34">
    <w:nsid w:val="CC1016F"/>
    <w:multiLevelType w:val="hybridMultilevel"/>
    <w:lvl w:ilvl="0">
      <w:lvlJc w:val="left"/>
      <w:lvlText w:val="•"/>
      <w:numFmt w:val="bullet"/>
      <w:start w:val="1"/>
    </w:lvl>
  </w:abstractNum>
  <w:abstractNum w:abstractNumId="35">
    <w:nsid w:val="43F18422"/>
    <w:multiLevelType w:val="hybridMultilevel"/>
    <w:lvl w:ilvl="0">
      <w:lvlJc w:val="left"/>
      <w:lvlText w:val="•"/>
      <w:numFmt w:val="bullet"/>
      <w:start w:val="1"/>
    </w:lvl>
  </w:abstractNum>
  <w:abstractNum w:abstractNumId="36">
    <w:nsid w:val="60EF0119"/>
    <w:multiLevelType w:val="hybridMultilevel"/>
    <w:lvl w:ilvl="0">
      <w:lvlJc w:val="left"/>
      <w:lvlText w:val="•"/>
      <w:numFmt w:val="bullet"/>
      <w:start w:val="1"/>
    </w:lvl>
  </w:abstractNum>
  <w:abstractNum w:abstractNumId="37">
    <w:nsid w:val="26F324BA"/>
    <w:multiLevelType w:val="hybridMultilevel"/>
    <w:lvl w:ilvl="0">
      <w:lvlJc w:val="left"/>
      <w:lvlText w:val="•"/>
      <w:numFmt w:val="bullet"/>
      <w:start w:val="1"/>
    </w:lvl>
  </w:abstractNum>
  <w:abstractNum w:abstractNumId="38">
    <w:nsid w:val="7F01579B"/>
    <w:multiLevelType w:val="hybridMultilevel"/>
    <w:lvl w:ilvl="0">
      <w:lvlJc w:val="left"/>
      <w:lvlText w:val="•"/>
      <w:numFmt w:val="bullet"/>
      <w:start w:val="1"/>
    </w:lvl>
  </w:abstractNum>
  <w:abstractNum w:abstractNumId="39">
    <w:nsid w:val="49DA307D"/>
    <w:multiLevelType w:val="hybridMultilevel"/>
    <w:lvl w:ilvl="0">
      <w:lvlJc w:val="left"/>
      <w:lvlText w:val="$"/>
      <w:numFmt w:val="bullet"/>
      <w:start w:val="1"/>
    </w:lvl>
  </w:abstractNum>
  <w:abstractNum w:abstractNumId="40">
    <w:nsid w:val="7055A5F5"/>
    <w:multiLevelType w:val="hybridMultilevel"/>
    <w:lvl w:ilvl="0">
      <w:lvlJc w:val="left"/>
      <w:lvlText w:val="(%1)"/>
      <w:numFmt w:val="decimal"/>
      <w:start w:val="1"/>
    </w:lvl>
  </w:abstractNum>
  <w:abstractNum w:abstractNumId="41">
    <w:nsid w:val="5FB8370B"/>
    <w:multiLevelType w:val="hybridMultilevel"/>
    <w:lvl w:ilvl="0">
      <w:lvlJc w:val="left"/>
      <w:lvlText w:val=" "/>
      <w:numFmt w:val="bullet"/>
      <w:start w:val="1"/>
    </w:lvl>
  </w:abstractNum>
  <w:abstractNum w:abstractNumId="42">
    <w:nsid w:val="50801EE1"/>
    <w:multiLevelType w:val="hybridMultilevel"/>
    <w:lvl w:ilvl="0">
      <w:lvlJc w:val="left"/>
      <w:lvlText w:val=" "/>
      <w:numFmt w:val="bullet"/>
      <w:start w:val="1"/>
    </w:lvl>
  </w:abstractNum>
  <w:abstractNum w:abstractNumId="43">
    <w:nsid w:val="488AC1A"/>
    <w:multiLevelType w:val="hybridMultilevel"/>
    <w:lvl w:ilvl="0">
      <w:lvlJc w:val="left"/>
      <w:lvlText w:val="*"/>
      <w:numFmt w:val="bullet"/>
      <w:start w:val="1"/>
    </w:lvl>
  </w:abstractNum>
  <w:abstractNum w:abstractNumId="44">
    <w:nsid w:val="5FB8011C"/>
    <w:multiLevelType w:val="hybridMultilevel"/>
    <w:lvl w:ilvl="0">
      <w:lvlJc w:val="left"/>
      <w:lvlText w:val="**"/>
      <w:numFmt w:val="bullet"/>
      <w:start w:val="1"/>
    </w:lvl>
  </w:abstractNum>
  <w:abstractNum w:abstractNumId="45">
    <w:nsid w:val="6AA78F7F"/>
    <w:multiLevelType w:val="hybridMultilevel"/>
    <w:lvl w:ilvl="0">
      <w:lvlJc w:val="left"/>
      <w:lvlText w:val="***"/>
      <w:numFmt w:val="bullet"/>
      <w:start w:val="1"/>
    </w:lvl>
  </w:abstractNum>
  <w:abstractNum w:abstractNumId="46">
    <w:nsid w:val="7672BD2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7">
    <w:nsid w:val="6FC75AF8"/>
    <w:multiLevelType w:val="hybridMultilevel"/>
    <w:lvl w:ilvl="0">
      <w:lvlJc w:val="left"/>
      <w:lvlText w:val="(%1)"/>
      <w:numFmt w:val="decimal"/>
      <w:start w:val="2"/>
    </w:lvl>
    <w:lvl w:ilvl="1">
      <w:lvlJc w:val="left"/>
      <w:lvlText w:val="(%2)"/>
      <w:numFmt w:val="lowerRoman"/>
      <w:start w:val="1"/>
    </w:lvl>
  </w:abstractNum>
  <w:abstractNum w:abstractNumId="48">
    <w:nsid w:val="6A5F7029"/>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49">
    <w:nsid w:val="7D5E18F8"/>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50">
    <w:nsid w:val="5F3534A4"/>
    <w:multiLevelType w:val="hybridMultilevel"/>
    <w:lvl w:ilvl="0">
      <w:lvlJc w:val="left"/>
      <w:lvlText w:val="(%1)"/>
      <w:numFmt w:val="lowerLetter"/>
      <w:start w:val="8"/>
    </w:lvl>
  </w:abstractNum>
  <w:abstractNum w:abstractNumId="51">
    <w:nsid w:val="73A1821B"/>
    <w:multiLevelType w:val="hybridMultilevel"/>
    <w:lvl w:ilvl="0">
      <w:lvlJc w:val="left"/>
      <w:lvlText w:val="%1"/>
      <w:numFmt w:val="decimal"/>
      <w:start w:val="1"/>
    </w:lvl>
    <w:lvl w:ilvl="1">
      <w:lvlJc w:val="left"/>
      <w:lvlText w:val="(%2)"/>
      <w:numFmt w:val="lowerLetter"/>
      <w:start w:val="10"/>
    </w:lvl>
  </w:abstractNum>
  <w:abstractNum w:abstractNumId="52">
    <w:nsid w:val="7DE67713"/>
    <w:multiLevelType w:val="hybridMultilevel"/>
    <w:lvl w:ilvl="0">
      <w:lvlJc w:val="left"/>
      <w:lvlText w:val="(%1)"/>
      <w:numFmt w:val="decimal"/>
      <w:start w:val="2"/>
    </w:lvl>
    <w:lvl w:ilvl="1">
      <w:lvlJc w:val="left"/>
      <w:lvlText w:val="%2"/>
      <w:numFmt w:val="lowerLetter"/>
      <w:start w:val="1"/>
    </w:lvl>
  </w:abstractNum>
  <w:abstractNum w:abstractNumId="53">
    <w:nsid w:val="555C55B5"/>
    <w:multiLevelType w:val="hybridMultilevel"/>
    <w:lvl w:ilvl="0">
      <w:lvlJc w:val="left"/>
      <w:lvlText w:val="(%1)"/>
      <w:numFmt w:val="lowerLetter"/>
      <w:start w:val="1"/>
    </w:lvl>
    <w:lvl w:ilvl="1">
      <w:lvlJc w:val="left"/>
      <w:lvlText w:val="(%2)"/>
      <w:numFmt w:val="decimal"/>
      <w:start w:val="1"/>
    </w:lvl>
  </w:abstractNum>
  <w:abstractNum w:abstractNumId="54">
    <w:nsid w:val="3FA62ACA"/>
    <w:multiLevelType w:val="hybridMultilevel"/>
    <w:lvl w:ilvl="0">
      <w:lvlJc w:val="left"/>
      <w:lvlText w:val="(%1)"/>
      <w:numFmt w:val="decimal"/>
      <w:start w:val="3"/>
    </w:lvl>
  </w:abstractNum>
  <w:abstractNum w:abstractNumId="55">
    <w:nsid w:val="14FCE74E"/>
    <w:multiLevelType w:val="hybridMultilevel"/>
    <w:lvl w:ilvl="0">
      <w:lvlJc w:val="left"/>
      <w:lvlText w:val="(%1)"/>
      <w:numFmt w:val="decimal"/>
      <w:start w:val="15"/>
    </w:lvl>
  </w:abstractNum>
  <w:abstractNum w:abstractNumId="56">
    <w:nsid w:val="6A3DD3E8"/>
    <w:multiLevelType w:val="hybridMultilevel"/>
    <w:lvl w:ilvl="0">
      <w:lvlJc w:val="left"/>
      <w:lvlText w:val="(%1)"/>
      <w:numFmt w:val="decimal"/>
      <w:start w:val="26"/>
    </w:lvl>
  </w:abstractNum>
  <w:abstractNum w:abstractNumId="57">
    <w:nsid w:val="71C91298"/>
    <w:multiLevelType w:val="hybridMultilevel"/>
    <w:lvl w:ilvl="0">
      <w:lvlJc w:val="left"/>
      <w:lvlText w:val="(%1)"/>
      <w:numFmt w:val="decimal"/>
      <w:start w:val="1"/>
    </w:lvl>
  </w:abstractNum>
  <w:abstractNum w:abstractNumId="58">
    <w:nsid w:val="9DAF632"/>
    <w:multiLevelType w:val="hybridMultilevel"/>
    <w:lvl w:ilvl="0">
      <w:lvlJc w:val="left"/>
      <w:lvlText w:val="(%1)"/>
      <w:numFmt w:val="lowerLetter"/>
      <w:start w:val="1"/>
    </w:lvl>
  </w:abstractNum>
  <w:abstractNum w:abstractNumId="59">
    <w:nsid w:val="53299938"/>
    <w:multiLevelType w:val="hybridMultilevel"/>
    <w:lvl w:ilvl="0">
      <w:lvlJc w:val="left"/>
      <w:lvlText w:val="(%1)"/>
      <w:numFmt w:val="lowerLetter"/>
      <w:start w:val="3"/>
    </w:lvl>
  </w:abstractNum>
  <w:abstractNum w:abstractNumId="60">
    <w:nsid w:val="1FBFE8E0"/>
    <w:multiLevelType w:val="hybridMultilevel"/>
    <w:lvl w:ilvl="0">
      <w:lvlJc w:val="left"/>
      <w:lvlText w:val="(%1)"/>
      <w:numFmt w:val="lowerLetter"/>
      <w:start w:val="1"/>
    </w:lvl>
  </w:abstractNum>
  <w:abstractNum w:abstractNumId="61">
    <w:nsid w:val="5092CA79"/>
    <w:multiLevelType w:val="hybridMultilevel"/>
    <w:lvl w:ilvl="0">
      <w:lvlJc w:val="left"/>
      <w:lvlText w:val="(%1)"/>
      <w:numFmt w:val="lowerLetter"/>
      <w:start w:val="3"/>
    </w:lvl>
  </w:abstractNum>
  <w:abstractNum w:abstractNumId="62">
    <w:nsid w:val="1D545C4D"/>
    <w:multiLevelType w:val="hybridMultilevel"/>
    <w:lvl w:ilvl="0">
      <w:lvlJc w:val="left"/>
      <w:lvlText w:val="(%1)"/>
      <w:numFmt w:val="lowerLetter"/>
      <w:start w:val="1"/>
    </w:lvl>
  </w:abstractNum>
  <w:abstractNum w:abstractNumId="63">
    <w:nsid w:val="59ADEA3D"/>
    <w:multiLevelType w:val="hybridMultilevel"/>
    <w:lvl w:ilvl="0">
      <w:lvlJc w:val="left"/>
      <w:lvlText w:val="(%1)"/>
      <w:numFmt w:val="lowerLetter"/>
      <w:start w:val="2"/>
    </w:lvl>
  </w:abstractNum>
  <w:abstractNum w:abstractNumId="64">
    <w:nsid w:val="288F1A34"/>
    <w:multiLevelType w:val="hybridMultilevel"/>
    <w:lvl w:ilvl="0">
      <w:lvlJc w:val="left"/>
      <w:lvlText w:val="(%1)"/>
      <w:numFmt w:val="lowerLetter"/>
      <w:start w:val="1"/>
    </w:lvl>
  </w:abstractNum>
  <w:abstractNum w:abstractNumId="65">
    <w:nsid w:val="2A155DBC"/>
    <w:multiLevelType w:val="hybridMultilevel"/>
    <w:lvl w:ilvl="0">
      <w:lvlJc w:val="left"/>
      <w:lvlText w:val="(%1)"/>
      <w:numFmt w:val="lowerLetter"/>
      <w:start w:val="1"/>
    </w:lvl>
    <w:lvl w:ilvl="1">
      <w:lvlJc w:val="left"/>
      <w:lvlText w:val="(%2)"/>
      <w:numFmt w:val="decimal"/>
      <w:start w:val="1"/>
    </w:lvl>
  </w:abstractNum>
  <w:abstractNum w:abstractNumId="66">
    <w:nsid w:val="1D9F6E5F"/>
    <w:multiLevelType w:val="hybridMultilevel"/>
    <w:lvl w:ilvl="0">
      <w:lvlJc w:val="left"/>
      <w:lvlText w:val="%1"/>
      <w:numFmt w:val="lowerLetter"/>
      <w:start w:val="1"/>
    </w:lvl>
    <w:lvl w:ilvl="1">
      <w:lvlJc w:val="left"/>
      <w:lvlText w:val="(%2)"/>
      <w:numFmt w:val="decimal"/>
      <w:start w:val="4"/>
    </w:lvl>
  </w:abstractNum>
  <w:abstractNum w:abstractNumId="67">
    <w:nsid w:val="97E1B4E"/>
    <w:multiLevelType w:val="hybridMultilevel"/>
    <w:lvl w:ilvl="0">
      <w:lvlJc w:val="left"/>
      <w:lvlText w:val="(%1)"/>
      <w:numFmt w:val="lowerLetter"/>
      <w:start w:val="2"/>
    </w:lvl>
    <w:lvl w:ilvl="1">
      <w:lvlJc w:val="left"/>
      <w:lvlText w:val="%2"/>
      <w:numFmt w:val="decimal"/>
      <w:start w:val="1"/>
    </w:lvl>
  </w:abstractNum>
  <w:abstractNum w:abstractNumId="68">
    <w:nsid w:val="51088277"/>
    <w:multiLevelType w:val="hybridMultilevel"/>
    <w:lvl w:ilvl="0">
      <w:lvlJc w:val="left"/>
      <w:lvlText w:val="(%1)"/>
      <w:numFmt w:val="lowerLetter"/>
      <w:start w:val="1"/>
    </w:lvl>
  </w:abstractNum>
  <w:abstractNum w:abstractNumId="69">
    <w:nsid w:val="1CA0C5FA"/>
    <w:multiLevelType w:val="hybridMultilevel"/>
    <w:lvl w:ilvl="0">
      <w:lvlJc w:val="left"/>
      <w:lvlText w:val="(%1)"/>
      <w:numFmt w:val="lowerLetter"/>
      <w:start w:val="1"/>
    </w:lvl>
  </w:abstractNum>
  <w:abstractNum w:abstractNumId="70">
    <w:nsid w:val="53584BCB"/>
    <w:multiLevelType w:val="hybridMultilevel"/>
    <w:lvl w:ilvl="0">
      <w:lvlJc w:val="left"/>
      <w:lvlText w:val="(%1)"/>
      <w:numFmt w:val="lowerLetter"/>
      <w:start w:val="1"/>
    </w:lvl>
  </w:abstractNum>
  <w:abstractNum w:abstractNumId="71">
    <w:nsid w:val="415E286C"/>
    <w:multiLevelType w:val="hybridMultilevel"/>
    <w:lvl w:ilvl="0">
      <w:lvlJc w:val="left"/>
      <w:lvlText w:val="(%1)"/>
      <w:numFmt w:val="lowerLetter"/>
      <w:start w:val="1"/>
    </w:lvl>
    <w:lvl w:ilvl="1">
      <w:lvlJc w:val="left"/>
      <w:lvlText w:val="(%2)"/>
      <w:numFmt w:val="decimal"/>
      <w:start w:val="1"/>
    </w:lvl>
  </w:abstractNum>
  <w:abstractNum w:abstractNumId="72">
    <w:nsid w:val="7C58FD05"/>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73">
    <w:nsid w:val="23D86AAC"/>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74">
    <w:nsid w:val="45E6D486"/>
    <w:multiLevelType w:val="hybridMultilevel"/>
    <w:lvl w:ilvl="0">
      <w:lvlJc w:val="left"/>
      <w:lvlText w:val="(%1)"/>
      <w:numFmt w:val="decimal"/>
      <w:start w:val="4"/>
    </w:lvl>
    <w:lvl w:ilvl="1">
      <w:lvlJc w:val="left"/>
      <w:lvlText w:val="(%2)"/>
      <w:numFmt w:val="lowerLetter"/>
      <w:start w:val="3"/>
    </w:lvl>
    <w:lvl w:ilvl="2">
      <w:lvlJc w:val="left"/>
      <w:lvlText w:val="%3"/>
      <w:numFmt w:val="decimal"/>
      <w:start w:val="1"/>
    </w:lvl>
  </w:abstractNum>
  <w:abstractNum w:abstractNumId="75">
    <w:nsid w:val="5C10FE21"/>
    <w:multiLevelType w:val="hybridMultilevel"/>
    <w:lvl w:ilvl="0">
      <w:lvlJc w:val="left"/>
      <w:lvlText w:val="(%1)"/>
      <w:numFmt w:val="lowerLetter"/>
      <w:start w:val="4"/>
    </w:lvl>
  </w:abstractNum>
  <w:abstractNum w:abstractNumId="76">
    <w:nsid w:val="E7FFA2B"/>
    <w:multiLevelType w:val="hybridMultilevel"/>
    <w:lvl w:ilvl="0">
      <w:lvlJc w:val="left"/>
      <w:lvlText w:val="(%1)"/>
      <w:numFmt w:val="lowerLetter"/>
      <w:start w:val="1"/>
    </w:lvl>
  </w:abstractNum>
  <w:abstractNum w:abstractNumId="77">
    <w:nsid w:val="3C5991AA"/>
    <w:multiLevelType w:val="hybridMultilevel"/>
    <w:lvl w:ilvl="0">
      <w:lvlJc w:val="left"/>
      <w:lvlText w:val="(%1)"/>
      <w:numFmt w:val="lowerLetter"/>
      <w:start w:val="4"/>
    </w:lvl>
  </w:abstractNum>
  <w:abstractNum w:abstractNumId="78">
    <w:nsid w:val="4BD8591A"/>
    <w:multiLevelType w:val="hybridMultilevel"/>
    <w:lvl w:ilvl="0">
      <w:lvlJc w:val="left"/>
      <w:lvlText w:val="(%1)"/>
      <w:numFmt w:val="lowerLetter"/>
      <w:start w:val="1"/>
    </w:lvl>
  </w:abstractNum>
  <w:abstractNum w:abstractNumId="79">
    <w:nsid w:val="78DF6A55"/>
    <w:multiLevelType w:val="hybridMultilevel"/>
    <w:lvl w:ilvl="0">
      <w:lvlJc w:val="left"/>
      <w:lvlText w:val="(%1)"/>
      <w:numFmt w:val="lowerLetter"/>
      <w:start w:val="2"/>
    </w:lvl>
  </w:abstractNum>
  <w:abstractNum w:abstractNumId="80">
    <w:nsid w:val="39B7AAA2"/>
    <w:multiLevelType w:val="hybridMultilevel"/>
    <w:lvl w:ilvl="0">
      <w:lvlJc w:val="left"/>
      <w:lvlText w:val="(%1)"/>
      <w:numFmt w:val="lowerLetter"/>
      <w:start w:val="1"/>
    </w:lvl>
  </w:abstractNum>
  <w:abstractNum w:abstractNumId="81">
    <w:nsid w:val="2B0D8DBE"/>
    <w:multiLevelType w:val="hybridMultilevel"/>
    <w:lvl w:ilvl="0">
      <w:lvlJc w:val="left"/>
      <w:lvlText w:val="(%1)"/>
      <w:numFmt w:val="lowerRoman"/>
      <w:start w:val="1"/>
    </w:lvl>
    <w:lvl w:ilvl="1">
      <w:lvlJc w:val="left"/>
      <w:lvlText w:val="(%2)"/>
      <w:numFmt w:val="upperLetter"/>
      <w:start w:val="1"/>
    </w:lvl>
  </w:abstractNum>
  <w:abstractNum w:abstractNumId="82">
    <w:nsid w:val="6C80EC70"/>
    <w:multiLevelType w:val="hybridMultilevel"/>
    <w:lvl w:ilvl="0">
      <w:lvlJc w:val="left"/>
      <w:lvlText w:val="(%1)"/>
      <w:numFmt w:val="lowerRoman"/>
      <w:start w:val="2"/>
    </w:lvl>
  </w:abstractNum>
  <w:abstractNum w:abstractNumId="83">
    <w:nsid w:val="379E21B5"/>
    <w:multiLevelType w:val="hybridMultilevel"/>
    <w:lvl w:ilvl="0">
      <w:lvlJc w:val="left"/>
      <w:lvlText w:val="(%1)"/>
      <w:numFmt w:val="lowerLetter"/>
      <w:start w:val="1"/>
    </w:lvl>
  </w:abstractNum>
  <w:abstractNum w:abstractNumId="84">
    <w:nsid w:val="69E373"/>
    <w:multiLevelType w:val="hybridMultilevel"/>
    <w:lvl w:ilvl="0">
      <w:lvlJc w:val="left"/>
      <w:lvlText w:val="(%1)"/>
      <w:numFmt w:val="lowerLetter"/>
      <w:start w:val="4"/>
    </w:lvl>
  </w:abstractNum>
  <w:abstractNum w:abstractNumId="85">
    <w:nsid w:val="2C27173B"/>
    <w:multiLevelType w:val="hybridMultilevel"/>
    <w:lvl w:ilvl="0">
      <w:lvlJc w:val="left"/>
      <w:lvlText w:val="(%1)"/>
      <w:numFmt w:val="lowerLetter"/>
      <w:start w:val="10"/>
    </w:lvl>
  </w:abstractNum>
  <w:abstractNum w:abstractNumId="86">
    <w:nsid w:val="4C9B0904"/>
    <w:multiLevelType w:val="hybridMultilevel"/>
    <w:lvl w:ilvl="0">
      <w:lvlJc w:val="left"/>
      <w:lvlText w:val="(%1)"/>
      <w:numFmt w:val="lowerLetter"/>
      <w:start w:val="1"/>
    </w:lvl>
  </w:abstractNum>
  <w:abstractNum w:abstractNumId="87">
    <w:nsid w:val="6AA7B75C"/>
    <w:multiLevelType w:val="hybridMultilevel"/>
    <w:lvl w:ilvl="0">
      <w:lvlJc w:val="left"/>
      <w:lvlText w:val="(%1)"/>
      <w:numFmt w:val="lowerLetter"/>
      <w:start w:val="1"/>
    </w:lvl>
  </w:abstractNum>
  <w:abstractNum w:abstractNumId="88">
    <w:nsid w:val="1DF029D3"/>
    <w:multiLevelType w:val="hybridMultilevel"/>
    <w:lvl w:ilvl="0">
      <w:lvlJc w:val="left"/>
      <w:lvlText w:val="(%1)"/>
      <w:numFmt w:val="lowerLetter"/>
      <w:start w:val="1"/>
    </w:lvl>
  </w:abstractNum>
  <w:abstractNum w:abstractNumId="89">
    <w:nsid w:val="5675FF36"/>
    <w:multiLevelType w:val="hybridMultilevel"/>
    <w:lvl w:ilvl="0">
      <w:lvlJc w:val="left"/>
      <w:lvlText w:val="(%1)"/>
      <w:numFmt w:val="lowerLetter"/>
      <w:start w:val="2"/>
    </w:lvl>
    <w:lvl w:ilvl="1">
      <w:lvlJc w:val="left"/>
      <w:lvlText w:val="(%2)"/>
      <w:numFmt w:val="lowerRoman"/>
      <w:start w:val="1"/>
    </w:lvl>
  </w:abstractNum>
  <w:abstractNum w:abstractNumId="90">
    <w:nsid w:val="3DD15094"/>
    <w:multiLevelType w:val="hybridMultilevel"/>
    <w:lvl w:ilvl="0">
      <w:lvlJc w:val="left"/>
      <w:lvlText w:val="(%1)"/>
      <w:numFmt w:val="lowerLetter"/>
      <w:start w:val="3"/>
    </w:lvl>
  </w:abstractNum>
  <w:abstractNum w:abstractNumId="91">
    <w:nsid w:val="3DB012B3"/>
    <w:multiLevelType w:val="hybridMultilevel"/>
    <w:lvl w:ilvl="0">
      <w:lvlJc w:val="left"/>
      <w:lvlText w:val="(%1)"/>
      <w:numFmt w:val="lowerLetter"/>
      <w:start w:val="1"/>
    </w:lvl>
  </w:abstractNum>
  <w:abstractNum w:abstractNumId="92">
    <w:nsid w:val="2708C9AF"/>
    <w:multiLevelType w:val="hybridMultilevel"/>
    <w:lvl w:ilvl="0">
      <w:lvlJc w:val="left"/>
      <w:lvlText w:val="(%1)"/>
      <w:numFmt w:val="lowerLetter"/>
      <w:start w:val="4"/>
    </w:lvl>
  </w:abstractNum>
  <w:abstractNum w:abstractNumId="93">
    <w:nsid w:val="5B25ACE2"/>
    <w:multiLevelType w:val="hybridMultilevel"/>
    <w:lvl w:ilvl="0">
      <w:lvlJc w:val="left"/>
      <w:lvlText w:val="(%1)"/>
      <w:numFmt w:val="lowerLetter"/>
      <w:start w:val="1"/>
    </w:lvl>
  </w:abstractNum>
  <w:abstractNum w:abstractNumId="94">
    <w:nsid w:val="175DFCF0"/>
    <w:multiLevelType w:val="hybridMultilevel"/>
    <w:lvl w:ilvl="0">
      <w:lvlJc w:val="left"/>
      <w:lvlText w:val="(%1)"/>
      <w:numFmt w:val="lowerLetter"/>
      <w:start w:val="2"/>
    </w:lvl>
  </w:abstractNum>
  <w:abstractNum w:abstractNumId="95">
    <w:nsid w:val="4F97E3E4"/>
    <w:multiLevelType w:val="hybridMultilevel"/>
    <w:lvl w:ilvl="0">
      <w:lvlJc w:val="left"/>
      <w:lvlText w:val="(%1)"/>
      <w:numFmt w:val="lowerLetter"/>
      <w:start w:val="1"/>
    </w:lvl>
  </w:abstractNum>
  <w:abstractNum w:abstractNumId="96">
    <w:nsid w:val="53B0A9E"/>
    <w:multiLevelType w:val="hybridMultilevel"/>
    <w:lvl w:ilvl="0">
      <w:lvlJc w:val="left"/>
      <w:lvlText w:val="(%1)"/>
      <w:numFmt w:val="lowerLetter"/>
      <w:start w:val="8"/>
    </w:lvl>
  </w:abstractNum>
  <w:abstractNum w:abstractNumId="97">
    <w:nsid w:val="34FD6B4F"/>
    <w:multiLevelType w:val="hybridMultilevel"/>
    <w:lvl w:ilvl="0">
      <w:lvlJc w:val="left"/>
      <w:lvlText w:val="(%1)"/>
      <w:numFmt w:val="lowerLetter"/>
      <w:start w:val="1"/>
    </w:lvl>
  </w:abstractNum>
  <w:abstractNum w:abstractNumId="98">
    <w:nsid w:val="5915FF32"/>
    <w:multiLevelType w:val="hybridMultilevel"/>
    <w:lvl w:ilvl="0">
      <w:lvlJc w:val="left"/>
      <w:lvlText w:val="(%1)"/>
      <w:numFmt w:val="lowerLetter"/>
      <w:start w:val="2"/>
    </w:lvl>
  </w:abstractNum>
  <w:abstractNum w:abstractNumId="99">
    <w:nsid w:val="56438D15"/>
    <w:multiLevelType w:val="hybridMultilevel"/>
    <w:lvl w:ilvl="0">
      <w:lvlJc w:val="left"/>
      <w:lvlText w:val="%1"/>
      <w:numFmt w:val="lowerLetter"/>
      <w:start w:val="1"/>
    </w:lvl>
    <w:lvl w:ilvl="1">
      <w:lvlJc w:val="left"/>
      <w:lvlText w:val="(%2)"/>
      <w:numFmt w:val="lowerLetter"/>
      <w:start w:val="1"/>
    </w:lvl>
  </w:abstractNum>
  <w:abstractNum w:abstractNumId="100">
    <w:nsid w:val="519E3149"/>
    <w:multiLevelType w:val="hybridMultilevel"/>
    <w:lvl w:ilvl="0">
      <w:lvlJc w:val="left"/>
      <w:lvlText w:val="(%1)"/>
      <w:numFmt w:val="lowerLetter"/>
      <w:start w:val="61"/>
    </w:lvl>
    <w:lvl w:ilvl="1">
      <w:lvlJc w:val="left"/>
      <w:lvlText w:val="%2"/>
      <w:numFmt w:val="lowerLetter"/>
      <w:start w:val="1"/>
    </w:lvl>
  </w:abstractNum>
  <w:abstractNum w:abstractNumId="101">
    <w:nsid w:val="2C6E4AFD"/>
    <w:multiLevelType w:val="hybridMultilevel"/>
    <w:lvl w:ilvl="0">
      <w:lvlJc w:val="left"/>
      <w:lvlText w:val="(%1)"/>
      <w:numFmt w:val="decimal"/>
      <w:start w:val="1"/>
    </w:lvl>
  </w:abstractNum>
  <w:abstractNum w:abstractNumId="102">
    <w:nsid w:val="17A1B582"/>
    <w:multiLevelType w:val="hybridMultilevel"/>
    <w:lvl w:ilvl="0">
      <w:lvlJc w:val="left"/>
      <w:lvlText w:val="(%1)"/>
      <w:numFmt w:val="lowerLetter"/>
      <w:start w:val="1"/>
    </w:lvl>
  </w:abstractNum>
  <w:abstractNum w:abstractNumId="103">
    <w:nsid w:val="4DF72E4E"/>
    <w:multiLevelType w:val="hybridMultilevel"/>
    <w:lvl w:ilvl="0">
      <w:lvlJc w:val="left"/>
      <w:lvlText w:val="(%1)"/>
      <w:numFmt w:val="lowerLetter"/>
      <w:start w:val="2"/>
    </w:lvl>
  </w:abstractNum>
  <w:abstractNum w:abstractNumId="104">
    <w:nsid w:val="5046B5A9"/>
    <w:multiLevelType w:val="hybridMultilevel"/>
    <w:lvl w:ilvl="0">
      <w:lvlJc w:val="left"/>
      <w:lvlText w:val="(%1)"/>
      <w:numFmt w:val="lowerLetter"/>
      <w:start w:val="1"/>
    </w:lvl>
  </w:abstractNum>
  <w:abstractNum w:abstractNumId="105">
    <w:nsid w:val="5D888A08"/>
    <w:multiLevelType w:val="hybridMultilevel"/>
    <w:lvl w:ilvl="0">
      <w:lvlJc w:val="left"/>
      <w:lvlText w:val="(%1)"/>
      <w:numFmt w:val="lowerLetter"/>
      <w:start w:val="2"/>
    </w:lvl>
    <w:lvl w:ilvl="1">
      <w:lvlJc w:val="left"/>
      <w:lvlText w:val="(%2)"/>
      <w:numFmt w:val="lowerRoman"/>
      <w:start w:val="1"/>
    </w:lvl>
  </w:abstractNum>
  <w:abstractNum w:abstractNumId="106">
    <w:nsid w:val="2A082C70"/>
    <w:multiLevelType w:val="hybridMultilevel"/>
    <w:lvl w:ilvl="0">
      <w:lvlJc w:val="left"/>
      <w:lvlText w:val="(%1)"/>
      <w:numFmt w:val="lowerLetter"/>
      <w:start w:val="4"/>
    </w:lvl>
  </w:abstractNum>
  <w:abstractNum w:abstractNumId="107">
    <w:nsid w:val="5EC6AFD4"/>
    <w:multiLevelType w:val="hybridMultilevel"/>
    <w:lvl w:ilvl="0">
      <w:lvlJc w:val="left"/>
      <w:lvlText w:val="(%1)"/>
      <w:numFmt w:val="lowerLetter"/>
      <w:start w:val="1"/>
    </w:lvl>
  </w:abstractNum>
  <w:abstractNum w:abstractNumId="108">
    <w:nsid w:val="19E21BB2"/>
    <w:multiLevelType w:val="hybridMultilevel"/>
    <w:lvl w:ilvl="0">
      <w:lvlJc w:val="left"/>
      <w:lvlText w:val="(%1)"/>
      <w:numFmt w:val="lowerLetter"/>
      <w:start w:val="4"/>
    </w:lvl>
  </w:abstractNum>
  <w:abstractNum w:abstractNumId="109">
    <w:nsid w:val="75E0858A"/>
    <w:multiLevelType w:val="hybridMultilevel"/>
    <w:lvl w:ilvl="0">
      <w:lvlJc w:val="left"/>
      <w:lvlText w:val="(%1)"/>
      <w:numFmt w:val="lowerLetter"/>
      <w:start w:val="1"/>
    </w:lvl>
  </w:abstractNum>
  <w:abstractNum w:abstractNumId="110">
    <w:nsid w:val="57A61A29"/>
    <w:multiLevelType w:val="hybridMultilevel"/>
    <w:lvl w:ilvl="0">
      <w:lvlJc w:val="left"/>
      <w:lvlText w:val="(%1)"/>
      <w:numFmt w:val="lowerLetter"/>
      <w:start w:val="6"/>
    </w:lvl>
  </w:abstractNum>
  <w:abstractNum w:abstractNumId="111">
    <w:nsid w:val="5399C654"/>
    <w:multiLevelType w:val="hybridMultilevel"/>
    <w:lvl w:ilvl="0">
      <w:lvlJc w:val="left"/>
      <w:lvlText w:val="(%1)"/>
      <w:numFmt w:val="lowerLetter"/>
      <w:start w:val="1"/>
    </w:lvl>
  </w:abstractNum>
  <w:abstractNum w:abstractNumId="112">
    <w:nsid w:val="20EE1348"/>
    <w:multiLevelType w:val="hybridMultilevel"/>
    <w:lvl w:ilvl="0">
      <w:lvlJc w:val="left"/>
      <w:lvlText w:val="(%1)"/>
      <w:numFmt w:val="lowerLetter"/>
      <w:start w:val="4"/>
    </w:lvl>
  </w:abstractNum>
  <w:abstractNum w:abstractNumId="113">
    <w:nsid w:val="4427069A"/>
    <w:multiLevelType w:val="hybridMultilevel"/>
    <w:lvl w:ilvl="0">
      <w:lvlJc w:val="left"/>
      <w:lvlText w:val="[•]"/>
      <w:numFmt w:val="bullet"/>
      <w:start w:val="1"/>
    </w:lvl>
  </w:abstractNum>
  <w:abstractNum w:abstractNumId="114">
    <w:nsid w:val="B37E80A"/>
    <w:multiLevelType w:val="hybridMultilevel"/>
    <w:lvl w:ilvl="0">
      <w:lvlJc w:val="left"/>
      <w:lvlText w:val="(%1)"/>
      <w:numFmt w:val="lowerLetter"/>
      <w:start w:val="1"/>
    </w:lvl>
  </w:abstractNum>
  <w:abstractNum w:abstractNumId="115">
    <w:nsid w:val="2157F6BC"/>
    <w:multiLevelType w:val="hybridMultilevel"/>
    <w:lvl w:ilvl="0">
      <w:lvlJc w:val="left"/>
      <w:lvlText w:val="(%1)"/>
      <w:numFmt w:val="lowerLetter"/>
      <w:start w:val="2"/>
    </w:lvl>
  </w:abstractNum>
  <w:abstractNum w:abstractNumId="116">
    <w:nsid w:val="704E1DD5"/>
    <w:multiLevelType w:val="hybridMultilevel"/>
    <w:lvl w:ilvl="0">
      <w:lvlJc w:val="left"/>
      <w:lvlText w:val="(%1)"/>
      <w:numFmt w:val="lowerLetter"/>
      <w:start w:val="1"/>
    </w:lvl>
  </w:abstractNum>
  <w:abstractNum w:abstractNumId="117">
    <w:nsid w:val="57D2F10E"/>
    <w:multiLevelType w:val="hybridMultilevel"/>
    <w:lvl w:ilvl="0">
      <w:lvlJc w:val="left"/>
      <w:lvlText w:val="(%1)"/>
      <w:numFmt w:val="lowerLetter"/>
      <w:start w:val="2"/>
    </w:lvl>
    <w:lvl w:ilvl="1">
      <w:lvlJc w:val="left"/>
      <w:lvlText w:val="(%2)"/>
      <w:numFmt w:val="lowerRoman"/>
      <w:start w:val="1"/>
    </w:lvl>
  </w:abstractNum>
  <w:abstractNum w:abstractNumId="118">
    <w:nsid w:val="BFFAE18"/>
    <w:multiLevelType w:val="hybridMultilevel"/>
    <w:lvl w:ilvl="0">
      <w:lvlJc w:val="left"/>
      <w:lvlText w:val="(%1)"/>
      <w:numFmt w:val="lowerLetter"/>
      <w:start w:val="4"/>
    </w:lvl>
  </w:abstractNum>
  <w:abstractNum w:abstractNumId="119">
    <w:nsid w:val="E3E47A8"/>
    <w:multiLevelType w:val="hybridMultilevel"/>
    <w:lvl w:ilvl="0">
      <w:lvlJc w:val="left"/>
      <w:lvlText w:val="(%1)"/>
      <w:numFmt w:val="lowerLetter"/>
      <w:start w:val="8"/>
    </w:lvl>
  </w:abstractNum>
  <w:abstractNum w:abstractNumId="120">
    <w:nsid w:val="2E48F044"/>
    <w:multiLevelType w:val="hybridMultilevel"/>
    <w:lvl w:ilvl="0">
      <w:lvlJc w:val="left"/>
      <w:lvlText w:val="(%1)"/>
      <w:numFmt w:val="lowerLetter"/>
      <w:start w:val="1"/>
    </w:lvl>
  </w:abstractNum>
  <w:abstractNum w:abstractNumId="121">
    <w:nsid w:val="49D0FEAC"/>
    <w:multiLevelType w:val="hybridMultilevel"/>
    <w:lvl w:ilvl="0">
      <w:lvlJc w:val="left"/>
      <w:lvlText w:val="(%1)"/>
      <w:numFmt w:val="lowerLetter"/>
      <w:start w:val="3"/>
    </w:lvl>
  </w:abstractNum>
  <w:abstractNum w:abstractNumId="122">
    <w:nsid w:val="4BEE5A5B"/>
    <w:multiLevelType w:val="hybridMultilevel"/>
    <w:lvl w:ilvl="0">
      <w:lvlJc w:val="left"/>
      <w:lvlText w:val="(%1)"/>
      <w:numFmt w:val="lowerLetter"/>
      <w:start w:val="1"/>
    </w:lvl>
  </w:abstractNum>
  <w:abstractNum w:abstractNumId="123">
    <w:nsid w:val="5551B9F3"/>
    <w:multiLevelType w:val="hybridMultilevel"/>
    <w:lvl w:ilvl="0">
      <w:lvlJc w:val="left"/>
      <w:lvlText w:val="(%1)"/>
      <w:numFmt w:val="lowerLetter"/>
      <w:start w:val="6"/>
    </w:lvl>
  </w:abstractNum>
  <w:abstractNum w:abstractNumId="124">
    <w:nsid w:val="24F6AB8E"/>
    <w:multiLevelType w:val="hybridMultilevel"/>
    <w:lvl w:ilvl="0">
      <w:lvlJc w:val="left"/>
      <w:lvlText w:val="(%1)"/>
      <w:numFmt w:val="lowerLetter"/>
      <w:start w:val="1"/>
    </w:lvl>
  </w:abstractNum>
  <w:abstractNum w:abstractNumId="125">
    <w:nsid w:val="634C574C"/>
    <w:multiLevelType w:val="hybridMultilevel"/>
    <w:lvl w:ilvl="0">
      <w:lvlJc w:val="left"/>
      <w:lvlText w:val="(%1)"/>
      <w:numFmt w:val="lowerLetter"/>
      <w:start w:val="3"/>
    </w:lvl>
  </w:abstractNum>
  <w:abstractNum w:abstractNumId="126">
    <w:nsid w:val="24E99DD7"/>
    <w:multiLevelType w:val="hybridMultilevel"/>
    <w:lvl w:ilvl="0">
      <w:lvlJc w:val="left"/>
      <w:lvlText w:val="[•]"/>
      <w:numFmt w:val="bullet"/>
      <w:start w:val="1"/>
    </w:lvl>
  </w:abstractNum>
  <w:abstractNum w:abstractNumId="127">
    <w:nsid w:val="2A31B62D"/>
    <w:multiLevelType w:val="hybridMultilevel"/>
    <w:lvl w:ilvl="0">
      <w:lvlJc w:val="left"/>
      <w:lvlText w:val="(%1)"/>
      <w:numFmt w:val="lowerLetter"/>
      <w:start w:val="1"/>
    </w:lvl>
  </w:abstractNum>
  <w:abstractNum w:abstractNumId="128">
    <w:nsid w:val="1849C29B"/>
    <w:multiLevelType w:val="hybridMultilevel"/>
    <w:lvl w:ilvl="0">
      <w:lvlJc w:val="left"/>
      <w:lvlText w:val="(%1)"/>
      <w:numFmt w:val="lowerLetter"/>
      <w:start w:val="4"/>
    </w:lvl>
  </w:abstractNum>
  <w:abstractNum w:abstractNumId="129">
    <w:nsid w:val="7DFF9D09"/>
    <w:multiLevelType w:val="hybridMultilevel"/>
    <w:lvl w:ilvl="0">
      <w:lvlJc w:val="left"/>
      <w:lvlText w:val="(%1)"/>
      <w:numFmt w:val="lowerLetter"/>
      <w:start w:val="1"/>
    </w:lvl>
  </w:abstractNum>
  <w:abstractNum w:abstractNumId="130">
    <w:nsid w:val="754342"/>
    <w:multiLevelType w:val="hybridMultilevel"/>
    <w:lvl w:ilvl="0">
      <w:lvlJc w:val="left"/>
      <w:lvlText w:val="(%1)"/>
      <w:numFmt w:val="lowerLetter"/>
      <w:start w:val="3"/>
    </w:lvl>
  </w:abstractNum>
  <w:abstractNum w:abstractNumId="131">
    <w:nsid w:val="69E7F3E5"/>
    <w:multiLevelType w:val="hybridMultilevel"/>
    <w:lvl w:ilvl="0">
      <w:lvlJc w:val="left"/>
      <w:lvlText w:val="(%1)"/>
      <w:numFmt w:val="lowerLetter"/>
      <w:start w:val="1"/>
    </w:lvl>
  </w:abstractNum>
  <w:abstractNum w:abstractNumId="132">
    <w:nsid w:val="2A6DE806"/>
    <w:multiLevelType w:val="hybridMultilevel"/>
    <w:lvl w:ilvl="0">
      <w:lvlJc w:val="left"/>
      <w:lvlText w:val="(%1)"/>
      <w:numFmt w:val="lowerLetter"/>
      <w:start w:val="2"/>
    </w:lvl>
  </w:abstractNum>
  <w:abstractNum w:abstractNumId="133">
    <w:nsid w:val="1816F8C4"/>
    <w:multiLevelType w:val="hybridMultilevel"/>
    <w:lvl w:ilvl="0">
      <w:lvlJc w:val="left"/>
      <w:lvlText w:val="[•]"/>
      <w:numFmt w:val="bullet"/>
      <w:start w:val="1"/>
    </w:lvl>
  </w:abstractNum>
  <w:abstractNum w:abstractNumId="134">
    <w:nsid w:val="37DF2233"/>
    <w:multiLevelType w:val="hybridMultilevel"/>
    <w:lvl w:ilvl="0">
      <w:lvlJc w:val="left"/>
      <w:lvlText w:val="(%1)"/>
      <w:numFmt w:val="upperLetter"/>
      <w:start w:val="1"/>
    </w:lvl>
  </w:abstractNum>
  <w:abstractNum w:abstractNumId="135">
    <w:nsid w:val="7AB49DAF"/>
    <w:multiLevelType w:val="hybridMultilevel"/>
    <w:lvl w:ilvl="0">
      <w:lvlJc w:val="left"/>
      <w:lvlText w:val="(%1)"/>
      <w:numFmt w:val="upperLetter"/>
      <w:start w:val="2"/>
    </w:lvl>
  </w:abstractNum>
  <w:abstractNum w:abstractNumId="136">
    <w:nsid w:val="759F82CD"/>
    <w:multiLevelType w:val="hybridMultilevel"/>
    <w:lvl w:ilvl="0">
      <w:lvlJc w:val="left"/>
      <w:lvlText w:val="%1"/>
      <w:numFmt w:val="lowerRoman"/>
      <w:start w:val="1"/>
    </w:lvl>
    <w:lvl w:ilvl="1">
      <w:lvlJc w:val="left"/>
      <w:lvlText w:val="(%2)"/>
      <w:numFmt w:val="upperLetter"/>
      <w:start w:val="3"/>
    </w:lvl>
  </w:abstractNum>
  <w:abstractNum w:abstractNumId="137">
    <w:nsid w:val="61E74EA3"/>
    <w:multiLevelType w:val="hybridMultilevel"/>
    <w:lvl w:ilvl="0">
      <w:lvlJc w:val="left"/>
      <w:lvlText w:val="(%1)"/>
      <w:numFmt w:val="lowerRoman"/>
      <w:start w:val="4"/>
    </w:lvl>
    <w:lvl w:ilvl="1">
      <w:lvlJc w:val="left"/>
      <w:lvlText w:val="%2"/>
      <w:numFmt w:val="upperLetter"/>
      <w:start w:val="1"/>
    </w:lvl>
  </w:abstractNum>
  <w:abstractNum w:abstractNumId="138">
    <w:nsid w:val="597B4D84"/>
    <w:multiLevelType w:val="hybridMultilevel"/>
    <w:lvl w:ilvl="0">
      <w:lvlJc w:val="left"/>
      <w:lvlText w:val="%1."/>
      <w:numFmt w:val="decimal"/>
      <w:start w:val="1"/>
    </w:lvl>
  </w:abstractNum>
  <w:abstractNum w:abstractNumId="139">
    <w:nsid w:val="F819E7F"/>
    <w:multiLevelType w:val="hybridMultilevel"/>
    <w:lvl w:ilvl="0">
      <w:lvlJc w:val="left"/>
      <w:lvlText w:val="%1."/>
      <w:numFmt w:val="decimal"/>
      <w:start w:val="3"/>
    </w:lvl>
  </w:abstractNum>
  <w:abstractNum w:abstractNumId="140">
    <w:nsid w:val="57C7D42D"/>
    <w:multiLevelType w:val="hybridMultilevel"/>
    <w:lvl w:ilvl="0">
      <w:lvlJc w:val="left"/>
      <w:lvlText w:val="•"/>
      <w:numFmt w:val="bullet"/>
      <w:start w:val="1"/>
    </w:lvl>
  </w:abstractNum>
  <w:abstractNum w:abstractNumId="141">
    <w:nsid w:val="312167AD"/>
    <w:multiLevelType w:val="hybridMultilevel"/>
    <w:lvl w:ilvl="0">
      <w:lvlJc w:val="left"/>
      <w:lvlText w:val="%1."/>
      <w:numFmt w:val="decimal"/>
      <w:start w:val="1"/>
    </w:lvl>
  </w:abstractNum>
  <w:abstractNum w:abstractNumId="142">
    <w:nsid w:val="631B64D4"/>
    <w:multiLevelType w:val="hybridMultilevel"/>
    <w:lvl w:ilvl="0">
      <w:lvlJc w:val="left"/>
      <w:lvlText w:val="%1."/>
      <w:numFmt w:val="decimal"/>
      <w:start w:val="2"/>
    </w:lvl>
  </w:abstractNum>
  <w:abstractNum w:abstractNumId="143">
    <w:nsid w:val="78B5E776"/>
    <w:multiLevelType w:val="hybridMultilevel"/>
    <w:lvl w:ilvl="0">
      <w:lvlJc w:val="left"/>
      <w:lvlText w:val="1"/>
      <w:numFmt w:val="bullet"/>
      <w:start w:val="1"/>
    </w:lvl>
  </w:abstractNum>
  <w:abstractNum w:abstractNumId="144">
    <w:nsid w:val="75486E47"/>
    <w:multiLevelType w:val="hybridMultilevel"/>
    <w:lvl w:ilvl="0">
      <w:lvlJc w:val="left"/>
      <w:lvlText w:val="2"/>
      <w:numFmt w:val="bullet"/>
      <w:start w:val="1"/>
    </w:lvl>
  </w:abstractNum>
  <w:abstractNum w:abstractNumId="145">
    <w:nsid w:val="6E534CDE"/>
    <w:multiLevelType w:val="hybridMultilevel"/>
    <w:lvl w:ilvl="0">
      <w:lvlJc w:val="left"/>
      <w:lvlText w:val="3"/>
      <w:numFmt w:val="bullet"/>
      <w:start w:val="1"/>
    </w:lvl>
  </w:abstractNum>
  <w:abstractNum w:abstractNumId="146">
    <w:nsid w:val="1A0DDE32"/>
    <w:multiLevelType w:val="hybridMultilevel"/>
    <w:lvl w:ilvl="0">
      <w:lvlJc w:val="left"/>
      <w:lvlText w:val="4"/>
      <w:numFmt w:val="bullet"/>
      <w:start w:val="1"/>
    </w:lvl>
  </w:abstractNum>
  <w:abstractNum w:abstractNumId="147">
    <w:nsid w:val="65968C1C"/>
    <w:multiLevelType w:val="hybridMultilevel"/>
    <w:lvl w:ilvl="0">
      <w:lvlJc w:val="left"/>
      <w:lvlText w:val="5"/>
      <w:numFmt w:val="bullet"/>
      <w:start w:val="1"/>
    </w:lvl>
  </w:abstractNum>
  <w:abstractNum w:abstractNumId="148">
    <w:nsid w:val="46263DEC"/>
    <w:multiLevelType w:val="hybridMultilevel"/>
    <w:lvl w:ilvl="0">
      <w:lvlJc w:val="left"/>
      <w:lvlText w:val="6"/>
      <w:numFmt w:val="bullet"/>
      <w:start w:val="1"/>
    </w:lvl>
  </w:abstractNum>
  <w:abstractNum w:abstractNumId="149">
    <w:nsid w:val="260D8C4A"/>
    <w:multiLevelType w:val="hybridMultilevel"/>
    <w:lvl w:ilvl="0">
      <w:lvlJc w:val="left"/>
      <w:lvlText w:val="1"/>
      <w:numFmt w:val="bullet"/>
      <w:start w:val="1"/>
    </w:lvl>
  </w:abstractNum>
  <w:abstractNum w:abstractNumId="150">
    <w:nsid w:val="73D4D3C4"/>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23" Type="http://schemas.openxmlformats.org/officeDocument/2006/relationships/image" Target="media/image106.png"/><Relationship Id="rId124" Type="http://schemas.openxmlformats.org/officeDocument/2006/relationships/image" Target="media/image107.png"/><Relationship Id="rId125" Type="http://schemas.openxmlformats.org/officeDocument/2006/relationships/image" Target="media/image108.png"/><Relationship Id="rId126" Type="http://schemas.openxmlformats.org/officeDocument/2006/relationships/image" Target="media/image109.png"/><Relationship Id="rId127" Type="http://schemas.openxmlformats.org/officeDocument/2006/relationships/image" Target="media/image110.png"/><Relationship Id="rId128" Type="http://schemas.openxmlformats.org/officeDocument/2006/relationships/image" Target="media/image111.png"/><Relationship Id="rId129" Type="http://schemas.openxmlformats.org/officeDocument/2006/relationships/image" Target="media/image112.png"/><Relationship Id="rId130" Type="http://schemas.openxmlformats.org/officeDocument/2006/relationships/image" Target="media/image113.png"/><Relationship Id="rId131" Type="http://schemas.openxmlformats.org/officeDocument/2006/relationships/image" Target="media/image114.png"/><Relationship Id="rId132" Type="http://schemas.openxmlformats.org/officeDocument/2006/relationships/image" Target="media/image115.png"/><Relationship Id="rId133" Type="http://schemas.openxmlformats.org/officeDocument/2006/relationships/image" Target="media/image116.png"/><Relationship Id="rId134" Type="http://schemas.openxmlformats.org/officeDocument/2006/relationships/image" Target="media/image117.png"/><Relationship Id="rId135" Type="http://schemas.openxmlformats.org/officeDocument/2006/relationships/image" Target="media/image118.png"/><Relationship Id="rId136" Type="http://schemas.openxmlformats.org/officeDocument/2006/relationships/image" Target="media/image119.png"/><Relationship Id="rId137"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png"/><Relationship Id="rId154" Type="http://schemas.openxmlformats.org/officeDocument/2006/relationships/image" Target="media/image134.png"/><Relationship Id="rId155" Type="http://schemas.openxmlformats.org/officeDocument/2006/relationships/image" Target="media/image135.png"/><Relationship Id="rId156" Type="http://schemas.openxmlformats.org/officeDocument/2006/relationships/image" Target="media/image136.png"/><Relationship Id="rId157" Type="http://schemas.openxmlformats.org/officeDocument/2006/relationships/image" Target="media/image137.png"/><Relationship Id="rId158" Type="http://schemas.openxmlformats.org/officeDocument/2006/relationships/image" Target="media/image138.png"/><Relationship Id="rId159" Type="http://schemas.openxmlformats.org/officeDocument/2006/relationships/image" Target="media/image139.png"/><Relationship Id="rId160" Type="http://schemas.openxmlformats.org/officeDocument/2006/relationships/image" Target="media/image140.png"/><Relationship Id="rId166" Type="http://schemas.openxmlformats.org/officeDocument/2006/relationships/image" Target="media/image141.png"/><Relationship Id="rId167" Type="http://schemas.openxmlformats.org/officeDocument/2006/relationships/image" Target="media/image142.png"/><Relationship Id="rId168" Type="http://schemas.openxmlformats.org/officeDocument/2006/relationships/image" Target="media/image143.png"/><Relationship Id="rId169" Type="http://schemas.openxmlformats.org/officeDocument/2006/relationships/image" Target="media/image144.png"/><Relationship Id="rId170" Type="http://schemas.openxmlformats.org/officeDocument/2006/relationships/image" Target="media/image145.png"/><Relationship Id="rId171" Type="http://schemas.openxmlformats.org/officeDocument/2006/relationships/image" Target="media/image146.png"/><Relationship Id="rId172" Type="http://schemas.openxmlformats.org/officeDocument/2006/relationships/image" Target="media/image147.png"/><Relationship Id="rId173" Type="http://schemas.openxmlformats.org/officeDocument/2006/relationships/image" Target="media/image148.png"/><Relationship Id="rId174" Type="http://schemas.openxmlformats.org/officeDocument/2006/relationships/image" Target="media/image149.png"/><Relationship Id="rId175" Type="http://schemas.openxmlformats.org/officeDocument/2006/relationships/image" Target="media/image150.png"/><Relationship Id="rId176" Type="http://schemas.openxmlformats.org/officeDocument/2006/relationships/image" Target="media/image151.png"/><Relationship Id="rId177" Type="http://schemas.openxmlformats.org/officeDocument/2006/relationships/image" Target="media/image152.png"/><Relationship Id="rId178" Type="http://schemas.openxmlformats.org/officeDocument/2006/relationships/image" Target="media/image153.png"/><Relationship Id="rId179" Type="http://schemas.openxmlformats.org/officeDocument/2006/relationships/image" Target="media/image154.png"/><Relationship Id="rId180" Type="http://schemas.openxmlformats.org/officeDocument/2006/relationships/image" Target="media/image155.png"/><Relationship Id="rId181" Type="http://schemas.openxmlformats.org/officeDocument/2006/relationships/image" Target="media/image156.png"/><Relationship Id="rId182" Type="http://schemas.openxmlformats.org/officeDocument/2006/relationships/image" Target="media/image157.png"/><Relationship Id="rId183" Type="http://schemas.openxmlformats.org/officeDocument/2006/relationships/image" Target="media/image158.png"/><Relationship Id="rId184" Type="http://schemas.openxmlformats.org/officeDocument/2006/relationships/image" Target="media/image159.png"/><Relationship Id="rId185" Type="http://schemas.openxmlformats.org/officeDocument/2006/relationships/image" Target="media/image160.png"/><Relationship Id="rId186" Type="http://schemas.openxmlformats.org/officeDocument/2006/relationships/image" Target="media/image161.png"/><Relationship Id="rId187" Type="http://schemas.openxmlformats.org/officeDocument/2006/relationships/image" Target="media/image162.png"/><Relationship Id="rId188" Type="http://schemas.openxmlformats.org/officeDocument/2006/relationships/image" Target="media/image163.png"/><Relationship Id="rId189" Type="http://schemas.openxmlformats.org/officeDocument/2006/relationships/image" Target="media/image164.png"/><Relationship Id="rId190" Type="http://schemas.openxmlformats.org/officeDocument/2006/relationships/image" Target="media/image165.png"/><Relationship Id="rId191" Type="http://schemas.openxmlformats.org/officeDocument/2006/relationships/image" Target="media/image166.png"/><Relationship Id="rId192" Type="http://schemas.openxmlformats.org/officeDocument/2006/relationships/image" Target="media/image167.png"/><Relationship Id="rId193" Type="http://schemas.openxmlformats.org/officeDocument/2006/relationships/image" Target="media/image168.png"/><Relationship Id="rId194" Type="http://schemas.openxmlformats.org/officeDocument/2006/relationships/image" Target="media/image169.png"/><Relationship Id="rId195" Type="http://schemas.openxmlformats.org/officeDocument/2006/relationships/image" Target="media/image170.png"/><Relationship Id="rId196" Type="http://schemas.openxmlformats.org/officeDocument/2006/relationships/image" Target="media/image171.png"/><Relationship Id="rId197" Type="http://schemas.openxmlformats.org/officeDocument/2006/relationships/image" Target="media/image172.png"/><Relationship Id="rId198" Type="http://schemas.openxmlformats.org/officeDocument/2006/relationships/image" Target="media/image173.png"/><Relationship Id="rId199" Type="http://schemas.openxmlformats.org/officeDocument/2006/relationships/image" Target="media/image174.png"/><Relationship Id="rId200" Type="http://schemas.openxmlformats.org/officeDocument/2006/relationships/image" Target="media/image175.png"/><Relationship Id="rId201" Type="http://schemas.openxmlformats.org/officeDocument/2006/relationships/image" Target="media/image176.png"/><Relationship Id="rId202" Type="http://schemas.openxmlformats.org/officeDocument/2006/relationships/image" Target="media/image177.png"/><Relationship Id="rId203" Type="http://schemas.openxmlformats.org/officeDocument/2006/relationships/image" Target="media/image178.png"/><Relationship Id="rId204" Type="http://schemas.openxmlformats.org/officeDocument/2006/relationships/image" Target="media/image179.png"/><Relationship Id="rId205" Type="http://schemas.openxmlformats.org/officeDocument/2006/relationships/image" Target="media/image180.png"/><Relationship Id="rId206" Type="http://schemas.openxmlformats.org/officeDocument/2006/relationships/image" Target="media/image181.png"/><Relationship Id="rId207" Type="http://schemas.openxmlformats.org/officeDocument/2006/relationships/image" Target="media/image182.png"/><Relationship Id="rId208" Type="http://schemas.openxmlformats.org/officeDocument/2006/relationships/image" Target="media/image183.png"/><Relationship Id="rId209" Type="http://schemas.openxmlformats.org/officeDocument/2006/relationships/image" Target="media/image184.png"/><Relationship Id="rId210" Type="http://schemas.openxmlformats.org/officeDocument/2006/relationships/image" Target="media/image185.png"/><Relationship Id="rId211" Type="http://schemas.openxmlformats.org/officeDocument/2006/relationships/image" Target="media/image186.png"/><Relationship Id="rId212" Type="http://schemas.openxmlformats.org/officeDocument/2006/relationships/image" Target="media/image187.png"/><Relationship Id="rId213" Type="http://schemas.openxmlformats.org/officeDocument/2006/relationships/image" Target="media/image188.png"/><Relationship Id="rId214" Type="http://schemas.openxmlformats.org/officeDocument/2006/relationships/image" Target="media/image189.png"/><Relationship Id="rId215" Type="http://schemas.openxmlformats.org/officeDocument/2006/relationships/image" Target="media/image190.png"/><Relationship Id="rId216" Type="http://schemas.openxmlformats.org/officeDocument/2006/relationships/image" Target="media/image191.png"/><Relationship Id="rId217" Type="http://schemas.openxmlformats.org/officeDocument/2006/relationships/image" Target="media/image192.png"/><Relationship Id="rId218" Type="http://schemas.openxmlformats.org/officeDocument/2006/relationships/image" Target="media/image193.png"/><Relationship Id="rId219" Type="http://schemas.openxmlformats.org/officeDocument/2006/relationships/image" Target="media/image194.png"/><Relationship Id="rId220" Type="http://schemas.openxmlformats.org/officeDocument/2006/relationships/image" Target="media/image195.png"/><Relationship Id="rId221" Type="http://schemas.openxmlformats.org/officeDocument/2006/relationships/image" Target="media/image196.png"/><Relationship Id="rId222" Type="http://schemas.openxmlformats.org/officeDocument/2006/relationships/image" Target="media/image197.png"/><Relationship Id="rId223" Type="http://schemas.openxmlformats.org/officeDocument/2006/relationships/image" Target="media/image198.png"/><Relationship Id="rId224" Type="http://schemas.openxmlformats.org/officeDocument/2006/relationships/image" Target="media/image199.png"/><Relationship Id="rId225" Type="http://schemas.openxmlformats.org/officeDocument/2006/relationships/image" Target="media/image200.png"/><Relationship Id="rId226" Type="http://schemas.openxmlformats.org/officeDocument/2006/relationships/image" Target="media/image201.png"/><Relationship Id="rId227" Type="http://schemas.openxmlformats.org/officeDocument/2006/relationships/image" Target="media/image202.png"/><Relationship Id="rId228" Type="http://schemas.openxmlformats.org/officeDocument/2006/relationships/image" Target="media/image203.png"/><Relationship Id="rId229" Type="http://schemas.openxmlformats.org/officeDocument/2006/relationships/image" Target="media/image204.png"/><Relationship Id="rId230" Type="http://schemas.openxmlformats.org/officeDocument/2006/relationships/image" Target="media/image205.png"/><Relationship Id="rId231" Type="http://schemas.openxmlformats.org/officeDocument/2006/relationships/image" Target="media/image206.png"/><Relationship Id="rId232" Type="http://schemas.openxmlformats.org/officeDocument/2006/relationships/image" Target="media/image207.png"/><Relationship Id="rId233" Type="http://schemas.openxmlformats.org/officeDocument/2006/relationships/image" Target="media/image208.png"/><Relationship Id="rId234" Type="http://schemas.openxmlformats.org/officeDocument/2006/relationships/image" Target="media/image209.png"/><Relationship Id="rId235" Type="http://schemas.openxmlformats.org/officeDocument/2006/relationships/image" Target="media/image210.png"/><Relationship Id="rId236" Type="http://schemas.openxmlformats.org/officeDocument/2006/relationships/image" Target="media/image211.png"/><Relationship Id="rId237" Type="http://schemas.openxmlformats.org/officeDocument/2006/relationships/image" Target="media/image212.png"/><Relationship Id="rId238" Type="http://schemas.openxmlformats.org/officeDocument/2006/relationships/image" Target="media/image213.png"/><Relationship Id="rId239" Type="http://schemas.openxmlformats.org/officeDocument/2006/relationships/image" Target="media/image214.png"/><Relationship Id="rId240" Type="http://schemas.openxmlformats.org/officeDocument/2006/relationships/image" Target="media/image215.png"/><Relationship Id="rId241" Type="http://schemas.openxmlformats.org/officeDocument/2006/relationships/image" Target="media/image216.png"/><Relationship Id="rId242" Type="http://schemas.openxmlformats.org/officeDocument/2006/relationships/image" Target="media/image217.png"/><Relationship Id="rId243" Type="http://schemas.openxmlformats.org/officeDocument/2006/relationships/image" Target="media/image218.png"/><Relationship Id="rId244" Type="http://schemas.openxmlformats.org/officeDocument/2006/relationships/image" Target="media/image219.png"/><Relationship Id="rId245" Type="http://schemas.openxmlformats.org/officeDocument/2006/relationships/image" Target="media/image220.png"/><Relationship Id="rId246" Type="http://schemas.openxmlformats.org/officeDocument/2006/relationships/image" Target="media/image221.png"/><Relationship Id="rId247" Type="http://schemas.openxmlformats.org/officeDocument/2006/relationships/image" Target="media/image222.png"/><Relationship Id="rId248" Type="http://schemas.openxmlformats.org/officeDocument/2006/relationships/image" Target="media/image223.png"/><Relationship Id="rId249" Type="http://schemas.openxmlformats.org/officeDocument/2006/relationships/image" Target="media/image224.png"/><Relationship Id="rId250" Type="http://schemas.openxmlformats.org/officeDocument/2006/relationships/image" Target="media/image225.png"/><Relationship Id="rId251" Type="http://schemas.openxmlformats.org/officeDocument/2006/relationships/image" Target="media/image226.png"/><Relationship Id="rId252" Type="http://schemas.openxmlformats.org/officeDocument/2006/relationships/image" Target="media/image227.png"/><Relationship Id="rId253" Type="http://schemas.openxmlformats.org/officeDocument/2006/relationships/image" Target="media/image228.png"/><Relationship Id="rId254" Type="http://schemas.openxmlformats.org/officeDocument/2006/relationships/image" Target="media/image229.png"/><Relationship Id="rId255" Type="http://schemas.openxmlformats.org/officeDocument/2006/relationships/image" Target="media/image230.png"/><Relationship Id="rId256" Type="http://schemas.openxmlformats.org/officeDocument/2006/relationships/image" Target="media/image231.png"/><Relationship Id="rId257" Type="http://schemas.openxmlformats.org/officeDocument/2006/relationships/image" Target="media/image232.png"/><Relationship Id="rId258" Type="http://schemas.openxmlformats.org/officeDocument/2006/relationships/image" Target="media/image233.png"/><Relationship Id="rId259" Type="http://schemas.openxmlformats.org/officeDocument/2006/relationships/image" Target="media/image234.png"/><Relationship Id="rId260" Type="http://schemas.openxmlformats.org/officeDocument/2006/relationships/image" Target="media/image235.png"/><Relationship Id="rId261" Type="http://schemas.openxmlformats.org/officeDocument/2006/relationships/image" Target="media/image236.png"/><Relationship Id="rId262" Type="http://schemas.openxmlformats.org/officeDocument/2006/relationships/image" Target="media/image237.png"/><Relationship Id="rId263" Type="http://schemas.openxmlformats.org/officeDocument/2006/relationships/image" Target="media/image238.png"/><Relationship Id="rId264" Type="http://schemas.openxmlformats.org/officeDocument/2006/relationships/image" Target="media/image239.png"/><Relationship Id="rId265" Type="http://schemas.openxmlformats.org/officeDocument/2006/relationships/image" Target="media/image240.png"/><Relationship Id="rId266" Type="http://schemas.openxmlformats.org/officeDocument/2006/relationships/image" Target="media/image241.png"/><Relationship Id="rId267" Type="http://schemas.openxmlformats.org/officeDocument/2006/relationships/image" Target="media/image242.png"/><Relationship Id="rId268" Type="http://schemas.openxmlformats.org/officeDocument/2006/relationships/image" Target="media/image243.png"/><Relationship Id="rId269" Type="http://schemas.openxmlformats.org/officeDocument/2006/relationships/image" Target="media/image244.png"/><Relationship Id="rId270" Type="http://schemas.openxmlformats.org/officeDocument/2006/relationships/image" Target="media/image245.png"/><Relationship Id="rId271" Type="http://schemas.openxmlformats.org/officeDocument/2006/relationships/image" Target="media/image246.png"/><Relationship Id="rId272" Type="http://schemas.openxmlformats.org/officeDocument/2006/relationships/image" Target="media/image247.png"/><Relationship Id="rId273" Type="http://schemas.openxmlformats.org/officeDocument/2006/relationships/image" Target="media/image248.png"/><Relationship Id="rId274" Type="http://schemas.openxmlformats.org/officeDocument/2006/relationships/image" Target="media/image249.png"/><Relationship Id="rId275" Type="http://schemas.openxmlformats.org/officeDocument/2006/relationships/image" Target="media/image250.png"/><Relationship Id="rId276" Type="http://schemas.openxmlformats.org/officeDocument/2006/relationships/image" Target="media/image251.png"/><Relationship Id="rId277" Type="http://schemas.openxmlformats.org/officeDocument/2006/relationships/image" Target="media/image252.png"/><Relationship Id="rId278" Type="http://schemas.openxmlformats.org/officeDocument/2006/relationships/image" Target="media/image253.png"/><Relationship Id="rId279" Type="http://schemas.openxmlformats.org/officeDocument/2006/relationships/image" Target="media/image254.png"/><Relationship Id="rId280" Type="http://schemas.openxmlformats.org/officeDocument/2006/relationships/image" Target="media/image255.png"/><Relationship Id="rId281" Type="http://schemas.openxmlformats.org/officeDocument/2006/relationships/image" Target="media/image256.png"/><Relationship Id="rId282" Type="http://schemas.openxmlformats.org/officeDocument/2006/relationships/image" Target="media/image257.png"/><Relationship Id="rId283" Type="http://schemas.openxmlformats.org/officeDocument/2006/relationships/image" Target="media/image258.png"/><Relationship Id="rId284" Type="http://schemas.openxmlformats.org/officeDocument/2006/relationships/image" Target="media/image259.png"/><Relationship Id="rId285" Type="http://schemas.openxmlformats.org/officeDocument/2006/relationships/image" Target="media/image260.png"/><Relationship Id="rId286" Type="http://schemas.openxmlformats.org/officeDocument/2006/relationships/image" Target="media/image261.png"/><Relationship Id="rId287" Type="http://schemas.openxmlformats.org/officeDocument/2006/relationships/image" Target="media/image262.png"/><Relationship Id="rId288" Type="http://schemas.openxmlformats.org/officeDocument/2006/relationships/image" Target="media/image263.png"/><Relationship Id="rId289" Type="http://schemas.openxmlformats.org/officeDocument/2006/relationships/image" Target="media/image264.png"/><Relationship Id="rId290" Type="http://schemas.openxmlformats.org/officeDocument/2006/relationships/image" Target="media/image265.png"/><Relationship Id="rId291" Type="http://schemas.openxmlformats.org/officeDocument/2006/relationships/image" Target="media/image266.png"/><Relationship Id="rId292" Type="http://schemas.openxmlformats.org/officeDocument/2006/relationships/image" Target="media/image267.png"/><Relationship Id="rId293" Type="http://schemas.openxmlformats.org/officeDocument/2006/relationships/image" Target="media/image268.png"/><Relationship Id="rId294" Type="http://schemas.openxmlformats.org/officeDocument/2006/relationships/image" Target="media/image269.png"/><Relationship Id="rId295" Type="http://schemas.openxmlformats.org/officeDocument/2006/relationships/image" Target="media/image270.png"/><Relationship Id="rId296" Type="http://schemas.openxmlformats.org/officeDocument/2006/relationships/image" Target="media/image271.png"/><Relationship Id="rId297" Type="http://schemas.openxmlformats.org/officeDocument/2006/relationships/image" Target="media/image272.png"/><Relationship Id="rId298" Type="http://schemas.openxmlformats.org/officeDocument/2006/relationships/image" Target="media/image273.png"/><Relationship Id="rId299" Type="http://schemas.openxmlformats.org/officeDocument/2006/relationships/image" Target="media/image274.png"/><Relationship Id="rId300" Type="http://schemas.openxmlformats.org/officeDocument/2006/relationships/image" Target="media/image275.png"/><Relationship Id="rId301" Type="http://schemas.openxmlformats.org/officeDocument/2006/relationships/image" Target="media/image276.png"/><Relationship Id="rId302" Type="http://schemas.openxmlformats.org/officeDocument/2006/relationships/image" Target="media/image277.png"/><Relationship Id="rId303" Type="http://schemas.openxmlformats.org/officeDocument/2006/relationships/image" Target="media/image278.png"/><Relationship Id="rId304" Type="http://schemas.openxmlformats.org/officeDocument/2006/relationships/image" Target="media/image279.png"/><Relationship Id="rId305" Type="http://schemas.openxmlformats.org/officeDocument/2006/relationships/image" Target="media/image280.png"/><Relationship Id="rId306" Type="http://schemas.openxmlformats.org/officeDocument/2006/relationships/image" Target="media/image281.png"/><Relationship Id="rId307" Type="http://schemas.openxmlformats.org/officeDocument/2006/relationships/image" Target="media/image282.png"/><Relationship Id="rId308" Type="http://schemas.openxmlformats.org/officeDocument/2006/relationships/image" Target="media/image283.png"/><Relationship Id="rId309" Type="http://schemas.openxmlformats.org/officeDocument/2006/relationships/image" Target="media/image284.png"/><Relationship Id="rId310" Type="http://schemas.openxmlformats.org/officeDocument/2006/relationships/image" Target="media/image285.png"/><Relationship Id="rId311" Type="http://schemas.openxmlformats.org/officeDocument/2006/relationships/image" Target="media/image286.png"/><Relationship Id="rId312" Type="http://schemas.openxmlformats.org/officeDocument/2006/relationships/image" Target="media/image287.png"/><Relationship Id="rId313" Type="http://schemas.openxmlformats.org/officeDocument/2006/relationships/image" Target="media/image288.png"/><Relationship Id="rId314" Type="http://schemas.openxmlformats.org/officeDocument/2006/relationships/image" Target="media/image289.png"/><Relationship Id="rId315" Type="http://schemas.openxmlformats.org/officeDocument/2006/relationships/image" Target="media/image290.png"/><Relationship Id="rId316" Type="http://schemas.openxmlformats.org/officeDocument/2006/relationships/image" Target="media/image291.png"/><Relationship Id="rId317" Type="http://schemas.openxmlformats.org/officeDocument/2006/relationships/image" Target="media/image292.png"/><Relationship Id="rId318" Type="http://schemas.openxmlformats.org/officeDocument/2006/relationships/image" Target="media/image293.png"/><Relationship Id="rId319" Type="http://schemas.openxmlformats.org/officeDocument/2006/relationships/image" Target="media/image294.png"/><Relationship Id="rId320" Type="http://schemas.openxmlformats.org/officeDocument/2006/relationships/image" Target="media/image295.png"/><Relationship Id="rId321" Type="http://schemas.openxmlformats.org/officeDocument/2006/relationships/image" Target="media/image296.png"/><Relationship Id="rId322" Type="http://schemas.openxmlformats.org/officeDocument/2006/relationships/image" Target="media/image297.png"/><Relationship Id="rId323" Type="http://schemas.openxmlformats.org/officeDocument/2006/relationships/image" Target="media/image298.png"/><Relationship Id="rId324" Type="http://schemas.openxmlformats.org/officeDocument/2006/relationships/image" Target="media/image299.png"/><Relationship Id="rId325" Type="http://schemas.openxmlformats.org/officeDocument/2006/relationships/image" Target="media/image300.png"/><Relationship Id="rId326" Type="http://schemas.openxmlformats.org/officeDocument/2006/relationships/image" Target="media/image301.png"/><Relationship Id="rId327" Type="http://schemas.openxmlformats.org/officeDocument/2006/relationships/image" Target="media/image302.png"/><Relationship Id="rId328" Type="http://schemas.openxmlformats.org/officeDocument/2006/relationships/image" Target="media/image303.png"/><Relationship Id="rId329" Type="http://schemas.openxmlformats.org/officeDocument/2006/relationships/image" Target="media/image304.png"/><Relationship Id="rId330" Type="http://schemas.openxmlformats.org/officeDocument/2006/relationships/image" Target="media/image305.png"/><Relationship Id="rId331" Type="http://schemas.openxmlformats.org/officeDocument/2006/relationships/image" Target="media/image306.png"/><Relationship Id="rId332" Type="http://schemas.openxmlformats.org/officeDocument/2006/relationships/image" Target="media/image307.png"/><Relationship Id="rId333" Type="http://schemas.openxmlformats.org/officeDocument/2006/relationships/image" Target="media/image308.png"/><Relationship Id="rId334" Type="http://schemas.openxmlformats.org/officeDocument/2006/relationships/image" Target="media/image309.png"/><Relationship Id="rId335" Type="http://schemas.openxmlformats.org/officeDocument/2006/relationships/image" Target="media/image310.png"/><Relationship Id="rId336" Type="http://schemas.openxmlformats.org/officeDocument/2006/relationships/image" Target="media/image311.png"/><Relationship Id="rId337" Type="http://schemas.openxmlformats.org/officeDocument/2006/relationships/image" Target="media/image312.png"/><Relationship Id="rId338" Type="http://schemas.openxmlformats.org/officeDocument/2006/relationships/image" Target="media/image313.png"/><Relationship Id="rId339" Type="http://schemas.openxmlformats.org/officeDocument/2006/relationships/image" Target="media/image314.png"/><Relationship Id="rId340" Type="http://schemas.openxmlformats.org/officeDocument/2006/relationships/image" Target="media/image315.png"/><Relationship Id="rId341" Type="http://schemas.openxmlformats.org/officeDocument/2006/relationships/image" Target="media/image316.png"/><Relationship Id="rId342" Type="http://schemas.openxmlformats.org/officeDocument/2006/relationships/image" Target="media/image317.png"/><Relationship Id="rId343" Type="http://schemas.openxmlformats.org/officeDocument/2006/relationships/image" Target="media/image318.png"/><Relationship Id="rId344" Type="http://schemas.openxmlformats.org/officeDocument/2006/relationships/image" Target="media/image319.png"/><Relationship Id="rId345" Type="http://schemas.openxmlformats.org/officeDocument/2006/relationships/image" Target="media/image320.png"/><Relationship Id="rId346" Type="http://schemas.openxmlformats.org/officeDocument/2006/relationships/image" Target="media/image321.png"/><Relationship Id="rId347" Type="http://schemas.openxmlformats.org/officeDocument/2006/relationships/image" Target="media/image322.png"/><Relationship Id="rId348" Type="http://schemas.openxmlformats.org/officeDocument/2006/relationships/image" Target="media/image323.png"/><Relationship Id="rId349" Type="http://schemas.openxmlformats.org/officeDocument/2006/relationships/image" Target="media/image324.png"/><Relationship Id="rId350" Type="http://schemas.openxmlformats.org/officeDocument/2006/relationships/image" Target="media/image325.png"/><Relationship Id="rId351" Type="http://schemas.openxmlformats.org/officeDocument/2006/relationships/image" Target="media/image326.png"/><Relationship Id="rId352" Type="http://schemas.openxmlformats.org/officeDocument/2006/relationships/image" Target="media/image327.png"/><Relationship Id="rId353" Type="http://schemas.openxmlformats.org/officeDocument/2006/relationships/image" Target="media/image328.png"/><Relationship Id="rId354" Type="http://schemas.openxmlformats.org/officeDocument/2006/relationships/image" Target="media/image329.png"/><Relationship Id="rId355" Type="http://schemas.openxmlformats.org/officeDocument/2006/relationships/image" Target="media/image330.png"/><Relationship Id="rId356" Type="http://schemas.openxmlformats.org/officeDocument/2006/relationships/image" Target="media/image331.png"/><Relationship Id="rId357" Type="http://schemas.openxmlformats.org/officeDocument/2006/relationships/image" Target="media/image332.png"/><Relationship Id="rId358" Type="http://schemas.openxmlformats.org/officeDocument/2006/relationships/image" Target="media/image333.png"/><Relationship Id="rId359" Type="http://schemas.openxmlformats.org/officeDocument/2006/relationships/image" Target="media/image334.png"/><Relationship Id="rId360" Type="http://schemas.openxmlformats.org/officeDocument/2006/relationships/image" Target="media/image335.png"/><Relationship Id="rId361" Type="http://schemas.openxmlformats.org/officeDocument/2006/relationships/image" Target="media/image336.png"/><Relationship Id="rId362" Type="http://schemas.openxmlformats.org/officeDocument/2006/relationships/image" Target="media/image337.png"/><Relationship Id="rId363" Type="http://schemas.openxmlformats.org/officeDocument/2006/relationships/image" Target="media/image338.png"/><Relationship Id="rId364" Type="http://schemas.openxmlformats.org/officeDocument/2006/relationships/image" Target="media/image339.png"/><Relationship Id="rId365" Type="http://schemas.openxmlformats.org/officeDocument/2006/relationships/image" Target="media/image340.png"/><Relationship Id="rId366" Type="http://schemas.openxmlformats.org/officeDocument/2006/relationships/image" Target="media/image341.png"/><Relationship Id="rId367" Type="http://schemas.openxmlformats.org/officeDocument/2006/relationships/image" Target="media/image342.png"/><Relationship Id="rId368" Type="http://schemas.openxmlformats.org/officeDocument/2006/relationships/image" Target="media/image343.png"/><Relationship Id="rId369" Type="http://schemas.openxmlformats.org/officeDocument/2006/relationships/image" Target="media/image344.png"/><Relationship Id="rId370" Type="http://schemas.openxmlformats.org/officeDocument/2006/relationships/image" Target="media/image345.png"/><Relationship Id="rId371" Type="http://schemas.openxmlformats.org/officeDocument/2006/relationships/image" Target="media/image346.png"/><Relationship Id="rId372" Type="http://schemas.openxmlformats.org/officeDocument/2006/relationships/image" Target="media/image347.png"/><Relationship Id="rId373" Type="http://schemas.openxmlformats.org/officeDocument/2006/relationships/image" Target="media/image348.png"/><Relationship Id="rId374" Type="http://schemas.openxmlformats.org/officeDocument/2006/relationships/image" Target="media/image349.png"/><Relationship Id="rId375" Type="http://schemas.openxmlformats.org/officeDocument/2006/relationships/image" Target="media/image350.jpeg"/><Relationship Id="rId376" Type="http://schemas.openxmlformats.org/officeDocument/2006/relationships/image" Target="media/image351.png"/><Relationship Id="rId377" Type="http://schemas.openxmlformats.org/officeDocument/2006/relationships/image" Target="media/image352.jpeg"/><Relationship Id="rId378" Type="http://schemas.openxmlformats.org/officeDocument/2006/relationships/image" Target="media/image353.png"/><Relationship Id="rId379" Type="http://schemas.openxmlformats.org/officeDocument/2006/relationships/image" Target="media/image354.jpeg"/><Relationship Id="rId380" Type="http://schemas.openxmlformats.org/officeDocument/2006/relationships/image" Target="media/image355.png"/><Relationship Id="rId381" Type="http://schemas.openxmlformats.org/officeDocument/2006/relationships/image" Target="media/image356.jpeg"/><Relationship Id="rId382" Type="http://schemas.openxmlformats.org/officeDocument/2006/relationships/image" Target="media/image357.png"/><Relationship Id="rId383" Type="http://schemas.openxmlformats.org/officeDocument/2006/relationships/image" Target="media/image358.png"/><Relationship Id="rId384" Type="http://schemas.openxmlformats.org/officeDocument/2006/relationships/image" Target="media/image359.png"/><Relationship Id="rId385" Type="http://schemas.openxmlformats.org/officeDocument/2006/relationships/image" Target="media/image360.png"/><Relationship Id="rId386" Type="http://schemas.openxmlformats.org/officeDocument/2006/relationships/image" Target="media/image361.png"/><Relationship Id="rId387" Type="http://schemas.openxmlformats.org/officeDocument/2006/relationships/image" Target="media/image362.png"/><Relationship Id="rId388" Type="http://schemas.openxmlformats.org/officeDocument/2006/relationships/image" Target="media/image363.png"/><Relationship Id="rId389" Type="http://schemas.openxmlformats.org/officeDocument/2006/relationships/image" Target="media/image364.png"/><Relationship Id="rId390" Type="http://schemas.openxmlformats.org/officeDocument/2006/relationships/image" Target="media/image365.png"/><Relationship Id="rId391" Type="http://schemas.openxmlformats.org/officeDocument/2006/relationships/image" Target="media/image366.png"/><Relationship Id="rId64" Type="http://schemas.openxmlformats.org/officeDocument/2006/relationships/hyperlink" Target="http://www.sec.gov/ix?doc=/Archives/edgar/data/1717115/000095017025025603/tem-20241231.htm" TargetMode="External"/><Relationship Id="rId65" Type="http://schemas.openxmlformats.org/officeDocument/2006/relationships/hyperlink" Target="http://www.sec.gov/ix?doc=/Archives/edgar/data/1717115/000095017025064447/tem-20250331.htm" TargetMode="External"/><Relationship Id="rId66" Type="http://schemas.openxmlformats.org/officeDocument/2006/relationships/hyperlink" Target="http://www.sec.gov/ix?doc=/Archives/edgar/data/1717115/000095017025105449/tem-20250630.htm" TargetMode="External"/><Relationship Id="rId67" Type="http://schemas.openxmlformats.org/officeDocument/2006/relationships/hyperlink" Target="http://www.sec.gov/ix?doc=/Archives/edgar/data/1717115/000119312525074642/d911583ddef14a.htm" TargetMode="External"/><Relationship Id="rId68" Type="http://schemas.openxmlformats.org/officeDocument/2006/relationships/hyperlink" Target="http://www.sec.gov/ix?doc=/Archives/edgar/data/1717115/000119312525019313/d843563d8k.htm" TargetMode="External"/><Relationship Id="rId69" Type="http://schemas.openxmlformats.org/officeDocument/2006/relationships/hyperlink" Target="http://www.sec.gov/ix?doc=/Archives/edgar/data/1717115/000119312525090062/d944168d8k.htm" TargetMode="External"/><Relationship Id="rId70" Type="http://schemas.openxmlformats.org/officeDocument/2006/relationships/hyperlink" Target="http://www.sec.gov/ix?doc=/Archives/edgar/data/1717115/000119312525125425/d936615d8k.htm" TargetMode="External"/><Relationship Id="rId71" Type="http://schemas.openxmlformats.org/officeDocument/2006/relationships/hyperlink" Target="http://www.sec.gov/ix?doc=/Archives/edgar/data/1717115/000119312525155545/d14356d8k.htm" TargetMode="External"/><Relationship Id="rId72" Type="http://schemas.openxmlformats.org/officeDocument/2006/relationships/hyperlink" Target="http://www.sec.gov/Archives/edgar/data/1717115/000119312524159105/d806693d8a12b.htm" TargetMode="External"/><Relationship Id="rId73" Type="http://schemas.openxmlformats.org/officeDocument/2006/relationships/hyperlink" Target="http://www.sec.gov/Archives/edgar/data/1717115/000095017025105449/tem-ex4_3.htm" TargetMode="External"/><Relationship Id="rId138" Type="http://schemas.openxmlformats.org/officeDocument/2006/relationships/hyperlink" Target="http://www.sec.gov/Archives/edgar/data/1717115/000119312525019313/d843563d8k.htm" TargetMode="External"/><Relationship Id="rId139" Type="http://schemas.openxmlformats.org/officeDocument/2006/relationships/hyperlink" Target="http://www.sec.gov/ix?doc=/Archives/edgar/data/0001717115/000119312525090062/d944168d8k.htm" TargetMode="External"/><Relationship Id="rId140" Type="http://schemas.openxmlformats.org/officeDocument/2006/relationships/hyperlink" Target="http://www.sec.gov/ix?doc=/Archives/edgar/data/0001717115/000119312525125425/d936615d8k.htm" TargetMode="External"/><Relationship Id="rId161" Type="http://schemas.openxmlformats.org/officeDocument/2006/relationships/hyperlink" Target="http://www.sec.gov/Archives/edgar/data/1717115/000095017025105449/tem-ex10_3.htm" TargetMode="External"/><Relationship Id="rId162" Type="http://schemas.openxmlformats.org/officeDocument/2006/relationships/hyperlink" Target="http://www.sec.gov/Archives/edgar/data/1717115/000095017025105449/tem-ex2_1.htm" TargetMode="External"/><Relationship Id="rId163" Type="http://schemas.openxmlformats.org/officeDocument/2006/relationships/hyperlink" Target="http://www.sec.gov/Archives/edgar/data/1717115/000095017025105449/tem-ex3_1.htm" TargetMode="External"/><Relationship Id="rId164" Type="http://schemas.openxmlformats.org/officeDocument/2006/relationships/hyperlink" Target="http://www.sec.gov/Archives/edgar/data/1717115/000095017025105449/tem-ex3_2.htm" TargetMode="External"/><Relationship Id="rId165" Type="http://schemas.openxmlformats.org/officeDocument/2006/relationships/hyperlink" Target="http://www.sec.gov/Archives/edgar/data/1717115/000095017025105449/tem-ex4_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2025-08-08T05:55:41Z</dcterms:created>
  <dcterms:modified xsi:type="dcterms:W3CDTF">2025-08-08T05:55:41Z</dcterms:modified>
</cp:coreProperties>
</file>