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Prospectus dated March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1230630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167640</wp:posOffset>
            </wp:positionV>
            <wp:extent cx="2339975" cy="840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39975" cy="8401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333-285186</w:t>
      </w:r>
    </w:p>
    <w:p>
      <w:pPr>
        <w:spacing w:after="0" w:line="200" w:lineRule="exact"/>
        <w:rPr>
          <w:sz w:val="24"/>
          <w:szCs w:val="24"/>
          <w:color w:val="auto"/>
        </w:rPr>
      </w:pPr>
    </w:p>
    <w:p>
      <w:pPr>
        <w:sectPr>
          <w:pgSz w:w="11900" w:h="16838" w:orient="portrait"/>
          <w:cols w:equalWidth="0" w:num="2">
            <w:col w:w="7800" w:space="720"/>
            <w:col w:w="2500"/>
          </w:cols>
          <w:pgMar w:left="440" w:top="225"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March 7, 2025 (the “Prospectus”), which forms a part of our Registration Statement on Form S-1 (Registration No. 333-285186). Capitalized terms used in this prospectus supplement and not otherwise defined herein have the meanings specified in the Prospectus.</w:t>
      </w:r>
    </w:p>
    <w:p>
      <w:pPr>
        <w:spacing w:after="0" w:line="176" w:lineRule="exact"/>
        <w:rPr>
          <w:sz w:val="24"/>
          <w:szCs w:val="24"/>
          <w:color w:val="auto"/>
        </w:rPr>
      </w:pPr>
    </w:p>
    <w:p>
      <w:pPr>
        <w:ind w:right="500" w:firstLine="440"/>
        <w:spacing w:after="0" w:line="312" w:lineRule="auto"/>
        <w:rPr>
          <w:sz w:val="20"/>
          <w:szCs w:val="20"/>
          <w:color w:val="auto"/>
        </w:rPr>
      </w:pPr>
      <w:r>
        <w:rPr>
          <w:rFonts w:ascii="Times New Roman" w:cs="Times New Roman" w:eastAsia="Times New Roman" w:hAnsi="Times New Roman"/>
          <w:sz w:val="17"/>
          <w:szCs w:val="17"/>
          <w:color w:val="auto"/>
        </w:rPr>
        <w:t>This prospectus supplement is being filed to update, amend and supplement the information included in the Prospectus with the information contained in our Current Report on Form 8-K filed with the Securities and Exchange Commission on April 23, 2025, which is set forth below.</w:t>
      </w:r>
    </w:p>
    <w:p>
      <w:pPr>
        <w:spacing w:after="0" w:line="140" w:lineRule="exact"/>
        <w:rPr>
          <w:sz w:val="24"/>
          <w:szCs w:val="24"/>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“TEM.” On April 22, 2025, the last reported sales price of our Class A common stock was $[•]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4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in the section titled “Risk Factors” section beginning on page 5 of the Prospectus, and under similar headings in any further amendments or supplements to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Prospectus, or passed upon the accuracy or adequacy of the Prospectus or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23, 2025.</w:t>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0"/>
          <w:szCs w:val="20"/>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47-4903308</w:t>
            </w:r>
          </w:p>
        </w:tc>
      </w:tr>
      <w:tr>
        <w:trPr>
          <w:trHeight w:val="148"/>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84"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April 17, 2025 (the “Effective Date”), Tempus AI, Inc. (“Tempus”), AstraZeneca AB (“AstraZeneca”), and Pathos AI, Inc. (“Pathos”) entered into a series of agreements regarding both the development of a foundational large multimodal model in the field of oncology (the “Foundational Model”) and the licensing of certain de-identified multi-modal data to assist in the development of the Foundational Model.</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Specifically, on the Effective Date, AstraZeneca and Tempus entered into a Statement of Work under the previously disclosed Master Services Agreement, dated November 17, 2021 (as amended from time to time), between AstraZeneca and Tempus (the Master Services Agreement and the Statement of Work collectively referred to herein as the “MSA”). Pursuant to the MSA, (i) Tempus will ensure that Pathos develops, and Tempus provides AstraZeneca with, a Foundational Model which has been developed, validated, and maintained using de-identified datasets contributed by Tempus, (ii) the Foundational Model will be developed, validated, and maintained by Pathos, (iii) AstraZeneca will pay Tempus a fee of $35 million, and (iv) a syndicate of investors including AstraZeneca will contemporaneously execute a Stock Purchase Agreement with Pathos (the “SPA”) as part of a preferred stock financing round of sufficient size given the obligations described herein.</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Also on the Effective Date, Tempus and Pathos entered into an Order Form under the previously disclosed Amended and Restated Master Agreement, restated effective February 12, 2024, between Tempus and Pathos (the Amended and Restated Master Agreement and the Order Form collectively referred to herein as the “Pathos Master Agreement”). Pursuant to the Pathos Master Agreement, (i) Pathos will be responsible for Foundational Model development activities under the MSA, (ii) Tempus will license Pathos a comprehensive de-identified multi-modal dataset for the sole purpose of assisting in the development and training of the Foundational Model under the MSA, (iii) Pathos will pay Tempus data license fees of $200 million over a three-year period, including an upfront payment of $50 million payable on the Effective Date, (iv) Tempus will receive a license to use the Foundational Model upon its completion (with certain field restrictions and the right of sublicense to AstraZeneca), and (v) in consideration of Pathos’ commitments under the Pathos Master Agreement, Tempus will pay Pathos $35 million. Pathos, in its sole discretion, may pay up to 50% of the data license fees owed to Tempus in shares of Pathos’ Series D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is not a party to the SPA between AstraZeneca and Pathos and makes no representations or warranties about its terms.</w:t>
      </w:r>
    </w:p>
    <w:p>
      <w:pPr>
        <w:sectPr>
          <w:pgSz w:w="11900" w:h="16838" w:orient="portrait"/>
          <w:cols w:equalWidth="0" w:num="1">
            <w:col w:w="10980"/>
          </w:cols>
          <w:pgMar w:left="440" w:top="266" w:right="47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23, 2025</w:t>
      </w:r>
    </w:p>
    <w:p>
      <w:pPr>
        <w:spacing w:after="0" w:line="223"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660"/>
      </w:cols>
      <w:pgMar w:left="440" w:top="26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2025-04-23T07:18:00Z</dcterms:created>
  <dcterms:modified xsi:type="dcterms:W3CDTF">2025-04-23T07:18:00Z</dcterms:modified>
</cp:coreProperties>
</file>