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Epstein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offering, as well as, a grant of RSUs made in connection with the Issuer's Non-Employee Director Compensation Policy. Certain of the RSUs remain subject to service-based vesting conditions, as follows: (i) 14,000 RSUs vest in 14 equal quarterly installments commencing on August 5, 2024 and (ii) 13,514 RSUs vest in 20 substantially equal quarterly installments commencing on September 13,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5826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2024-06-17T20:50:27Z</dcterms:created>
  <dcterms:modified xsi:type="dcterms:W3CDTF">2024-06-17T20:50:27Z</dcterms:modified>
</cp:coreProperties>
</file>