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0001114357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7"/>
        <w:gridCol w:w="3968"/>
      </w:tblGrid>
      <w:tr>
        <w:trPr/>
        <w:tc>
          <w:tcPr>
            <w:tcW w:w="6237" w:type="dxa"/>
            <w:tcBorders/>
            <w:vAlign w:val="center"/>
          </w:tcPr>
          <w:p>
            <w:pPr>
              <w:pStyle w:val="TableContents"/>
              <w:bidi w:val="0"/>
              <w:spacing w:before="0" w:after="283"/>
              <w:jc w:val="left"/>
              <w:rPr/>
            </w:pPr>
            <w:r>
              <w:rPr/>
              <w:t>Name of Issuer</w:t>
            </w:r>
          </w:p>
        </w:tc>
        <w:tc>
          <w:tcPr>
            <w:tcW w:w="3968" w:type="dxa"/>
            <w:tcBorders/>
            <w:vAlign w:val="center"/>
          </w:tcPr>
          <w:p>
            <w:pPr>
              <w:pStyle w:val="TableContents"/>
              <w:bidi w:val="0"/>
              <w:spacing w:before="0" w:after="0"/>
              <w:jc w:val="left"/>
              <w:rPr/>
            </w:pPr>
            <w:r>
              <w:rPr/>
              <w:t>Tempus AI, Inc.</w:t>
            </w:r>
          </w:p>
        </w:tc>
      </w:tr>
      <w:tr>
        <w:trPr/>
        <w:tc>
          <w:tcPr>
            <w:tcW w:w="6237" w:type="dxa"/>
            <w:tcBorders/>
            <w:vAlign w:val="center"/>
          </w:tcPr>
          <w:p>
            <w:pPr>
              <w:pStyle w:val="TableContents"/>
              <w:bidi w:val="0"/>
              <w:spacing w:before="0" w:after="283"/>
              <w:jc w:val="left"/>
              <w:rPr/>
            </w:pPr>
            <w:r>
              <w:rPr/>
              <w:t>SEC File Number</w:t>
            </w:r>
          </w:p>
        </w:tc>
        <w:tc>
          <w:tcPr>
            <w:tcW w:w="3968" w:type="dxa"/>
            <w:tcBorders/>
            <w:vAlign w:val="center"/>
          </w:tcPr>
          <w:p>
            <w:pPr>
              <w:pStyle w:val="TableContents"/>
              <w:bidi w:val="0"/>
              <w:spacing w:before="0" w:after="0"/>
              <w:jc w:val="left"/>
              <w:rPr/>
            </w:pPr>
            <w:r>
              <w:rPr/>
              <w:t>001-42130</w:t>
            </w:r>
          </w:p>
        </w:tc>
      </w:tr>
      <w:tr>
        <w:trPr/>
        <w:tc>
          <w:tcPr>
            <w:tcW w:w="6237" w:type="dxa"/>
            <w:tcBorders/>
            <w:vAlign w:val="center"/>
          </w:tcPr>
          <w:p>
            <w:pPr>
              <w:pStyle w:val="TableContents"/>
              <w:bidi w:val="0"/>
              <w:spacing w:before="0" w:after="283"/>
              <w:jc w:val="left"/>
              <w:rPr/>
            </w:pPr>
            <w:r>
              <w:rPr/>
              <w:t>Address of Issuer</w:t>
            </w:r>
          </w:p>
        </w:tc>
        <w:tc>
          <w:tcPr>
            <w:tcW w:w="3968"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6237" w:type="dxa"/>
            <w:tcBorders/>
            <w:vAlign w:val="center"/>
          </w:tcPr>
          <w:p>
            <w:pPr>
              <w:pStyle w:val="TableContents"/>
              <w:bidi w:val="0"/>
              <w:spacing w:before="0" w:after="283"/>
              <w:jc w:val="left"/>
              <w:rPr/>
            </w:pPr>
            <w:r>
              <w:rPr/>
              <w:t>Phone</w:t>
            </w:r>
          </w:p>
        </w:tc>
        <w:tc>
          <w:tcPr>
            <w:tcW w:w="3968" w:type="dxa"/>
            <w:tcBorders/>
            <w:vAlign w:val="center"/>
          </w:tcPr>
          <w:p>
            <w:pPr>
              <w:pStyle w:val="TableContents"/>
              <w:bidi w:val="0"/>
              <w:spacing w:before="0" w:after="0"/>
              <w:jc w:val="left"/>
              <w:rPr/>
            </w:pPr>
            <w:r>
              <w:rPr/>
              <w:t>800-976-5448</w:t>
            </w:r>
          </w:p>
        </w:tc>
      </w:tr>
      <w:tr>
        <w:trPr/>
        <w:tc>
          <w:tcPr>
            <w:tcW w:w="6237" w:type="dxa"/>
            <w:tcBorders/>
            <w:vAlign w:val="center"/>
          </w:tcPr>
          <w:p>
            <w:pPr>
              <w:pStyle w:val="TableContents"/>
              <w:bidi w:val="0"/>
              <w:spacing w:before="0" w:after="283"/>
              <w:jc w:val="left"/>
              <w:rPr/>
            </w:pPr>
            <w:r>
              <w:rPr/>
              <w:t>Name of Person for Whose Account the Securities are To Be Sold</w:t>
            </w:r>
          </w:p>
        </w:tc>
        <w:tc>
          <w:tcPr>
            <w:tcW w:w="3968" w:type="dxa"/>
            <w:tcBorders/>
            <w:vAlign w:val="center"/>
          </w:tcPr>
          <w:p>
            <w:pPr>
              <w:pStyle w:val="TableContents"/>
              <w:bidi w:val="0"/>
              <w:spacing w:before="0" w:after="0"/>
              <w:jc w:val="left"/>
              <w:rPr/>
            </w:pPr>
            <w:r>
              <w:rPr/>
              <w:t>Eric Lefkofsky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Officer</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Director</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166250</w:t>
            </w:r>
          </w:p>
        </w:tc>
        <w:tc>
          <w:tcPr>
            <w:tcW w:w="1385" w:type="dxa"/>
            <w:tcBorders/>
            <w:vAlign w:val="center"/>
          </w:tcPr>
          <w:p>
            <w:pPr>
              <w:pStyle w:val="TableContents"/>
              <w:bidi w:val="0"/>
              <w:spacing w:before="0" w:after="283"/>
              <w:jc w:val="left"/>
              <w:rPr/>
            </w:pPr>
            <w:r>
              <w:rPr/>
              <w:t>9333275</w:t>
            </w:r>
          </w:p>
        </w:tc>
        <w:tc>
          <w:tcPr>
            <w:tcW w:w="1559" w:type="dxa"/>
            <w:tcBorders/>
            <w:vAlign w:val="center"/>
          </w:tcPr>
          <w:p>
            <w:pPr>
              <w:pStyle w:val="TableContents"/>
              <w:bidi w:val="0"/>
              <w:spacing w:before="0" w:after="283"/>
              <w:jc w:val="left"/>
              <w:rPr/>
            </w:pPr>
            <w:r>
              <w:rPr/>
              <w:t>174520978</w:t>
            </w:r>
          </w:p>
        </w:tc>
        <w:tc>
          <w:tcPr>
            <w:tcW w:w="1571" w:type="dxa"/>
            <w:tcBorders/>
            <w:vAlign w:val="center"/>
          </w:tcPr>
          <w:p>
            <w:pPr>
              <w:pStyle w:val="TableContents"/>
              <w:bidi w:val="0"/>
              <w:spacing w:before="0" w:after="283"/>
              <w:jc w:val="left"/>
              <w:rPr/>
            </w:pPr>
            <w:r>
              <w:rPr/>
              <w:t>06/29/2026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Class A Common Stock</w:t>
            </w:r>
          </w:p>
        </w:tc>
        <w:tc>
          <w:tcPr>
            <w:tcW w:w="1095" w:type="dxa"/>
            <w:tcBorders/>
            <w:vAlign w:val="center"/>
          </w:tcPr>
          <w:p>
            <w:pPr>
              <w:pStyle w:val="TableContents"/>
              <w:bidi w:val="0"/>
              <w:spacing w:before="0" w:after="283"/>
              <w:jc w:val="left"/>
              <w:rPr/>
            </w:pPr>
            <w:r>
              <w:rPr/>
              <w:t>01/30/2025</w:t>
            </w:r>
          </w:p>
        </w:tc>
        <w:tc>
          <w:tcPr>
            <w:tcW w:w="1541" w:type="dxa"/>
            <w:tcBorders/>
            <w:vAlign w:val="center"/>
          </w:tcPr>
          <w:p>
            <w:pPr>
              <w:pStyle w:val="TableContents"/>
              <w:bidi w:val="0"/>
              <w:spacing w:before="0" w:after="283"/>
              <w:jc w:val="left"/>
              <w:rPr/>
            </w:pPr>
            <w:r>
              <w:rPr/>
              <w:t>Stock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101018</w:t>
            </w:r>
          </w:p>
        </w:tc>
        <w:tc>
          <w:tcPr>
            <w:tcW w:w="1036" w:type="dxa"/>
            <w:tcBorders/>
            <w:vAlign w:val="center"/>
          </w:tcPr>
          <w:p>
            <w:pPr>
              <w:pStyle w:val="TableContents"/>
              <w:bidi w:val="0"/>
              <w:spacing w:before="0" w:after="283"/>
              <w:jc w:val="left"/>
              <w:rPr/>
            </w:pPr>
            <w:r>
              <w:rPr/>
              <w:t>01/30/2025</w:t>
            </w:r>
          </w:p>
        </w:tc>
        <w:tc>
          <w:tcPr>
            <w:tcW w:w="1590" w:type="dxa"/>
            <w:tcBorders/>
            <w:vAlign w:val="center"/>
          </w:tcPr>
          <w:p>
            <w:pPr>
              <w:pStyle w:val="TableContents"/>
              <w:bidi w:val="0"/>
              <w:spacing w:before="0" w:after="283"/>
              <w:jc w:val="left"/>
              <w:rPr/>
            </w:pPr>
            <w:r>
              <w:rPr/>
              <w:t>Compensation</w:t>
            </w:r>
          </w:p>
        </w:tc>
      </w:tr>
      <w:tr>
        <w:trPr/>
        <w:tc>
          <w:tcPr>
            <w:tcW w:w="1072" w:type="dxa"/>
            <w:tcBorders/>
            <w:vAlign w:val="center"/>
          </w:tcPr>
          <w:p>
            <w:pPr>
              <w:pStyle w:val="TableContents"/>
              <w:bidi w:val="0"/>
              <w:spacing w:before="0" w:after="283"/>
              <w:jc w:val="left"/>
              <w:rPr/>
            </w:pPr>
            <w:r>
              <w:rPr/>
              <w:t>Class A Common Stock</w:t>
            </w:r>
          </w:p>
        </w:tc>
        <w:tc>
          <w:tcPr>
            <w:tcW w:w="1095" w:type="dxa"/>
            <w:tcBorders/>
            <w:vAlign w:val="center"/>
          </w:tcPr>
          <w:p>
            <w:pPr>
              <w:pStyle w:val="TableContents"/>
              <w:bidi w:val="0"/>
              <w:spacing w:before="0" w:after="283"/>
              <w:jc w:val="left"/>
              <w:rPr/>
            </w:pPr>
            <w:r>
              <w:rPr/>
              <w:t>01/22/2025</w:t>
            </w:r>
          </w:p>
        </w:tc>
        <w:tc>
          <w:tcPr>
            <w:tcW w:w="1541" w:type="dxa"/>
            <w:tcBorders/>
            <w:vAlign w:val="center"/>
          </w:tcPr>
          <w:p>
            <w:pPr>
              <w:pStyle w:val="TableContents"/>
              <w:bidi w:val="0"/>
              <w:spacing w:before="0" w:after="283"/>
              <w:jc w:val="left"/>
              <w:rPr/>
            </w:pPr>
            <w:r>
              <w:rPr/>
              <w:t>Stock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31982</w:t>
            </w:r>
          </w:p>
        </w:tc>
        <w:tc>
          <w:tcPr>
            <w:tcW w:w="1036" w:type="dxa"/>
            <w:tcBorders/>
            <w:vAlign w:val="center"/>
          </w:tcPr>
          <w:p>
            <w:pPr>
              <w:pStyle w:val="TableContents"/>
              <w:bidi w:val="0"/>
              <w:spacing w:before="0" w:after="283"/>
              <w:jc w:val="left"/>
              <w:rPr/>
            </w:pPr>
            <w:r>
              <w:rPr/>
              <w:t>01/22/2025</w:t>
            </w:r>
          </w:p>
        </w:tc>
        <w:tc>
          <w:tcPr>
            <w:tcW w:w="1590" w:type="dxa"/>
            <w:tcBorders/>
            <w:vAlign w:val="center"/>
          </w:tcPr>
          <w:p>
            <w:pPr>
              <w:pStyle w:val="TableContents"/>
              <w:bidi w:val="0"/>
              <w:spacing w:before="0" w:after="283"/>
              <w:jc w:val="left"/>
              <w:rPr/>
            </w:pPr>
            <w:r>
              <w:rPr/>
              <w:t>Compensation</w:t>
            </w:r>
          </w:p>
        </w:tc>
      </w:tr>
      <w:tr>
        <w:trPr/>
        <w:tc>
          <w:tcPr>
            <w:tcW w:w="1072" w:type="dxa"/>
            <w:tcBorders/>
            <w:vAlign w:val="center"/>
          </w:tcPr>
          <w:p>
            <w:pPr>
              <w:pStyle w:val="TableContents"/>
              <w:bidi w:val="0"/>
              <w:spacing w:before="0" w:after="283"/>
              <w:jc w:val="left"/>
              <w:rPr/>
            </w:pPr>
            <w:r>
              <w:rPr/>
              <w:t>Class A Common Stock</w:t>
            </w:r>
          </w:p>
        </w:tc>
        <w:tc>
          <w:tcPr>
            <w:tcW w:w="1095" w:type="dxa"/>
            <w:tcBorders/>
            <w:vAlign w:val="center"/>
          </w:tcPr>
          <w:p>
            <w:pPr>
              <w:pStyle w:val="TableContents"/>
              <w:bidi w:val="0"/>
              <w:spacing w:before="0" w:after="283"/>
              <w:jc w:val="left"/>
              <w:rPr/>
            </w:pPr>
            <w:r>
              <w:rPr/>
              <w:t>09/14/2017</w:t>
            </w:r>
          </w:p>
        </w:tc>
        <w:tc>
          <w:tcPr>
            <w:tcW w:w="1541" w:type="dxa"/>
            <w:tcBorders/>
            <w:vAlign w:val="center"/>
          </w:tcPr>
          <w:p>
            <w:pPr>
              <w:pStyle w:val="TableContents"/>
              <w:bidi w:val="0"/>
              <w:spacing w:before="0" w:after="283"/>
              <w:jc w:val="left"/>
              <w:rPr/>
            </w:pPr>
            <w:r>
              <w:rPr/>
              <w:t>Direct Investment</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33250</w:t>
            </w:r>
          </w:p>
        </w:tc>
        <w:tc>
          <w:tcPr>
            <w:tcW w:w="1036" w:type="dxa"/>
            <w:tcBorders/>
            <w:vAlign w:val="center"/>
          </w:tcPr>
          <w:p>
            <w:pPr>
              <w:pStyle w:val="TableContents"/>
              <w:bidi w:val="0"/>
              <w:spacing w:before="0" w:after="283"/>
              <w:jc w:val="left"/>
              <w:rPr/>
            </w:pPr>
            <w:r>
              <w:rPr/>
              <w:t>09/14/2017</w:t>
            </w:r>
          </w:p>
        </w:tc>
        <w:tc>
          <w:tcPr>
            <w:tcW w:w="159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7"/>
        <w:gridCol w:w="2956"/>
        <w:gridCol w:w="948"/>
        <w:gridCol w:w="1567"/>
        <w:gridCol w:w="1767"/>
      </w:tblGrid>
      <w:tr>
        <w:trPr/>
        <w:tc>
          <w:tcPr>
            <w:tcW w:w="2967" w:type="dxa"/>
            <w:tcBorders/>
            <w:vAlign w:val="center"/>
          </w:tcPr>
          <w:p>
            <w:pPr>
              <w:pStyle w:val="TableHeading"/>
              <w:suppressLineNumbers/>
              <w:bidi w:val="0"/>
              <w:spacing w:before="0" w:after="283"/>
              <w:jc w:val="center"/>
              <w:rPr/>
            </w:pPr>
            <w:r>
              <w:rPr/>
              <w:t>Name and Address of Seller</w:t>
            </w:r>
          </w:p>
        </w:tc>
        <w:tc>
          <w:tcPr>
            <w:tcW w:w="2956"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767" w:type="dxa"/>
            <w:tcBorders/>
            <w:vAlign w:val="center"/>
          </w:tcPr>
          <w:p>
            <w:pPr>
              <w:pStyle w:val="TableHeading"/>
              <w:suppressLineNumbers/>
              <w:bidi w:val="0"/>
              <w:spacing w:before="0" w:after="283"/>
              <w:jc w:val="center"/>
              <w:rPr/>
            </w:pPr>
            <w:r>
              <w:rPr/>
              <w:t>Gross Proceeds</w:t>
            </w:r>
          </w:p>
        </w:tc>
      </w:tr>
      <w:tr>
        <w:trPr/>
        <w:tc>
          <w:tcPr>
            <w:tcW w:w="2967" w:type="dxa"/>
            <w:tcBorders/>
            <w:vAlign w:val="center"/>
          </w:tcPr>
          <w:p>
            <w:pPr>
              <w:pStyle w:val="TableContents"/>
              <w:bidi w:val="0"/>
              <w:spacing w:before="0" w:after="283"/>
              <w:jc w:val="left"/>
              <w:rPr/>
            </w:pPr>
            <w:r>
              <w:rPr/>
              <w:t>Eric Lefkofsky</w:t>
              <w:br/>
              <w:t>C/o Tempus AI, Inc.</w:t>
              <w:br/>
              <w:t>600 West Chicago Avenue, Suite 510</w:t>
              <w:br/>
              <w:t>Chicago   IL   60654</w:t>
            </w:r>
          </w:p>
        </w:tc>
        <w:tc>
          <w:tcPr>
            <w:tcW w:w="2956" w:type="dxa"/>
            <w:tcBorders/>
            <w:vAlign w:val="center"/>
          </w:tcPr>
          <w:p>
            <w:pPr>
              <w:pStyle w:val="TableContents"/>
              <w:bidi w:val="0"/>
              <w:spacing w:before="0" w:after="283"/>
              <w:jc w:val="left"/>
              <w:rPr/>
            </w:pPr>
            <w:r>
              <w:rPr/>
              <w:t>Class A Common Stock</w:t>
            </w:r>
          </w:p>
        </w:tc>
        <w:tc>
          <w:tcPr>
            <w:tcW w:w="948" w:type="dxa"/>
            <w:tcBorders/>
            <w:vAlign w:val="center"/>
          </w:tcPr>
          <w:p>
            <w:pPr>
              <w:pStyle w:val="TableContents"/>
              <w:bidi w:val="0"/>
              <w:spacing w:before="0" w:after="283"/>
              <w:jc w:val="left"/>
              <w:rPr/>
            </w:pPr>
            <w:r>
              <w:rPr/>
              <w:t>05/19/2026</w:t>
            </w:r>
          </w:p>
        </w:tc>
        <w:tc>
          <w:tcPr>
            <w:tcW w:w="1567" w:type="dxa"/>
            <w:tcBorders/>
            <w:vAlign w:val="center"/>
          </w:tcPr>
          <w:p>
            <w:pPr>
              <w:pStyle w:val="TableContents"/>
              <w:bidi w:val="0"/>
              <w:spacing w:before="0" w:after="283"/>
              <w:jc w:val="left"/>
              <w:rPr/>
            </w:pPr>
            <w:r>
              <w:rPr/>
              <w:t>22335</w:t>
            </w:r>
          </w:p>
        </w:tc>
        <w:tc>
          <w:tcPr>
            <w:tcW w:w="1767" w:type="dxa"/>
            <w:tcBorders/>
            <w:vAlign w:val="center"/>
          </w:tcPr>
          <w:p>
            <w:pPr>
              <w:pStyle w:val="TableContents"/>
              <w:bidi w:val="0"/>
              <w:spacing w:before="0" w:after="283"/>
              <w:jc w:val="left"/>
              <w:rPr/>
            </w:pPr>
            <w:r>
              <w:rPr/>
              <w:t>984303.45</w:t>
            </w:r>
          </w:p>
        </w:tc>
      </w:tr>
      <w:tr>
        <w:trPr/>
        <w:tc>
          <w:tcPr>
            <w:tcW w:w="2967"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956" w:type="dxa"/>
            <w:tcBorders/>
            <w:vAlign w:val="center"/>
          </w:tcPr>
          <w:p>
            <w:pPr>
              <w:pStyle w:val="TableContents"/>
              <w:bidi w:val="0"/>
              <w:spacing w:before="0" w:after="283"/>
              <w:jc w:val="left"/>
              <w:rPr/>
            </w:pPr>
            <w:r>
              <w:rPr/>
              <w:t>Class A Common Stock</w:t>
            </w:r>
          </w:p>
        </w:tc>
        <w:tc>
          <w:tcPr>
            <w:tcW w:w="948" w:type="dxa"/>
            <w:tcBorders/>
            <w:vAlign w:val="center"/>
          </w:tcPr>
          <w:p>
            <w:pPr>
              <w:pStyle w:val="TableContents"/>
              <w:bidi w:val="0"/>
              <w:spacing w:before="0" w:after="283"/>
              <w:jc w:val="left"/>
              <w:rPr/>
            </w:pPr>
            <w:r>
              <w:rPr/>
              <w:t>04/28/2026</w:t>
            </w:r>
          </w:p>
        </w:tc>
        <w:tc>
          <w:tcPr>
            <w:tcW w:w="1567" w:type="dxa"/>
            <w:tcBorders/>
            <w:vAlign w:val="center"/>
          </w:tcPr>
          <w:p>
            <w:pPr>
              <w:pStyle w:val="TableContents"/>
              <w:bidi w:val="0"/>
              <w:spacing w:before="0" w:after="283"/>
              <w:jc w:val="left"/>
              <w:rPr/>
            </w:pPr>
            <w:r>
              <w:rPr/>
              <w:t>133000</w:t>
            </w:r>
          </w:p>
        </w:tc>
        <w:tc>
          <w:tcPr>
            <w:tcW w:w="1767" w:type="dxa"/>
            <w:tcBorders/>
            <w:vAlign w:val="center"/>
          </w:tcPr>
          <w:p>
            <w:pPr>
              <w:pStyle w:val="TableContents"/>
              <w:bidi w:val="0"/>
              <w:spacing w:before="0" w:after="283"/>
              <w:jc w:val="left"/>
              <w:rPr/>
            </w:pPr>
            <w:r>
              <w:rPr/>
              <w:t>6800899</w:t>
            </w:r>
          </w:p>
        </w:tc>
      </w:tr>
      <w:tr>
        <w:trPr/>
        <w:tc>
          <w:tcPr>
            <w:tcW w:w="2967"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956" w:type="dxa"/>
            <w:tcBorders/>
            <w:vAlign w:val="center"/>
          </w:tcPr>
          <w:p>
            <w:pPr>
              <w:pStyle w:val="TableContents"/>
              <w:bidi w:val="0"/>
              <w:spacing w:before="0" w:after="283"/>
              <w:jc w:val="left"/>
              <w:rPr/>
            </w:pPr>
            <w:r>
              <w:rPr/>
              <w:t>Class A Common Stock</w:t>
            </w:r>
          </w:p>
        </w:tc>
        <w:tc>
          <w:tcPr>
            <w:tcW w:w="948" w:type="dxa"/>
            <w:tcBorders/>
            <w:vAlign w:val="center"/>
          </w:tcPr>
          <w:p>
            <w:pPr>
              <w:pStyle w:val="TableContents"/>
              <w:bidi w:val="0"/>
              <w:spacing w:before="0" w:after="283"/>
              <w:jc w:val="left"/>
              <w:rPr/>
            </w:pPr>
            <w:r>
              <w:rPr/>
              <w:t>05/27/2026</w:t>
            </w:r>
          </w:p>
        </w:tc>
        <w:tc>
          <w:tcPr>
            <w:tcW w:w="1567" w:type="dxa"/>
            <w:tcBorders/>
            <w:vAlign w:val="center"/>
          </w:tcPr>
          <w:p>
            <w:pPr>
              <w:pStyle w:val="TableContents"/>
              <w:bidi w:val="0"/>
              <w:spacing w:before="0" w:after="283"/>
              <w:jc w:val="left"/>
              <w:rPr/>
            </w:pPr>
            <w:r>
              <w:rPr/>
              <w:t>133000</w:t>
            </w:r>
          </w:p>
        </w:tc>
        <w:tc>
          <w:tcPr>
            <w:tcW w:w="1767" w:type="dxa"/>
            <w:tcBorders/>
            <w:vAlign w:val="center"/>
          </w:tcPr>
          <w:p>
            <w:pPr>
              <w:pStyle w:val="TableContents"/>
              <w:bidi w:val="0"/>
              <w:spacing w:before="0" w:after="283"/>
              <w:jc w:val="left"/>
              <w:rPr/>
            </w:pPr>
            <w:r>
              <w:rPr/>
              <w:t>6210943</w:t>
            </w:r>
          </w:p>
        </w:tc>
      </w:tr>
      <w:tr>
        <w:trPr/>
        <w:tc>
          <w:tcPr>
            <w:tcW w:w="2967"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956" w:type="dxa"/>
            <w:tcBorders/>
            <w:vAlign w:val="center"/>
          </w:tcPr>
          <w:p>
            <w:pPr>
              <w:pStyle w:val="TableContents"/>
              <w:bidi w:val="0"/>
              <w:spacing w:before="0" w:after="283"/>
              <w:jc w:val="left"/>
              <w:rPr/>
            </w:pPr>
            <w:r>
              <w:rPr/>
              <w:t>Class A Common Stock</w:t>
            </w:r>
          </w:p>
        </w:tc>
        <w:tc>
          <w:tcPr>
            <w:tcW w:w="948" w:type="dxa"/>
            <w:tcBorders/>
            <w:vAlign w:val="center"/>
          </w:tcPr>
          <w:p>
            <w:pPr>
              <w:pStyle w:val="TableContents"/>
              <w:bidi w:val="0"/>
              <w:spacing w:before="0" w:after="283"/>
              <w:jc w:val="left"/>
              <w:rPr/>
            </w:pPr>
            <w:r>
              <w:rPr/>
              <w:t>04/28/2026</w:t>
            </w:r>
          </w:p>
        </w:tc>
        <w:tc>
          <w:tcPr>
            <w:tcW w:w="1567" w:type="dxa"/>
            <w:tcBorders/>
            <w:vAlign w:val="center"/>
          </w:tcPr>
          <w:p>
            <w:pPr>
              <w:pStyle w:val="TableContents"/>
              <w:bidi w:val="0"/>
              <w:spacing w:before="0" w:after="283"/>
              <w:jc w:val="left"/>
              <w:rPr/>
            </w:pPr>
            <w:r>
              <w:rPr/>
              <w:t>33250</w:t>
            </w:r>
          </w:p>
        </w:tc>
        <w:tc>
          <w:tcPr>
            <w:tcW w:w="1767" w:type="dxa"/>
            <w:tcBorders/>
            <w:vAlign w:val="center"/>
          </w:tcPr>
          <w:p>
            <w:pPr>
              <w:pStyle w:val="TableContents"/>
              <w:bidi w:val="0"/>
              <w:spacing w:before="0" w:after="283"/>
              <w:jc w:val="left"/>
              <w:rPr/>
            </w:pPr>
            <w:r>
              <w:rPr/>
              <w:t>1700225</w:t>
            </w:r>
          </w:p>
        </w:tc>
      </w:tr>
      <w:tr>
        <w:trPr/>
        <w:tc>
          <w:tcPr>
            <w:tcW w:w="2967"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956" w:type="dxa"/>
            <w:tcBorders/>
            <w:vAlign w:val="center"/>
          </w:tcPr>
          <w:p>
            <w:pPr>
              <w:pStyle w:val="TableContents"/>
              <w:bidi w:val="0"/>
              <w:spacing w:before="0" w:after="283"/>
              <w:jc w:val="left"/>
              <w:rPr/>
            </w:pPr>
            <w:r>
              <w:rPr/>
              <w:t>Class A Common Stock</w:t>
            </w:r>
          </w:p>
        </w:tc>
        <w:tc>
          <w:tcPr>
            <w:tcW w:w="948" w:type="dxa"/>
            <w:tcBorders/>
            <w:vAlign w:val="center"/>
          </w:tcPr>
          <w:p>
            <w:pPr>
              <w:pStyle w:val="TableContents"/>
              <w:bidi w:val="0"/>
              <w:spacing w:before="0" w:after="283"/>
              <w:jc w:val="left"/>
              <w:rPr/>
            </w:pPr>
            <w:r>
              <w:rPr/>
              <w:t>05/27/2026</w:t>
            </w:r>
          </w:p>
        </w:tc>
        <w:tc>
          <w:tcPr>
            <w:tcW w:w="1567" w:type="dxa"/>
            <w:tcBorders/>
            <w:vAlign w:val="center"/>
          </w:tcPr>
          <w:p>
            <w:pPr>
              <w:pStyle w:val="TableContents"/>
              <w:bidi w:val="0"/>
              <w:spacing w:before="0" w:after="283"/>
              <w:jc w:val="left"/>
              <w:rPr/>
            </w:pPr>
            <w:r>
              <w:rPr/>
              <w:t>33250</w:t>
            </w:r>
          </w:p>
        </w:tc>
        <w:tc>
          <w:tcPr>
            <w:tcW w:w="1767" w:type="dxa"/>
            <w:tcBorders/>
            <w:vAlign w:val="center"/>
          </w:tcPr>
          <w:p>
            <w:pPr>
              <w:pStyle w:val="TableContents"/>
              <w:bidi w:val="0"/>
              <w:spacing w:before="0" w:after="283"/>
              <w:jc w:val="left"/>
              <w:rPr/>
            </w:pPr>
            <w:r>
              <w:rPr/>
              <w:t>1552736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47"/>
        <w:gridCol w:w="6558"/>
      </w:tblGrid>
      <w:tr>
        <w:trPr/>
        <w:tc>
          <w:tcPr>
            <w:tcW w:w="3647" w:type="dxa"/>
            <w:tcBorders/>
            <w:vAlign w:val="center"/>
          </w:tcPr>
          <w:p>
            <w:pPr>
              <w:pStyle w:val="TableContents"/>
              <w:bidi w:val="0"/>
              <w:spacing w:before="0" w:after="283"/>
              <w:jc w:val="left"/>
              <w:rPr/>
            </w:pPr>
            <w:r>
              <w:rPr/>
              <w:t>Remarks</w:t>
            </w:r>
          </w:p>
        </w:tc>
        <w:tc>
          <w:tcPr>
            <w:tcW w:w="6558" w:type="dxa"/>
            <w:tcBorders/>
            <w:vAlign w:val="center"/>
          </w:tcPr>
          <w:p>
            <w:pPr>
              <w:pStyle w:val="TableContents"/>
              <w:bidi w:val="0"/>
              <w:spacing w:before="0" w:after="0"/>
              <w:jc w:val="left"/>
              <w:rPr/>
            </w:pPr>
            <w:r>
              <w:rPr/>
              <w:t>This form relates to sales by Blue Media, LLC (133,000 shares) and Gray Media, LLC (33,250 shares), of which Mr. Lefkofsky is the sole manager.</w:t>
            </w:r>
          </w:p>
        </w:tc>
      </w:tr>
      <w:tr>
        <w:trPr/>
        <w:tc>
          <w:tcPr>
            <w:tcW w:w="3647" w:type="dxa"/>
            <w:tcBorders/>
            <w:vAlign w:val="center"/>
          </w:tcPr>
          <w:p>
            <w:pPr>
              <w:pStyle w:val="TableContents"/>
              <w:bidi w:val="0"/>
              <w:spacing w:before="0" w:after="283"/>
              <w:jc w:val="left"/>
              <w:rPr/>
            </w:pPr>
            <w:r>
              <w:rPr/>
              <w:t>Date of Notice</w:t>
            </w:r>
          </w:p>
        </w:tc>
        <w:tc>
          <w:tcPr>
            <w:tcW w:w="6558" w:type="dxa"/>
            <w:tcBorders/>
            <w:vAlign w:val="center"/>
          </w:tcPr>
          <w:p>
            <w:pPr>
              <w:pStyle w:val="TableContents"/>
              <w:bidi w:val="0"/>
              <w:spacing w:before="0" w:after="0"/>
              <w:jc w:val="left"/>
              <w:rPr/>
            </w:pPr>
            <w:r>
              <w:rPr/>
              <w:t>06/29/2026</w:t>
            </w:r>
          </w:p>
        </w:tc>
      </w:tr>
      <w:tr>
        <w:trPr/>
        <w:tc>
          <w:tcPr>
            <w:tcW w:w="3647" w:type="dxa"/>
            <w:tcBorders/>
            <w:vAlign w:val="center"/>
          </w:tcPr>
          <w:p>
            <w:pPr>
              <w:pStyle w:val="TableContents"/>
              <w:bidi w:val="0"/>
              <w:spacing w:before="0" w:after="283"/>
              <w:jc w:val="left"/>
              <w:rPr/>
            </w:pPr>
            <w:r>
              <w:rPr/>
              <w:t>Date of Plan Adoption or Giving of Instruction, If Relying on Rule 10b5-1</w:t>
            </w:r>
          </w:p>
        </w:tc>
        <w:tc>
          <w:tcPr>
            <w:tcW w:w="6558" w:type="dxa"/>
            <w:tcBorders/>
            <w:vAlign w:val="center"/>
          </w:tcPr>
          <w:p>
            <w:pPr>
              <w:pStyle w:val="TableContents"/>
              <w:bidi w:val="0"/>
              <w:spacing w:before="0" w:after="0"/>
              <w:jc w:val="left"/>
              <w:rPr/>
            </w:pPr>
            <w:r>
              <w:rPr/>
              <w:t>03/04/2025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47" w:type="dxa"/>
            <w:tcBorders/>
            <w:vAlign w:val="center"/>
          </w:tcPr>
          <w:p>
            <w:pPr>
              <w:pStyle w:val="TableContents"/>
              <w:bidi w:val="0"/>
              <w:spacing w:before="0" w:after="283"/>
              <w:jc w:val="left"/>
              <w:rPr/>
            </w:pPr>
            <w:r>
              <w:rPr/>
              <w:t>Signature</w:t>
            </w:r>
          </w:p>
        </w:tc>
        <w:tc>
          <w:tcPr>
            <w:tcW w:w="6558" w:type="dxa"/>
            <w:tcBorders/>
            <w:vAlign w:val="center"/>
          </w:tcPr>
          <w:p>
            <w:pPr>
              <w:pStyle w:val="TableContents"/>
              <w:bidi w:val="0"/>
              <w:spacing w:before="0" w:after="0"/>
              <w:jc w:val="left"/>
              <w:rPr/>
            </w:pPr>
            <w:r>
              <w:rPr/>
              <w:t>/s/ J.P. Morgan Securities LLC as agent and attorney-in-fact for Eric Lefkofsky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787</Words>
  <Characters>3990</Characters>
  <CharactersWithSpaces>4693</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