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February 25, 2025</w:t>
      </w:r>
    </w:p>
    <w:p>
      <w:pPr>
        <w:spacing w:after="0" w:line="6" w:lineRule="exact"/>
        <w:rPr>
          <w:sz w:val="24"/>
          <w:szCs w:val="24"/>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Tempus AI, Inc.</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3"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7370</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47-4903308</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600 West Chicago Avenue, Suite 510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Chicago, Illinois 60654</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(800) 976-5448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Eric Lefkofsky</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Executive Officer, Founder and Chairman</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Tempus AI, Inc.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600 West Chicago Avenue, Suite 510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Chicago, Illinois 60654</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(800) 976-5448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Christina T. Roupas</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Courtney M.W. Tygesson</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110 N. Wacker Drive, Suite 4200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Chicago, Illinois 60606</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(312) 881-6500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As soon as practicable after this Registration Statement is declared effective.</w:t>
      </w:r>
    </w:p>
    <w:p>
      <w:pPr>
        <w:spacing w:after="0" w:line="86" w:lineRule="exact"/>
        <w:rPr>
          <w:sz w:val="24"/>
          <w:szCs w:val="24"/>
          <w:color w:val="auto"/>
        </w:rPr>
      </w:pPr>
    </w:p>
    <w:p>
      <w:pPr>
        <w:jc w:val="both"/>
        <w:ind w:left="120" w:right="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left="120" w:right="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120" w:right="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120" w:right="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2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jc w:val="both"/>
        <w:ind w:left="120" w:right="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32" w:lineRule="exact"/>
        <w:rPr>
          <w:sz w:val="24"/>
          <w:szCs w:val="24"/>
          <w:color w:val="auto"/>
        </w:rPr>
      </w:pPr>
    </w:p>
    <w:p>
      <w:pPr>
        <w:jc w:val="both"/>
        <w:ind w:left="1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175895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727"/>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securities</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sell these</w:t>
            </w:r>
          </w:p>
        </w:tc>
        <w:tc>
          <w:tcPr>
            <w:tcW w:w="200" w:type="dxa"/>
            <w:vAlign w:val="bottom"/>
          </w:tcPr>
          <w:p>
            <w:pPr>
              <w:spacing w:after="0"/>
              <w:rPr>
                <w:sz w:val="24"/>
                <w:szCs w:val="24"/>
                <w:color w:val="auto"/>
              </w:rPr>
            </w:pPr>
          </w:p>
        </w:tc>
      </w:tr>
      <w:tr>
        <w:trPr>
          <w:trHeight w:val="1153"/>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may sell these</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not an offer to</w:t>
            </w:r>
          </w:p>
        </w:tc>
        <w:tc>
          <w:tcPr>
            <w:tcW w:w="200" w:type="dxa"/>
            <w:vAlign w:val="bottom"/>
          </w:tcPr>
          <w:p>
            <w:pPr>
              <w:spacing w:after="0"/>
              <w:rPr>
                <w:sz w:val="24"/>
                <w:szCs w:val="24"/>
                <w:color w:val="auto"/>
              </w:rPr>
            </w:pPr>
          </w:p>
        </w:tc>
      </w:tr>
      <w:tr>
        <w:trPr>
          <w:trHeight w:val="3204"/>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Neither we nor the selling securityholder</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effective. This preliminary prospectus is</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offer or sale is not permitted.</w:t>
            </w:r>
          </w:p>
        </w:tc>
      </w:tr>
      <w:tr>
        <w:trPr>
          <w:trHeight w:val="663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w:t>
            </w: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until the registration statement filed with the Securities and Exchange Commission is</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securities and is not soliciting an offer to buy these securities in any jurisdiction where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25,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1339850</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173990</wp:posOffset>
            </wp:positionV>
            <wp:extent cx="2691765" cy="934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176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5"/>
          <w:szCs w:val="25"/>
          <w:b w:val="1"/>
          <w:bCs w:val="1"/>
          <w:color w:val="auto"/>
        </w:rPr>
        <w:t>UP TO 4,843,136 SHARES OF CLASS A COMMON STOCK</w:t>
      </w:r>
    </w:p>
    <w:p>
      <w:pPr>
        <w:spacing w:after="0" w:line="236" w:lineRule="exact"/>
        <w:rPr>
          <w:sz w:val="20"/>
          <w:szCs w:val="20"/>
          <w:color w:val="auto"/>
        </w:rPr>
      </w:pPr>
    </w:p>
    <w:p>
      <w:pPr>
        <w:jc w:val="both"/>
        <w:ind w:firstLine="371"/>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(after the expiration of any applicable lock-up period described herein) by REALM IDx, Inc., a Delaware corporation, or its permitted transferees, which we refer to as the Seller or the selling stockholder, of up to 4,843,136 shares, or the Shares, of our Class A common stock, par value $0.0001, or Class A common stock. The Shares were issued to the selling stockholder pursuant to a Securities Purchase Agreement dated November 4, 2024, or the Purchase Agreement, by and among us, the Seller and the Seller’s ultimate parent, Konica Minolta, Inc., a Japanese corporation, as guarantor, as stock consideration in connection with our acquisition of Ambry Genetics Corporation, a Delaware corporation, or Ambry, as more fully described below in “Prospectus Summary—Acquisition of Ambry Genetics Corporation.” We are registering the offer and sale of the Shares from time to time by the selling stockholder to satisfy the registration rights granted to the selling stockholder pursuant to the Purchase Agreement.</w:t>
      </w:r>
    </w:p>
    <w:p>
      <w:pPr>
        <w:spacing w:after="0" w:line="188"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8"/>
          <w:szCs w:val="18"/>
          <w:color w:val="auto"/>
        </w:rPr>
        <w:t>The selling stockholder may offer, sell or distribute all or a portion of the Shares publicly or through private transactions at prevailing market prices or at negotiated prices after the expiration of any applicable lock-up period described in this prospectus. We will not receive any of the proceeds from such sales of the Shares. We will bear all costs, expenses and fees in connection with the registration of these Shares. The selling stockholder will bear all commissions and discounts, if any, attributable to their sale of the Shares. See the section entitled “Plan of Distribution.”</w:t>
      </w:r>
    </w:p>
    <w:p>
      <w:pPr>
        <w:spacing w:after="0" w:line="183" w:lineRule="exact"/>
        <w:rPr>
          <w:sz w:val="20"/>
          <w:szCs w:val="20"/>
          <w:color w:val="auto"/>
        </w:rPr>
      </w:pPr>
    </w:p>
    <w:p>
      <w:pPr>
        <w:jc w:val="both"/>
        <w:ind w:firstLine="371"/>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“TEM.” On February 24, 2025, the last reported sales price of our Class A common stock was $69.57 per share.</w:t>
      </w:r>
    </w:p>
    <w:p>
      <w:pPr>
        <w:spacing w:after="0" w:line="162" w:lineRule="exact"/>
        <w:rPr>
          <w:sz w:val="20"/>
          <w:szCs w:val="20"/>
          <w:color w:val="auto"/>
        </w:rPr>
      </w:pPr>
    </w:p>
    <w:p>
      <w:pPr>
        <w:jc w:val="both"/>
        <w:ind w:firstLine="371"/>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spacing w:after="0" w:line="172" w:lineRule="exact"/>
        <w:rPr>
          <w:sz w:val="20"/>
          <w:szCs w:val="20"/>
          <w:color w:val="auto"/>
        </w:rPr>
      </w:pPr>
    </w:p>
    <w:p>
      <w:pPr>
        <w:jc w:val="both"/>
        <w:ind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risks. You should review carefully the risks and uncertainties described in the section 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5 of this prospectus, and under similar headings in any amendments or supplements 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208280</wp:posOffset>
            </wp:positionV>
            <wp:extent cx="123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both"/>
        <w:ind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208280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2">
            <w:col w:w="720" w:space="260"/>
            <w:col w:w="9280"/>
          </w:cols>
          <w:pgMar w:left="320" w:top="455" w:right="1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7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7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420" w:type="dxa"/>
            <w:vAlign w:val="bottom"/>
            <w:gridSpan w:val="2"/>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304"/>
        </w:trPr>
        <w:tc>
          <w:tcPr>
            <w:tcW w:w="120" w:type="dxa"/>
            <w:vAlign w:val="bottom"/>
          </w:tcPr>
          <w:p>
            <w:pPr>
              <w:spacing w:after="0"/>
              <w:rPr>
                <w:sz w:val="24"/>
                <w:szCs w:val="24"/>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20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120" w:type="dxa"/>
            <w:vAlign w:val="bottom"/>
            <w:gridSpan w:val="10"/>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7620" w:type="dxa"/>
            <w:vAlign w:val="bottom"/>
            <w:gridSpan w:val="12"/>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120" w:type="dxa"/>
            <w:vAlign w:val="bottom"/>
          </w:tcPr>
          <w:p>
            <w:pPr>
              <w:spacing w:after="0"/>
              <w:rPr>
                <w:sz w:val="24"/>
                <w:szCs w:val="24"/>
                <w:color w:val="auto"/>
              </w:rPr>
            </w:pPr>
          </w:p>
        </w:tc>
        <w:tc>
          <w:tcPr>
            <w:tcW w:w="1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MANAGEMENT</w:t>
            </w:r>
          </w:p>
        </w:tc>
        <w:tc>
          <w:tcPr>
            <w:tcW w:w="7900" w:type="dxa"/>
            <w:vAlign w:val="bottom"/>
            <w:gridSpan w:val="14"/>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120" w:type="dxa"/>
            <w:vAlign w:val="bottom"/>
          </w:tcPr>
          <w:p>
            <w:pPr>
              <w:spacing w:after="0"/>
              <w:rPr>
                <w:sz w:val="24"/>
                <w:szCs w:val="24"/>
                <w:color w:val="auto"/>
              </w:rPr>
            </w:pPr>
          </w:p>
        </w:tc>
        <w:tc>
          <w:tcPr>
            <w:tcW w:w="24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6760" w:type="dxa"/>
            <w:vAlign w:val="bottom"/>
            <w:gridSpan w:val="6"/>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120" w:type="dxa"/>
            <w:vAlign w:val="bottom"/>
          </w:tcPr>
          <w:p>
            <w:pPr>
              <w:spacing w:after="0"/>
              <w:rPr>
                <w:sz w:val="24"/>
                <w:szCs w:val="24"/>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2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PRINCIPAL STOCKHOLDERS</w:t>
            </w:r>
          </w:p>
        </w:tc>
        <w:tc>
          <w:tcPr>
            <w:tcW w:w="3080" w:type="dxa"/>
            <w:vAlign w:val="bottom"/>
            <w:tcBorders>
              <w:top w:val="single" w:sz="8" w:color="0000EE"/>
            </w:tcBorders>
            <w:gridSpan w:val="4"/>
          </w:tcPr>
          <w:p>
            <w:pPr>
              <w:spacing w:after="0"/>
              <w:rPr>
                <w:sz w:val="24"/>
                <w:szCs w:val="24"/>
                <w:color w:val="auto"/>
              </w:rPr>
            </w:pPr>
          </w:p>
        </w:tc>
        <w:tc>
          <w:tcPr>
            <w:tcW w:w="3740" w:type="dxa"/>
            <w:vAlign w:val="bottom"/>
            <w:gridSpan w:val="3"/>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120" w:type="dxa"/>
            <w:vAlign w:val="bottom"/>
          </w:tcPr>
          <w:p>
            <w:pPr>
              <w:spacing w:after="0"/>
              <w:rPr>
                <w:sz w:val="24"/>
                <w:szCs w:val="24"/>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SELLING STOCKHOLDER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CERTAIN MATERIAL U.S. FEDERAL INCOME TAX CONSEQUENCES FOR NON-U.S. 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20" w:type="dxa"/>
            <w:vAlign w:val="bottom"/>
          </w:tcPr>
          <w:p>
            <w:pPr>
              <w:spacing w:after="0"/>
              <w:rPr>
                <w:sz w:val="24"/>
                <w:szCs w:val="24"/>
                <w:color w:val="auto"/>
              </w:rPr>
            </w:pPr>
          </w:p>
        </w:tc>
        <w:tc>
          <w:tcPr>
            <w:tcW w:w="76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5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24"/>
                <w:szCs w:val="24"/>
                <w:color w:val="auto"/>
              </w:rPr>
            </w:pPr>
          </w:p>
        </w:tc>
        <w:tc>
          <w:tcPr>
            <w:tcW w:w="7160" w:type="dxa"/>
            <w:vAlign w:val="bottom"/>
            <w:gridSpan w:val="11"/>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4"/>
        </w:trPr>
        <w:tc>
          <w:tcPr>
            <w:tcW w:w="120" w:type="dxa"/>
            <w:vAlign w:val="bottom"/>
          </w:tcPr>
          <w:p>
            <w:pPr>
              <w:spacing w:after="0"/>
              <w:rPr>
                <w:sz w:val="24"/>
                <w:szCs w:val="24"/>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1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4020" w:type="dxa"/>
            <w:vAlign w:val="bottom"/>
            <w:gridSpan w:val="4"/>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4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or the SEC, using the “shelf” registration process. Under this shelf registration process, the selling stockholder may, from time to time (after the expiration of any applicable lock-up period described herein), sell the Shares offered by them described in this prospectus. We will not receive any proceeds from the sale by the selling stockholder of the Shares offered by them described in this prospectus. We are registering the resale of the Shares as required by the Purchase Agreement.</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or incorporated by reference in this prospectus or any applicable prospectus supplement or any free writing prospectuses prepared by or on behalf of us or to which we have referred you. Neither we nor the selling stockholder take responsibility for, or provide any assurance as to the reliability of, any other information that others may give you. Neither we nor the selling stockholder will make an offer to sell these securities in any jurisdiction where the offer or sale is not permitted.</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free writing prospectus to add information to, or update or change information contained or incorporated by reference in, this prospectus. You should read this prospectus, any applicable prospectus supplement or free writing prospectus, including the documents we incorporate herein and therein by reference, together with the additional information to which we refer you in the section of this prospectus entitled “Where You Can Find More Information.”</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applicable prospectus supplement or free writing prospectus, including the documents that we incorporate by reference herein and therein, contain forward-looking statements about us and our industry that involve substantial risks and uncertainties. All statements other than statements of historical facts,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4" w:lineRule="exact"/>
        <w:rPr>
          <w:sz w:val="20"/>
          <w:szCs w:val="20"/>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including through our joint venture, SB Tempus Corp., in Japan;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businesses, form joint ventures or make investments in companies or technologies, including our ability to realize the expected benefits of strategic plans, including our acquisition of Ambry pursuant to the Purchase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these forward-looking statements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contained or incorporated by reference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prospectus and any applicable prospectus supplement or free writing prospectus, including the documents that we incorporate by reference herein and therein,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in the documents we incorporate herein by reference, and does not contain all of the information that you should consider in making your investment decision. Before investing in our securities, you should carefully read this entire prospectus, along with our consolidated financial statements and the related notes thereto and the information set forth in the sections titled “Risk Factors” and “Management’s Discussion and Analysis of Financial Condition and Results of Operations” included in or incorporated herein by reference. Unless the context otherwise requires, we use the terms “Tempus,” “Company,” “we,” “us” and “our” in this prospectus to refer to Tempus AI, Inc. and its consolidated subsidiaries.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firstLine="426"/>
        <w:spacing w:after="0" w:line="253" w:lineRule="auto"/>
        <w:rPr>
          <w:sz w:val="20"/>
          <w:szCs w:val="20"/>
          <w:color w:val="auto"/>
        </w:rPr>
      </w:pPr>
      <w:r>
        <w:rPr>
          <w:rFonts w:ascii="Times New Roman" w:cs="Times New Roman" w:eastAsia="Times New Roman" w:hAnsi="Times New Roman"/>
          <w:sz w:val="18"/>
          <w:szCs w:val="18"/>
          <w:color w:val="auto"/>
        </w:rPr>
        <w:t>Tempus is a healthcare technology company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 adoption of Intelligent Diagnostics could empower physicians to deliver better care and researchers to develop more precise therapies, with the potential to save millions of lives.</w:t>
      </w:r>
    </w:p>
    <w:p>
      <w:pPr>
        <w:spacing w:after="0" w:line="194" w:lineRule="exact"/>
        <w:rPr>
          <w:sz w:val="20"/>
          <w:szCs w:val="20"/>
          <w:color w:val="auto"/>
        </w:rPr>
      </w:pPr>
    </w:p>
    <w:p>
      <w:pPr>
        <w:jc w:val="both"/>
        <w:ind w:left="300" w:firstLine="426"/>
        <w:spacing w:after="0" w:line="255" w:lineRule="auto"/>
        <w:rPr>
          <w:sz w:val="20"/>
          <w:szCs w:val="20"/>
          <w:color w:val="auto"/>
        </w:rPr>
      </w:pPr>
      <w:r>
        <w:rPr>
          <w:rFonts w:ascii="Times New Roman" w:cs="Times New Roman" w:eastAsia="Times New Roman" w:hAnsi="Times New Roman"/>
          <w:sz w:val="18"/>
          <w:szCs w:val="18"/>
          <w:color w:val="auto"/>
        </w:rPr>
        <w:t>In order to bring AI to healthcare at scale, we established new data pipes, going to and from providers, to allow for the free exchange of data between physicians, who interpret data, and diagnostic and life science companies, who provide data. Without this capability, we believe data would continue to accumulate without impacting patient care, so we built the Tempus Platform. Our integrated Platform frees healthcare data from silos and helps make the data useful.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89"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 and providing diagnostics that are algorithmic in nature, implementing new software as a medical device, and building and deploying clinical decision support tools.</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Ambry Genetics Corporation</w:t>
      </w:r>
    </w:p>
    <w:p>
      <w:pPr>
        <w:spacing w:after="0" w:line="121" w:lineRule="exact"/>
        <w:rPr>
          <w:sz w:val="20"/>
          <w:szCs w:val="20"/>
          <w:color w:val="auto"/>
        </w:rPr>
      </w:pPr>
    </w:p>
    <w:p>
      <w:pPr>
        <w:jc w:val="both"/>
        <w:ind w:left="300" w:firstLine="426"/>
        <w:spacing w:after="0" w:line="254" w:lineRule="auto"/>
        <w:rPr>
          <w:sz w:val="20"/>
          <w:szCs w:val="20"/>
          <w:color w:val="auto"/>
        </w:rPr>
      </w:pPr>
      <w:r>
        <w:rPr>
          <w:rFonts w:ascii="Times New Roman" w:cs="Times New Roman" w:eastAsia="Times New Roman" w:hAnsi="Times New Roman"/>
          <w:sz w:val="18"/>
          <w:szCs w:val="18"/>
          <w:color w:val="auto"/>
        </w:rPr>
        <w:t>On November 4, 2024, we entered into the Purchase Agreement with the Seller and the Seller’s ultimate parent, Konica Minolta, Inc., a Japanese corporation, as guarantor, pursuant to which we agreed to purchase all of the outstanding shares of capital stock of Ambry Genetics Corporation, a leader in genetic testing that aims to improve health by understanding the relationship between genetics and disease. Such transaction is hereinafter referred to as the Acquisition. Pursuant to the terms of the Purchase Agreement, consideration for the Acquisition consisted of $375.0 million in cash, subject to adjustment for cash, unpaid indebtedness, unpaid transaction expenses and net working capital of Ambry, or the Cash Consideration, plus the issuance of an aggregate of 4,843,136 shares of our Class A common stock, or the Stock Consideration. We issued the Shares as Stock Consideration to the Seller on February 3, 2025 upon the closing of the Acquisition. Pursuant to the terms of the Purchase Agreement, 2,152,505 of the Shares held by the Seller are subject to a lock-up for a period of one year following the closing date of the Acquisition.</w:t>
      </w:r>
    </w:p>
    <w:p>
      <w:pPr>
        <w:spacing w:after="0" w:line="188"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The Shares issued to the selling stockholder as Stock Consideration for the Acquisition have not been registered under the Securities Act of 1933, as amended, or the Securities Act, and were issued in reliance on an exemption from such registration. We are registering the resale of the Shares as required by the registration rights contained in the Purchase Agreement.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We were founded by Eric Lefkofsky under the name Bioin, LLC in Delaware in August 2015. We converted to a Delaware corporation in September 2015 under the name Bioin, Inc., and later changed our name to Tempus Health, Inc. in 2015, to Tempus Labs, Inc. in 2016, and to Tempus AI, Inc. in 2023.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83"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AI, Inc. or our subsidiaries. Other trade names, trademarks and service marks used in this prospectus are the property of their respective owners.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left="300" w:firstLine="426"/>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744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744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58" w:lineRule="auto"/>
        <w:rPr>
          <w:sz w:val="20"/>
          <w:szCs w:val="20"/>
          <w:color w:val="auto"/>
        </w:rPr>
      </w:pPr>
      <w:r>
        <w:rPr>
          <w:rFonts w:ascii="Times New Roman" w:cs="Times New Roman" w:eastAsia="Times New Roman" w:hAnsi="Times New Roman"/>
          <w:sz w:val="18"/>
          <w:szCs w:val="18"/>
          <w:color w:val="auto"/>
        </w:rPr>
        <w:t>not to opt out of such extended transition period which means that when a standard is issued or revised and it has different application dates for public or private companies, our company, as an emerging growth company, can adopt the new or revised standard at the time private companies adopt the new or revised standard. This may make comparison of our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(a) December 31, 2029 (the last day of the fiscal year following the fifth anniversary of the consummation of the initial public offering of our Class A common stock, or our IPO), (b) the last date of our fiscal year in which we have a total annual gross revenue of at least $1.235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35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3535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Tempus AI, Inc.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Class A common stock offered by the selling We are registering the resale by the selling stockholder, including its permitted transferees,</w:t>
      </w:r>
    </w:p>
    <w:p>
      <w:pPr>
        <w:spacing w:after="0" w:line="27" w:lineRule="exact"/>
        <w:rPr>
          <w:sz w:val="20"/>
          <w:szCs w:val="20"/>
          <w:color w:val="auto"/>
        </w:rPr>
      </w:pPr>
    </w:p>
    <w:p>
      <w:pPr>
        <w:jc w:val="both"/>
        <w:ind w:left="4340" w:right="20" w:hanging="3959"/>
        <w:spacing w:after="0" w:line="255" w:lineRule="auto"/>
        <w:tabs>
          <w:tab w:leader="none" w:pos="4320" w:val="left"/>
        </w:tabs>
        <w:rPr>
          <w:sz w:val="20"/>
          <w:szCs w:val="20"/>
          <w:color w:val="auto"/>
        </w:rPr>
      </w:pPr>
      <w:r>
        <w:rPr>
          <w:rFonts w:ascii="Times New Roman" w:cs="Times New Roman" w:eastAsia="Times New Roman" w:hAnsi="Times New Roman"/>
          <w:sz w:val="18"/>
          <w:szCs w:val="18"/>
          <w:color w:val="auto"/>
        </w:rPr>
        <w:t>stockholder</w:t>
      </w:r>
      <w:r>
        <w:rPr>
          <w:sz w:val="20"/>
          <w:szCs w:val="20"/>
          <w:color w:val="auto"/>
        </w:rPr>
        <w:tab/>
      </w:r>
      <w:r>
        <w:rPr>
          <w:rFonts w:ascii="Times New Roman" w:cs="Times New Roman" w:eastAsia="Times New Roman" w:hAnsi="Times New Roman"/>
          <w:sz w:val="18"/>
          <w:szCs w:val="18"/>
          <w:color w:val="auto"/>
        </w:rPr>
        <w:t>an aggregate of up to 4,843,136 shares of Class A common stock, 2,152,505 shares of which are subject to a lock-up for a period of one year following the closing date of the Acquisition.</w:t>
      </w:r>
    </w:p>
    <w:p>
      <w:pPr>
        <w:sectPr>
          <w:pgSz w:w="11900" w:h="16838" w:orient="portrait"/>
          <w:cols w:equalWidth="0" w:num="1">
            <w:col w:w="10940"/>
          </w:cols>
          <w:pgMar w:left="320" w:top="455" w:right="639" w:bottom="1440" w:gutter="0" w:footer="0" w:header="0"/>
        </w:sect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Class A Common Stock outstanding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167,168,911 shares (as of February 21, 2025).</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Class B Common Stock outstanding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5,043,789 shares (as of February 21, 2025).</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by the selling stockholder.</w:t>
      </w:r>
    </w:p>
    <w:p>
      <w:pPr>
        <w:spacing w:after="0" w:line="189"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Market for Class A common stock</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Our common stock is currently traded on the Nasdaq Global Select Market under the symbol “TEM.”</w:t>
      </w:r>
    </w:p>
    <w:p>
      <w:pPr>
        <w:spacing w:after="0" w:line="189"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Before investing in our securities, you should carefully read and consider the information set forth in “Risk Factors” beginning on page 5.</w:t>
      </w:r>
    </w:p>
    <w:p>
      <w:pPr>
        <w:spacing w:after="0" w:line="162"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“Plan of Distribution” beginning on page 43.</w:t>
      </w:r>
    </w:p>
    <w:p>
      <w:pPr>
        <w:spacing w:after="0" w:line="3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a high degree of risk. You should carefully consider the risks and uncertainties described under the heading “Risk Factors” in our Annual Report on Form 10-K for the year ended December 31, 2024, which is incorporated by reference into this prospectus in its entirety, as well as any amendment or updates to our risk factors reflected in subsequent filings with the SEC, including any prospectus supplement hereto or any related free writing prospectus, before deciding to invest in our Class A common stock. If any of the events or developments described therein were to occur, our business, prospects, operating results and financial condition could suffer materially, the trading price of our Class A common stock could decline, and you could lose all or part of your investment. The risks and uncertainties described therein are not the only ones we face. Additional risks and uncertainties not presently known to us or that we currently believe to be immaterial may also adversely affect our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filing the registration statement of which this prospectus forms a part to permit the selling stockholder to resell the Shares, as described in the section below titled “Selling Stockholder”.</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 will receive all of the net proceeds from sales of the Shares sold pursuant to this prospectus. We will not receive any proceeds from the resale of any Shares offered by this prospectus by the selling stockholder.</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and not the selling stockholder, will pay the costs, expenses and fees in connection with the registration of the Shares covered by this prospectus, but the selling stockholder will pay all discounts, commissions or brokers’ fees or fees of similar securities industry professionals and transfer taxes, if any, attributable to sales of the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information, as of December 31, 2024, regarding our current executive officers and directors: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02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7140" w:type="dxa"/>
            <w:vAlign w:val="bottom"/>
          </w:tcPr>
          <w:p>
            <w:pPr>
              <w:ind w:left="33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1"/>
        </w:trPr>
        <w:tc>
          <w:tcPr>
            <w:tcW w:w="33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140" w:type="dxa"/>
            <w:vAlign w:val="bottom"/>
            <w:tcBorders>
              <w:top w:val="single" w:sz="8" w:color="auto"/>
            </w:tcBorders>
          </w:tcPr>
          <w:p>
            <w:pPr>
              <w:spacing w:after="0"/>
              <w:rPr>
                <w:sz w:val="14"/>
                <w:szCs w:val="14"/>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 Phelps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Administrative and Legal</w:t>
            </w:r>
          </w:p>
        </w:tc>
      </w:tr>
      <w:tr>
        <w:trPr>
          <w:trHeight w:val="216"/>
        </w:trPr>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Officer and Assistant Secretary</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Epstein</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 of directors since our inception.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85"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Entrepreneur-in-Residence 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79"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Polovin </w:t>
      </w:r>
      <w:r>
        <w:rPr>
          <w:rFonts w:ascii="Times New Roman" w:cs="Times New Roman" w:eastAsia="Times New Roman" w:hAnsi="Times New Roman"/>
          <w:sz w:val="18"/>
          <w:szCs w:val="18"/>
          <w:color w:val="auto"/>
        </w:rPr>
        <w:t>has served as our General Counsel since June 2020 and our Executive Vice President and Secretary since April 2024.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2016 to June 2020, Mr. Polovin was the General Counsel and Secretary</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Rogers </w:t>
      </w:r>
      <w:r>
        <w:rPr>
          <w:rFonts w:ascii="Times New Roman" w:cs="Times New Roman" w:eastAsia="Times New Roman" w:hAnsi="Times New Roman"/>
          <w:sz w:val="18"/>
          <w:szCs w:val="18"/>
          <w:color w:val="auto"/>
        </w:rPr>
        <w:t>has served as our Chief Financial Officer since April 2021. Prior to this, Mr. Rogers served as our Vice President of Finance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Sprout 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Epstein </w:t>
      </w:r>
      <w:r>
        <w:rPr>
          <w:rFonts w:ascii="Times New Roman" w:cs="Times New Roman" w:eastAsia="Times New Roman" w:hAnsi="Times New Roman"/>
          <w:sz w:val="18"/>
          <w:szCs w:val="18"/>
          <w:color w:val="auto"/>
        </w:rPr>
        <w:t>has served as a member of our board of directors since February 2024. Mr. Epstein also serves as a board member at a privately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biotherapeutics company, Valo Health, LLC. He is a Director at the non-profit Three Opinions Foundation Inc and at South Florida’s Pelican Harbor Seabird Station. Mr. Epstein previously served as the Chief Executive Officer and a member of the board of directors of Seagen Inc. (Nasdaq: SGEN) from November 2022 until Seagen’s acquisition by Pfizer Inc. in December 2023. From October 2021 to December 2023, Mr. Epstein served on the board of directors of OPY Acquisition Corp. I (Nasdaq: OHAA). From June 2022 to June 2023, Mr. Epstein served as a member of the board of directors of Senti Biosciences, Inc. (Nasdaq: SNTI) and was previously a member of the board of Senti’s predecessor, Dynamics Special Purpose Corp. (Nasdaq: DYNS) since March 2021. From March 2017 to February 2023, he served as a director at Evelo Biosciences, Inc. (Nasdaq: EVLO),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(Nasdaq: AXLA) and, from January 2017 to October 2022, Mr. Epstein served on the board of directors of Rubius Therapeutics, Inc. (Nasdaq: RUBY), he served on the board of directors of Seer, Inc. (Nasdaq: SEER). From 2010 to mid-2016, he served as the Chief Executive Officer of Novartis Pharmaceuticals, a division of Novartis AG. Previously, he started and led Novartis’ Oncology and Molecular Diagnostic units. Under his leadership, Norvartis’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 is qualified to serve on our board of directors because of his extensive experience serving in executive roles in the life sciences industry and leading the development and commercialization of numerous therapeutics.</w:t>
      </w:r>
    </w:p>
    <w:p>
      <w:pPr>
        <w:spacing w:after="0" w:line="193"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Since November 2024, Dr. Frederick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interim Chief Executive Officer of the American Cancer Society and its advocacy affiliate, the American Cancer Society Cancer Action Network. Dr. Frederick has also served on the boards of directors of several other public companies, including serving as a member of the board of directors of Workday, Inc. since July 2022, Insulet Corp since October 2020 and Humana Inc. since February 2020. From July 2020 to October 2022, Dr. Frederick served as a member of the board of director of Forma Therapeutics Holdings, Inc. He also serves on the boards of directors of privately held companies and charitable organizations. Dr. Frederick is currently the President Emeritus of Howard University, after serving as President since July 2014, and also serves as the Charles R. Drew Endowed Chair of Surgery at Howard 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88"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Theodore J. Leonsis </w:t>
      </w:r>
      <w:r>
        <w:rPr>
          <w:rFonts w:ascii="Times New Roman" w:cs="Times New Roman" w:eastAsia="Times New Roman" w:hAnsi="Times New Roman"/>
          <w:sz w:val="18"/>
          <w:szCs w:val="18"/>
          <w:color w:val="auto"/>
        </w:rPr>
        <w:t>has served as a member of our board of directors since January 2019. In November 2011, Mr. Leonsis co-founded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Revolution Growth, a private investment firm, and has served as a General Partner thereof since that time. Since 1999, Mr. Leonsis has served as the Founder, Chairman, Majority Owner, and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Chief Executive Officer of Monumental Sports &amp; Entertainment, LLC, a sports, entertainment, media, and technology company that owns the NBA’s Washington Wizards, the NHL’s Washington Capitals, the WNBA’s Washington Mystics, the Capital City Go-Go, Wizards District Gaming, Caps Gaming, the Capital One Arena in Washington, D.C. and Monumental Sports Network.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In accordance with the terms of our amended and restated certificate of incorporation, our board of directors may establish the authorized number of directors from time to time by resolution. Our board of directors currently consists of nine directors. Each director is elected to the board of directors for a one-year term, to serve until the election and qualification of a successor director at our annual meeting of stockholders, or until the director’s earlier removal, resignation, or death.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charter for each of its committees, which comply with the applicable requirements of current SEC and Nasdaq rules. We intend to comply with future requirements to the extent applicable. Copies of the charters for the audit committee, the compensation committee and the nominating and corporate governance committee are available on the investor relations portion of our website at https://investors.tempus.com/. The reference to our website address does not constitute incorporation by reference of the information contained at or available through our website, and you should not consider it to be a part of this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audit committee consists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is Mr. Belcher. Our board of directors has determined that each of Messrs. Belcher and Frederick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material risks relating to data privacy, technology and information security, including cybersecurity.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Peter J. Barris, David R. Epstein and Nadja West. The chair of our compensation committee is Mr. Barris. Our board of directors has determined that each of Messrs. Barris and Epstein and Ms. West is independent under Nasdaq listing standards and a “non-employee director” as defined in Rule 16b-3 promulgated under the Exchange Act.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compensation clawback or similar policies;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Theodore J. Leonsis, Jennifer A. Doudna and Scott Gottlieb. The chair of our nominating and corporate governance committee is Mr. Leonsis. Our board of directors has determined that each member of the nominating and corporate governance committee is independent under the applicable listing standards of the Nasdaq Stock Market. In addition, Mr. Lefkofsky serves as an observer on our nominating and corporate governance committee.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31" w:lineRule="exact"/>
        <w:rPr>
          <w:sz w:val="20"/>
          <w:szCs w:val="20"/>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ESG activities, as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is available on the investor relations portion of our website at https://investors.tempus.com/.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our non-employee directors for fiscal year 2024:</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580" w:type="dxa"/>
            <w:vAlign w:val="bottom"/>
            <w:gridSpan w:val="2"/>
          </w:tcPr>
          <w:p>
            <w:pPr>
              <w:jc w:val="center"/>
              <w:ind w:left="1692"/>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580" w:type="dxa"/>
            <w:vAlign w:val="bottom"/>
          </w:tcPr>
          <w:p>
            <w:pPr>
              <w:spacing w:after="0"/>
              <w:rPr>
                <w:sz w:val="13"/>
                <w:szCs w:val="13"/>
                <w:color w:val="auto"/>
              </w:rPr>
            </w:pPr>
          </w:p>
        </w:tc>
        <w:tc>
          <w:tcPr>
            <w:tcW w:w="82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4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5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Cash</w:t>
            </w:r>
          </w:p>
        </w:tc>
        <w:tc>
          <w:tcPr>
            <w:tcW w:w="580" w:type="dxa"/>
            <w:vAlign w:val="bottom"/>
          </w:tcPr>
          <w:p>
            <w:pPr>
              <w:spacing w:after="0"/>
              <w:rPr>
                <w:sz w:val="15"/>
                <w:szCs w:val="15"/>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18"/>
                <w:szCs w:val="18"/>
                <w:b w:val="1"/>
                <w:bCs w:val="1"/>
                <w:color w:val="auto"/>
                <w:vertAlign w:val="superscript"/>
              </w:rPr>
              <w:t>(1)(2)</w:t>
            </w:r>
          </w:p>
        </w:tc>
        <w:tc>
          <w:tcPr>
            <w:tcW w:w="5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Peter J. Barris</w:t>
            </w:r>
          </w:p>
        </w:tc>
        <w:tc>
          <w:tcPr>
            <w:tcW w:w="18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37,500</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500,018</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537,518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(3)</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1,067,318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Robert Ghenchev</w:t>
            </w:r>
            <w:r>
              <w:rPr>
                <w:rFonts w:ascii="Times New Roman" w:cs="Times New Roman" w:eastAsia="Times New Roman" w:hAnsi="Times New Roman"/>
                <w:sz w:val="25"/>
                <w:szCs w:val="25"/>
                <w:color w:val="auto"/>
                <w:vertAlign w:val="superscript"/>
              </w:rPr>
              <w:t>(4)</w:t>
            </w:r>
          </w:p>
        </w:tc>
        <w:tc>
          <w:tcPr>
            <w:tcW w:w="18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hanging="424"/>
        <w:spacing w:after="0" w:line="261"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RSUs granted to our non-employee directors during 2024 under our 2015 Plan and 2024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aggregate number of shares of our Class A common stock underlying outstanding RSUs under our 2015 Plan and</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Plan held by each of our non-employee directors was as follows: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73"/>
        </w:trPr>
        <w:tc>
          <w:tcPr>
            <w:tcW w:w="6300" w:type="dxa"/>
            <w:vAlign w:val="bottom"/>
            <w:vMerge w:val="continue"/>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Underlying RSUs</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11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12,838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13,514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36,588</w:t>
            </w:r>
          </w:p>
        </w:tc>
        <w:tc>
          <w:tcPr>
            <w:tcW w:w="0" w:type="dxa"/>
            <w:vAlign w:val="bottom"/>
          </w:tcPr>
          <w:p>
            <w:pPr>
              <w:spacing w:after="0"/>
              <w:rPr>
                <w:sz w:val="1"/>
                <w:szCs w:val="1"/>
                <w:color w:val="auto"/>
              </w:rPr>
            </w:pPr>
          </w:p>
        </w:tc>
      </w:tr>
      <w:tr>
        <w:trPr>
          <w:trHeight w:val="216"/>
        </w:trPr>
        <w:tc>
          <w:tcPr>
            <w:tcW w:w="6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(3)</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27,838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38,514</w:t>
            </w:r>
          </w:p>
        </w:tc>
        <w:tc>
          <w:tcPr>
            <w:tcW w:w="0" w:type="dxa"/>
            <w:vAlign w:val="bottom"/>
          </w:tcPr>
          <w:p>
            <w:pPr>
              <w:spacing w:after="0"/>
              <w:rPr>
                <w:sz w:val="1"/>
                <w:szCs w:val="1"/>
                <w:color w:val="auto"/>
              </w:rPr>
            </w:pPr>
          </w:p>
        </w:tc>
      </w:tr>
      <w:tr>
        <w:trPr>
          <w:trHeight w:val="216"/>
        </w:trPr>
        <w:tc>
          <w:tcPr>
            <w:tcW w:w="6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Robert Ghenchev</w:t>
            </w:r>
            <w:r>
              <w:rPr>
                <w:rFonts w:ascii="Times New Roman" w:cs="Times New Roman" w:eastAsia="Times New Roman" w:hAnsi="Times New Roman"/>
                <w:sz w:val="25"/>
                <w:szCs w:val="25"/>
                <w:color w:val="auto"/>
                <w:vertAlign w:val="superscript"/>
              </w:rPr>
              <w:t>(4)</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87,264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12,838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36,588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Epstein was appointed to our board of directors in February 2024 and his compensation was prorated for his service.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Ghenchev resigned from our board of directors effective as of the IPO Date.</w:t>
      </w:r>
    </w:p>
    <w:p>
      <w:pPr>
        <w:spacing w:after="0" w:line="20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adopted a non-employee director compensation policy in February 2024, which became effective upon the effectiveness of our IPO and is applicable to all of our non-employee directors. This compensation policy provides that each such non-employee director is eligible to receive the following compensation for service on our board of directors:</w:t>
      </w:r>
    </w:p>
    <w:p>
      <w:pPr>
        <w:spacing w:after="0" w:line="81" w:lineRule="exact"/>
        <w:rPr>
          <w:sz w:val="20"/>
          <w:szCs w:val="20"/>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$50,000 (plus an additional $12,500 for the non-executive chair or lead independent director of our board of directors, if any);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$12,500 for service as a member of the audit committee, compensation committee and the nominating and corporate governance committee;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grant having a grant date fair value of $500,000 on the date of each such non-employee director’s appointment to our board of directors;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refresh RSU grant having a grant date fair value of $500,000 on the fifth anniversary of such non-employee director’s initial RSU grant or initial public offering grant, as described below; as applicable;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grant having a grant date fair value of $125,000 on the date of each of our annual stockholder meetings.</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non-employee director compensation policy, all annual cash compensation amounts will be payable in equal quarterly installments in arrears, on the last day of each fiscal quarter in which the service occurred. In addition, each non-employee director may elect on an annual basis to receive all or a portion of his or her eligible cash compensation in the form of RSUs, which will generally vest in substantially equal quarterly installments on the last day of each fiscal quarter over the number of quarters to which the election applies, subject to the director’s continuous service to us through each applicable vesting date.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IPO and effective as of the IPO Date, we granted each of our non-employee directors 13,514 RSUs representing a grant date fair value of $500,000. Each such RSU grant vests in substantially equal quarterly installments over the five-year period that commenced on September 13, 2024, subject to the director’s continuous service to us through each vesting date.</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of the RSU grants described above under the non-employee director compensation policy has been, or will be, granted under our 2024 Plan, the terms of which are described in more detail above under the section titled “—Equity Incentive Plans—2024 Equity Incentive Plan.” Each of the initial RSU grants and grants made in connection with our IPO, as applicable, will vest in substantially equal quarterly installments over a five-year period, subject to the director’s continuous service to us through each vesting date. Each annual RSU grant will vest and become exercisable subject to the director’s continuous service to us through the earlier of the first anniversary of the date of grant or the next annual stockholder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 Deferred Compensation Plan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also adopted a non-employee directors deferred compensation plan in August 2024. The deferred compensation plan allows our non-employee directors to defer the settlement of RSUs awarded in consideration of services provided to the Company, including RSUs elected to be received in lieu of cash compensation, to the earlier to occur of their separation from service as a member of the board of directors or a change in control of the Company. Any RSUs that are deferred are converted into deferred stock units, which are credited to a bookkeeping account, and which will be settled in shares of our Class A common stock in a lump sum at the time of the applicable triggering event.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fiscal year 2024, consisting of our principal executive officer and the next two most highly compensated executive officers, were:</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Polovin, Executive Vice President, General Counsel and Secretary.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for fiscal years 2024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3"/>
                <w:szCs w:val="13"/>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3"/>
                <w:szCs w:val="13"/>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2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(2)</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Eric Lefkofsky</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w w:val="94"/>
              </w:rPr>
              <w:t>2024</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$ 800,000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$ 27,750,000</w:t>
            </w: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5,040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$ 28,555,040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2,100</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30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Ryan Fukushima</w:t>
            </w:r>
            <w:r>
              <w:rPr>
                <w:rFonts w:ascii="Times New Roman" w:cs="Times New Roman" w:eastAsia="Times New Roman" w:hAnsi="Times New Roman"/>
                <w:sz w:val="26"/>
                <w:szCs w:val="26"/>
                <w:color w:val="auto"/>
                <w:vertAlign w:val="superscript"/>
              </w:rPr>
              <w:t>(3)</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375,000</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3,928,000</w:t>
            </w:r>
          </w:p>
        </w:tc>
        <w:tc>
          <w:tcPr>
            <w:tcW w:w="1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74,304</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4,627,304</w:t>
            </w:r>
          </w:p>
        </w:tc>
        <w:tc>
          <w:tcPr>
            <w:tcW w:w="0" w:type="dxa"/>
            <w:vAlign w:val="bottom"/>
          </w:tcPr>
          <w:p>
            <w:pPr>
              <w:spacing w:after="0"/>
              <w:rPr>
                <w:sz w:val="1"/>
                <w:szCs w:val="1"/>
                <w:color w:val="auto"/>
              </w:rPr>
            </w:pPr>
          </w:p>
        </w:tc>
      </w:tr>
      <w:tr>
        <w:trPr>
          <w:trHeight w:val="25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390,625</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225,000</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4,604,250</w:t>
            </w: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76,368</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5,296,243</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Andrew Polovin</w:t>
            </w:r>
            <w:r>
              <w:rPr>
                <w:rFonts w:ascii="Times New Roman" w:cs="Times New Roman" w:eastAsia="Times New Roman" w:hAnsi="Times New Roman"/>
                <w:sz w:val="22"/>
                <w:szCs w:val="22"/>
                <w:color w:val="auto"/>
                <w:vertAlign w:val="superscript"/>
              </w:rPr>
              <w:t>(4)</w:t>
            </w:r>
          </w:p>
        </w:tc>
        <w:tc>
          <w:tcPr>
            <w:tcW w:w="560" w:type="dxa"/>
            <w:vAlign w:val="bottom"/>
            <w:gridSpan w:val="2"/>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w w:val="99"/>
              </w:rPr>
              <w:t>591,667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2,133,600</w:t>
            </w:r>
          </w:p>
        </w:tc>
        <w:tc>
          <w:tcPr>
            <w:tcW w:w="1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2,520</w:t>
            </w:r>
          </w:p>
        </w:tc>
        <w:tc>
          <w:tcPr>
            <w:tcW w:w="1160" w:type="dxa"/>
            <w:vAlign w:val="bottom"/>
            <w:gridSpan w:val="3"/>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2,727,787</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20" w:hanging="424"/>
        <w:spacing w:after="0" w:line="254"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RSUs granted to our executive officers in each respective fiscal year as determined in accordance with the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fiscal year 2024 represent: (i) for Mr. Lefkofsky, $5,040 in parking fees; (ii) for Mr. Fukushima, a housing stipend of $74,304; and (iii) for Mr. Polovin, $2,520 in parking fees.</w:t>
      </w:r>
    </w:p>
    <w:p>
      <w:pPr>
        <w:ind w:left="540" w:right="2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additional detail under “Base Salaries” below, Mr. Fukushima’s base salary for 2024 was prorated to reflect time spent on certain outside activities.</w:t>
      </w: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Polovin was not a named executive officer for fiscal year 2023.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generally provide our named executive officers with a base salary to compensate them for the services they provide to our company. The base salary payable to each named executive officer, which is generally determined and approved by our board of directors or the compensation committee thereof, is intended to provide a fixed component of compensation reflecting the executive’s skill set, experience, role and responsibilities. The base salaries of each of our named executive officers for fiscal year 2024 are listed in the table below.</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11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2024 Base 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Eric Lefkofsky</w:t>
            </w:r>
            <w:r>
              <w:rPr>
                <w:rFonts w:ascii="Times New Roman" w:cs="Times New Roman" w:eastAsia="Times New Roman" w:hAnsi="Times New Roman"/>
                <w:sz w:val="23"/>
                <w:szCs w:val="23"/>
                <w:color w:val="auto"/>
                <w:vertAlign w:val="superscript"/>
              </w:rPr>
              <w:t>(1)</w:t>
            </w:r>
          </w:p>
        </w:tc>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Ryan Fukushima</w:t>
            </w:r>
            <w:r>
              <w:rPr>
                <w:rFonts w:ascii="Times New Roman" w:cs="Times New Roman" w:eastAsia="Times New Roman" w:hAnsi="Times New Roman"/>
                <w:sz w:val="25"/>
                <w:szCs w:val="25"/>
                <w:color w:val="auto"/>
                <w:vertAlign w:val="superscript"/>
              </w:rPr>
              <w:t>(2)</w:t>
            </w:r>
          </w:p>
        </w:tc>
        <w:tc>
          <w:tcPr>
            <w:tcW w:w="26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264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20" w:hanging="424"/>
        <w:spacing w:after="0" w:line="257"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Lefkofsky did not receive a base salary for fiscal year 2024. Pursuant to his employment agreement, Mr. Lefkofsky’s annual base salary for fiscal year 2025 is $800,000. See the section titled “—Employment Agreements with Named Executive Officers” in this prospectus for more information.</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5"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Fukushima’s base salary represents a 75% proration based on the amount of time he devotes to outside activities with respect to Pathos AI, Inc. See the section titled “Certain Relationships and Related Party Transactions—Agreements with Pathos” in this prospectus for more information.</w:t>
      </w:r>
    </w:p>
    <w:p>
      <w:pPr>
        <w:spacing w:after="0" w:line="184"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The actual salaries earned by each named executive officer for fiscal year 2023 and fiscal year 2024 are set forth in the “</w:t>
      </w:r>
      <w:r>
        <w:rPr>
          <w:rFonts w:ascii="Times New Roman" w:cs="Times New Roman" w:eastAsia="Times New Roman" w:hAnsi="Times New Roman"/>
          <w:sz w:val="18"/>
          <w:szCs w:val="18"/>
          <w:i w:val="1"/>
          <w:iCs w:val="1"/>
          <w:color w:val="auto"/>
        </w:rPr>
        <w:t>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Table</w:t>
      </w:r>
      <w:r>
        <w:rPr>
          <w:rFonts w:ascii="Times New Roman" w:cs="Times New Roman" w:eastAsia="Times New Roman" w:hAnsi="Times New Roman"/>
          <w:sz w:val="18"/>
          <w:szCs w:val="18"/>
          <w:color w:val="auto"/>
        </w:rPr>
        <w:t>” above in the column titled “</w:t>
      </w:r>
      <w:r>
        <w:rPr>
          <w:rFonts w:ascii="Times New Roman" w:cs="Times New Roman" w:eastAsia="Times New Roman" w:hAnsi="Times New Roman"/>
          <w:sz w:val="18"/>
          <w:szCs w:val="18"/>
          <w:i w:val="1"/>
          <w:iCs w:val="1"/>
          <w:color w:val="auto"/>
        </w:rPr>
        <w:t>Salary</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Bonus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did not maintain a formal performance bonus plan during fiscal year 2024, but in February 2025, our compensation committee approved discretionary cash bonuses in the amounts of $800,000 and $250,000 to Messrs. Lefkofsky and Fukushima, respectively, and a discretionary bonus in the form of 5,334 fully vested RSUs to Mr. Polovin, in each case in recognition of their exceptional efforts and contributions in 2024. In accordance with SEC rules, Mr. Polovin’s bonus RSUs will be reported as 2025 compensation and accordingly, such award is not reflected in Mr. Polovin’s 2024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equity award program is the primary vehicle for offering long-term incentives to our executives. We believe that equity awards provide our executive officers with a strong link to long-term performance, create an ownership culture and help to align the interests of Tempus’ executive officers and stockholders. To date, we have granted RSUs to our executive officers. We believe that RSUs promote long-term retention and align the interests of our executives with those of our stockholders.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currently maintain the 2024 Plan, which our board of directors and stockholders approved in connection with our IPO for purposes of granting equity-based incentive awards to our employees and consultants, including our named executive officers. See “—Equity Incentive Plans—2024 Equity Incentive Plan” below for further information. Prior to the effectiveness of our IPO, we granted equity incentive awards under the 2015 Plan, which was terminated in connection with our IPO. See “—Equity Incentive Plans—2015 Stock Plan” below for further information.</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June 2024, our board of directors granted Mr. Lefkofsky an RSU award for 750,000 shares of our Class A common stock. This RSU award will vest in substantially equal quarterly installments over the five-year period that commenced on September 13, 2024, subject to Mr. Lefkofsky’s continuous service to us through each vesting date.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August 2024, our board of directors granted Mr. Fukushima an RSU award for 100,000 shares of our Class A common stock. One-fifth of the shares subject to this RSU award will vest on June 15, 2025, the first anniversary of the vesting commencement date, and the remaining shares will vest in substantially equal quarterly installments thereafter over the next four years, subject to Mr. Fukushima’s continuous service to us through each vesting date.</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May 2024, prior to our IPO, our board of directors granted Mr. Polovin an RSU award for 20,000 shares of our Class A common stock. One-third of the shares subject to this RSU award will vest on March 15, 2025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remaining shares will vest in substantially equal quarterly installments thereafter over the next two years, subject to Mr. Polovin’s continuous service to us through each vesting date. Additionally, in November 2024, the compensation committee of our board of directors granted Mr. Polovin an RSU award for 30,000 shares of our Class A common stock. This RSU award will vest in substantially equal quarterly installments over a four-year period that commenced on January 15, 2025, subject to Mr. Polovin’s continuous service to us through each vesting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 Perquisites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of our named executive officers are eligible to participate in our employee benefit plans, including medical, dental, vision, disability and life insurance plans, in each case on the same basis as all of our other full- time employees. We generally do not provide perquisites or personal benefits to our named executive officers, except in limited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2024</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remain outstanding as of December 31,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2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line="210" w:lineRule="exact"/>
              <w:rPr>
                <w:sz w:val="20"/>
                <w:szCs w:val="20"/>
                <w:color w:val="auto"/>
              </w:rPr>
            </w:pPr>
            <w:r>
              <w:rPr>
                <w:rFonts w:ascii="Times New Roman" w:cs="Times New Roman" w:eastAsia="Times New Roman" w:hAnsi="Times New Roman"/>
                <w:sz w:val="17"/>
                <w:szCs w:val="17"/>
                <w:color w:val="auto"/>
              </w:rPr>
              <w:t>July 14, 2021</w:t>
            </w:r>
            <w:r>
              <w:rPr>
                <w:rFonts w:ascii="Times New Roman" w:cs="Times New Roman" w:eastAsia="Times New Roman" w:hAnsi="Times New Roman"/>
                <w:sz w:val="24"/>
                <w:szCs w:val="24"/>
                <w:color w:val="auto"/>
                <w:vertAlign w:val="superscript"/>
              </w:rPr>
              <w:t>(3)</w:t>
            </w:r>
          </w:p>
        </w:tc>
        <w:tc>
          <w:tcPr>
            <w:tcW w:w="2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1, 2021</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304,125</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10,267,260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June 13, 2024</w:t>
            </w:r>
            <w:r>
              <w:rPr>
                <w:rFonts w:ascii="Times New Roman" w:cs="Times New Roman" w:eastAsia="Times New Roman" w:hAnsi="Times New Roman"/>
                <w:sz w:val="25"/>
                <w:szCs w:val="25"/>
                <w:color w:val="auto"/>
                <w:vertAlign w:val="superscript"/>
              </w:rPr>
              <w:t>(4)</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13, 2024</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675,000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22,788,000</w:t>
            </w:r>
          </w:p>
        </w:tc>
        <w:tc>
          <w:tcPr>
            <w:tcW w:w="0" w:type="dxa"/>
            <w:vAlign w:val="bottom"/>
          </w:tcPr>
          <w:p>
            <w:pPr>
              <w:spacing w:after="0"/>
              <w:rPr>
                <w:sz w:val="1"/>
                <w:szCs w:val="1"/>
                <w:color w:val="auto"/>
              </w:rPr>
            </w:pPr>
          </w:p>
        </w:tc>
      </w:tr>
      <w:tr>
        <w:trPr>
          <w:trHeight w:val="30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2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21, 2021</w:t>
            </w:r>
            <w:r>
              <w:rPr>
                <w:rFonts w:ascii="Times New Roman" w:cs="Times New Roman" w:eastAsia="Times New Roman" w:hAnsi="Times New Roman"/>
                <w:sz w:val="26"/>
                <w:szCs w:val="26"/>
                <w:color w:val="auto"/>
                <w:w w:val="97"/>
                <w:vertAlign w:val="superscript"/>
              </w:rPr>
              <w:t>(3)</w:t>
            </w:r>
          </w:p>
        </w:tc>
        <w:tc>
          <w:tcPr>
            <w:tcW w:w="2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 2021</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9,375</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316,500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21, 2021</w:t>
            </w:r>
            <w:r>
              <w:rPr>
                <w:rFonts w:ascii="Times New Roman" w:cs="Times New Roman" w:eastAsia="Times New Roman" w:hAnsi="Times New Roman"/>
                <w:sz w:val="25"/>
                <w:szCs w:val="25"/>
                <w:color w:val="auto"/>
                <w:vertAlign w:val="superscript"/>
              </w:rPr>
              <w:t>(5)</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 2021</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7,393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January 3, 2022</w:t>
            </w:r>
            <w:r>
              <w:rPr>
                <w:rFonts w:ascii="Times New Roman" w:cs="Times New Roman" w:eastAsia="Times New Roman" w:hAnsi="Times New Roman"/>
                <w:sz w:val="25"/>
                <w:szCs w:val="25"/>
                <w:color w:val="auto"/>
                <w:vertAlign w:val="superscript"/>
              </w:rPr>
              <w:t>(6)</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3, 2022</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33,750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1,139,400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18, 2023</w:t>
            </w:r>
            <w:r>
              <w:rPr>
                <w:rFonts w:ascii="Times New Roman" w:cs="Times New Roman" w:eastAsia="Times New Roman" w:hAnsi="Times New Roman"/>
                <w:sz w:val="25"/>
                <w:szCs w:val="25"/>
                <w:color w:val="auto"/>
                <w:vertAlign w:val="superscript"/>
              </w:rPr>
              <w:t>(6)</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16,250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548,600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July 18, 2023</w:t>
            </w:r>
            <w:r>
              <w:rPr>
                <w:rFonts w:ascii="Times New Roman" w:cs="Times New Roman" w:eastAsia="Times New Roman" w:hAnsi="Times New Roman"/>
                <w:sz w:val="25"/>
                <w:szCs w:val="25"/>
                <w:color w:val="auto"/>
                <w:vertAlign w:val="superscript"/>
              </w:rPr>
              <w:t>(7)</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2023</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3,376,000</w:t>
            </w:r>
          </w:p>
        </w:tc>
        <w:tc>
          <w:tcPr>
            <w:tcW w:w="0" w:type="dxa"/>
            <w:vAlign w:val="bottom"/>
          </w:tcPr>
          <w:p>
            <w:pPr>
              <w:spacing w:after="0"/>
              <w:rPr>
                <w:sz w:val="1"/>
                <w:szCs w:val="1"/>
                <w:color w:val="auto"/>
              </w:rPr>
            </w:pPr>
          </w:p>
        </w:tc>
      </w:tr>
      <w:tr>
        <w:trPr>
          <w:trHeight w:val="342"/>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August 1, 2024</w:t>
            </w:r>
            <w:r>
              <w:rPr>
                <w:rFonts w:ascii="Times New Roman" w:cs="Times New Roman" w:eastAsia="Times New Roman" w:hAnsi="Times New Roman"/>
                <w:sz w:val="26"/>
                <w:szCs w:val="26"/>
                <w:color w:val="auto"/>
                <w:w w:val="96"/>
                <w:vertAlign w:val="superscript"/>
              </w:rPr>
              <w:t>(8)</w:t>
            </w:r>
          </w:p>
        </w:tc>
        <w:tc>
          <w:tcPr>
            <w:tcW w:w="2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2024</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3,376,000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21, 2021</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1, 2021</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1,562</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52,733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21, 2021</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1, 2021</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July 14, 2021</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1, 2021</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1,562</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52,733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27, 2022</w:t>
            </w:r>
            <w:r>
              <w:rPr>
                <w:rFonts w:ascii="Times New Roman" w:cs="Times New Roman" w:eastAsia="Times New Roman" w:hAnsi="Times New Roman"/>
                <w:sz w:val="25"/>
                <w:szCs w:val="25"/>
                <w:color w:val="auto"/>
                <w:vertAlign w:val="superscript"/>
              </w:rPr>
              <w:t>(6)</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15, 2022</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33,075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1,116,612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18, 2023</w:t>
            </w:r>
            <w:r>
              <w:rPr>
                <w:rFonts w:ascii="Times New Roman" w:cs="Times New Roman" w:eastAsia="Times New Roman" w:hAnsi="Times New Roman"/>
                <w:sz w:val="25"/>
                <w:szCs w:val="25"/>
                <w:color w:val="auto"/>
                <w:vertAlign w:val="superscript"/>
              </w:rPr>
              <w:t>(6)</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16,250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548,600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July 18, 2023</w:t>
            </w:r>
            <w:r>
              <w:rPr>
                <w:rFonts w:ascii="Times New Roman" w:cs="Times New Roman" w:eastAsia="Times New Roman" w:hAnsi="Times New Roman"/>
                <w:sz w:val="25"/>
                <w:szCs w:val="25"/>
                <w:color w:val="auto"/>
                <w:vertAlign w:val="superscript"/>
              </w:rPr>
              <w:t>(9)</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1,519,200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May 2, 2024</w:t>
            </w:r>
            <w:r>
              <w:rPr>
                <w:rFonts w:ascii="Times New Roman" w:cs="Times New Roman" w:eastAsia="Times New Roman" w:hAnsi="Times New Roman"/>
                <w:sz w:val="25"/>
                <w:szCs w:val="25"/>
                <w:color w:val="auto"/>
                <w:w w:val="99"/>
                <w:vertAlign w:val="superscript"/>
              </w:rPr>
              <w:t>(10)</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2025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675,200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November 1, 2024</w:t>
            </w:r>
            <w:r>
              <w:rPr>
                <w:rFonts w:ascii="Times New Roman" w:cs="Times New Roman" w:eastAsia="Times New Roman" w:hAnsi="Times New Roman"/>
                <w:sz w:val="25"/>
                <w:szCs w:val="25"/>
                <w:color w:val="auto"/>
                <w:vertAlign w:val="superscript"/>
              </w:rPr>
              <w:t>(11)</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15, 2025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1,012,800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61"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granted pursuant to our 2015 Plan or the 2024 Plan, the terms of each of which are described below under “—Equity Incentive Plans.”</w:t>
      </w:r>
    </w:p>
    <w:p>
      <w:pPr>
        <w:ind w:left="540" w:right="2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$33.76 per share, which was the closing price of our Class A common stock on December 31, 2024, multiplied by the amount shown in the column “Stock Awards—Number of Shares or Units of Stock that Have Not Vested.”</w:t>
      </w:r>
    </w:p>
    <w:p>
      <w:pPr>
        <w:jc w:val="both"/>
        <w:ind w:left="540" w:hanging="424"/>
        <w:spacing w:after="0" w:line="25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this RSU award vest on the one-year anniversary of the vesting commencement date and 1/12 of the remaining RSUs vest quarterly thereafter, provided that the recipient remains in continuous service with us through each vesting date, and subject to the earlier to occur of (i) the consummation of our IPO and (ii) a change in control of our company, each of which we refer to as a Liquidity Event. These RSUs were originally granted as Performance-Vesting Restricted Stock Unit awards, or PSUs, which included both a Liquidity Event vesting requirement and a performance-vesting condition. In July 2023, our board of directors approved the removal of the performance-vesting condition, following which the PSUs are treated</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as RSUs, as more fully described in the section titled “—Equity Incentive Plans—2015 Stock Plan” below. The Liquidity Event vesting requirement was deemed satisfied on the IPO Date.</w:t>
      </w:r>
    </w:p>
    <w:p>
      <w:pPr>
        <w:ind w:left="540" w:right="2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in 20 equal quarterly installments starting on the vesting commencement date, provided that the recipient remains in continuous service with us through each vesting date.</w:t>
      </w:r>
    </w:p>
    <w:p>
      <w:pPr>
        <w:jc w:val="both"/>
        <w:ind w:left="540" w:right="2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this RSU award vest on the one-year anniversary of the vesting commencement date and 1/12 of the remaining RSUs vest quarterly thereafter,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this RSU award vest on the one-year anniversary of the vesting commencement date and 1/16 of the remaining RSUs vest quarterly thereafter,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eighth of this RSU award vest quarterly starting on the second anniversary of the vesting commencement date,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this RSU award vest on the one-year anniversary of the vesting commencement date and 1/16 of the remaining RSUs vest quarterly thereafter, provided that the recipient remains in continuous service with us through each vesting date.</w:t>
      </w:r>
    </w:p>
    <w:p>
      <w:pPr>
        <w:jc w:val="both"/>
        <w:ind w:left="540" w:right="2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with 1,250 shares each quarter starting March 31, 2024, 5,000 shares each quarter starting March 31, 2025, and 6,250 shares each quarter starting March 31, 2026,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this RSU award vest on March 15, 2025 with the remainder vesting in eight substantially equal quarterly installments commencing on June 15, 2025,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in 16 equal quarterly installments starting on the vesting commencement date, provided that the recipient remains in continuous service with us through each vesting date.</w:t>
      </w:r>
    </w:p>
    <w:p>
      <w:pPr>
        <w:spacing w:after="0" w:line="18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See “—Employment Arrangements with Named Executive Officers” for a description of vesting acceleration applicable to stock awards held by our named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We entered into an employment agreement with Mr. Lefkofsky, our Chief Executive Officer, in February 2024, which became effective on the IPO Date. Mr. Lefkofsky’s employment agreement provides for an initial annual base salary of $800,000 beginning on January 1, 2025, and eligibility to receive a target annual performance-based cash bonus of $800,000, in each case, subject to review and adjustment by the company in its sole discretion.</w:t>
      </w:r>
    </w:p>
    <w:p>
      <w:pPr>
        <w:spacing w:after="0" w:line="15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his employment agreement, if Mr. Lefkofsky resigns for Good Reason or we terminate Mr. Lefkofsky’s employment without Cause (each as defined in his employment agreement), in either case within 2 months prior to or 12 months following the effective date of a Change in Control (as defined in the 2024 Plan), 100% of his then-unvested equity will immediately vest in full. In addition, pursuant to his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employment agreement, we granted Mr. Lefkofsky 750,000 RSUs under the 2024 Plan on the IPO Date, which vest in substantially equal quarterly installments over a five-year period, subject to Mr. Lefkofsky’s continuous service to us through each vesting date, as described above in “— </w:t>
      </w:r>
      <w:r>
        <w:rPr>
          <w:rFonts w:ascii="Times New Roman" w:cs="Times New Roman" w:eastAsia="Times New Roman" w:hAnsi="Times New Roman"/>
          <w:sz w:val="18"/>
          <w:szCs w:val="18"/>
          <w:i w:val="1"/>
          <w:iCs w:val="1"/>
          <w:color w:val="auto"/>
        </w:rPr>
        <w:t>Outstanding Equity Awards as of December 31, 2024</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Fukushima, our Chief Operating Officer, in January 2023. Mr. Fukushima’s employment agreement provides for an initial annual base salary of $375,000, which is subject to review and adjustment by the company in its sole discretion. For fiscal year 2025, Mr. Fukushima’s base salary remains $375,000, and he is eligible to receive an annual performance-based bonus award under the 2024 Plan, payable in either cash or fully vested RSUs, with a target value equal to 66.7% of his base salary.</w:t>
      </w:r>
    </w:p>
    <w:p>
      <w:pPr>
        <w:spacing w:after="0" w:line="180"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Mr. Fukushima’s employment agreement provides for certain severance benefits, which are generally subject to, among other things, the execution and effectiveness of a general release of claims in our favor. If Mr. Fukushima resigns for Good Reason or we terminate his employment without Cause (each as defined in his employment agreement) at any time, then Mr. Fukushima will be eligible to receive the following severance benefits:</w:t>
      </w:r>
    </w:p>
    <w:p>
      <w:pPr>
        <w:spacing w:after="0" w:line="2" w:lineRule="exact"/>
        <w:rPr>
          <w:sz w:val="20"/>
          <w:szCs w:val="20"/>
          <w:color w:val="auto"/>
        </w:rPr>
      </w:pPr>
    </w:p>
    <w:p>
      <w:pPr>
        <w:ind w:left="360" w:hanging="244"/>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his base salary for 12 months; (ii) payment of premiums for continued coverage under our group health plans for up to</w:t>
      </w:r>
    </w:p>
    <w:p>
      <w:pPr>
        <w:spacing w:after="0" w:line="9" w:lineRule="exact"/>
        <w:rPr>
          <w:rFonts w:ascii="Times New Roman" w:cs="Times New Roman" w:eastAsia="Times New Roman" w:hAnsi="Times New Roman"/>
          <w:sz w:val="18"/>
          <w:szCs w:val="18"/>
          <w:color w:val="auto"/>
        </w:rPr>
      </w:pPr>
    </w:p>
    <w:p>
      <w:pPr>
        <w:jc w:val="both"/>
        <w:ind w:left="1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and (iii) during the six-month period following such separation from service, Mr. Fukushima’s then-outstanding equity awards will continue to satisfy any applicable time-based vesting conditions, as though Mr. Fukushima remained employed by us. In addition, if Mr. Fukushima resigns for Good Reason or we terminate his employment without Cause, in either case within 2 months prior to or 12 months following the effective date of a Change in Control (as defined in our 2015 Plan), then Mr. Fukushima will be entitled to receive full vesting acceleration of his then-outstanding and unvested equity awards.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Andrew Polovin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Polovin, our Executive Vice President, General Counsel and Secretary, in January 2023. Mr. Polovin’s employment agreement provides for an initial annual base salary of $500,000, which is subject to review and adjustment by the company in its sole discretion. For fiscal year 2025, Mr. Polovin’s base salary remains $610,000, and he is eligible to receive an annual performance-based bonus award under the 2024 Plan, payable in either cash or fully vested RSUs, with a target value equal to 50% of his base salary.</w:t>
      </w:r>
    </w:p>
    <w:p>
      <w:pPr>
        <w:spacing w:after="0" w:line="180"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Mr. Polovin’s employment agreement provides for certain severance benefits, which are generally subject to, among other things, the execution and effectiveness of a general release of claims in our favor. If Mr. Polovin resigns for Good Reason or we terminate his employment without Cause (each as defined in his employment agreement) at any time, then Mr. Polovin will be eligible to receive the following severance benefits: (i) continued payment of his base salary for 12 months; (ii) payment of premiums for continued coverage under our group health plans for up to 12 months; and</w:t>
      </w:r>
    </w:p>
    <w:p>
      <w:pPr>
        <w:spacing w:after="0" w:line="3" w:lineRule="exact"/>
        <w:rPr>
          <w:sz w:val="20"/>
          <w:szCs w:val="20"/>
          <w:color w:val="auto"/>
        </w:rPr>
      </w:pPr>
    </w:p>
    <w:p>
      <w:pPr>
        <w:jc w:val="both"/>
        <w:ind w:left="120" w:right="20" w:hanging="4"/>
        <w:spacing w:after="0" w:line="253" w:lineRule="auto"/>
        <w:tabs>
          <w:tab w:leader="none" w:pos="4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six-month period following such separation from service, Mr. Polovin’s then-outstanding equity awards will continue to satisfy any applicable time-based vesting conditions, as though Mr. Polovin remained employed by us. In addition, if Mr. Polovin resigns for Good Reason or we terminate his employment without Cause, in either case within 2 months prior to or 12 months following the effective date of a Change in Control (as defined in our 2015 Plan), then Mr. Polovin will be entitled to receive full vesting acceleration of his then-outstanding and unvested equity awards.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adopted the 2024 Plan in February 2024 and our stockholders approved the 2024 Plan in April 2024. The 2024 Plan became effective on the IPO Date. A summary description of the material features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of the 2024 Plan is set forth below. This summary is not a complete description of all provisions of the 2024 Plan and is qualified in its entirety by reference to the 2024 Plan, a copy of which is filed as an exhibit to the registration statement of which this prospectus forms a part and is incorporated by reference in its entirety.</w:t>
      </w:r>
    </w:p>
    <w:p>
      <w:pPr>
        <w:spacing w:after="0" w:line="17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2024 Plan provides for the grant of incentive stock options, or ISOs, nonstatutory stock options, or NSOs,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maximum number of shares of our Class A common stock that may be issued under our 2024 Plan is 7,430,000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Class A common stock. The number of shares of our Class A common stock reserved for issuance under our 2024 Plan will automatically increase on January 1 of each year, beginning on January 1, 2025, and continuing through and including January 1, 2034, in an amount equal to either (i) a number of shares of our Class A common stock or,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our board of directors prior to the applicable January 1. The maximum number of shares that may be issued upon the exercise of ISOs under our 2024 Plan is 22,290,000 shares.</w:t>
      </w:r>
    </w:p>
    <w:p>
      <w:pPr>
        <w:spacing w:after="0" w:line="18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Shares issued under our 2024 Plan will be authorized but unissued or reacquired shares of Class A common stock. Shares subject to awards granted under our 2024 Plan that expire or terminate without being exercised in full, or that are paid out in cash rather than in shares, will not reduce the number of shares available for issuance under our 2024 Plan. Additionally, shares issued pursuant to awards under our 2024 Plan that we repurchase or that are forfeited, as well as shares used to pay the exercise price of an award or to satisfy the tax withholding obligations to an award, will become available for future grant under our 2024 Plan.</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2024 Plan or otherwise during any calendar year beginning in 2025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2024 Plan.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delegated concurrent authority to administer our 2024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2024 Plan.</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subject to the terms of the 2024 Plan, the administrator also has the power to modify outstanding awards under our 2024 Plan, including the authority to reprice any outstanding option or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7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for a stock option, within the terms and conditions of the 2021 Plan, provided that the exercise price of a stock option generally cannot be less than 100% of the fair market value of our Class A common stock on the date of grant. Options granted under the 2024 Plan vest at the rate specified in the stock option agreement as specified in the stock option agreement by the administrator.</w:t>
      </w:r>
    </w:p>
    <w:p>
      <w:pPr>
        <w:spacing w:after="0" w:line="18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administrator determines the term of stock options granted under the 2024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our Class A common stock issued upon the exercise of a stock option will be determined by the administrator and may include (1) cash, check, bank draft or money order, (2) a broker- assisted cashless exercise, (3) the tender of shares of Class A common stock previously owned by the optionholder, (4) a net exercise of the option if it is an NSO and (5) other legal consideration approved by the administrator.</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4"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our Class A common stock with respect to ISOs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The 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w:t>
      </w:r>
    </w:p>
    <w:p>
      <w:pPr>
        <w:spacing w:after="0" w:line="1" w:lineRule="exact"/>
        <w:rPr>
          <w:sz w:val="20"/>
          <w:szCs w:val="20"/>
          <w:color w:val="auto"/>
        </w:rPr>
      </w:pPr>
    </w:p>
    <w:p>
      <w:pPr>
        <w:ind w:left="120" w:right="20" w:hanging="4"/>
        <w:spacing w:after="0" w:line="260" w:lineRule="auto"/>
        <w:tabs>
          <w:tab w:leader="none" w:pos="3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A common stock with respect to which the stock appreciation right is exercised. A stock appreciation right granted under the 2024 Plan vests at the rate specified in the stock appreciation right agreement as determined by the administrator.</w:t>
      </w:r>
    </w:p>
    <w:p>
      <w:pPr>
        <w:spacing w:after="0" w:line="18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2024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2024 Plan permits the grant of performance-based stock and cash awards. The compensation committee can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2" w:lineRule="exact"/>
        <w:rPr>
          <w:sz w:val="20"/>
          <w:szCs w:val="20"/>
          <w:color w:val="auto"/>
        </w:rPr>
      </w:pPr>
    </w:p>
    <w:p>
      <w:pPr>
        <w:jc w:val="both"/>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78"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set the number of shares under the award and all other terms and conditions of such awards.</w:t>
      </w:r>
    </w:p>
    <w:p>
      <w:pPr>
        <w:spacing w:after="0" w:line="15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our capital structure, such as a stock split, reverse stock split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2024 Plan in the event of a corporate transaction,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a participant’s stock award agreement or other written agreement with us or one of our affiliates or unless otherwise expressly provided by the administrator at the time of grant. Under the 2024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5"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9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0"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under our 2024 Plan, awards granted under our 2024 Plan will not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 acceleration of vesting and exercisability, although this treatment may be provided for in an award agreement.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All awards granted under the 2024 Plan will be subject to recoupment in accordance with any clawback policy that we are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 pursuant to the listing standards of any national securities exchange or 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w:t>
      </w:r>
    </w:p>
    <w:p>
      <w:pPr>
        <w:spacing w:after="0" w:line="180"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2024 Plan other than by will, the laws of descent and distribution or as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under our 2024 Plan.</w:t>
      </w:r>
    </w:p>
    <w:p>
      <w:pPr>
        <w:spacing w:after="0" w:line="15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2024 Plan, provided that such action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impair the existing rights of any participant without such participant’s written consent. Certain material amendments also require the approval of our stockholders. No ISOs may be granted after the tenth anniversary of the date our board adopted our 2024 Plan. No awards may be granted under our 2024 Plan while it is suspended or after it is terminated.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adopted the 2024 Employee Stock Purchase Plan, or the ESPP, in February 2024 and our stockholders approved the ESPP in April 2024. The ESPP became effective on the IPO Date. A summary description of the material features of the ESPP is set forth below. This summary is not a complete description of all provisions of the ESPP and is qualified in its entirety by reference to the ESPP, a copy of which is filed as an exhibit to the registration statement of which this prospectus forms a part and is incorporated by reference in its entirety.</w:t>
      </w:r>
    </w:p>
    <w:p>
      <w:pPr>
        <w:spacing w:after="0" w:line="180"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2025 and continuing through and including January 1, 2034, by the lesser of (1) 2% of the aggregate number of shares of common stock (both Class A and Class B) outstanding on December 31 of the preceding calendar year, (2) 9,000,000 shares and</w:t>
      </w:r>
    </w:p>
    <w:p>
      <w:pPr>
        <w:spacing w:after="0" w:line="6" w:lineRule="exact"/>
        <w:rPr>
          <w:sz w:val="20"/>
          <w:szCs w:val="20"/>
          <w:color w:val="auto"/>
        </w:rPr>
      </w:pPr>
    </w:p>
    <w:p>
      <w:pPr>
        <w:jc w:val="both"/>
        <w:ind w:left="120" w:right="20" w:hanging="4"/>
        <w:spacing w:after="0" w:line="253" w:lineRule="auto"/>
        <w:tabs>
          <w:tab w:leader="none" w:pos="3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but no offering periods under the ESPP will commence unless and until otherwise determined by our board of directors. The implementation of the ESPP and the terms of the offerings thereunder, if any, will be in the discretion of the administrator. The administrator does not currently have any intention to make offerings available under the ESPP.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2015 Plan was adopted by our board of directors and approved by our stockholders in September 2015. Our 2015 Plan had been periodically amended, most recently in May 2024. No further awards are being made under the 2015 Plan following the 2024 Plan becoming effective upon the effectiveness of our IPO. As of December 31, 2024, there were 9,483,894 shares of Class A common stock issuable upon the vesting and settlement of RSUs outstanding under the 2015 Plan.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summary description of the material features of the 2015 Plan is set forth below. This summary is not a complete description of all provisions of the 2015 Plan and is qualified in its entirety by reference to the 2015 Plan, a copy of which is filed as an exhibit to the registration statement of which this prospectus forms a part and is incorporated by reference in its entirety</w:t>
      </w:r>
    </w:p>
    <w:p>
      <w:pPr>
        <w:spacing w:after="0" w:line="174" w:lineRule="exact"/>
        <w:rPr>
          <w:sz w:val="20"/>
          <w:szCs w:val="20"/>
          <w:color w:val="auto"/>
        </w:rPr>
      </w:pPr>
    </w:p>
    <w:p>
      <w:pPr>
        <w:jc w:val="both"/>
        <w:ind w:left="120" w:right="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Awards</w:t>
      </w:r>
      <w:r>
        <w:rPr>
          <w:rFonts w:ascii="Times New Roman" w:cs="Times New Roman" w:eastAsia="Times New Roman" w:hAnsi="Times New Roman"/>
          <w:sz w:val="17"/>
          <w:szCs w:val="17"/>
          <w:color w:val="auto"/>
        </w:rPr>
        <w:t>. The 2015 Plan provides for the grant of ISOs, NSOs, restricted stock awards, RSUs, PSUs, and other stock-based awards. Our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directors, consultants and advisors are eligible to receive awards under the 2015 Plan; however, ISOs may only be granted to our employees.</w:t>
      </w:r>
    </w:p>
    <w:p>
      <w:pPr>
        <w:spacing w:after="0" w:line="13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that may be issued pursuant to awards under the 2015 Plan will not exceed 28,115,750 shares. The maximum number of shares of Class A common stock that may be issued pursuant to the exercise of ISOs under our 2015 Plan is 28,115,750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88"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The 2015 Plan is administered by our board of directors. Our board of directors has broad discretion to administer the 2015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6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granted under the 2015 Plan are evidenced by award agreements established by our board of directors.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19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monetary 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8"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in 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was satisfied upon the effective date of the IPO, or the Liquidity Event Date. The RSU awards vest as follows:</w:t>
      </w:r>
    </w:p>
    <w:p>
      <w:pPr>
        <w:spacing w:after="0" w:line="8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vested prior to the Liquidity Event Date.</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occurred prior to the first anniversary of the vesting start date, then, following the Liquidity Event Date, 1/16th of the RSUs will vest for each full three months of continuous service elapsed from the first anniversary of the vesting start date, subject to the participant’s continuous service.</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occurred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occurred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also granted PSUs, which included both a Liquidity Event vesting requirement and a performance-vesting condition. Like the RSU awards, the Liquidity Event requirement of the PSUs was satisfied on the effective date of the IPO. The performance-vesting condition of the PSUs, which was based on the company’s total enterprise valuation being at least $6 billion as of the Liquidity Event Date, was removed by our board of directors in July 2023. Accordingly, the PSUs are treated as RSUs as the terms of such PSUs are consistent with those of our outstanding RSUs.</w:t>
      </w:r>
    </w:p>
    <w:p>
      <w:pPr>
        <w:spacing w:after="0" w:line="178"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 certain transfers of options as set forth in an award agreement and subject to certain securities law restrictions.</w:t>
      </w:r>
    </w:p>
    <w:p>
      <w:pPr>
        <w:spacing w:after="0" w:line="158"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and kind of shares that may be delivered under the 2015 Plan or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covered by each outstanding award, the ISO share reserve under the 2015 Plan and the exercise or purchase price per share of outstanding awards in order to prevent dilution or enlargement of the participants’ rights under the 2015 Plan.</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33"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7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We have the right to deduct from any and all payments made under the 2015 Plan, or to require the participant, through payroll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except liability for:</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officers for any breach of the director’s or the officer’s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officers for 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officers for any transaction from which the director or the officer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the corporation.</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also provide that, 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satisfaction of certain conditions, we will advance expenses incurred by a director or officer in advance of the final disposition of any action or proceeding, and permit us to secure insurance on behalf of any officer, director, employee, or other agent.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2022 to which we were a party or will be a party, in which:</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April 2022 and May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as applicable. Pursuant to the terms of the Series G-3 preferred stock, in connection with our IPO, each share of Series G-3 preferred stock converted into a number of shares of our Class A common stock equal to (i) $57.3069 per share, plus any accrued and unpaid dividends on such share, divided by $31.45, which represented 85% of the public offering price in our IPO. The holders of our Series G-3 convertible preferred stock were entitled to paid-in-kind dividends at a rate of 4% of the original issue price, payable in shares of Series G-3 convertible preferred stock. The holders of our Series G-3 convertible preferred stock listed below are also entitled to specified registration rights. See the section titled “Description of Securities—Registration Rights” for additional information regarding these registration rights.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0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 Series</w:t>
            </w:r>
          </w:p>
        </w:tc>
        <w:tc>
          <w:tcPr>
            <w:tcW w:w="11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20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G-3 Shares</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vMerge w:val="continue"/>
          </w:tcPr>
          <w:p>
            <w:pPr>
              <w:spacing w:after="0"/>
              <w:rPr>
                <w:sz w:val="15"/>
                <w:szCs w:val="15"/>
                <w:color w:val="auto"/>
              </w:rPr>
            </w:pPr>
          </w:p>
        </w:tc>
        <w:tc>
          <w:tcPr>
            <w:tcW w:w="20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Originally Purchased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Blue Media, LLC</w:t>
            </w:r>
            <w:r>
              <w:rPr>
                <w:rFonts w:ascii="Times New Roman" w:cs="Times New Roman" w:eastAsia="Times New Roman" w:hAnsi="Times New Roman"/>
                <w:sz w:val="24"/>
                <w:szCs w:val="24"/>
                <w:color w:val="auto"/>
                <w:vertAlign w:val="superscript"/>
              </w:rPr>
              <w:t>(1)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92,483</w:t>
            </w:r>
          </w:p>
        </w:tc>
        <w:tc>
          <w:tcPr>
            <w:tcW w:w="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$ 5,299,914.03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Scottish Mortgage Investment plc</w:t>
            </w:r>
            <w:r>
              <w:rPr>
                <w:rFonts w:ascii="Times New Roman" w:cs="Times New Roman" w:eastAsia="Times New Roman" w:hAnsi="Times New Roman"/>
                <w:sz w:val="25"/>
                <w:szCs w:val="25"/>
                <w:color w:val="auto"/>
                <w:vertAlign w:val="superscript"/>
              </w:rPr>
              <w:t>(2)</w:t>
            </w: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872,495</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49,999,983.72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Schiehallion Fund Limited</w:t>
            </w:r>
            <w:r>
              <w:rPr>
                <w:rFonts w:ascii="Times New Roman" w:cs="Times New Roman" w:eastAsia="Times New Roman" w:hAnsi="Times New Roman"/>
                <w:sz w:val="25"/>
                <w:szCs w:val="25"/>
                <w:color w:val="auto"/>
                <w:vertAlign w:val="superscript"/>
              </w:rPr>
              <w:t>(2)</w:t>
            </w:r>
          </w:p>
        </w:tc>
        <w:tc>
          <w:tcPr>
            <w:tcW w:w="20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87,250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5,000,027.03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27"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Schiehallion Fund Limited and Scottish Mortgage Investment Trust plc are controlled by Baillie Gifford &amp; Co., a holder of more than 5% of our capital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G-4 Convertible Preferred Stock Financing</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October 2023, we sold an aggregate of 785,245 shares of our Series G-4 convertible preferred stock at a price per share of $57.3069 for an aggregate purchase price of approximately $45.0 million in private placements to accredited investors. The table below sets forth the number of shares of our Series G-4 preferred stock purchased by our executive officers, directors, holders of more than 5% of our capital stock, and their affiliated entities or immediate family members, as applicable. Pursuant to the terms of our Series G-4 preferred stock, in connection with our IPO, each share of Series G-4 preferred stock converted into a number of shares of our Class A common stock equal to (i) $57.3069 per share, plus any accrued and unpaid dividends on such share, divided by $31.45, which represented 85% of the public offering price in our IPO. The holders of our Series G-4 convertible preferred stock were entitled to paid-in-kind dividends at a rate of 5.25% of the original issue price, payable in shares of Series G-4 convertible preferred stock. In addition, in July 2024 we paid an aggregate of approximately $2.3 million to former holders of Series G-4 preferred stock because pursuant to the terms of the Series G-4 preferred stock, each holder was entitled to an amount equal to 5% of the per share price for each share of Series G-4 preferred stock purchased by such holder, in the event that following our IPO, the average of the last trading price on each trading day during the ten day trading period beginning on the first day of trading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Class A common stock is less than 110% of the price per share of Class A common stock sold in our IPO. The holders of our Series G-4 preferred stock listed below are entitled to specified registration rights. See the section titled “Description of Securities—Registration Rights” for additional information regarding these registration rights.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9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 Series</w:t>
            </w:r>
          </w:p>
        </w:tc>
        <w:tc>
          <w:tcPr>
            <w:tcW w:w="11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19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G-4 Shares</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19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Originally Purchased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Scottish Mortgage Investment Trust plc</w:t>
            </w:r>
            <w:r>
              <w:rPr>
                <w:rFonts w:ascii="Times New Roman" w:cs="Times New Roman" w:eastAsia="Times New Roman" w:hAnsi="Times New Roman"/>
                <w:sz w:val="24"/>
                <w:szCs w:val="24"/>
                <w:color w:val="auto"/>
                <w:vertAlign w:val="superscript"/>
              </w:rPr>
              <w:t>(1)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348,998</w:t>
            </w:r>
          </w:p>
        </w:tc>
        <w:tc>
          <w:tcPr>
            <w:tcW w:w="6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$19,999,993.49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Scottish Mortgage Investment Trust plc is controlled by Baillie Gifford &amp; Co., a holder of more than 5% of our capital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Dividend Payment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June 4, 2024, we paid an aggregate of approximately $5.6 million of accrued and unpaid cash dividends in respect of certain shares of our convertible preferred stock. Of this amount, approximately $5.3 million was paid to entities controlled by Mr. Lefkofsky and approximately $67,000 was paid to each of BK TL21 LLC and Red Sky LLC, each a holder of more than 5% of our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Mr. Lefkofsky, BK TL21 LLC and Red Sky LLC, each a holder of more than 5% of our capital stock.</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covenants included in these stockholder agreements terminated upon the closing of our IPO, except with respect to registration rights, as more fully described in the section titled “Description of Securities—Registration Rights.” See also the section titled “Principal Stockholders” for additional information regarding beneficial ownership of our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$0.6 million remains to be amortized as of December 31, 2024. We currently sublease a portion of this office space to Lightbank LLC, Lefkofsky Family Foundation and 346 Investment Partners, each an entity affiliated with and controlled by Mr. Lefkofsky, on a month-to-month basis. As of December 31, 2024, we have received an aggregate of $0.7 million in sublease income from these related parties.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entered into a master agreement in August 2021, as amended and restated in February 2024, with Pathos AI, Inc., or Pathos, a healthcare company co-founded by Mr. Lefkofsky, our Chief Executive Officer, Founder and Chairman, and Mr. Fukushima, our Chief Operating Officer. Mr. Lefkofsky currently serves as Executive Chairman and a member of Pathos’ board of directors. We have a warrant to purchase 23,456,790 shares, or approximately 16.5% of the outstanding equity in Pathos as of the IPO Date,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measured from February 2024,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Either party may terminate the agreement after the initial five-year term by prior written notice to the other party. As of the date of this prospectus, Pathos has paid us an aggregate of $1.2 million in annual subscription fees, and we have not exercised the warrant to purchase shares of Pathos common stock.</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ran our xT NGS assay on 15 samples provided by Pathos in exchange for a one-time discounted fee of less than $0.1 million.</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provide services to help Pathos use our de-identified data to answer research and development questions posed by Pathos. Under the program, we initially provided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increases proportionally.</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April 2023, Mr. Fukushima, Tempus’s Chief Operating Officer, was appointed as interim Chief Executive Officer of Pathos. In connection with such appointment, our board of directors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May 2024, we and Pathos entered into an order form under the master agreement pursuant to which we will license organoids and organoid data sets to Pathos. Under this order form, we granted Pathos a revocable, limited, non-transferable, non-exclusive right and license, without right of sublicense, to use certain organoid material and organoid data. Pathos in turn agreed to pay us certain license fees depending on the number of organoid materials and data it elects to license and the term of such license. The order form provides for an initial term of two years, subject to annual renewal upon written confirmation from us and Pathos. As of the date of this prospectus, we have received $1.9 million for the license fee payment from Pathos.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August 2024, we, through our subsidiary, Tempus Compass, LLC, or Tempus Compass, and Pathos entered into a start-up agreement for the provision of certain services by Tempus Compass for a study. As of the date of this prospectus, we have received $3.0 million in fee payment from Pathos.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officers, and our amended and restated bylaws provide that we will indemnify each of our directors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officers to the fullest extent permitted under Delaware law. Our amended and restated certificate of incorporation and amended and restated bylaws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by an employee, consultant or director will not be considered related person transactions under this policy. A related person is any executive officer, director, nominee to become a director or a holder of more than 5% of any class of our voting securities (including our Class A common stock), including any of their immediate family members and affiliates and entities owned or controlled by any related person.</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the proposed related person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93"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will approve only those transactions that it determines are fair to and in the best interests of the Company. All of the transactions described above were entered into prior to the adoption of, or in compliance with, such policy.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February 21, 2025 by:</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percentage ownership of Class A common stock and Class B common stock is based on 167,168,911 shares of Class A common stock and 5,043,789 shares of Class B common stock, respectively, outstanding as of February 21, 2025. In computing the number of shares beneficially owned by a person and the percentage ownership of such person, we deemed to be outstanding all shares subject to RSUs held by the person that would vest within 60 days of February 21, 2025. However, except as described above, we did not deem such shares outstanding for the purpose of computing the percentage ownership of any other person.</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AI, Inc., 600 West Chicago Avenue, Suite 510 Chicago, Illinois 60654.</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240" w:type="dxa"/>
            <w:vAlign w:val="bottom"/>
            <w:gridSpan w:val="2"/>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0"/>
                <w:szCs w:val="10"/>
                <w:b w:val="1"/>
                <w:bCs w:val="1"/>
                <w:color w:val="auto"/>
              </w:rPr>
              <w:t>(1)</w:t>
            </w:r>
          </w:p>
        </w:tc>
        <w:tc>
          <w:tcPr>
            <w:tcW w:w="4400" w:type="dxa"/>
            <w:vAlign w:val="bottom"/>
            <w:vMerge w:val="restart"/>
          </w:tcPr>
          <w:p>
            <w:pPr>
              <w:spacing w:after="0"/>
              <w:rPr>
                <w:sz w:val="14"/>
                <w:szCs w:val="14"/>
                <w:color w:val="auto"/>
              </w:rPr>
            </w:pPr>
          </w:p>
        </w:tc>
        <w:tc>
          <w:tcPr>
            <w:tcW w:w="19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Power</w:t>
            </w:r>
          </w:p>
        </w:tc>
        <w:tc>
          <w:tcPr>
            <w:tcW w:w="0" w:type="dxa"/>
            <w:vAlign w:val="bottom"/>
          </w:tcPr>
          <w:p>
            <w:pPr>
              <w:spacing w:after="0"/>
              <w:rPr>
                <w:sz w:val="1"/>
                <w:szCs w:val="1"/>
                <w:color w:val="auto"/>
              </w:rPr>
            </w:pPr>
          </w:p>
        </w:tc>
      </w:tr>
      <w:tr>
        <w:trPr>
          <w:trHeight w:val="149"/>
        </w:trPr>
        <w:tc>
          <w:tcPr>
            <w:tcW w:w="1760" w:type="dxa"/>
            <w:vAlign w:val="bottom"/>
            <w:tcBorders>
              <w:bottom w:val="single" w:sz="8" w:color="auto"/>
            </w:tcBorders>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1240" w:type="dxa"/>
            <w:vAlign w:val="bottom"/>
            <w:tcBorders>
              <w:top w:val="single" w:sz="8" w:color="auto"/>
            </w:tcBorders>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   %</w:t>
            </w:r>
          </w:p>
        </w:tc>
        <w:tc>
          <w:tcPr>
            <w:tcW w:w="320" w:type="dxa"/>
            <w:vAlign w:val="bottom"/>
          </w:tcPr>
          <w:p>
            <w:pPr>
              <w:spacing w:after="0"/>
              <w:rPr>
                <w:sz w:val="12"/>
                <w:szCs w:val="12"/>
                <w:color w:val="auto"/>
              </w:rPr>
            </w:pPr>
          </w:p>
        </w:tc>
        <w:tc>
          <w:tcPr>
            <w:tcW w:w="118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Borders>
              <w:top w:val="single" w:sz="8" w:color="auto"/>
            </w:tcBorders>
          </w:tcPr>
          <w:p>
            <w:pPr>
              <w:jc w:val="right"/>
              <w:ind w:right="11"/>
              <w:spacing w:after="0" w:line="129" w:lineRule="exact"/>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9"/>
        </w:trPr>
        <w:tc>
          <w:tcPr>
            <w:tcW w:w="61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Eric Lefkofsky</w:t>
            </w:r>
            <w:r>
              <w:rPr>
                <w:rFonts w:ascii="Times New Roman" w:cs="Times New Roman" w:eastAsia="Times New Roman" w:hAnsi="Times New Roman"/>
                <w:sz w:val="25"/>
                <w:szCs w:val="25"/>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47,482,532</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5,043,789</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 Sky Ventures LLC</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11,555,858</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BK TL21 LLC</w:t>
            </w:r>
            <w:r>
              <w:rPr>
                <w:rFonts w:ascii="Times New Roman" w:cs="Times New Roman" w:eastAsia="Times New Roman" w:hAnsi="Times New Roman"/>
                <w:sz w:val="25"/>
                <w:szCs w:val="25"/>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15,218,365</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Baillie Gifford &amp; Co.</w:t>
            </w:r>
            <w:r>
              <w:rPr>
                <w:rFonts w:ascii="Times New Roman" w:cs="Times New Roman" w:eastAsia="Times New Roman" w:hAnsi="Times New Roman"/>
                <w:sz w:val="25"/>
                <w:szCs w:val="25"/>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13,752,053</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Directors and Named Executive Officers: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Ryan Fukushima</w:t>
            </w:r>
            <w:r>
              <w:rPr>
                <w:rFonts w:ascii="Times New Roman" w:cs="Times New Roman" w:eastAsia="Times New Roman" w:hAnsi="Times New Roman"/>
                <w:sz w:val="25"/>
                <w:szCs w:val="25"/>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997,603</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Andrew Polovin</w:t>
            </w:r>
            <w:r>
              <w:rPr>
                <w:rFonts w:ascii="Times New Roman" w:cs="Times New Roman" w:eastAsia="Times New Roman" w:hAnsi="Times New Roman"/>
                <w:sz w:val="25"/>
                <w:szCs w:val="25"/>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J. Barris</w:t>
            </w:r>
            <w:r>
              <w:rPr>
                <w:rFonts w:ascii="Times New Roman" w:cs="Times New Roman" w:eastAsia="Times New Roman" w:hAnsi="Times New Roman"/>
                <w:sz w:val="25"/>
                <w:szCs w:val="25"/>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102,027</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Eric D. Belcher</w:t>
            </w:r>
            <w:r>
              <w:rPr>
                <w:rFonts w:ascii="Times New Roman" w:cs="Times New Roman" w:eastAsia="Times New Roman" w:hAnsi="Times New Roman"/>
                <w:sz w:val="25"/>
                <w:szCs w:val="25"/>
                <w:color w:val="auto"/>
                <w:vertAlign w:val="superscript"/>
              </w:rPr>
              <w:t>(8)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Jennifer A. Doudna, Ph.D.</w:t>
            </w:r>
            <w:r>
              <w:rPr>
                <w:rFonts w:ascii="Times New Roman" w:cs="Times New Roman" w:eastAsia="Times New Roman" w:hAnsi="Times New Roman"/>
                <w:sz w:val="25"/>
                <w:szCs w:val="25"/>
                <w:color w:val="auto"/>
                <w:vertAlign w:val="superscript"/>
              </w:rPr>
              <w:t>(9)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(10)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Wayne A.I. Frederick, M.D.</w:t>
            </w:r>
            <w:r>
              <w:rPr>
                <w:rFonts w:ascii="Times New Roman" w:cs="Times New Roman" w:eastAsia="Times New Roman" w:hAnsi="Times New Roman"/>
                <w:sz w:val="25"/>
                <w:szCs w:val="25"/>
                <w:color w:val="auto"/>
                <w:vertAlign w:val="superscript"/>
              </w:rPr>
              <w:t>(11)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24,527</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Scott Gottlieb, M.D.</w:t>
            </w:r>
            <w:r>
              <w:rPr>
                <w:rFonts w:ascii="Times New Roman" w:cs="Times New Roman" w:eastAsia="Times New Roman" w:hAnsi="Times New Roman"/>
                <w:sz w:val="25"/>
                <w:szCs w:val="25"/>
                <w:color w:val="auto"/>
                <w:vertAlign w:val="superscript"/>
              </w:rPr>
              <w:t>(12)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60,777</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Theodore J. Leonsis</w:t>
            </w:r>
            <w:r>
              <w:rPr>
                <w:rFonts w:ascii="Times New Roman" w:cs="Times New Roman" w:eastAsia="Times New Roman" w:hAnsi="Times New Roman"/>
                <w:sz w:val="25"/>
                <w:szCs w:val="25"/>
                <w:color w:val="auto"/>
                <w:vertAlign w:val="superscript"/>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3,469,592</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Nadja West, M.D.</w:t>
            </w:r>
            <w:r>
              <w:rPr>
                <w:rFonts w:ascii="Times New Roman" w:cs="Times New Roman" w:eastAsia="Times New Roman" w:hAnsi="Times New Roman"/>
                <w:sz w:val="25"/>
                <w:szCs w:val="25"/>
                <w:color w:val="auto"/>
                <w:vertAlign w:val="superscript"/>
              </w:rPr>
              <w:t>(14)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23,277</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directors and executive officers as a group (13 persons)</w:t>
            </w:r>
            <w:r>
              <w:rPr>
                <w:rFonts w:ascii="Times New Roman" w:cs="Times New Roman" w:eastAsia="Times New Roman" w:hAnsi="Times New Roman"/>
                <w:sz w:val="25"/>
                <w:szCs w:val="25"/>
                <w:color w:val="auto"/>
                <w:vertAlign w:val="superscript"/>
              </w:rPr>
              <w:t>(15)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52,358,874</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5,043,789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7"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beneficial ownership of less than 1%.</w:t>
      </w:r>
    </w:p>
    <w:p>
      <w:pPr>
        <w:spacing w:after="0" w:line="25" w:lineRule="exact"/>
        <w:rPr>
          <w:sz w:val="20"/>
          <w:szCs w:val="20"/>
          <w:color w:val="auto"/>
        </w:rPr>
      </w:pPr>
    </w:p>
    <w:p>
      <w:pPr>
        <w:ind w:left="540" w:hanging="424"/>
        <w:spacing w:after="0" w:line="259" w:lineRule="auto"/>
        <w:tabs>
          <w:tab w:leader="none" w:pos="5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of total voting power represents voting power with respect to all shares of our Class A and Class B common stock, as a single class. The holders of our Class B common stock are entitled to 30 votes per share, and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20"/>
        <w:spacing w:after="0" w:line="259" w:lineRule="auto"/>
        <w:rPr>
          <w:sz w:val="20"/>
          <w:szCs w:val="20"/>
          <w:color w:val="auto"/>
        </w:rPr>
      </w:pPr>
      <w:r>
        <w:rPr>
          <w:rFonts w:ascii="Times New Roman" w:cs="Times New Roman" w:eastAsia="Times New Roman" w:hAnsi="Times New Roman"/>
          <w:sz w:val="17"/>
          <w:szCs w:val="17"/>
          <w:color w:val="auto"/>
        </w:rPr>
        <w:t>holders of our Class A common stock are entitled to one vote per share. See the section titled “Description of Securities—Class A Common Stock and Class B Common Stock” for additional information about the voting rights of our Class A and Class B common stock.</w:t>
      </w:r>
    </w:p>
    <w:p>
      <w:pPr>
        <w:spacing w:after="0" w:line="1" w:lineRule="exact"/>
        <w:rPr>
          <w:sz w:val="20"/>
          <w:szCs w:val="20"/>
          <w:color w:val="auto"/>
        </w:rPr>
      </w:pPr>
    </w:p>
    <w:p>
      <w:pPr>
        <w:jc w:val="both"/>
        <w:ind w:left="540" w:hanging="424"/>
        <w:spacing w:after="0" w:line="248"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4,220,589 shares of Class A common stock held by Mr. Lefkofsky, (b) 37,500 shares of Class A common stock issuable upon the vesting of restricted stock units within 60 days of February 21, 2025 held by Mr. Lefkofsky, (c) 206 shares of Class A common stock held by Black Media, LLC, or Black Media, (d) 26,589,477 shares of Class A common stock held by Blue Media, LLC, or Blue Media, (e) 9,557,283 shares of Class A common stock held by Gray Media, LLC, or Gray Media, (f) 145,966 shares of Class A common stock held by Innovation Group Investors LP Series 1B, or Series 1B, (g) 4,952,973 shares of Class A common stock held by Innovation Group Investors LP 2011 Series, or 2011 Series, (h) 332,131 shares of Class A common stock held by Lefkofsky Family Foundation DTD 9/5/06 Eric Lefkofsky TTEE, or the Foundation, (i) 1,397,589 shares of Class A common stock held by Lightbank Global LLC, or Lightbank Global, (j) 248,631 shares of Class A common stock held by Lightbank Investments 1B LLC, or Lightbank Investments, (k) 187 shares of Class A common stock held by 346 Long LLC, (l) 178,485 shares of Class B common stock held by Black Media and (m) 4,865,304 shares of Class B common stock held by Blue Media. Mr. Lefkofsky is (i) a member of, and controls a limited liability company that is a member of, 346 Long LLC, and is the sole manager of each of Black Media, Blue Media, Gray Media, Series 1B, 2011 Series, Lightbank Global and Lightbank Investments. Mr. Lefkofsky and his wife, Elizabeth Lefkofsky, serve as trustees of the Foundation. Mr. Lefkofsky holds shared voting and dispositive power of the securities reported herein.</w:t>
      </w:r>
    </w:p>
    <w:p>
      <w:pPr>
        <w:spacing w:after="0" w:line="6" w:lineRule="exact"/>
        <w:rPr>
          <w:rFonts w:ascii="Times New Roman" w:cs="Times New Roman" w:eastAsia="Times New Roman" w:hAnsi="Times New Roman"/>
          <w:sz w:val="17"/>
          <w:szCs w:val="17"/>
          <w:color w:val="auto"/>
        </w:rPr>
      </w:pPr>
    </w:p>
    <w:p>
      <w:pPr>
        <w:jc w:val="both"/>
        <w:ind w:left="540" w:right="20" w:hanging="424"/>
        <w:spacing w:after="0" w:line="248"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on the information reported on the Schedule 13G/A filed by Red Sky Ventures LLC, or Red Sky, on February 12, 2025. Kimberly Keywell is the sole member and manager of, and may be deemed to have shared voting, investment and dispositive power with respect to the shares held by, Red Sky. The address for each of Red Sky and Ms. Keywell is 1001 Green Bay Road, Suite 146, Winnetka, Illinois 60093.</w:t>
      </w:r>
    </w:p>
    <w:p>
      <w:pPr>
        <w:spacing w:after="0" w:line="1" w:lineRule="exact"/>
        <w:rPr>
          <w:rFonts w:ascii="Times New Roman" w:cs="Times New Roman" w:eastAsia="Times New Roman" w:hAnsi="Times New Roman"/>
          <w:sz w:val="17"/>
          <w:szCs w:val="17"/>
          <w:color w:val="auto"/>
        </w:rPr>
      </w:pPr>
    </w:p>
    <w:p>
      <w:pPr>
        <w:jc w:val="both"/>
        <w:ind w:left="540" w:right="20" w:hanging="424"/>
        <w:spacing w:after="0" w:line="248"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on the information reported on the Form 4/A filed by BK TL21 LLC on January 22, 2025. Bradley A. Keywell is the sole member and manager of, and may be deemed to have voting, investment and dispositive control over the shares held by, BK TL21 LLC. The address for each of BK TL21 LLC and Mr. Keywell is 4603 Franklin Pike, Nashville, Tennessee 37220.</w:t>
      </w:r>
    </w:p>
    <w:p>
      <w:pPr>
        <w:spacing w:after="0" w:line="1" w:lineRule="exact"/>
        <w:rPr>
          <w:rFonts w:ascii="Times New Roman" w:cs="Times New Roman" w:eastAsia="Times New Roman" w:hAnsi="Times New Roman"/>
          <w:sz w:val="17"/>
          <w:szCs w:val="17"/>
          <w:color w:val="auto"/>
        </w:rPr>
      </w:pPr>
    </w:p>
    <w:p>
      <w:pPr>
        <w:jc w:val="both"/>
        <w:ind w:left="540" w:right="20" w:hanging="424"/>
        <w:spacing w:after="0" w:line="248"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on the information reported on the Schedule 13G filed by Baillie Gifford &amp; Co. on November 5, 2024, or the Baillie Gifford 13G. Securities reported therein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Based on the Baillie Gifford 13G, as of September 30, 2024, securities representing more than 5% of our Class A common stock were held on behalf of the Scottish Mortgage Investment Trust, a UK registered investment company managed by Baillie Gifford &amp; Co. The address for Baillie Gifford &amp; Co. is Calton Square, 1 Greenside Row, Edinburgh, Scotland, United Kingdom, EH1 3AN.</w:t>
      </w:r>
    </w:p>
    <w:p>
      <w:pPr>
        <w:spacing w:after="0" w:line="3" w:lineRule="exact"/>
        <w:rPr>
          <w:rFonts w:ascii="Times New Roman" w:cs="Times New Roman" w:eastAsia="Times New Roman" w:hAnsi="Times New Roman"/>
          <w:sz w:val="17"/>
          <w:szCs w:val="17"/>
          <w:color w:val="auto"/>
        </w:rPr>
      </w:pPr>
    </w:p>
    <w:p>
      <w:pPr>
        <w:jc w:val="both"/>
        <w:ind w:left="540" w:right="20" w:hanging="424"/>
        <w:spacing w:after="0" w:line="248"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548,210 shares of Class A common stock held by Mr. Fukushima, (b) 300,000 shares of Class A common stock held by Mr. Fukushima’s spouse, (c) 131,893 shares of Class A common stock held by Ryan Fukushima Irrevocable Family Trust and (d) 17,500 shares of Class A common stock issuable upon the vesting of restricted stock units within 60 days of February 21, 2025 held by Mr. Fukushima.</w:t>
      </w:r>
    </w:p>
    <w:p>
      <w:pPr>
        <w:spacing w:after="0" w:line="1" w:lineRule="exact"/>
        <w:rPr>
          <w:rFonts w:ascii="Times New Roman" w:cs="Times New Roman" w:eastAsia="Times New Roman" w:hAnsi="Times New Roman"/>
          <w:sz w:val="17"/>
          <w:szCs w:val="17"/>
          <w:color w:val="auto"/>
        </w:rPr>
      </w:pPr>
    </w:p>
    <w:p>
      <w:pPr>
        <w:ind w:left="540" w:right="20" w:hanging="424"/>
        <w:spacing w:after="0" w:line="248"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29,085 shares of Class A common stock held by Mr. Polovin and (b) 12,917 shares of Class A common stock issuable upon the vesting of restricted stock units within 60 days of February 21, 2025 held by Mr. Polovin.</w:t>
      </w:r>
    </w:p>
    <w:p>
      <w:pPr>
        <w:spacing w:after="0" w:line="1" w:lineRule="exact"/>
        <w:rPr>
          <w:rFonts w:ascii="Times New Roman" w:cs="Times New Roman" w:eastAsia="Times New Roman" w:hAnsi="Times New Roman"/>
          <w:sz w:val="17"/>
          <w:szCs w:val="17"/>
          <w:color w:val="auto"/>
        </w:rPr>
      </w:pPr>
    </w:p>
    <w:p>
      <w:pPr>
        <w:ind w:left="540" w:right="20" w:hanging="424"/>
        <w:spacing w:after="0" w:line="248"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100,676 shares of Class A common stock held by Mr. Barris and (b) 1,351 shares of Class A common stock issuable upon the vesting of restricted stock units within 60 days of February 21, 2025 held by Mr. Barris.</w:t>
      </w:r>
    </w:p>
    <w:p>
      <w:pPr>
        <w:spacing w:after="0" w:line="1" w:lineRule="exact"/>
        <w:rPr>
          <w:rFonts w:ascii="Times New Roman" w:cs="Times New Roman" w:eastAsia="Times New Roman" w:hAnsi="Times New Roman"/>
          <w:sz w:val="17"/>
          <w:szCs w:val="17"/>
          <w:color w:val="auto"/>
        </w:rPr>
      </w:pPr>
    </w:p>
    <w:p>
      <w:pPr>
        <w:jc w:val="both"/>
        <w:ind w:left="540" w:hanging="424"/>
        <w:spacing w:after="0" w:line="248"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14,033 shares of Class A common stock held by Nob Hill Ventures LLC and (b) 2,027 shares of Class A common stock issuable upon the vesting of restricted stock units within 60 days of February 21, 2025 held by Mr. Belcher. Mr. Belcher is the controlling shareholder of, and may be deemed to have shared voting, investment and dispositive power with respect to the shares held by Nob Hill Ventures LLC.</w:t>
      </w:r>
    </w:p>
    <w:p>
      <w:pPr>
        <w:spacing w:after="0" w:line="1" w:lineRule="exact"/>
        <w:rPr>
          <w:rFonts w:ascii="Times New Roman" w:cs="Times New Roman" w:eastAsia="Times New Roman" w:hAnsi="Times New Roman"/>
          <w:sz w:val="17"/>
          <w:szCs w:val="17"/>
          <w:color w:val="auto"/>
        </w:rPr>
      </w:pPr>
    </w:p>
    <w:p>
      <w:pPr>
        <w:ind w:left="540" w:right="20" w:hanging="424"/>
        <w:spacing w:after="0" w:line="259"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48 shares of Class A common stock held by Dr. Doudna and (b) 20,101 shares of Class A common stock issuable upon the vesting of restricted stock units within 60 days of February 21, 2025 held by Dr. Doudna.</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20" w:hanging="424"/>
        <w:spacing w:after="0" w:line="259"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686 shares of Class A common stock held by Mr. Epstein and (b) 4,351 shares of Class A common stock issuable upon the vesting of restricted stock units within 60 days of February 21, 2025 held by Mr. Epstein.</w:t>
      </w:r>
    </w:p>
    <w:p>
      <w:pPr>
        <w:spacing w:after="0" w:line="1" w:lineRule="exact"/>
        <w:rPr>
          <w:rFonts w:ascii="Times New Roman" w:cs="Times New Roman" w:eastAsia="Times New Roman" w:hAnsi="Times New Roman"/>
          <w:sz w:val="17"/>
          <w:szCs w:val="17"/>
          <w:color w:val="auto"/>
        </w:rPr>
      </w:pPr>
    </w:p>
    <w:p>
      <w:pPr>
        <w:ind w:left="540" w:right="20" w:hanging="424"/>
        <w:spacing w:after="0" w:line="248"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24,527 shares of Class A common stock issuable upon the vesting of restricted stock units within 60 days of February 21, 2025 held by Dr. Frederick.</w:t>
      </w:r>
    </w:p>
    <w:p>
      <w:pPr>
        <w:spacing w:after="0" w:line="1" w:lineRule="exact"/>
        <w:rPr>
          <w:rFonts w:ascii="Times New Roman" w:cs="Times New Roman" w:eastAsia="Times New Roman" w:hAnsi="Times New Roman"/>
          <w:sz w:val="17"/>
          <w:szCs w:val="17"/>
          <w:color w:val="auto"/>
        </w:rPr>
      </w:pPr>
    </w:p>
    <w:p>
      <w:pPr>
        <w:ind w:left="540" w:right="20" w:hanging="424"/>
        <w:spacing w:after="0" w:line="248"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1,250 shares of Class A common stock held by Dr. Gottlieb and (b) 59,527 shares of Class A common stock issuable upon the vesting of restricted stock units within 60 days of February 21, 2025 held by Dr. Gottlieb.</w:t>
      </w:r>
    </w:p>
    <w:p>
      <w:pPr>
        <w:spacing w:after="0" w:line="1" w:lineRule="exact"/>
        <w:rPr>
          <w:rFonts w:ascii="Times New Roman" w:cs="Times New Roman" w:eastAsia="Times New Roman" w:hAnsi="Times New Roman"/>
          <w:sz w:val="17"/>
          <w:szCs w:val="17"/>
          <w:color w:val="auto"/>
        </w:rPr>
      </w:pPr>
    </w:p>
    <w:p>
      <w:pPr>
        <w:jc w:val="both"/>
        <w:ind w:left="540" w:hanging="424"/>
        <w:spacing w:after="0" w:line="250"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3,261,718 shares of Class A common stock held by Revolution Growth III, LP, or RG III, (b) 205,847 shares of Class A common stock held by Revolution Growth Management Company, Inc., or RGMC, (c) 676 shares of Class A common stock held by Mr. Leonsis and (d) 1,351 shares of Class A common stock issuable upon the vesting of restricted stock units within 60 days of February 21, 2025 held by Mr. Leonsis. Mr. Leonsis, as a member of the investment committee of the ultimate general partner of RG III and a member of the board of directors of RGMC, may be deemed to share dispositive power over the shares held by RG III and RGMC. The address for Mr. Leonsis is 1717 Rhode Island Ave., NW, 10th Floor, Washington, DC 20036.</w:t>
      </w:r>
    </w:p>
    <w:p>
      <w:pPr>
        <w:spacing w:after="0" w:line="196" w:lineRule="exact"/>
        <w:rPr>
          <w:rFonts w:ascii="Times New Roman" w:cs="Times New Roman" w:eastAsia="Times New Roman" w:hAnsi="Times New Roman"/>
          <w:sz w:val="17"/>
          <w:szCs w:val="17"/>
          <w:color w:val="auto"/>
        </w:rPr>
      </w:pPr>
    </w:p>
    <w:p>
      <w:pPr>
        <w:ind w:left="540" w:right="20" w:hanging="424"/>
        <w:spacing w:after="0" w:line="248"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1,926 shares of Class A common stock held by Dr. West and (b) 21,351 shares of Class A common stock issuable upon the vesting of restricted stock units within 60 days of February 21, 2025 held by Dr. West.</w:t>
      </w:r>
    </w:p>
    <w:p>
      <w:pPr>
        <w:spacing w:after="0" w:line="1" w:lineRule="exact"/>
        <w:rPr>
          <w:rFonts w:ascii="Times New Roman" w:cs="Times New Roman" w:eastAsia="Times New Roman" w:hAnsi="Times New Roman"/>
          <w:sz w:val="17"/>
          <w:szCs w:val="17"/>
          <w:color w:val="auto"/>
        </w:rPr>
      </w:pPr>
    </w:p>
    <w:p>
      <w:pPr>
        <w:ind w:left="540" w:right="20" w:hanging="424"/>
        <w:spacing w:after="0" w:line="259"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52,126,537 shares of Class A common stock, (b) 5,043,789 shares of Class B common stock and (c) 232,337 shares of Class A common stock issuable upon the vesting of restricted stock units within 60 days of February 21, 2025.</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On November 4, 2024, we entered into the Purchase Agreement with the Seller and the Seller’s ultimate parent, Konica Minolta, Inc., a Japanese corporation, or KMI, as guarantor, pursuant to which we agreed to purchase all of the outstanding shares of capital stock of Ambry, a leader in genetic testing that aims to improve health by understanding the relationship between genetics and disease. Such transaction is hereinafter referred to as the Acquisition. Pursuant to the terms of the Purchase Agreement, consideration for the Acquisition consisted of $375.0 million in cash, subject to adjustment for cash, unpaid indebtedness, unpaid transaction expenses and net working capital of Ambry, plus the issuance of an aggregate of 4,843,136 shares of our Class A common stock as Stock Consideration. We issued the Shares as Stock Consideration to the Seller on February 3, 2025 upon the closing of the Acquisition. Pursuant to the terms of the Purchase Agreement, 2,152,505 of the Shares held by the Seller are subject to a lock-up for a period of one year following the closing date of the Acquisition, or the Lock-up Period.</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we have agreed to use our best efforts to keep the registration statement of which this prospectus constitutes a part effective through the earliest of (i) the date that is nine (9) months after the Lock-up Period and (ii) the date by which all the Shares have been resold or otherwise transferred to a thirdparty unaffiliated with the selling stockholder.</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registering the resale of the Shares to permit the selling stockholder below to resell or otherwise dispose of the Shares in the manner contemplated under “Plan of Distribution” in this prospectus (as may be supplemented and amended). As used in this prospectus, the term “selling stockholder” includes the selling stockholder listed in the table below, and the pledgees, donees, transferees, assignees, successors, designees, successors-in-interest and others who later come to hold any of the selling stockholder’s interest in the Shares other than through a public sale. Throughout this prospectus, when we refer to the Class A common stock being registered on behalf of the selling stockholder, we are referring to the Shares.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 may sell some, all or none of the Shares. Other than those Shares subject to the Lock-up Period, we do not know how long the selling stockholder will hold the Shares before selling them, and we currently have no agreements, arrangements or understandings with the selling stockholder regarding the sale or other disposition of any of the Shares. The Shares covered hereby may be offered from time to time by the selling stockholder.</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number of our outstanding Class A common stock beneficially owned by the selling stockholder as of February 21, 2025, the number of Shares that may be offered under this prospectus, and the number and percentage of our outstanding Class A common stock beneficially owned by the selling stockholder assuming all of the Shares covered hereby are sold. Beneficial ownership is determined in accordance with the rules of the SEC and includes voting or investment power with respect to our shares of Class A common stock. Generally, a person “beneficially owns” shares of Class A common stock if the person has or shares with others the right to vote those shares or to dispose of them, or if the person has the right to acquire voting or disposition rights within 60 days. The number of shares in the column “Number of Shares of Class A Common Stock Registered for Sale Hereby” represents all of the Shares that the selling stockholder may offer and sell from time to time under this prospectus.</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All information contained in the table below and the footnotes thereto is based upon information provided to us by the selling stockholder as of February 21, 2025. The selling stockholder may have sold or transferred, in transactions exempt from the registration requirements of the Securities Act, some or all of its shares or other securities since the date on which the information in the table below is presented. Information about the selling stockholder may change over time. The percentage of shares owned after the offering is based on 167,168,911 shares of our Class A common stock outstanding as of February 21, 2025.</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0" w:type="dxa"/>
            <w:vAlign w:val="bottom"/>
            <w:gridSpan w:val="7"/>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7"/>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00" w:type="dxa"/>
            <w:vAlign w:val="bottom"/>
            <w:tcBorders>
              <w:bottom w:val="single" w:sz="8" w:color="auto"/>
            </w:tcBorders>
            <w:gridSpan w:val="7"/>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3"/>
          </w:tcPr>
          <w:p>
            <w:pPr>
              <w:jc w:val="center"/>
              <w:ind w:left="225"/>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left="246"/>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left="245"/>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gridSpan w:val="2"/>
          </w:tcPr>
          <w:p>
            <w:pPr>
              <w:jc w:val="center"/>
              <w:ind w:left="205"/>
              <w:spacing w:after="0" w:line="160"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4"/>
          </w:tcPr>
          <w:p>
            <w:pPr>
              <w:jc w:val="center"/>
              <w:ind w:left="205"/>
              <w:spacing w:after="0" w:line="160"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 of</w:t>
            </w:r>
          </w:p>
        </w:tc>
        <w:tc>
          <w:tcPr>
            <w:tcW w:w="840" w:type="dxa"/>
            <w:vAlign w:val="bottom"/>
            <w:gridSpan w:val="3"/>
          </w:tcPr>
          <w:p>
            <w:pPr>
              <w:jc w:val="center"/>
              <w:ind w:left="186"/>
              <w:spacing w:after="0" w:line="160"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3"/>
          </w:tcPr>
          <w:p>
            <w:pPr>
              <w:jc w:val="center"/>
              <w:ind w:left="185"/>
              <w:spacing w:after="0" w:line="160"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gridSpan w:val="3"/>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780" w:type="dxa"/>
            <w:vAlign w:val="bottom"/>
            <w:gridSpan w:val="2"/>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2180" w:type="dxa"/>
            <w:vAlign w:val="bottom"/>
          </w:tcPr>
          <w:p>
            <w:pPr>
              <w:spacing w:after="0"/>
              <w:rPr>
                <w:sz w:val="10"/>
                <w:szCs w:val="10"/>
                <w:color w:val="auto"/>
              </w:rPr>
            </w:pPr>
          </w:p>
        </w:tc>
        <w:tc>
          <w:tcPr>
            <w:tcW w:w="106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260" w:type="dxa"/>
            <w:vAlign w:val="bottom"/>
          </w:tcPr>
          <w:p>
            <w:pPr>
              <w:spacing w:after="0"/>
              <w:rPr>
                <w:sz w:val="10"/>
                <w:szCs w:val="10"/>
                <w:color w:val="auto"/>
              </w:rPr>
            </w:pPr>
          </w:p>
        </w:tc>
        <w:tc>
          <w:tcPr>
            <w:tcW w:w="80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15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Stock Registered for</w:t>
            </w:r>
          </w:p>
        </w:tc>
        <w:tc>
          <w:tcPr>
            <w:tcW w:w="7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0"/>
                <w:szCs w:val="10"/>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
                <w:szCs w:val="1"/>
                <w:b w:val="1"/>
                <w:bCs w:val="1"/>
                <w:color w:val="auto"/>
                <w:w w:val="4294967291"/>
              </w:rPr>
              <w:t> </w:t>
            </w: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8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Sale Hereby</w:t>
            </w:r>
          </w:p>
        </w:tc>
        <w:tc>
          <w:tcPr>
            <w:tcW w:w="78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REALM IDx, Inc.</w:t>
            </w:r>
            <w:r>
              <w:rPr>
                <w:rFonts w:ascii="Times New Roman" w:cs="Times New Roman" w:eastAsia="Times New Roman" w:hAnsi="Times New Roman"/>
                <w:sz w:val="23"/>
                <w:szCs w:val="23"/>
                <w:color w:val="auto"/>
                <w:vertAlign w:val="superscript"/>
              </w:rPr>
              <w:t>(1)</w:t>
            </w:r>
          </w:p>
        </w:tc>
        <w:tc>
          <w:tcPr>
            <w:tcW w:w="2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4,843,136</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3"/>
              </w:rPr>
              <w:t>— </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4,843,136</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3"/>
              </w:rPr>
              <w:t>— </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2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KMI, a publicly traded corporation organized under the laws of Japan and traded on the Tokyo Stock Exchange, is the ultimate parent of, and may be deemed to have voting, investment and dispositive control over the Shares held by, REALM IDx, Inc. KMI is governed by its board of directors which consists of nine persons, none of which has beneficial ownership over the Shares. The registered address of REALM IDx, Inc. is c/o Konica Minolta, 1900 S State College Blvd, Suite 600, Anaheim, California 92806.</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 FOR NON-U.S. HOLDERS</w:t>
      </w:r>
    </w:p>
    <w:p>
      <w:pPr>
        <w:spacing w:after="0" w:line="229"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ownership, and disposition of our Class A common stock acquired in this offering. For the avoidance of doubt, this discussion does not address U.S. federal income tax consequences of the issuance or receipt of our Class A Common Stock as stock consideration in connection with our acquisition of Ambry, as more fully described above in “Prospectus Summary—Acquisition of Ambry Genetics Corporation.” This discussion is not a complete analysis of all potential U.S. federal income tax consequences relating thereto, and does not address non-U.S.,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(as defined below)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Internal Revenue Code, of 1986, as amended or the Code, and Treasury Regulations, administrative announcements and rulings of the Internal Revenue Service, or the IRS,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non-U.S. tax consequences.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120" w:firstLine="440"/>
        <w:spacing w:after="0" w:line="269" w:lineRule="auto"/>
        <w:rPr>
          <w:sz w:val="20"/>
          <w:szCs w:val="20"/>
          <w:color w:val="auto"/>
        </w:rPr>
      </w:pPr>
      <w:r>
        <w:rPr>
          <w:rFonts w:ascii="Times New Roman" w:cs="Times New Roman" w:eastAsia="Times New Roman" w:hAnsi="Times New Roman"/>
          <w:sz w:val="17"/>
          <w:szCs w:val="17"/>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 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currently at a 25% rate.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0"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88"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3" w:lineRule="exact"/>
        <w:rPr>
          <w:sz w:val="20"/>
          <w:szCs w:val="20"/>
          <w:color w:val="auto"/>
        </w:rPr>
      </w:pPr>
    </w:p>
    <w:p>
      <w:pPr>
        <w:jc w:val="both"/>
        <w:ind w:left="120" w:right="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EACH PROSPECTIVE INVESTOR SHOULD CONSULT ITS OWN TAX ADVISOR REGARDING THE TAX CONSEQUENCES OF ACQUIRING, OWNING, AND DISPOSING OF OUR CLASS A COMMON STOCK, INCLUDING THE CONSEQUENCES OF ANY RECENT OR PROPOSED CHANGE IN APPLICABLE LAW FROM ALL FEDERAL, STATE, ESTATE, AND GIFT TAX PERSPECTIVES.</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registering the resale by the selling stockholder from time to time (after the expiration of any applicable lock-up period described herein) of up to 4,843,136 shares of Class A common stock issued to the selling stockholder pursuant to the Purchase Agreement. The term “selling stockholder” includes pledgees, donees, permitted transferees, assignees or other successors in interest selling securities received after the date of this prospectus from a selling stockholder as a gift, pledge, partnership distribution or other transfer.</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stockholder will bear all commissions and discounts, if any, attributable to its sale of securities.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stockholder. The aggregate proceeds to the selling stockholder will be the purchase price of the securities less any discounts and commissions borne by the selling stockholder.</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of Class A common stock owned by the selling stockholder covered by this prospectus may be offered, sold, transferred or otherwise disposed of from time to time by the selling stockholder. The selling stockholder will act independently of us in making decisions with respect to the timing, manner and size of each sale. Such sales may be made on one or more exchanges, markets, trading facilities or in the over-the-counter market or otherwise, at fixed prices, at prevailing market prices at the time of sale, at prices related to the prevailing market price, at varying prices determined at the time of sale or at negotiated prices. The selling stockholder may sell or otherwise dispose of their securities by one or more of, or a combination of, the following methods:</w:t>
      </w:r>
    </w:p>
    <w:p>
      <w:pPr>
        <w:spacing w:after="0" w:line="93" w:lineRule="exact"/>
        <w:rPr>
          <w:sz w:val="20"/>
          <w:szCs w:val="20"/>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in a public offering, pursuant to which underwriters may resell the shares in one or more transactions, including in negotiated transactions at a fixed public offering price or at varying prices determined at the time of sale;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the broker-dealer solicits purchasers on a best efforts basis;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 Stock Market;</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stockholder pursuant to Rule 10b5-1 under the Exchange Act, that are in place at the time of an offering pursuant to this prospectus and any applicable prospectus supplement hereto that provide for periodic sales of its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or through the settlement of short sales (including short sales “against the box”), subject to compliance with the Securities Act and other applicable securities laws;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stockholder;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standardized or over-the-counter options, swaps or other hedging or derivative transactions, whether through an options exchange or otherwise;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trading markets, including direct sales to purchasers or sales effected through agents;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of securities for any loan or obligation (including obligations associated with derivative transactions), including pledges to brokers or dealers who may from time to time effect distributions of securities, and in the case of any collateral call or default on such loan or obligation, pledges or sales of securities by such pledgee or secured parties;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 providing for payment and delivery on a specified date in the future;</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dividends or other distributions made by the selling stockholder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 Further, the selling stockholder may enter into derivative transactions with broker-dealers, other financial institutions or third parties or sell securities not covered by this prospectus to third parties in privately negotiated or registered transactions. These transactions may involve the sale of shares of Class A common stock by the selling stockholder by forward sale or by an offering (directly or by entering into derivative transactions with broker-dealers, other financial institutions or third parties) of options, swaps, rights, warrants or other securities that are offered with, convertible into or exchangeable for shares of Class A common stock.</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 may enter into hedging transactions with broker-dealers, and the broker-dealers may engage in short sales of the shares in the course of hedging the positions they assume with the selling stockholder, including, without limitation, in connection with distributions of the shares by those broker-dealers.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 may elect to make an in-kind distribution of the shares of common stock to its members, partners or shareholders. In such event, we may file a prospectus supplement to the extent required by law in order to permit the distributees to use the prospectus to resell the shares of Class A common stock acquired in the distribution.</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stockholder may enter into hedging transactions with broker-dealers or other financial institutions. In connection with such transactions, broker-dealers or other financial institutions may engage in short sales of the securities in the course of hedging the positions they assume with selling the stockholder. The selling stockholder may also sell the securities short and redeliver the securities to close out such short positions. The selling stockholder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8"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stockholder may arrange for other broker-dealers to participate. Broker-dealers or agents may receive commissions, discounts or concessions from the selling stockholder in amounts to be negotiated immediately prior to the sale.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stockholder and any broker-dealers who execute sales for the selling stockholder may be deemed to be “underwriters” within the meaning of the Securities Act in connection with such sales. Any profits realized by the selling stockholder and the compensation of any broker-dealer may be deemed to be underwriting discounts and commissions.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or Rule 5121, that offering will be conducted in accordance with the relevant provisions of Rule 5121.</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 and any other person participating in the distribution will be subject to the applicable provisions of the Exchange Act and the rules and regulations under the Exchange Act, including, without limitation, Regulation M, which may limit the timing of purchases and sales by the selling stockholder and any other relevant person of any of the securities. Furthermore, Regulation M may restrict the ability of any person engaged in the distribution of securities to engage in market-making activities with respect to the securities being distributed. All of the above may affect the marketability of the securities and the ability of any person or entity to engage in market-making activities with respect to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make copies of this prospectus available to the selling stockholder for the purpose of satisfying the prospectus delivery requirements of the Securities Act. The selling stockholder may indemnify any broker-dealer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 against certain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we have agreed to use our best efforts to keep the registration statement of which this prospectus constitutes a part effective through the earliest of (i) the date that is nine (9) months after the Lock-up Period and (ii) the date by which all the Shares have been resold or otherwise transferred to a third-party unaffiliated with the selling stockholder.</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will be passed upon for us by Cooley LLP.</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Tempus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https://investors.tempus.com/, at which you may access these materials free of charge as soon as reasonably practicable after they are electronically filed with, or furnished to, the SEC. The information contained in, or that can be accessed through, our website is not part of this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or furnished to the SEC:</w:t>
      </w:r>
    </w:p>
    <w:p>
      <w:pPr>
        <w:spacing w:after="0" w:line="89"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24,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87">
        <w:r>
          <w:rPr>
            <w:rFonts w:ascii="Times New Roman" w:cs="Times New Roman" w:eastAsia="Times New Roman" w:hAnsi="Times New Roman"/>
            <w:sz w:val="18"/>
            <w:szCs w:val="18"/>
            <w:u w:val="single" w:color="auto"/>
            <w:color w:val="0000EE"/>
          </w:rPr>
          <w:t>February 3,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in our registration statement on </w:t>
      </w:r>
      <w:hyperlink r:id="rId8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June 11, 2024, including any amendments or reports filed for the purpose of updating such description, including </w:t>
      </w:r>
      <w:hyperlink r:id="rId8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2024.</w:t>
      </w:r>
    </w:p>
    <w:p>
      <w:pPr>
        <w:spacing w:after="0" w:line="176" w:lineRule="exact"/>
        <w:rPr>
          <w:rFonts w:ascii="Times New Roman" w:cs="Times New Roman" w:eastAsia="Times New Roman" w:hAnsi="Times New Roman"/>
          <w:sz w:val="18"/>
          <w:szCs w:val="18"/>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600 West Chicago Avenue, Suite 510, Chicago, Illinois 60654, Attention: Corporate Secretary, or by telephoning us at (800) 976-5448. In addition, copies of the documents incorporated herein by reference may be accessed at our website at https://investors.tempus.com/. The reference to our website address does not constitute incorporation by reference of the information contained on or accessible through our website, and you should not consider the contents of our website in making an investment decision with respect to our Class A common stock.</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securities being registered. All amounts shown are estimates except for the registration fee of the Securities and Exchange Commission, or the SEC.</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326,749</w:t>
            </w:r>
          </w:p>
        </w:tc>
      </w:tr>
    </w:tbl>
    <w:p>
      <w:pPr>
        <w:spacing w:after="0" w:line="17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Discounts, concessions, commissions and similar selling expenses attributable to the sale of shares of Class A common stock covered by this prospectus will be borne by the selling stockholders. We will pay all expenses (other than discounts, concessions, commissions and similar selling expenses) relating to the registration of the shares with the SEC, as estimated in the table above.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Our amended and restated certificate of incorporation permits indemnification of our directors, officers, employees and other agents to the maximum extent permitted by the Delaware General Corporation Law, and our amended and restated bylaws provide that we will indemnify our directors and executive officers and permit us to indemnify other officers, employees, and other agents, in each case to the maximum extent permitted by the Delaware General Corporation Law.</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the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our company, provided that such director or executive officer acted in good faith and in a manner that the director or executive officer reasonably believed to be in, or not opposed to, the best interest of our company. At present, there is no pending litigation or proceeding involving a director or executive officer of us regarding which indemnification is sought, nor are we aware of any threatened litigation that may result in claims for indemnification.</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list sets forth information regarding all unregistered securities sold by us since January 1, 2022:</w:t>
      </w:r>
    </w:p>
    <w:p>
      <w:pPr>
        <w:spacing w:after="0" w:line="131" w:lineRule="exact"/>
        <w:rPr>
          <w:sz w:val="20"/>
          <w:szCs w:val="20"/>
          <w:color w:val="auto"/>
        </w:rPr>
      </w:pPr>
    </w:p>
    <w:p>
      <w:pPr>
        <w:ind w:left="1080" w:right="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2022 to June 13, 2024, on which date our Third Amended and Restated 2015 Stock Plan, or the 2015 Plan, terminated, we granted the following equity awards under the 2015 Plan:</w:t>
      </w:r>
    </w:p>
    <w:p>
      <w:pPr>
        <w:spacing w:after="0" w:line="67"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or RSUs, representing 7,683,361 shares of our Class A common stock to our employees, consultants and directors, having a fair market value ranging from $28.35 to $54.97 per share.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540" w:right="20" w:hanging="439"/>
        <w:spacing w:after="0" w:line="261"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or PSUs, representing 17,450 shares of our Class A common stock to our employees, consultants and directors, having a fair market value of $32.89 per share. In July 2023, our board of directors approved the removal of the performance-vesting condition, following which the PSUs are treated as RSUs as the terms of such PSUs are consistent with those of our outstanding RSUs.</w:t>
      </w:r>
    </w:p>
    <w:p>
      <w:pPr>
        <w:spacing w:after="0" w:line="85" w:lineRule="exact"/>
        <w:rPr>
          <w:rFonts w:ascii="Times New Roman" w:cs="Times New Roman" w:eastAsia="Times New Roman" w:hAnsi="Times New Roman"/>
          <w:sz w:val="18"/>
          <w:szCs w:val="18"/>
          <w:color w:val="auto"/>
        </w:rPr>
      </w:pPr>
    </w:p>
    <w:p>
      <w:pPr>
        <w:jc w:val="both"/>
        <w:ind w:left="1540" w:hanging="439"/>
        <w:spacing w:after="0" w:line="261"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to purchase 210,000 shares of our Class A common stock to Revolution Growth Management Company, Inc., having an exercise price of $0.8542 per share. The option was exercised on December 11, 2024 on a cashless basis and included 4,153 shares withheld pursuant to the cashless exercise. Accordingly, we issued 205,847 shares of Class A common stock to Revolution Growth Management Company, Inc. on December 11, 2024.</w:t>
      </w:r>
    </w:p>
    <w:p>
      <w:pPr>
        <w:spacing w:after="0" w:line="85" w:lineRule="exact"/>
        <w:rPr>
          <w:rFonts w:ascii="Times New Roman" w:cs="Times New Roman" w:eastAsia="Times New Roman" w:hAnsi="Times New Roman"/>
          <w:sz w:val="18"/>
          <w:szCs w:val="18"/>
          <w:color w:val="auto"/>
        </w:rPr>
      </w:pPr>
    </w:p>
    <w:p>
      <w:pPr>
        <w:jc w:val="both"/>
        <w:ind w:left="1080" w:right="20" w:hanging="532"/>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we entered into a unit purchase agreement with Tempus Compass, LLC (f/k/a Highline Consulting, LLC), a California limited liability company, or Tempus Compass, Highline Consulting Parent, LLC, and the unitholders of Tempus Compass, which collectively we refer to as the Sellers, pursuant to which we acquired all of the issued and outstanding equity interests in Tempus Compass. Following the closing, the Sellers were entitled to receive contingent consideration from us in an aggregate amount of up to $5.0 million, payable in a combination of cash and shares of our Class A common stock, contingent upon certain individual Sellers remaining employed by us at the first and second anniversary of the closing.</w:t>
      </w:r>
    </w:p>
    <w:p>
      <w:pPr>
        <w:spacing w:after="0" w:line="92" w:lineRule="exact"/>
        <w:rPr>
          <w:rFonts w:ascii="Times New Roman" w:cs="Times New Roman" w:eastAsia="Times New Roman" w:hAnsi="Times New Roman"/>
          <w:sz w:val="18"/>
          <w:szCs w:val="18"/>
          <w:color w:val="auto"/>
        </w:rPr>
      </w:pPr>
    </w:p>
    <w:p>
      <w:pPr>
        <w:jc w:val="both"/>
        <w:ind w:left="1080" w:right="20" w:hanging="532"/>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1,614,114 shares of our Series G-3 convertible preferred stock at a price per share of $57.3069, for an aggregate purchase price of approximately $92.5 million, in private placements to five accredited investors. Pursuant to the terms of the Series G-3 convertible preferred stock, in January 2023 and January 2024, we issued 47,781 shares and 66,465 shares of Series G-3 convertible preferred stock, respectively, to the holders of Series G-3 convertible preferred stock as payment of paid-in-kind dividends.</w:t>
      </w:r>
    </w:p>
    <w:p>
      <w:pPr>
        <w:spacing w:after="0" w:line="88"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issued and sold an aggregate of 785,245 shares of our Series G-4 convertible preferred stock at a price per share of $57.3069, for an aggregate purchase price of approximately $45.0 million, in private placements to three accredited investors. Pursuant to the terms of the Series G-4 convertible preferred stock, in January 2024, we issued 10,666 shares of Series G-4 convertible preferred stock to the holders of Series G-4 convertible preferred stock as payment of paid-in-kind dividends.</w:t>
      </w:r>
    </w:p>
    <w:p>
      <w:pPr>
        <w:spacing w:after="0" w:line="85"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issued and sold an aggregate of 6,172,839 shares of our Series G-5 convertible preferred stock at a price per share of $57.3069, for an aggregate purchase price of approximately $200.0 million, in a private placement to an accredited investor.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issued shares in connection with acquisitions as follows:</w:t>
      </w:r>
    </w:p>
    <w:p>
      <w:pPr>
        <w:spacing w:after="0" w:line="130" w:lineRule="exact"/>
        <w:rPr>
          <w:rFonts w:ascii="Times New Roman" w:cs="Times New Roman" w:eastAsia="Times New Roman" w:hAnsi="Times New Roman"/>
          <w:sz w:val="18"/>
          <w:szCs w:val="18"/>
          <w:color w:val="auto"/>
        </w:rPr>
      </w:pPr>
    </w:p>
    <w:p>
      <w:pPr>
        <w:jc w:val="both"/>
        <w:ind w:left="1540" w:right="20" w:hanging="439"/>
        <w:spacing w:after="0" w:line="266"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in December 2019, we issued 145,466 shares of Class A common stock to former stockholders of AKESOgen, Inc. in December 2022 with a fair value of approximately $3.4 million, all of which shares were subsequently repurchased by us in January 2023.</w:t>
      </w:r>
    </w:p>
    <w:p>
      <w:pPr>
        <w:spacing w:after="0" w:line="81"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acquisition of Arterys, Inc., we issued 174,499 shares of Class A common stock to former stockholders of Arterys, Inc. in October 2022.</w:t>
      </w:r>
    </w:p>
    <w:p>
      <w:pPr>
        <w:spacing w:after="0" w:line="67" w:lineRule="exact"/>
        <w:rPr>
          <w:rFonts w:ascii="Times New Roman" w:cs="Times New Roman" w:eastAsia="Times New Roman" w:hAnsi="Times New Roman"/>
          <w:sz w:val="18"/>
          <w:szCs w:val="18"/>
          <w:color w:val="auto"/>
        </w:rPr>
      </w:pPr>
    </w:p>
    <w:p>
      <w:pPr>
        <w:jc w:val="both"/>
        <w:ind w:left="1540" w:hanging="439"/>
        <w:spacing w:after="0" w:line="266"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agreement and plan of merger to acquire Mpirik Inc., we issued 130,862 shares of Class A common stock to former stockholders of Mpirik Inc. in March 2023. Subsequently in March 2024, we issued 8,724 additional shares of Class A common stock to former stockholders of Mpirik Inc. pursuant to the acquisition arrangements.</w:t>
      </w:r>
    </w:p>
    <w:p>
      <w:pPr>
        <w:spacing w:after="0" w:line="81"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acquisition of SEngine Precision Medicine LLC, or SEngine, we issued 142,513 shares of Class A common stock to former stockholder of SEngine in October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Subsequently in February 2024 and June 2024, we issued 429 and 19,620 additional shares, respectively, of Class A common stock to former stockholder of SEngine pursuant to the acquisition arrangements.</w:t>
      </w:r>
    </w:p>
    <w:p>
      <w:pPr>
        <w:spacing w:after="0" w:line="67" w:lineRule="exact"/>
        <w:rPr>
          <w:sz w:val="20"/>
          <w:szCs w:val="20"/>
          <w:color w:val="auto"/>
        </w:rPr>
      </w:pPr>
    </w:p>
    <w:p>
      <w:pPr>
        <w:jc w:val="both"/>
        <w:ind w:left="1080" w:hanging="532"/>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we issued a warrant to Allen &amp; Company LLC, or Allen, an underwriter for the initial public offering of our Class A common stock, or our IPO, to purchase up to 150,000 shares of our Class A common stock with an exercise price of $10 per share. In connection with the closing of our IPO in June 2024, we issued 109,459 shares of Class A common stock to Allen upon its net exercise of the warrant.</w:t>
      </w:r>
    </w:p>
    <w:p>
      <w:pPr>
        <w:spacing w:after="0" w:line="85" w:lineRule="exact"/>
        <w:rPr>
          <w:rFonts w:ascii="Times New Roman" w:cs="Times New Roman" w:eastAsia="Times New Roman" w:hAnsi="Times New Roman"/>
          <w:sz w:val="18"/>
          <w:szCs w:val="18"/>
          <w:color w:val="auto"/>
        </w:rPr>
      </w:pPr>
    </w:p>
    <w:p>
      <w:pPr>
        <w:jc w:val="both"/>
        <w:ind w:left="1080" w:hanging="532"/>
        <w:spacing w:after="0" w:line="254"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entered into a securities purchase agreement, or the Purchase Agreement, with REALM IDx, Inc., a Delaware corporation, or the Seller, and the Seller’s ultimate parent, Konica Minolta, Inc., a Japanese corporation, as guarantor, pursuant to which we agreed to purchase all of the outstanding shares of capital stock of Ambry Genetics Corporation, a Delaware corporation, or Ambry. Such transaction is hereinafter referred to as the Acquisition. Pursuant to the terms of the Purchase Agreement, consideration for the Acquisition consisted of $375.0 million in cash, subject to adjustment for cash, unpaid indebtedness, unpaid transaction expenses and net working capital of Ambry, plus the issuance to the Seller of an aggregate of 4,843,136 shares of our Class A common stock, or the Stock Consideration. We issued an aggregate of 4,843,136 shares of our Class A common stock to the Seller as Stock Consideration on February 3, 2025 upon the closing of the Acquisition. Pursuant to the terms of the Purchase Agreement, 2,152,505 of such shares issued to the Seller are subject to a lock-up for a period of one year following the closing date of the Acquisition.</w:t>
      </w:r>
    </w:p>
    <w:p>
      <w:pPr>
        <w:spacing w:after="0" w:line="93" w:lineRule="exact"/>
        <w:rPr>
          <w:rFonts w:ascii="Times New Roman" w:cs="Times New Roman" w:eastAsia="Times New Roman" w:hAnsi="Times New Roman"/>
          <w:sz w:val="18"/>
          <w:szCs w:val="18"/>
          <w:color w:val="auto"/>
        </w:rPr>
      </w:pPr>
    </w:p>
    <w:p>
      <w:pPr>
        <w:jc w:val="both"/>
        <w:ind w:left="1080" w:hanging="532"/>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in connection with an addendum to our agreement for use of Google LLC’s Google Cloud Platform, we amended and restated the terms of the convertible promissory note previously issued to Google. For more information regarding such amended and restated convertible promissory note, see “Part II, Item 9B. Other Information—</w:t>
      </w:r>
      <w:r>
        <w:rPr>
          <w:rFonts w:ascii="Times New Roman" w:cs="Times New Roman" w:eastAsia="Times New Roman" w:hAnsi="Times New Roman"/>
          <w:sz w:val="18"/>
          <w:szCs w:val="18"/>
          <w:i w:val="1"/>
          <w:iCs w:val="1"/>
          <w:color w:val="auto"/>
        </w:rPr>
        <w:t>Amendment to Convertible Promissory Note</w:t>
      </w:r>
      <w:r>
        <w:rPr>
          <w:rFonts w:ascii="Times New Roman" w:cs="Times New Roman" w:eastAsia="Times New Roman" w:hAnsi="Times New Roman"/>
          <w:sz w:val="18"/>
          <w:szCs w:val="18"/>
          <w:color w:val="auto"/>
        </w:rPr>
        <w:t xml:space="preserve">” in our Annual Report on </w:t>
      </w:r>
      <w:hyperlink r:id="rId8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on February 24, 2025.</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The sales of the above securities were deemed to be exempt from registration under the Securities Act in reliance on Section 4(a)(2) of the Securities Act (and/or Regulation D or Regulation S promulgated thereunder) or Rule 701 promulgated under Section 3(b) of the Securities Act as transactions by an issuer not involving any public offering or pursuant to benefit plans and contracts relating to compensation as provided under Rule 701.</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exhibits listed below are filed as part of this registration statement.</w:t>
      </w:r>
    </w:p>
    <w:p>
      <w:pPr>
        <w:spacing w:after="0" w:line="200" w:lineRule="exact"/>
        <w:rPr>
          <w:sz w:val="20"/>
          <w:szCs w:val="20"/>
          <w:color w:val="auto"/>
        </w:rPr>
      </w:pPr>
    </w:p>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18"/>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340" w:type="dxa"/>
            <w:vAlign w:val="bottom"/>
          </w:tcPr>
          <w:p>
            <w:pPr>
              <w:spacing w:after="0"/>
              <w:rPr>
                <w:sz w:val="24"/>
                <w:szCs w:val="24"/>
                <w:color w:val="auto"/>
              </w:rPr>
            </w:pPr>
          </w:p>
        </w:tc>
        <w:tc>
          <w:tcPr>
            <w:tcW w:w="5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Amended and Restated Certificate of Incorporation of the Registrant.</w:t>
              </w:r>
            </w:hyperlink>
          </w:p>
        </w:tc>
        <w:tc>
          <w:tcPr>
            <w:tcW w:w="440" w:type="dxa"/>
            <w:vAlign w:val="bottom"/>
            <w:gridSpan w:val="5"/>
          </w:tcPr>
          <w:p>
            <w:pPr>
              <w:spacing w:after="0"/>
              <w:rPr>
                <w:sz w:val="24"/>
                <w:szCs w:val="24"/>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340" w:type="dxa"/>
            <w:vAlign w:val="bottom"/>
          </w:tcPr>
          <w:p>
            <w:pPr>
              <w:spacing w:after="0"/>
              <w:rPr>
                <w:sz w:val="24"/>
                <w:szCs w:val="24"/>
                <w:color w:val="auto"/>
              </w:rPr>
            </w:pPr>
          </w:p>
        </w:tc>
        <w:tc>
          <w:tcPr>
            <w:tcW w:w="3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Amended and Restated Bylaws of the Registrant.</w:t>
              </w:r>
            </w:hyperlink>
          </w:p>
        </w:tc>
        <w:tc>
          <w:tcPr>
            <w:tcW w:w="1880" w:type="dxa"/>
            <w:vAlign w:val="bottom"/>
            <w:gridSpan w:val="12"/>
          </w:tcPr>
          <w:p>
            <w:pPr>
              <w:spacing w:after="0"/>
              <w:rPr>
                <w:sz w:val="24"/>
                <w:szCs w:val="24"/>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340" w:type="dxa"/>
            <w:vAlign w:val="bottom"/>
          </w:tcPr>
          <w:p>
            <w:pPr>
              <w:spacing w:after="0"/>
              <w:rPr>
                <w:sz w:val="24"/>
                <w:szCs w:val="24"/>
                <w:color w:val="auto"/>
              </w:rPr>
            </w:pPr>
          </w:p>
        </w:tc>
        <w:tc>
          <w:tcPr>
            <w:tcW w:w="33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Specimen Class A Common Stock Certificate.</w:t>
              </w:r>
            </w:hyperlink>
          </w:p>
        </w:tc>
        <w:tc>
          <w:tcPr>
            <w:tcW w:w="2100" w:type="dxa"/>
            <w:vAlign w:val="bottom"/>
            <w:gridSpan w:val="13"/>
          </w:tcPr>
          <w:p>
            <w:pPr>
              <w:spacing w:after="0"/>
              <w:rPr>
                <w:sz w:val="24"/>
                <w:szCs w:val="24"/>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340" w:type="dxa"/>
            <w:vAlign w:val="bottom"/>
          </w:tcPr>
          <w:p>
            <w:pPr>
              <w:spacing w:after="0"/>
              <w:rPr>
                <w:sz w:val="24"/>
                <w:szCs w:val="24"/>
                <w:color w:val="auto"/>
              </w:rPr>
            </w:pPr>
          </w:p>
        </w:tc>
        <w:tc>
          <w:tcPr>
            <w:tcW w:w="54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Opinion of Cooley LLP.</w:t>
            </w:r>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5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Twelfth Amended and Restated Investor Rights Agreement, dated April 30,</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2024.</w:t>
              </w:r>
            </w:hyperlink>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4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The Registrant’s Third Amended and Restated 2015 Stock Plan, as</w:t>
              </w:r>
            </w:hyperlink>
          </w:p>
        </w:tc>
        <w:tc>
          <w:tcPr>
            <w:tcW w:w="62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22"/>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amended.</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5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Forms of Grant Notices and Award Agreements under the Registrant’s</w:t>
              </w:r>
            </w:hyperlink>
          </w:p>
        </w:tc>
        <w:tc>
          <w:tcPr>
            <w:tcW w:w="36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22"/>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Third Amended and Restated 2015 Stock Plan, as amended.</w:t>
              </w:r>
            </w:hyperlink>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432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The Registrant’s 2024 Equity Incentive Plan.</w:t>
              </w:r>
            </w:hyperlink>
          </w:p>
        </w:tc>
        <w:tc>
          <w:tcPr>
            <w:tcW w:w="1120" w:type="dxa"/>
            <w:vAlign w:val="bottom"/>
            <w:gridSpan w:val="10"/>
          </w:tcPr>
          <w:p>
            <w:pPr>
              <w:spacing w:after="0"/>
              <w:rPr>
                <w:sz w:val="24"/>
                <w:szCs w:val="24"/>
                <w:color w:val="auto"/>
              </w:rPr>
            </w:pPr>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4"/>
                <w:szCs w:val="24"/>
                <w:color w:val="auto"/>
              </w:rPr>
            </w:pPr>
          </w:p>
        </w:tc>
        <w:tc>
          <w:tcPr>
            <w:tcW w:w="5440" w:type="dxa"/>
            <w:vAlign w:val="bottom"/>
            <w:gridSpan w:val="22"/>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Forms of Grant Notice, Stock Option Agreement and Notice of Exercise</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under the Registrant’s 2024 Equity Incentive Plan.</w:t>
              </w:r>
            </w:hyperlink>
          </w:p>
        </w:tc>
        <w:tc>
          <w:tcPr>
            <w:tcW w:w="220" w:type="dxa"/>
            <w:vAlign w:val="bottom"/>
            <w:gridSpan w:val="3"/>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4"/>
                <w:szCs w:val="24"/>
                <w:color w:val="auto"/>
              </w:rPr>
            </w:pPr>
          </w:p>
        </w:tc>
        <w:tc>
          <w:tcPr>
            <w:tcW w:w="53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Forms of Restricted Stock Unit Grant Notice and Award Agreement under</w:t>
              </w:r>
            </w:hyperlink>
          </w:p>
        </w:tc>
        <w:tc>
          <w:tcPr>
            <w:tcW w:w="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2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the Registrant’s 2024 Equity Incentive Plan.</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49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of Indemnification Agreement entered into by and between the</w:t>
              </w:r>
            </w:hyperlink>
          </w:p>
        </w:tc>
        <w:tc>
          <w:tcPr>
            <w:tcW w:w="46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2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Registrant and each director and executive officer.</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100" w:type="dxa"/>
            <w:vAlign w:val="bottom"/>
            <w:tcBorders>
              <w:left w:val="single" w:sz="8" w:color="0000EE"/>
            </w:tcBorders>
            <w:gridSpan w:val="5"/>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4"/>
                <w:szCs w:val="24"/>
                <w:color w:val="auto"/>
              </w:rPr>
            </w:pPr>
          </w:p>
        </w:tc>
        <w:tc>
          <w:tcPr>
            <w:tcW w:w="5440" w:type="dxa"/>
            <w:vAlign w:val="bottom"/>
            <w:gridSpan w:val="22"/>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Employment Agreement, by and between the Registrant and Eric</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Lefkofsky, dated February 1, 2024.</w:t>
              </w:r>
            </w:hyperlink>
          </w:p>
        </w:tc>
        <w:tc>
          <w:tcPr>
            <w:tcW w:w="740" w:type="dxa"/>
            <w:vAlign w:val="bottom"/>
            <w:gridSpan w:val="9"/>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260" w:type="dxa"/>
            <w:vAlign w:val="bottom"/>
            <w:tcBorders>
              <w:left w:val="single" w:sz="8" w:color="0000EE"/>
            </w:tcBorders>
            <w:gridSpan w:val="8"/>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4"/>
                <w:szCs w:val="24"/>
                <w:color w:val="auto"/>
              </w:rPr>
            </w:pPr>
          </w:p>
        </w:tc>
        <w:tc>
          <w:tcPr>
            <w:tcW w:w="5440" w:type="dxa"/>
            <w:vAlign w:val="bottom"/>
            <w:gridSpan w:val="22"/>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Employment Agreement, by and between the Registrant and Erik Phelps,</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dated January 1, 2023.</w:t>
              </w:r>
            </w:hyperlink>
          </w:p>
        </w:tc>
        <w:tc>
          <w:tcPr>
            <w:tcW w:w="3640" w:type="dxa"/>
            <w:vAlign w:val="bottom"/>
            <w:tcBorders>
              <w:top w:val="single" w:sz="8" w:color="0000EE"/>
            </w:tcBorders>
            <w:gridSpan w:val="17"/>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Employment Agreement, by and between the Registrant and Ryan</w:t>
              </w:r>
            </w:hyperlink>
          </w:p>
        </w:tc>
        <w:tc>
          <w:tcPr>
            <w:tcW w:w="66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2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Fukushima, dated January 1, 2023.</w:t>
              </w:r>
            </w:hyperlink>
          </w:p>
        </w:tc>
      </w:tr>
      <w:tr>
        <w:trPr>
          <w:trHeight w:val="20"/>
        </w:trPr>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gridSpan w:val="6"/>
            <w:shd w:val="clear" w:color="auto" w:fill="0000EE"/>
          </w:tcPr>
          <w:p>
            <w:pPr>
              <w:spacing w:after="0" w:line="20" w:lineRule="exact"/>
              <w:rPr>
                <w:sz w:val="1"/>
                <w:szCs w:val="1"/>
                <w:color w:val="auto"/>
              </w:rPr>
            </w:pPr>
          </w:p>
        </w:tc>
        <w:tc>
          <w:tcPr>
            <w:tcW w:w="2920" w:type="dxa"/>
            <w:vAlign w:val="bottom"/>
            <w:gridSpan w:val="16"/>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24"/>
                <w:szCs w:val="24"/>
                <w:color w:val="auto"/>
              </w:rPr>
            </w:pPr>
          </w:p>
        </w:tc>
        <w:tc>
          <w:tcPr>
            <w:tcW w:w="5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Employment Agreement, by and between the Registrant and James Rogers,</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dated January 1, 2023.</w:t>
              </w:r>
            </w:hyperlink>
          </w:p>
        </w:tc>
        <w:tc>
          <w:tcPr>
            <w:tcW w:w="3800" w:type="dxa"/>
            <w:vAlign w:val="bottom"/>
            <w:gridSpan w:val="19"/>
          </w:tcPr>
          <w:p>
            <w:pPr>
              <w:spacing w:after="0"/>
              <w:rPr>
                <w:sz w:val="17"/>
                <w:szCs w:val="17"/>
                <w:color w:val="auto"/>
              </w:rPr>
            </w:pPr>
          </w:p>
        </w:tc>
      </w:tr>
    </w:tbl>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320" w:type="dxa"/>
            <w:vAlign w:val="bottom"/>
          </w:tcPr>
          <w:p>
            <w:pPr>
              <w:spacing w:after="0"/>
              <w:rPr>
                <w:sz w:val="15"/>
                <w:szCs w:val="15"/>
                <w:color w:val="auto"/>
              </w:rPr>
            </w:pPr>
          </w:p>
        </w:tc>
        <w:tc>
          <w:tcPr>
            <w:tcW w:w="17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20" w:type="dxa"/>
            <w:vAlign w:val="bottom"/>
            <w:gridSpan w:val="2"/>
            <w:vMerge w:val="continue"/>
          </w:tcPr>
          <w:p>
            <w:pPr>
              <w:spacing w:after="0"/>
              <w:rPr>
                <w:sz w:val="10"/>
                <w:szCs w:val="10"/>
                <w:color w:val="auto"/>
              </w:rPr>
            </w:pPr>
          </w:p>
        </w:tc>
        <w:tc>
          <w:tcPr>
            <w:tcW w:w="320" w:type="dxa"/>
            <w:vAlign w:val="bottom"/>
            <w:vMerge w:val="restart"/>
          </w:tcPr>
          <w:p>
            <w:pPr>
              <w:spacing w:after="0"/>
              <w:rPr>
                <w:sz w:val="10"/>
                <w:szCs w:val="10"/>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40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2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001-42130</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17, 2024</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001-42130</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17, 2024</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June 5, 2024</w:t>
            </w:r>
          </w:p>
        </w:tc>
        <w:tc>
          <w:tcPr>
            <w:tcW w:w="0" w:type="dxa"/>
            <w:vAlign w:val="bottom"/>
          </w:tcPr>
          <w:p>
            <w:pPr>
              <w:spacing w:after="0"/>
              <w:rPr>
                <w:sz w:val="1"/>
                <w:szCs w:val="1"/>
                <w:color w:val="auto"/>
              </w:rPr>
            </w:pPr>
          </w:p>
        </w:tc>
      </w:tr>
      <w:tr>
        <w:trPr>
          <w:trHeight w:val="648"/>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333-279558</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bl>
    <w:p>
      <w:pPr>
        <w:sectPr>
          <w:pgSz w:w="11900" w:h="16838" w:orient="portrait"/>
          <w:cols w:equalWidth="0" w:num="2">
            <w:col w:w="6640" w:space="320"/>
            <w:col w:w="4100"/>
          </w:cols>
          <w:pgMar w:left="320" w:top="455"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360" w:type="dxa"/>
            <w:vAlign w:val="bottom"/>
            <w:gridSpan w:val="18"/>
          </w:tcPr>
          <w:p>
            <w:pPr>
              <w:spacing w:after="0"/>
              <w:rPr>
                <w:sz w:val="15"/>
                <w:szCs w:val="15"/>
                <w:color w:val="auto"/>
              </w:rPr>
            </w:pPr>
          </w:p>
        </w:tc>
      </w:tr>
      <w:tr>
        <w:trPr>
          <w:trHeight w:val="277"/>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4"/>
                <w:szCs w:val="24"/>
                <w:color w:val="auto"/>
              </w:rPr>
            </w:pPr>
          </w:p>
        </w:tc>
        <w:tc>
          <w:tcPr>
            <w:tcW w:w="54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Employment Agreement, by and between the Registrant and Andy Polovin,</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gridSpan w:val="24"/>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dated January 1, 2023.</w:t>
              </w:r>
            </w:hyperlink>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Agreement of Lease, by and between the Registrant and EQC 600 West</w:t>
              </w:r>
            </w:hyperlink>
          </w:p>
        </w:tc>
        <w:tc>
          <w:tcPr>
            <w:tcW w:w="32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Chicago Property LLC, dated January 18, 2018, as amended.</w:t>
              </w:r>
            </w:hyperlink>
          </w:p>
        </w:tc>
        <w:tc>
          <w:tcPr>
            <w:tcW w:w="1080" w:type="dxa"/>
            <w:vAlign w:val="bottom"/>
            <w:gridSpan w:val="13"/>
          </w:tcPr>
          <w:p>
            <w:pPr>
              <w:spacing w:after="0"/>
              <w:rPr>
                <w:sz w:val="17"/>
                <w:szCs w:val="17"/>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4"/>
                <w:szCs w:val="24"/>
                <w:color w:val="auto"/>
              </w:rPr>
            </w:pPr>
          </w:p>
        </w:tc>
        <w:tc>
          <w:tcPr>
            <w:tcW w:w="5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Supply Agreement, by and between the Registrant and Illumina, Inc., dated</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June 29, 2021.</w:t>
              </w:r>
            </w:hyperlink>
          </w:p>
        </w:tc>
        <w:tc>
          <w:tcPr>
            <w:tcW w:w="4420" w:type="dxa"/>
            <w:vAlign w:val="bottom"/>
            <w:gridSpan w:val="23"/>
          </w:tcPr>
          <w:p>
            <w:pPr>
              <w:spacing w:after="0"/>
              <w:rPr>
                <w:sz w:val="17"/>
                <w:szCs w:val="17"/>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24"/>
                <w:szCs w:val="24"/>
                <w:color w:val="auto"/>
              </w:rPr>
            </w:pPr>
          </w:p>
        </w:tc>
        <w:tc>
          <w:tcPr>
            <w:tcW w:w="49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Second Amended and Restated Convertible Promissory Note, by and</w:t>
              </w:r>
            </w:hyperlink>
          </w:p>
        </w:tc>
        <w:tc>
          <w:tcPr>
            <w:tcW w:w="50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between the Registrant and Google LLC, dated February 22, 2025.</w:t>
              </w:r>
            </w:hyperlink>
          </w:p>
        </w:tc>
        <w:tc>
          <w:tcPr>
            <w:tcW w:w="660" w:type="dxa"/>
            <w:vAlign w:val="bottom"/>
            <w:gridSpan w:val="9"/>
          </w:tcPr>
          <w:p>
            <w:pPr>
              <w:spacing w:after="0"/>
              <w:rPr>
                <w:sz w:val="17"/>
                <w:szCs w:val="17"/>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24"/>
                <w:szCs w:val="24"/>
                <w:color w:val="auto"/>
              </w:rPr>
            </w:pPr>
          </w:p>
        </w:tc>
        <w:tc>
          <w:tcPr>
            <w:tcW w:w="53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Amended and Restated Master Agreement, by and between the Registrant</w:t>
              </w:r>
            </w:hyperlink>
          </w:p>
        </w:tc>
        <w:tc>
          <w:tcPr>
            <w:tcW w:w="14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gridSpan w:val="24"/>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and Pathos AI, Inc., dated February 12, 2024.</w:t>
              </w:r>
            </w:hyperlink>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24"/>
                <w:szCs w:val="24"/>
                <w:color w:val="auto"/>
              </w:rPr>
            </w:pPr>
          </w:p>
        </w:tc>
        <w:tc>
          <w:tcPr>
            <w:tcW w:w="45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Master Services Agreement, by and between the Registrant and</w:t>
              </w:r>
            </w:hyperlink>
          </w:p>
        </w:tc>
        <w:tc>
          <w:tcPr>
            <w:tcW w:w="90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AstraZeneca AB, dated November 17, 2021.</w:t>
              </w:r>
            </w:hyperlink>
          </w:p>
        </w:tc>
        <w:tc>
          <w:tcPr>
            <w:tcW w:w="2260" w:type="dxa"/>
            <w:vAlign w:val="bottom"/>
            <w:gridSpan w:val="17"/>
          </w:tcPr>
          <w:p>
            <w:pPr>
              <w:spacing w:after="0"/>
              <w:rPr>
                <w:sz w:val="17"/>
                <w:szCs w:val="17"/>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24"/>
                <w:szCs w:val="24"/>
                <w:color w:val="auto"/>
              </w:rPr>
            </w:pPr>
          </w:p>
        </w:tc>
        <w:tc>
          <w:tcPr>
            <w:tcW w:w="5480" w:type="dxa"/>
            <w:vAlign w:val="bottom"/>
            <w:gridSpan w:val="24"/>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The Registrant’s 2024 Employee Stock Purchase Plan.</w:t>
              </w:r>
            </w:hyperlink>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24"/>
                <w:szCs w:val="24"/>
                <w:color w:val="auto"/>
              </w:rPr>
            </w:pPr>
          </w:p>
        </w:tc>
        <w:tc>
          <w:tcPr>
            <w:tcW w:w="5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Strategic Collaboration Agreement, by and between the Registrant and</w:t>
              </w:r>
            </w:hyperlink>
          </w:p>
        </w:tc>
        <w:tc>
          <w:tcPr>
            <w:tcW w:w="38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gridSpan w:val="24"/>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Glaxosmithkline LLC, dated August 1, 2022.</w:t>
              </w:r>
            </w:hyperlink>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440" w:type="dxa"/>
            <w:vAlign w:val="bottom"/>
          </w:tcPr>
          <w:p>
            <w:pPr>
              <w:spacing w:after="0"/>
              <w:rPr>
                <w:sz w:val="24"/>
                <w:szCs w:val="24"/>
                <w:color w:val="auto"/>
              </w:rPr>
            </w:pPr>
          </w:p>
        </w:tc>
        <w:tc>
          <w:tcPr>
            <w:tcW w:w="53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Credit Agreement, by and among the Registrant, the lenders party thereto,</w:t>
              </w:r>
            </w:hyperlink>
          </w:p>
        </w:tc>
        <w:tc>
          <w:tcPr>
            <w:tcW w:w="14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gridSpan w:val="24"/>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Ares Capital Corporation and Ares Capital Management LLC, dated</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September 22, 2022.</w:t>
              </w:r>
            </w:hyperlink>
          </w:p>
        </w:tc>
        <w:tc>
          <w:tcPr>
            <w:tcW w:w="3420" w:type="dxa"/>
            <w:vAlign w:val="bottom"/>
            <w:tcBorders>
              <w:top w:val="single" w:sz="8" w:color="0000EE"/>
            </w:tcBorders>
            <w:gridSpan w:val="14"/>
          </w:tcPr>
          <w:p>
            <w:pPr>
              <w:spacing w:after="0"/>
              <w:rPr>
                <w:sz w:val="17"/>
                <w:szCs w:val="17"/>
                <w:color w:val="auto"/>
              </w:rPr>
            </w:pPr>
          </w:p>
        </w:tc>
        <w:tc>
          <w:tcPr>
            <w:tcW w:w="560" w:type="dxa"/>
            <w:vAlign w:val="bottom"/>
            <w:gridSpan w:val="8"/>
          </w:tcPr>
          <w:p>
            <w:pPr>
              <w:spacing w:after="0"/>
              <w:rPr>
                <w:sz w:val="17"/>
                <w:szCs w:val="17"/>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24"/>
                <w:szCs w:val="24"/>
                <w:color w:val="auto"/>
              </w:rPr>
            </w:pPr>
          </w:p>
        </w:tc>
        <w:tc>
          <w:tcPr>
            <w:tcW w:w="5480" w:type="dxa"/>
            <w:vAlign w:val="bottom"/>
            <w:gridSpan w:val="24"/>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Limited Waiver and First Amendment to Credit Agreement, by and among</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the Registrant, the loan party signatories and lenders party thereto, and Ares</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gridSpan w:val="2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Capital Corporation as administrative agent, dated April 25, 2023.</w:t>
              </w:r>
            </w:hyperlink>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440" w:type="dxa"/>
            <w:vAlign w:val="bottom"/>
          </w:tcPr>
          <w:p>
            <w:pPr>
              <w:spacing w:after="0"/>
              <w:rPr>
                <w:sz w:val="24"/>
                <w:szCs w:val="24"/>
                <w:color w:val="auto"/>
              </w:rPr>
            </w:pPr>
          </w:p>
        </w:tc>
        <w:tc>
          <w:tcPr>
            <w:tcW w:w="5480" w:type="dxa"/>
            <w:vAlign w:val="bottom"/>
            <w:gridSpan w:val="24"/>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Second Amendment to Credit Agreement, by and among the Registrant, the</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loan party signatories and lenders party thereto, and Ares Capital</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Corporation as administrative agent, dated October 11, 2023.</w:t>
              </w:r>
            </w:hyperlink>
          </w:p>
        </w:tc>
        <w:tc>
          <w:tcPr>
            <w:tcW w:w="280" w:type="dxa"/>
            <w:vAlign w:val="bottom"/>
            <w:tcBorders>
              <w:top w:val="single" w:sz="8" w:color="0000EE"/>
            </w:tcBorders>
            <w:gridSpan w:val="2"/>
          </w:tcPr>
          <w:p>
            <w:pPr>
              <w:spacing w:after="0"/>
              <w:rPr>
                <w:sz w:val="17"/>
                <w:szCs w:val="17"/>
                <w:color w:val="auto"/>
              </w:rPr>
            </w:pPr>
          </w:p>
        </w:tc>
        <w:tc>
          <w:tcPr>
            <w:tcW w:w="800" w:type="dxa"/>
            <w:vAlign w:val="bottom"/>
            <w:gridSpan w:val="11"/>
          </w:tcPr>
          <w:p>
            <w:pPr>
              <w:spacing w:after="0"/>
              <w:rPr>
                <w:sz w:val="17"/>
                <w:szCs w:val="17"/>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tcPr>
          <w:p>
            <w:pPr>
              <w:spacing w:after="0"/>
              <w:rPr>
                <w:sz w:val="24"/>
                <w:szCs w:val="24"/>
                <w:color w:val="auto"/>
              </w:rPr>
            </w:pPr>
          </w:p>
        </w:tc>
        <w:tc>
          <w:tcPr>
            <w:tcW w:w="4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Master Agreement, by and between the Registrant and Recursion</w:t>
              </w:r>
            </w:hyperlink>
          </w:p>
        </w:tc>
        <w:tc>
          <w:tcPr>
            <w:tcW w:w="72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gridSpan w:val="24"/>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Pharmaceuticals, Inc., dated November 3, 2023.</w:t>
              </w:r>
            </w:hyperlink>
          </w:p>
        </w:tc>
      </w:tr>
      <w:tr>
        <w:trPr>
          <w:trHeight w:val="20"/>
        </w:trPr>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20" w:type="dxa"/>
            <w:vAlign w:val="bottom"/>
            <w:gridSpan w:val="15"/>
          </w:tcPr>
          <w:p>
            <w:pPr>
              <w:spacing w:after="0" w:line="20" w:lineRule="exact"/>
              <w:rPr>
                <w:sz w:val="1"/>
                <w:szCs w:val="1"/>
                <w:color w:val="auto"/>
              </w:rPr>
            </w:pPr>
          </w:p>
        </w:tc>
      </w:tr>
      <w:tr>
        <w:trPr>
          <w:trHeight w:val="30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440" w:type="dxa"/>
            <w:vAlign w:val="bottom"/>
          </w:tcPr>
          <w:p>
            <w:pPr>
              <w:spacing w:after="0"/>
              <w:rPr>
                <w:sz w:val="24"/>
                <w:szCs w:val="24"/>
                <w:color w:val="auto"/>
              </w:rPr>
            </w:pPr>
          </w:p>
        </w:tc>
        <w:tc>
          <w:tcPr>
            <w:tcW w:w="5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Amendment to Master Services Agreement, by and between Registrant and</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AstraZeneca AB, dated October 29, 2022.</w:t>
              </w:r>
            </w:hyperlink>
          </w:p>
        </w:tc>
        <w:tc>
          <w:tcPr>
            <w:tcW w:w="2440" w:type="dxa"/>
            <w:vAlign w:val="bottom"/>
            <w:gridSpan w:val="19"/>
          </w:tcPr>
          <w:p>
            <w:pPr>
              <w:spacing w:after="0"/>
              <w:rPr>
                <w:sz w:val="17"/>
                <w:szCs w:val="17"/>
                <w:color w:val="auto"/>
              </w:rPr>
            </w:pPr>
          </w:p>
        </w:tc>
      </w:tr>
    </w:tbl>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0" w:type="dxa"/>
            <w:vAlign w:val="bottom"/>
            <w:gridSpan w:val="2"/>
            <w:vMerge w:val="continue"/>
          </w:tcPr>
          <w:p>
            <w:pPr>
              <w:spacing w:after="0"/>
              <w:rPr>
                <w:sz w:val="10"/>
                <w:szCs w:val="10"/>
                <w:color w:val="auto"/>
              </w:rPr>
            </w:pPr>
          </w:p>
        </w:tc>
        <w:tc>
          <w:tcPr>
            <w:tcW w:w="134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22"/>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001-42130</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February 24,</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24"/>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5, 2024</w:t>
            </w:r>
          </w:p>
        </w:tc>
        <w:tc>
          <w:tcPr>
            <w:tcW w:w="0" w:type="dxa"/>
            <w:vAlign w:val="bottom"/>
          </w:tcPr>
          <w:p>
            <w:pPr>
              <w:spacing w:after="0"/>
              <w:rPr>
                <w:sz w:val="1"/>
                <w:szCs w:val="1"/>
                <w:color w:val="auto"/>
              </w:rPr>
            </w:pPr>
          </w:p>
        </w:tc>
      </w:tr>
      <w:tr>
        <w:trPr>
          <w:trHeight w:val="540"/>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324"/>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756"/>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756"/>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756"/>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333-279558</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bl>
    <w:p>
      <w:pPr>
        <w:sectPr>
          <w:pgSz w:w="11900" w:h="16838" w:orient="portrait"/>
          <w:cols w:equalWidth="0" w:num="2">
            <w:col w:w="6780" w:space="260"/>
            <w:col w:w="4020"/>
          </w:cols>
          <w:pgMar w:left="320" w:top="455"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0"/>
        <w:spacing w:after="0"/>
        <w:tabs>
          <w:tab w:leader="none" w:pos="356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left="1240" w:right="460" w:hanging="1124"/>
        <w:spacing w:after="0" w:line="312" w:lineRule="auto"/>
        <w:tabs>
          <w:tab w:leader="none" w:pos="210" w:val="left"/>
        </w:tabs>
        <w:numPr>
          <w:ilvl w:val="0"/>
          <w:numId w:val="4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10.25†</w:t>
      </w:r>
      <w:hyperlink r:id="rId123">
        <w:r>
          <w:rPr>
            <w:rFonts w:ascii="Times New Roman" w:cs="Times New Roman" w:eastAsia="Times New Roman" w:hAnsi="Times New Roman"/>
            <w:sz w:val="17"/>
            <w:szCs w:val="17"/>
            <w:u w:val="single" w:color="auto"/>
            <w:color w:val="0000EE"/>
          </w:rPr>
          <w:t>Second Amendment to Master Services Agreement, by and between</w:t>
        </w:r>
      </w:hyperlink>
      <w:r>
        <w:rPr>
          <w:rFonts w:ascii="Times New Roman" w:cs="Times New Roman" w:eastAsia="Times New Roman" w:hAnsi="Times New Roman"/>
          <w:sz w:val="17"/>
          <w:szCs w:val="17"/>
          <w:u w:val="single" w:color="auto"/>
          <w:color w:val="0000EE"/>
        </w:rPr>
        <w:t xml:space="preserve"> </w:t>
      </w:r>
      <w:hyperlink r:id="rId123">
        <w:r>
          <w:rPr>
            <w:rFonts w:ascii="Times New Roman" w:cs="Times New Roman" w:eastAsia="Times New Roman" w:hAnsi="Times New Roman"/>
            <w:sz w:val="17"/>
            <w:szCs w:val="17"/>
            <w:u w:val="single" w:color="auto"/>
            <w:color w:val="0000EE"/>
          </w:rPr>
          <w:t>Registrant and AstraZeneca UK Ltd, dated February 21, 2023.</w:t>
        </w:r>
      </w:hyperlink>
    </w:p>
    <w:p>
      <w:pPr>
        <w:spacing w:after="0" w:line="31" w:lineRule="exact"/>
        <w:rPr>
          <w:rFonts w:ascii="Times New Roman" w:cs="Times New Roman" w:eastAsia="Times New Roman" w:hAnsi="Times New Roman"/>
          <w:sz w:val="17"/>
          <w:szCs w:val="17"/>
          <w:u w:val="single" w:color="auto"/>
          <w:color w:val="0000EE"/>
        </w:rPr>
      </w:pPr>
    </w:p>
    <w:p>
      <w:pPr>
        <w:ind w:left="1240" w:right="580" w:hanging="1124"/>
        <w:spacing w:after="0" w:line="312" w:lineRule="auto"/>
        <w:tabs>
          <w:tab w:leader="none" w:pos="210" w:val="left"/>
        </w:tabs>
        <w:numPr>
          <w:ilvl w:val="0"/>
          <w:numId w:val="4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10.26†</w:t>
      </w:r>
      <w:hyperlink r:id="rId124">
        <w:r>
          <w:rPr>
            <w:rFonts w:ascii="Times New Roman" w:cs="Times New Roman" w:eastAsia="Times New Roman" w:hAnsi="Times New Roman"/>
            <w:sz w:val="17"/>
            <w:szCs w:val="17"/>
            <w:u w:val="single" w:color="auto"/>
            <w:color w:val="0000EE"/>
          </w:rPr>
          <w:t>Third Amendment to Master Services Agreement, by and between</w:t>
        </w:r>
      </w:hyperlink>
      <w:r>
        <w:rPr>
          <w:rFonts w:ascii="Times New Roman" w:cs="Times New Roman" w:eastAsia="Times New Roman" w:hAnsi="Times New Roman"/>
          <w:sz w:val="17"/>
          <w:szCs w:val="17"/>
          <w:u w:val="single" w:color="auto"/>
          <w:color w:val="0000EE"/>
        </w:rPr>
        <w:t xml:space="preserve"> </w:t>
      </w:r>
      <w:hyperlink r:id="rId124">
        <w:r>
          <w:rPr>
            <w:rFonts w:ascii="Times New Roman" w:cs="Times New Roman" w:eastAsia="Times New Roman" w:hAnsi="Times New Roman"/>
            <w:sz w:val="17"/>
            <w:szCs w:val="17"/>
            <w:u w:val="single" w:color="auto"/>
            <w:color w:val="0000EE"/>
          </w:rPr>
          <w:t>Registrant and AstraZeneca AB, dated December 18, 2023.</w:t>
        </w:r>
      </w:hyperlink>
    </w:p>
    <w:p>
      <w:pPr>
        <w:spacing w:after="0" w:line="31" w:lineRule="exact"/>
        <w:rPr>
          <w:rFonts w:ascii="Times New Roman" w:cs="Times New Roman" w:eastAsia="Times New Roman" w:hAnsi="Times New Roman"/>
          <w:sz w:val="17"/>
          <w:szCs w:val="17"/>
          <w:u w:val="single" w:color="auto"/>
          <w:color w:val="0000EE"/>
        </w:rPr>
      </w:pPr>
    </w:p>
    <w:p>
      <w:pPr>
        <w:ind w:left="1240" w:right="300" w:hanging="1124"/>
        <w:spacing w:after="0" w:line="266" w:lineRule="auto"/>
        <w:tabs>
          <w:tab w:leader="none" w:pos="210" w:val="left"/>
        </w:tabs>
        <w:numPr>
          <w:ilvl w:val="0"/>
          <w:numId w:val="4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hyperlink r:id="rId125">
        <w:r>
          <w:rPr>
            <w:rFonts w:ascii="Times New Roman" w:cs="Times New Roman" w:eastAsia="Times New Roman" w:hAnsi="Times New Roman"/>
            <w:sz w:val="18"/>
            <w:szCs w:val="18"/>
            <w:u w:val="single" w:color="auto"/>
            <w:color w:val="0000EE"/>
          </w:rPr>
          <w:t>Joint Venture Agreement, by and among Softbank Group Corporation,</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Softbank Group Japan Corporation, the Registrant and Pegasos Corp.,</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dated May 18, 2024.</w:t>
        </w:r>
      </w:hyperlink>
    </w:p>
    <w:p>
      <w:pPr>
        <w:spacing w:after="0" w:line="67" w:lineRule="exact"/>
        <w:rPr>
          <w:rFonts w:ascii="Times New Roman" w:cs="Times New Roman" w:eastAsia="Times New Roman" w:hAnsi="Times New Roman"/>
          <w:sz w:val="18"/>
          <w:szCs w:val="18"/>
          <w:u w:val="single" w:color="auto"/>
          <w:color w:val="0000EE"/>
        </w:rPr>
      </w:pPr>
    </w:p>
    <w:p>
      <w:pPr>
        <w:ind w:left="1240" w:right="420" w:hanging="1124"/>
        <w:spacing w:after="0" w:line="282" w:lineRule="auto"/>
        <w:tabs>
          <w:tab w:leader="none" w:pos="210" w:val="left"/>
        </w:tabs>
        <w:numPr>
          <w:ilvl w:val="0"/>
          <w:numId w:val="4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hyperlink r:id="rId126">
        <w:r>
          <w:rPr>
            <w:rFonts w:ascii="Times New Roman" w:cs="Times New Roman" w:eastAsia="Times New Roman" w:hAnsi="Times New Roman"/>
            <w:sz w:val="18"/>
            <w:szCs w:val="18"/>
            <w:u w:val="single" w:color="auto"/>
            <w:color w:val="0000EE"/>
          </w:rPr>
          <w:t>Data License Agreement by and between the Registrant and Pegasos</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Corp., dated May 18, 2024.</w:t>
        </w:r>
      </w:hyperlink>
    </w:p>
    <w:p>
      <w:pPr>
        <w:spacing w:after="0" w:line="53" w:lineRule="exact"/>
        <w:rPr>
          <w:rFonts w:ascii="Times New Roman" w:cs="Times New Roman" w:eastAsia="Times New Roman" w:hAnsi="Times New Roman"/>
          <w:sz w:val="18"/>
          <w:szCs w:val="18"/>
          <w:u w:val="single" w:color="auto"/>
          <w:color w:val="0000EE"/>
        </w:rPr>
      </w:pPr>
    </w:p>
    <w:p>
      <w:pPr>
        <w:ind w:left="1240" w:right="180" w:hanging="1124"/>
        <w:spacing w:after="0" w:line="282" w:lineRule="auto"/>
        <w:tabs>
          <w:tab w:leader="none" w:pos="210" w:val="left"/>
        </w:tabs>
        <w:numPr>
          <w:ilvl w:val="0"/>
          <w:numId w:val="4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hyperlink r:id="rId127">
        <w:r>
          <w:rPr>
            <w:rFonts w:ascii="Times New Roman" w:cs="Times New Roman" w:eastAsia="Times New Roman" w:hAnsi="Times New Roman"/>
            <w:sz w:val="18"/>
            <w:szCs w:val="18"/>
            <w:u w:val="single" w:color="auto"/>
            <w:color w:val="0000EE"/>
          </w:rPr>
          <w:t>Intellectual Property License Agreement, by and between the Registrant</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and Pegasos Corp., dated May 18, 2024.</w:t>
        </w:r>
      </w:hyperlink>
    </w:p>
    <w:p>
      <w:pPr>
        <w:spacing w:after="0" w:line="53" w:lineRule="exact"/>
        <w:rPr>
          <w:rFonts w:ascii="Times New Roman" w:cs="Times New Roman" w:eastAsia="Times New Roman" w:hAnsi="Times New Roman"/>
          <w:sz w:val="18"/>
          <w:szCs w:val="18"/>
          <w:u w:val="single" w:color="auto"/>
          <w:color w:val="0000EE"/>
        </w:rPr>
      </w:pPr>
    </w:p>
    <w:p>
      <w:pPr>
        <w:ind w:left="1240" w:right="60" w:hanging="1124"/>
        <w:spacing w:after="0" w:line="282" w:lineRule="auto"/>
        <w:tabs>
          <w:tab w:leader="none" w:pos="210" w:val="left"/>
        </w:tabs>
        <w:numPr>
          <w:ilvl w:val="0"/>
          <w:numId w:val="4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hyperlink r:id="rId128">
        <w:r>
          <w:rPr>
            <w:rFonts w:ascii="Times New Roman" w:cs="Times New Roman" w:eastAsia="Times New Roman" w:hAnsi="Times New Roman"/>
            <w:sz w:val="18"/>
            <w:szCs w:val="18"/>
            <w:u w:val="single" w:color="auto"/>
            <w:color w:val="0000EE"/>
          </w:rPr>
          <w:t>Amendment No. 1 to Strategic Collaboration Agreement, by and between</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the Registrant and GlaxoSmithKline LLC, dated May 20, 2024.</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10.31</w:t>
            </w:r>
          </w:p>
        </w:tc>
        <w:tc>
          <w:tcPr>
            <w:tcW w:w="52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Start-Up Agreement, by and between the Registrant and Pathos AI, Inc.,</w:t>
              </w:r>
            </w:hyperlink>
          </w:p>
        </w:tc>
      </w:tr>
      <w:tr>
        <w:trPr>
          <w:trHeight w:val="196"/>
        </w:trPr>
        <w:tc>
          <w:tcPr>
            <w:tcW w:w="1120" w:type="dxa"/>
            <w:vAlign w:val="bottom"/>
          </w:tcPr>
          <w:p>
            <w:pPr>
              <w:spacing w:after="0"/>
              <w:rPr>
                <w:sz w:val="17"/>
                <w:szCs w:val="17"/>
                <w:color w:val="auto"/>
              </w:rPr>
            </w:pPr>
          </w:p>
        </w:tc>
        <w:tc>
          <w:tcPr>
            <w:tcW w:w="5200" w:type="dxa"/>
            <w:vAlign w:val="bottom"/>
            <w:gridSpan w:val="2"/>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dated August 1, 2024.</w:t>
              </w:r>
            </w:hyperlink>
          </w:p>
        </w:tc>
      </w:tr>
      <w:tr>
        <w:trPr>
          <w:trHeight w:val="20"/>
        </w:trPr>
        <w:tc>
          <w:tcPr>
            <w:tcW w:w="11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130" w:lineRule="exact"/>
        <w:rPr>
          <w:sz w:val="20"/>
          <w:szCs w:val="20"/>
          <w:color w:val="auto"/>
        </w:rPr>
      </w:pPr>
    </w:p>
    <w:p>
      <w:pPr>
        <w:ind w:left="1240" w:right="240" w:hanging="1124"/>
        <w:spacing w:after="0" w:line="282" w:lineRule="auto"/>
        <w:tabs>
          <w:tab w:leader="none" w:pos="210" w:val="left"/>
        </w:tabs>
        <w:numPr>
          <w:ilvl w:val="0"/>
          <w:numId w:val="4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hyperlink r:id="rId130">
        <w:r>
          <w:rPr>
            <w:rFonts w:ascii="Times New Roman" w:cs="Times New Roman" w:eastAsia="Times New Roman" w:hAnsi="Times New Roman"/>
            <w:sz w:val="18"/>
            <w:szCs w:val="18"/>
            <w:u w:val="single" w:color="auto"/>
            <w:color w:val="0000EE"/>
          </w:rPr>
          <w:t>Securities Purchase Agreement, by and among the Registrant, REALM</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IDx, Inc. and Konica Minolta, Inc., dated November 4, 2024.</w:t>
        </w:r>
      </w:hyperlink>
    </w:p>
    <w:p>
      <w:pPr>
        <w:spacing w:after="0" w:line="67" w:lineRule="exact"/>
        <w:rPr>
          <w:rFonts w:ascii="Times New Roman" w:cs="Times New Roman" w:eastAsia="Times New Roman" w:hAnsi="Times New Roman"/>
          <w:sz w:val="18"/>
          <w:szCs w:val="18"/>
          <w:u w:val="single" w:color="auto"/>
          <w:color w:val="0000EE"/>
        </w:rPr>
      </w:pPr>
    </w:p>
    <w:p>
      <w:pPr>
        <w:ind w:left="1240" w:hanging="1124"/>
        <w:spacing w:after="0" w:line="258" w:lineRule="auto"/>
        <w:tabs>
          <w:tab w:leader="none" w:pos="210" w:val="left"/>
        </w:tabs>
        <w:numPr>
          <w:ilvl w:val="0"/>
          <w:numId w:val="4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hyperlink r:id="rId131">
        <w:r>
          <w:rPr>
            <w:rFonts w:ascii="Times New Roman" w:cs="Times New Roman" w:eastAsia="Times New Roman" w:hAnsi="Times New Roman"/>
            <w:sz w:val="18"/>
            <w:szCs w:val="18"/>
            <w:u w:val="single" w:color="auto"/>
            <w:color w:val="0000EE"/>
          </w:rPr>
          <w:t>Third Amendment to Credit Agreement and First Amendment to</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Guarantee and Collateral Agreement, dated as of February 3, 2025, by and</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among the Company, certain subsidiaries of the Company party thereto,</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the lenders party thereto, Ares Capital Corporation, as administrative</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agent and ACF Finco I LP, as revolving agent.</w:t>
        </w:r>
      </w:hyperlink>
    </w:p>
    <w:p>
      <w:pPr>
        <w:spacing w:after="0" w:line="62" w:lineRule="exact"/>
        <w:rPr>
          <w:rFonts w:ascii="Times New Roman" w:cs="Times New Roman" w:eastAsia="Times New Roman" w:hAnsi="Times New Roman"/>
          <w:sz w:val="18"/>
          <w:szCs w:val="18"/>
          <w:u w:val="single" w:color="auto"/>
          <w:color w:val="0000EE"/>
        </w:rPr>
      </w:pPr>
    </w:p>
    <w:tbl>
      <w:tblPr>
        <w:tblLayout w:type="fixed"/>
        <w:tblInd w:w="1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10.34</w:t>
            </w:r>
          </w:p>
        </w:tc>
        <w:tc>
          <w:tcPr>
            <w:tcW w:w="52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Eighth Amendment to Agreement of Lease, dated as of June 18, 2024, by</w:t>
              </w:r>
            </w:hyperlink>
          </w:p>
        </w:tc>
      </w:tr>
      <w:tr>
        <w:trPr>
          <w:trHeight w:val="196"/>
        </w:trPr>
        <w:tc>
          <w:tcPr>
            <w:tcW w:w="1120" w:type="dxa"/>
            <w:vAlign w:val="bottom"/>
          </w:tcPr>
          <w:p>
            <w:pPr>
              <w:spacing w:after="0"/>
              <w:rPr>
                <w:sz w:val="17"/>
                <w:szCs w:val="17"/>
                <w:color w:val="auto"/>
              </w:rPr>
            </w:pPr>
          </w:p>
        </w:tc>
        <w:tc>
          <w:tcPr>
            <w:tcW w:w="5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and between the Registrant and EQC 600 West Chicago Property LLC.</w:t>
              </w:r>
            </w:hyperlink>
          </w:p>
        </w:tc>
        <w:tc>
          <w:tcPr>
            <w:tcW w:w="160" w:type="dxa"/>
            <w:vAlign w:val="bottom"/>
            <w:gridSpan w:val="2"/>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5280" w:type="dxa"/>
            <w:vAlign w:val="bottom"/>
            <w:gridSpan w:val="7"/>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List of Subsidiaries of the Registrant.</w:t>
              </w:r>
            </w:hyperlink>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w:t>
            </w:r>
          </w:p>
        </w:tc>
      </w:tr>
      <w:tr>
        <w:trPr>
          <w:trHeight w:val="196"/>
        </w:trPr>
        <w:tc>
          <w:tcPr>
            <w:tcW w:w="1120" w:type="dxa"/>
            <w:vAlign w:val="bottom"/>
          </w:tcPr>
          <w:p>
            <w:pPr>
              <w:spacing w:after="0"/>
              <w:rPr>
                <w:sz w:val="17"/>
                <w:szCs w:val="17"/>
                <w:color w:val="auto"/>
              </w:rPr>
            </w:pPr>
          </w:p>
        </w:tc>
        <w:tc>
          <w:tcPr>
            <w:tcW w:w="5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4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hereto).</w:t>
            </w:r>
          </w:p>
        </w:tc>
        <w:tc>
          <w:tcPr>
            <w:tcW w:w="1040" w:type="dxa"/>
            <w:vAlign w:val="bottom"/>
            <w:gridSpan w:val="3"/>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385"/>
        </w:trPr>
        <w:tc>
          <w:tcPr>
            <w:tcW w:w="11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II-6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gridSpan w:val="2"/>
            <w:vMerge w:val="continue"/>
          </w:tcPr>
          <w:p>
            <w:pPr>
              <w:spacing w:after="0"/>
              <w:rPr>
                <w:sz w:val="10"/>
                <w:szCs w:val="10"/>
                <w:color w:val="auto"/>
              </w:rPr>
            </w:pPr>
          </w:p>
        </w:tc>
        <w:tc>
          <w:tcPr>
            <w:tcW w:w="140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333-279558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333-279558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333-279558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5, 2024</w:t>
            </w:r>
          </w:p>
        </w:tc>
        <w:tc>
          <w:tcPr>
            <w:tcW w:w="0" w:type="dxa"/>
            <w:vAlign w:val="bottom"/>
          </w:tcPr>
          <w:p>
            <w:pPr>
              <w:spacing w:after="0"/>
              <w:rPr>
                <w:sz w:val="1"/>
                <w:szCs w:val="1"/>
                <w:color w:val="auto"/>
              </w:rPr>
            </w:pPr>
          </w:p>
        </w:tc>
      </w:tr>
      <w:tr>
        <w:trPr>
          <w:trHeight w:val="756"/>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333-279558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5, 2024</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333-279558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5, 2024</w:t>
            </w:r>
          </w:p>
        </w:tc>
        <w:tc>
          <w:tcPr>
            <w:tcW w:w="0" w:type="dxa"/>
            <w:vAlign w:val="bottom"/>
          </w:tcPr>
          <w:p>
            <w:pPr>
              <w:spacing w:after="0"/>
              <w:rPr>
                <w:sz w:val="1"/>
                <w:szCs w:val="1"/>
                <w:color w:val="auto"/>
              </w:rPr>
            </w:pPr>
          </w:p>
        </w:tc>
      </w:tr>
      <w:tr>
        <w:trPr>
          <w:trHeight w:val="540"/>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333-279558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5, 2024</w:t>
            </w:r>
          </w:p>
        </w:tc>
        <w:tc>
          <w:tcPr>
            <w:tcW w:w="0" w:type="dxa"/>
            <w:vAlign w:val="bottom"/>
          </w:tcPr>
          <w:p>
            <w:pPr>
              <w:spacing w:after="0"/>
              <w:rPr>
                <w:sz w:val="1"/>
                <w:szCs w:val="1"/>
                <w:color w:val="auto"/>
              </w:rPr>
            </w:pPr>
          </w:p>
        </w:tc>
      </w:tr>
      <w:tr>
        <w:trPr>
          <w:trHeight w:val="522"/>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001-42130</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November 4,</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001-42130</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November 5,</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19"/>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001-42130</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3,</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954"/>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001-42130</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10.34</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February 24,</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24"/>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333-279558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5, 2024</w:t>
            </w:r>
          </w:p>
        </w:tc>
        <w:tc>
          <w:tcPr>
            <w:tcW w:w="0" w:type="dxa"/>
            <w:vAlign w:val="bottom"/>
          </w:tcPr>
          <w:p>
            <w:pPr>
              <w:spacing w:after="0"/>
              <w:rPr>
                <w:sz w:val="1"/>
                <w:szCs w:val="1"/>
                <w:color w:val="auto"/>
              </w:rPr>
            </w:pPr>
          </w:p>
        </w:tc>
      </w:tr>
    </w:tbl>
    <w:p>
      <w:pPr>
        <w:sectPr>
          <w:pgSz w:w="11900" w:h="16838" w:orient="portrait"/>
          <w:cols w:equalWidth="0" w:num="2">
            <w:col w:w="6600" w:space="260"/>
            <w:col w:w="420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540" w:right="2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spacing w:after="0" w:line="1" w:lineRule="exact"/>
        <w:rPr>
          <w:sz w:val="20"/>
          <w:szCs w:val="20"/>
          <w:color w:val="auto"/>
        </w:rPr>
      </w:pPr>
    </w:p>
    <w:p>
      <w:pPr>
        <w:ind w:left="540" w:right="20" w:hanging="424"/>
        <w:spacing w:after="0" w:line="26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The undersigned registrant hereby undertakes as follows:</w:t>
      </w:r>
    </w:p>
    <w:p>
      <w:pPr>
        <w:spacing w:after="0" w:line="131"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jc w:val="both"/>
        <w:ind w:left="1540" w:hanging="439"/>
        <w:spacing w:after="0" w:line="255"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94"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rFonts w:ascii="Times New Roman" w:cs="Times New Roman" w:eastAsia="Times New Roman" w:hAnsi="Times New Roman"/>
          <w:sz w:val="18"/>
          <w:szCs w:val="18"/>
          <w:color w:val="auto"/>
        </w:rPr>
      </w:pPr>
    </w:p>
    <w:p>
      <w:pPr>
        <w:jc w:val="both"/>
        <w:ind w:left="154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8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540" w:hanging="439"/>
        <w:spacing w:after="0" w:line="253" w:lineRule="auto"/>
        <w:tabs>
          <w:tab w:leader="none" w:pos="154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rFonts w:ascii="Times New Roman" w:cs="Times New Roman" w:eastAsia="Times New Roman" w:hAnsi="Times New Roman"/>
          <w:sz w:val="18"/>
          <w:szCs w:val="18"/>
          <w:color w:val="auto"/>
        </w:rPr>
      </w:pPr>
    </w:p>
    <w:p>
      <w:pPr>
        <w:jc w:val="both"/>
        <w:ind w:left="1080" w:right="20" w:hanging="532"/>
        <w:spacing w:after="0" w:line="258"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our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jc w:val="both"/>
        <w:ind w:left="540" w:hanging="424"/>
        <w:spacing w:after="0" w:line="254"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our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20" w:firstLine="44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Chicago, Illinois, on this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2025.</w:t>
      </w:r>
    </w:p>
    <w:p>
      <w:pPr>
        <w:spacing w:after="0" w:line="4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Eric Lefkofsky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21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KNOW ALL BY THESE PRESENTS</w:t>
      </w:r>
      <w:r>
        <w:rPr>
          <w:rFonts w:ascii="Times New Roman" w:cs="Times New Roman" w:eastAsia="Times New Roman" w:hAnsi="Times New Roman"/>
          <w:sz w:val="18"/>
          <w:szCs w:val="18"/>
          <w:color w:val="auto"/>
        </w:rPr>
        <w:t>, that each person whose signature appears below hereby constitutes and appoints Eric Lefkofsky, James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Rogers and Andrew Polovin,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5"/>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Lefkofsky</w:t>
            </w: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160" w:type="dxa"/>
            <w:vAlign w:val="bottom"/>
          </w:tcPr>
          <w:p>
            <w:pPr>
              <w:spacing w:after="0"/>
              <w:rPr>
                <w:sz w:val="19"/>
                <w:szCs w:val="19"/>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Rogers</w:t>
            </w:r>
          </w:p>
        </w:tc>
        <w:tc>
          <w:tcPr>
            <w:tcW w:w="2160" w:type="dxa"/>
            <w:vAlign w:val="bottom"/>
            <w:tcBorders>
              <w:bottom w:val="single" w:sz="8" w:color="auto"/>
            </w:tcBorders>
          </w:tcPr>
          <w:p>
            <w:pPr>
              <w:spacing w:after="0"/>
              <w:rPr>
                <w:sz w:val="24"/>
                <w:szCs w:val="24"/>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160" w:type="dxa"/>
            <w:vAlign w:val="bottom"/>
          </w:tcPr>
          <w:p>
            <w:pPr>
              <w:spacing w:after="0"/>
              <w:rPr>
                <w:sz w:val="19"/>
                <w:szCs w:val="19"/>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Ryan Bartolucci</w:t>
            </w:r>
          </w:p>
        </w:tc>
        <w:tc>
          <w:tcPr>
            <w:tcW w:w="2160" w:type="dxa"/>
            <w:vAlign w:val="bottom"/>
            <w:tcBorders>
              <w:bottom w:val="single" w:sz="8" w:color="auto"/>
            </w:tcBorders>
          </w:tcPr>
          <w:p>
            <w:pPr>
              <w:spacing w:after="0"/>
              <w:rPr>
                <w:sz w:val="24"/>
                <w:szCs w:val="24"/>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160" w:type="dxa"/>
            <w:vAlign w:val="bottom"/>
          </w:tcPr>
          <w:p>
            <w:pPr>
              <w:spacing w:after="0"/>
              <w:rPr>
                <w:sz w:val="19"/>
                <w:szCs w:val="19"/>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J. Barris</w:t>
            </w:r>
          </w:p>
        </w:tc>
        <w:tc>
          <w:tcPr>
            <w:tcW w:w="2160" w:type="dxa"/>
            <w:vAlign w:val="bottom"/>
            <w:tcBorders>
              <w:bottom w:val="single" w:sz="8" w:color="auto"/>
            </w:tcBorders>
          </w:tcPr>
          <w:p>
            <w:pPr>
              <w:spacing w:after="0"/>
              <w:rPr>
                <w:sz w:val="24"/>
                <w:szCs w:val="24"/>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Eric D. Belcher</w:t>
            </w:r>
          </w:p>
        </w:tc>
        <w:tc>
          <w:tcPr>
            <w:tcW w:w="2160" w:type="dxa"/>
            <w:vAlign w:val="bottom"/>
            <w:tcBorders>
              <w:bottom w:val="single" w:sz="8" w:color="auto"/>
            </w:tcBorders>
          </w:tcPr>
          <w:p>
            <w:pPr>
              <w:spacing w:after="0"/>
              <w:rPr>
                <w:sz w:val="24"/>
                <w:szCs w:val="24"/>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Jennifer A. Doudna</w:t>
            </w:r>
          </w:p>
        </w:tc>
        <w:tc>
          <w:tcPr>
            <w:tcW w:w="2160" w:type="dxa"/>
            <w:vAlign w:val="bottom"/>
            <w:tcBorders>
              <w:bottom w:val="single" w:sz="8" w:color="auto"/>
            </w:tcBorders>
          </w:tcPr>
          <w:p>
            <w:pPr>
              <w:spacing w:after="0"/>
              <w:rPr>
                <w:sz w:val="24"/>
                <w:szCs w:val="24"/>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R. Epstein</w:t>
            </w:r>
          </w:p>
        </w:tc>
        <w:tc>
          <w:tcPr>
            <w:tcW w:w="2160" w:type="dxa"/>
            <w:vAlign w:val="bottom"/>
            <w:tcBorders>
              <w:bottom w:val="single" w:sz="8" w:color="auto"/>
            </w:tcBorders>
          </w:tcPr>
          <w:p>
            <w:pPr>
              <w:spacing w:after="0"/>
              <w:rPr>
                <w:sz w:val="24"/>
                <w:szCs w:val="24"/>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Epstein</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0"/>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II-9</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780" w:type="dxa"/>
            <w:vAlign w:val="bottom"/>
          </w:tcPr>
          <w:p>
            <w:pPr>
              <w:spacing w:after="0"/>
              <w:rPr>
                <w:sz w:val="15"/>
                <w:szCs w:val="15"/>
                <w:color w:val="auto"/>
              </w:rPr>
            </w:pPr>
          </w:p>
        </w:tc>
        <w:tc>
          <w:tcPr>
            <w:tcW w:w="8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5"/>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Wayne A.I. Frederick</w:t>
            </w: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9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spacing w:after="0"/>
              <w:rPr>
                <w:sz w:val="24"/>
                <w:szCs w:val="24"/>
                <w:color w:val="auto"/>
              </w:rPr>
            </w:pPr>
          </w:p>
        </w:tc>
        <w:tc>
          <w:tcPr>
            <w:tcW w:w="3580" w:type="dxa"/>
            <w:vAlign w:val="bottom"/>
            <w:gridSpan w:val="3"/>
          </w:tcPr>
          <w:p>
            <w:pPr>
              <w:jc w:val="center"/>
              <w:ind w:left="217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Gottlieb</w:t>
            </w:r>
          </w:p>
        </w:tc>
        <w:tc>
          <w:tcPr>
            <w:tcW w:w="2160" w:type="dxa"/>
            <w:vAlign w:val="bottom"/>
            <w:tcBorders>
              <w:bottom w:val="single" w:sz="8" w:color="auto"/>
            </w:tcBorders>
          </w:tcPr>
          <w:p>
            <w:pPr>
              <w:spacing w:after="0"/>
              <w:rPr>
                <w:sz w:val="24"/>
                <w:szCs w:val="24"/>
                <w:color w:val="auto"/>
              </w:rPr>
            </w:pPr>
          </w:p>
        </w:tc>
        <w:tc>
          <w:tcPr>
            <w:tcW w:w="2200" w:type="dxa"/>
            <w:vAlign w:val="bottom"/>
            <w:gridSpan w:val="2"/>
          </w:tcPr>
          <w:p>
            <w:pPr>
              <w:jc w:val="right"/>
              <w:ind w:right="1408"/>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gridSpan w:val="3"/>
          </w:tcPr>
          <w:p>
            <w:pPr>
              <w:jc w:val="center"/>
              <w:ind w:left="217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Theodore J. Leonsis</w:t>
            </w:r>
          </w:p>
        </w:tc>
        <w:tc>
          <w:tcPr>
            <w:tcW w:w="2160" w:type="dxa"/>
            <w:vAlign w:val="bottom"/>
            <w:tcBorders>
              <w:bottom w:val="single" w:sz="8" w:color="auto"/>
            </w:tcBorders>
          </w:tcPr>
          <w:p>
            <w:pPr>
              <w:spacing w:after="0"/>
              <w:rPr>
                <w:sz w:val="24"/>
                <w:szCs w:val="24"/>
                <w:color w:val="auto"/>
              </w:rPr>
            </w:pPr>
          </w:p>
        </w:tc>
        <w:tc>
          <w:tcPr>
            <w:tcW w:w="2200" w:type="dxa"/>
            <w:vAlign w:val="bottom"/>
            <w:gridSpan w:val="2"/>
          </w:tcPr>
          <w:p>
            <w:pPr>
              <w:jc w:val="right"/>
              <w:ind w:right="1408"/>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gridSpan w:val="3"/>
          </w:tcPr>
          <w:p>
            <w:pPr>
              <w:jc w:val="center"/>
              <w:ind w:left="217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Nadja West</w:t>
            </w:r>
          </w:p>
        </w:tc>
        <w:tc>
          <w:tcPr>
            <w:tcW w:w="2160" w:type="dxa"/>
            <w:vAlign w:val="bottom"/>
            <w:tcBorders>
              <w:bottom w:val="single" w:sz="8" w:color="auto"/>
            </w:tcBorders>
          </w:tcPr>
          <w:p>
            <w:pPr>
              <w:spacing w:after="0"/>
              <w:rPr>
                <w:sz w:val="24"/>
                <w:szCs w:val="24"/>
                <w:color w:val="auto"/>
              </w:rPr>
            </w:pPr>
          </w:p>
        </w:tc>
        <w:tc>
          <w:tcPr>
            <w:tcW w:w="2200" w:type="dxa"/>
            <w:vAlign w:val="bottom"/>
            <w:gridSpan w:val="2"/>
          </w:tcPr>
          <w:p>
            <w:pPr>
              <w:jc w:val="right"/>
              <w:ind w:right="1408"/>
              <w:spacing w:after="0"/>
              <w:rPr>
                <w:sz w:val="20"/>
                <w:szCs w:val="20"/>
                <w:color w:val="auto"/>
              </w:rPr>
            </w:pPr>
            <w:r>
              <w:rPr>
                <w:rFonts w:ascii="Times New Roman" w:cs="Times New Roman" w:eastAsia="Times New Roman" w:hAnsi="Times New Roman"/>
                <w:sz w:val="18"/>
                <w:szCs w:val="18"/>
                <w:color w:val="auto"/>
              </w:rPr>
              <w:t>Director</w:t>
            </w:r>
          </w:p>
        </w:tc>
        <w:tc>
          <w:tcPr>
            <w:tcW w:w="3580" w:type="dxa"/>
            <w:vAlign w:val="bottom"/>
            <w:gridSpan w:val="3"/>
          </w:tcPr>
          <w:p>
            <w:pPr>
              <w:jc w:val="center"/>
              <w:ind w:left="2170"/>
              <w:spacing w:after="0"/>
              <w:rPr>
                <w:sz w:val="20"/>
                <w:szCs w:val="20"/>
                <w:color w:val="auto"/>
              </w:rPr>
            </w:pPr>
            <w:r>
              <w:rPr>
                <w:rFonts w:ascii="Times New Roman" w:cs="Times New Roman" w:eastAsia="Times New Roman" w:hAnsi="Times New Roman"/>
                <w:sz w:val="18"/>
                <w:szCs w:val="18"/>
                <w:color w:val="auto"/>
                <w:w w:val="99"/>
              </w:rPr>
              <w:t>February 25, 2025</w:t>
            </w:r>
          </w:p>
        </w:tc>
      </w:tr>
      <w:tr>
        <w:trPr>
          <w:trHeight w:val="22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0"/>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0" w:type="dxa"/>
            <w:vAlign w:val="bottom"/>
            <w:gridSpan w:val="2"/>
          </w:tcPr>
          <w:p>
            <w:pPr>
              <w:jc w:val="right"/>
              <w:ind w:right="1408"/>
              <w:spacing w:after="0"/>
              <w:rPr>
                <w:sz w:val="20"/>
                <w:szCs w:val="20"/>
                <w:color w:val="auto"/>
              </w:rPr>
            </w:pPr>
            <w:r>
              <w:rPr>
                <w:rFonts w:ascii="Times New Roman" w:cs="Times New Roman" w:eastAsia="Times New Roman" w:hAnsi="Times New Roman"/>
                <w:sz w:val="18"/>
                <w:szCs w:val="18"/>
                <w:color w:val="auto"/>
              </w:rPr>
              <w:t>II-10</w:t>
            </w: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860"/>
          </w:cols>
          <w:pgMar w:left="320" w:top="455" w:right="7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74115" cy="386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+1 312 881 6670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croupas@cooley.com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Re:</w:t>
        <w:tab/>
        <w:t>Tempus AI, Inc. – 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have acted as counsel to Tempus AI,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including the prospectus included 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covering the registration for resale of 4,843,136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Class A common stock, par value $0.0001 per share, held by the selling stockholder identified in the Registration Statement. The Shares were issued pursuant to the Securities Purchase Agreement dated November 4, 2024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among the Company, REALM IDx, Inc. and Konica Minolta, Inc..</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Prospectus, (b) the Company’s certificate of incorporation and bylaws, each as currently in effect, (c) the Agreement and (d) such other records, documents,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are validly issued, fully paid and nonassessable.</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110 N. Wacker Drive, Suite 4200    Chicago, IL    60606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ectPr>
          <w:pgSz w:w="11900" w:h="16838" w:orient="portrait"/>
          <w:cols w:equalWidth="0" w:num="1">
            <w:col w:w="11020"/>
          </w:cols>
          <w:pgMar w:left="440" w:top="117"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6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Tempus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of 1933, as amended,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153" w:lineRule="exact"/>
        <w:rPr>
          <w:sz w:val="20"/>
          <w:szCs w:val="20"/>
          <w:color w:val="auto"/>
        </w:rPr>
      </w:pPr>
    </w:p>
    <w:p>
      <w:pPr>
        <w:jc w:val="center"/>
        <w:ind w:right="-179"/>
        <w:spacing w:after="0"/>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Cooley LLP </w:t>
        <w:tab/>
        <w:t>110 N. Wacker Drive, Suite 4200 </w:t>
        <w:tab/>
        <w:t>Chicago, IL </w:t>
        <w:tab/>
        <w:t>60606</w:t>
      </w:r>
    </w:p>
    <w:p>
      <w:pPr>
        <w:spacing w:after="0" w:line="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ectPr>
          <w:pgSz w:w="11900" w:h="16838" w:orient="portrait"/>
          <w:cols w:equalWidth="0" w:num="1">
            <w:col w:w="10820"/>
          </w:cols>
          <w:pgMar w:left="440" w:top="1093" w:right="6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 of Tempus AI, Inc. of our report dated February 24, 2025 relating to the financial statements which appears in Tempus AI, Inc.’s Annual Report on Form 10-K for the year ended December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020"/>
          </w:cols>
          <w:pgMar w:left="440" w:top="117" w:right="439" w:bottom="1440" w:gutter="0" w:footer="0" w:header="0"/>
        </w:sectPr>
      </w:pPr>
    </w:p>
    <w:bookmarkStart w:id="66" w:name="page67"/>
    <w:bookmarkEnd w:id="66"/>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2"/>
        </w:trPr>
        <w:tc>
          <w:tcPr>
            <w:tcW w:w="132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4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Security Class</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28"/>
        </w:trPr>
        <w:tc>
          <w:tcPr>
            <w:tcW w:w="13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32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0" w:type="dxa"/>
            <w:vAlign w:val="bottom"/>
          </w:tcPr>
          <w:p>
            <w:pPr>
              <w:spacing w:after="0"/>
              <w:rPr>
                <w:sz w:val="11"/>
                <w:szCs w:val="11"/>
                <w:color w:val="auto"/>
              </w:rPr>
            </w:pPr>
          </w:p>
        </w:tc>
        <w:tc>
          <w:tcPr>
            <w:tcW w:w="8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4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0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4"/>
        </w:trPr>
        <w:tc>
          <w:tcPr>
            <w:tcW w:w="132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Registered</w:t>
            </w:r>
            <w:r>
              <w:rPr>
                <w:rFonts w:ascii="Times New Roman" w:cs="Times New Roman" w:eastAsia="Times New Roman" w:hAnsi="Times New Roman"/>
                <w:sz w:val="6"/>
                <w:szCs w:val="6"/>
                <w:color w:val="auto"/>
                <w:w w:val="96"/>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w:t>
            </w:r>
            <w:r>
              <w:rPr>
                <w:rFonts w:ascii="Times New Roman" w:cs="Times New Roman" w:eastAsia="Times New Roman" w:hAnsi="Times New Roman"/>
                <w:sz w:val="6"/>
                <w:szCs w:val="6"/>
                <w:color w:val="auto"/>
                <w:w w:val="94"/>
              </w:rPr>
              <w:t>(2)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r>
              <w:rPr>
                <w:rFonts w:ascii="Times New Roman" w:cs="Times New Roman" w:eastAsia="Times New Roman" w:hAnsi="Times New Roman"/>
                <w:sz w:val="6"/>
                <w:szCs w:val="6"/>
                <w:color w:val="auto"/>
              </w:rPr>
              <w:t>(2)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06"/>
        </w:trPr>
        <w:tc>
          <w:tcPr>
            <w:tcW w:w="1320" w:type="dxa"/>
            <w:vAlign w:val="bottom"/>
            <w:tcBorders>
              <w:left w:val="single" w:sz="8" w:color="auto"/>
              <w:right w:val="single" w:sz="8" w:color="auto"/>
            </w:tcBorders>
          </w:tcPr>
          <w:p>
            <w:pPr>
              <w:jc w:val="center"/>
              <w:ind w:left="30"/>
              <w:spacing w:after="0" w:line="206" w:lineRule="exact"/>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Class A</w:t>
            </w:r>
          </w:p>
        </w:tc>
        <w:tc>
          <w:tcPr>
            <w:tcW w:w="8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w:t>
            </w: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4,843,136</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$69.79</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$338,002,461.44</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$51,748.18</w:t>
            </w:r>
          </w:p>
        </w:tc>
        <w:tc>
          <w:tcPr>
            <w:tcW w:w="0" w:type="dxa"/>
            <w:vAlign w:val="bottom"/>
          </w:tcPr>
          <w:p>
            <w:pPr>
              <w:spacing w:after="0"/>
              <w:rPr>
                <w:sz w:val="1"/>
                <w:szCs w:val="1"/>
                <w:color w:val="auto"/>
              </w:rPr>
            </w:pPr>
          </w:p>
        </w:tc>
      </w:tr>
      <w:tr>
        <w:trPr>
          <w:trHeight w:val="239"/>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135"/>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$338,002,461.44</w:t>
            </w: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$51,748.18</w:t>
            </w: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155"/>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155"/>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135"/>
              <w:spacing w:after="0"/>
              <w:rPr>
                <w:sz w:val="20"/>
                <w:szCs w:val="20"/>
                <w:color w:val="auto"/>
              </w:rPr>
            </w:pPr>
            <w:r>
              <w:rPr>
                <w:rFonts w:ascii="Times New Roman" w:cs="Times New Roman" w:eastAsia="Times New Roman" w:hAnsi="Times New Roman"/>
                <w:sz w:val="18"/>
                <w:szCs w:val="18"/>
                <w:color w:val="auto"/>
                <w:w w:val="98"/>
              </w:rPr>
              <w:t>Net Fee Due</w:t>
            </w: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$51,748.18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hanging="424"/>
        <w:spacing w:after="0" w:line="255"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will be offered for resale by the selling stockholders pursuant to the prospectus contained herein. Pursuant to Rule 416 under the Securities Act of 1933, as amended (the “Securities Act”), this registration statement also covers any additional number of shares of Class A common stock issuable upon stock splits, stock dividends, or other distribution, recapitalization or similar events with respect to the shares of Class A common stock being registered pursuant to this registration statement.</w:t>
      </w:r>
    </w:p>
    <w:p>
      <w:pPr>
        <w:spacing w:after="0" w:line="2" w:lineRule="exact"/>
        <w:rPr>
          <w:rFonts w:ascii="Times New Roman" w:cs="Times New Roman" w:eastAsia="Times New Roman" w:hAnsi="Times New Roman"/>
          <w:sz w:val="18"/>
          <w:szCs w:val="18"/>
          <w:color w:val="auto"/>
        </w:rPr>
      </w:pPr>
    </w:p>
    <w:p>
      <w:pPr>
        <w:jc w:val="both"/>
        <w:ind w:left="424" w:right="20" w:hanging="424"/>
        <w:spacing w:after="0" w:line="255"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The price per share and aggregate offering price are based on the average of the high and low prices of the registrant’s Class A common stock as reported on the Nasdaq Global Select Market on February 24, 2025.</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2"/>
    </w:lvl>
  </w:abstractNum>
  <w:abstractNum w:abstractNumId="7">
    <w:nsid w:val="3A95F874"/>
    <w:multiLevelType w:val="hybridMultilevel"/>
    <w:lvl w:ilvl="0">
      <w:lvlJc w:val="left"/>
      <w:lvlText w:val="(%1)"/>
      <w:numFmt w:val="decimal"/>
      <w:start w:val="3"/>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4"/>
    </w:lvl>
  </w:abstractNum>
  <w:abstractNum w:abstractNumId="14">
    <w:nsid w:val="4516DDE9"/>
    <w:multiLevelType w:val="hybridMultilevel"/>
    <w:lvl w:ilvl="0">
      <w:lvlJc w:val="left"/>
      <w:lvlText w:val="(%1)"/>
      <w:numFmt w:val="lowerRoman"/>
      <w:start w:val="1"/>
    </w:lvl>
  </w:abstractNum>
  <w:abstractNum w:abstractNumId="15">
    <w:nsid w:val="3006C83E"/>
    <w:multiLevelType w:val="hybridMultilevel"/>
    <w:lvl w:ilvl="0">
      <w:lvlJc w:val="left"/>
      <w:lvlText w:val="(%1)"/>
      <w:numFmt w:val="lowerRoman"/>
      <w:start w:val="3"/>
    </w:lvl>
  </w:abstractNum>
  <w:abstractNum w:abstractNumId="16">
    <w:nsid w:val="614FD4A1"/>
    <w:multiLevelType w:val="hybridMultilevel"/>
    <w:lvl w:ilvl="0">
      <w:lvlJc w:val="left"/>
      <w:lvlText w:val="(%1)"/>
      <w:numFmt w:val="decimal"/>
      <w:start w:val="2"/>
    </w:lvl>
  </w:abstractNum>
  <w:abstractNum w:abstractNumId="17">
    <w:nsid w:val="419AC241"/>
    <w:multiLevelType w:val="hybridMultilevel"/>
    <w:lvl w:ilvl="0">
      <w:lvlJc w:val="left"/>
      <w:lvlText w:val="(%1)"/>
      <w:numFmt w:val="decimal"/>
      <w:start w:val="3"/>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0"/>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lvl w:ilvl="1">
      <w:lvlJc w:val="left"/>
      <w:lvlText w:val="%2."/>
      <w:numFmt w:val="lowerLetter"/>
      <w:start w:val="1"/>
    </w:lvl>
  </w:abstractNum>
  <w:abstractNum w:abstractNumId="37">
    <w:nsid w:val="2CD89A32"/>
    <w:multiLevelType w:val="hybridMultilevel"/>
    <w:lvl w:ilvl="0">
      <w:lvlJc w:val="left"/>
      <w:lvlText w:val="%1"/>
      <w:numFmt w:val="decimal"/>
      <w:start w:val="1"/>
    </w:lvl>
    <w:lvl w:ilvl="1">
      <w:lvlJc w:val="left"/>
      <w:lvlText w:val="%2."/>
      <w:numFmt w:val="lowerLetter"/>
      <w:start w:val="2"/>
    </w:lvl>
  </w:abstractNum>
  <w:abstractNum w:abstractNumId="38">
    <w:nsid w:val="57E4CCAF"/>
    <w:multiLevelType w:val="hybridMultilevel"/>
    <w:lvl w:ilvl="0">
      <w:lvlJc w:val="left"/>
      <w:lvlText w:val="%1)"/>
      <w:numFmt w:val="decimal"/>
      <w:start w:val="2"/>
    </w:lvl>
    <w:lvl w:ilvl="1">
      <w:lvlJc w:val="left"/>
      <w:lvlText w:val="%2."/>
      <w:numFmt w:val="lowerLetter"/>
      <w:start w:val="1"/>
    </w:lvl>
  </w:abstractNum>
  <w:abstractNum w:abstractNumId="39">
    <w:nsid w:val="7A6D8D3C"/>
    <w:multiLevelType w:val="hybridMultilevel"/>
    <w:lvl w:ilvl="0">
      <w:lvlJc w:val="left"/>
      <w:lvlText w:val="%1)"/>
      <w:numFmt w:val="decimal"/>
      <w:start w:val="7"/>
    </w:lvl>
  </w:abstractNum>
  <w:abstractNum w:abstractNumId="40">
    <w:nsid w:val="4B588F54"/>
    <w:multiLevelType w:val="hybridMultilevel"/>
    <w:lvl w:ilvl="0">
      <w:lvlJc w:val="left"/>
      <w:lvlText w:val=" "/>
      <w:numFmt w:val="bullet"/>
      <w:start w:val="1"/>
    </w:lvl>
  </w:abstractNum>
  <w:abstractNum w:abstractNumId="41">
    <w:nsid w:val="542289EC"/>
    <w:multiLevelType w:val="hybridMultilevel"/>
    <w:lvl w:ilvl="0">
      <w:lvlJc w:val="left"/>
      <w:lvlText w:val=" "/>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lvl w:ilvl="1">
      <w:lvlJc w:val="left"/>
      <w:lvlText w:val="(%2)"/>
      <w:numFmt w:val="lowerRoman"/>
      <w:start w:val="1"/>
    </w:lvl>
  </w:abstractNum>
  <w:abstractNum w:abstractNumId="47">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48">
    <w:nsid w:val="749ABB43"/>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9">
    <w:nsid w:val="3DC240F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108" Type="http://schemas.openxmlformats.org/officeDocument/2006/relationships/image" Target="media/image83.png"/><Relationship Id="rId122"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jpeg"/><Relationship Id="rId141" Type="http://schemas.openxmlformats.org/officeDocument/2006/relationships/image" Target="media/image92.png"/><Relationship Id="rId142" Type="http://schemas.openxmlformats.org/officeDocument/2006/relationships/image" Target="media/image93.jpeg"/><Relationship Id="rId143" Type="http://schemas.openxmlformats.org/officeDocument/2006/relationships/image" Target="media/image94.png"/><Relationship Id="rId86" Type="http://schemas.openxmlformats.org/officeDocument/2006/relationships/hyperlink" Target="http://www.sec.gov/ix?doc=/Archives/edgar/data/1717115/000095017025025603/tem-20241231.htm" TargetMode="External"/><Relationship Id="rId87" Type="http://schemas.openxmlformats.org/officeDocument/2006/relationships/hyperlink" Target="http://www.sec.gov/Archives/edgar/data/1717115/000119312525019313/d843563d8k.htm" TargetMode="External"/><Relationship Id="rId88" Type="http://schemas.openxmlformats.org/officeDocument/2006/relationships/hyperlink" Target="http://www.sec.gov/Archives/edgar/data/1717115/000119312524159105/d806693d8a12b.htm" TargetMode="External"/><Relationship Id="rId89" Type="http://schemas.openxmlformats.org/officeDocument/2006/relationships/hyperlink" Target="http://www.sec.gov/Archives/edgar/data/1717115/000095017025025603/tem-ex4_2.htm" TargetMode="External"/><Relationship Id="rId94" Type="http://schemas.openxmlformats.org/officeDocument/2006/relationships/hyperlink" Target="http://www.sec.gov/Archives/edgar/data/1717115/000119312524162594/d665789dex31.htm" TargetMode="External"/><Relationship Id="rId95" Type="http://schemas.openxmlformats.org/officeDocument/2006/relationships/hyperlink" Target="http://www.sec.gov/Archives/edgar/data/1717115/000119312524162594/d665789dex32.htm" TargetMode="External"/><Relationship Id="rId96" Type="http://schemas.openxmlformats.org/officeDocument/2006/relationships/hyperlink" Target="http://www.sec.gov/Archives/edgar/data/1717115/000119312524154635/d221145dex41.htm" TargetMode="External"/><Relationship Id="rId97" Type="http://schemas.openxmlformats.org/officeDocument/2006/relationships/hyperlink" Target="http://www.sec.gov/Archives/edgar/data/1717115/000119312524142956/d221145dex101.htm" TargetMode="External"/><Relationship Id="rId98" Type="http://schemas.openxmlformats.org/officeDocument/2006/relationships/hyperlink" Target="http://www.sec.gov/Archives/edgar/data/1717115/000119312524142956/d221145dex102.htm" TargetMode="External"/><Relationship Id="rId99" Type="http://schemas.openxmlformats.org/officeDocument/2006/relationships/hyperlink" Target="http://www.sec.gov/Archives/edgar/data/1717115/000119312524142956/d221145dex103.htm" TargetMode="External"/><Relationship Id="rId100" Type="http://schemas.openxmlformats.org/officeDocument/2006/relationships/hyperlink" Target="http://www.sec.gov/Archives/edgar/data/1717115/000119312524142956/d221145dex104.htm" TargetMode="External"/><Relationship Id="rId101" Type="http://schemas.openxmlformats.org/officeDocument/2006/relationships/hyperlink" Target="http://www.sec.gov/Archives/edgar/data/1717115/000119312524142956/d221145dex105.htm" TargetMode="External"/><Relationship Id="rId102" Type="http://schemas.openxmlformats.org/officeDocument/2006/relationships/hyperlink" Target="http://www.sec.gov/Archives/edgar/data/1717115/000119312524142956/d221145dex106.htm" TargetMode="External"/><Relationship Id="rId103" Type="http://schemas.openxmlformats.org/officeDocument/2006/relationships/hyperlink" Target="http://www.sec.gov/Archives/edgar/data/1717115/000119312524142956/d221145dex107.htm" TargetMode="External"/><Relationship Id="rId104" Type="http://schemas.openxmlformats.org/officeDocument/2006/relationships/hyperlink" Target="http://www.sec.gov/Archives/edgar/data/1717115/000119312524142956/d221145dex108.htm" TargetMode="External"/><Relationship Id="rId105" Type="http://schemas.openxmlformats.org/officeDocument/2006/relationships/hyperlink" Target="http://www.sec.gov/Archives/edgar/data/1717115/000119312524142956/d221145dex109.htm" TargetMode="External"/><Relationship Id="rId106" Type="http://schemas.openxmlformats.org/officeDocument/2006/relationships/hyperlink" Target="http://www.sec.gov/Archives/edgar/data/1717115/000119312524142956/d221145dex1010.htm" TargetMode="External"/><Relationship Id="rId107" Type="http://schemas.openxmlformats.org/officeDocument/2006/relationships/hyperlink" Target="http://www.sec.gov/Archives/edgar/data/1717115/000119312524142956/d221145dex1011.htm" TargetMode="External"/><Relationship Id="rId109" Type="http://schemas.openxmlformats.org/officeDocument/2006/relationships/hyperlink" Target="http://www.sec.gov/Archives/edgar/data/1717115/000119312524142956/d221145dex1023.htm" TargetMode="External"/><Relationship Id="rId110" Type="http://schemas.openxmlformats.org/officeDocument/2006/relationships/hyperlink" Target="http://www.sec.gov/Archives/edgar/data/1717115/000119312524142956/d221145dex1012.htm" TargetMode="External"/><Relationship Id="rId111" Type="http://schemas.openxmlformats.org/officeDocument/2006/relationships/hyperlink" Target="http://www.sec.gov/Archives/edgar/data/1717115/000119312524142956/d221145dex1013.htm" TargetMode="External"/><Relationship Id="rId112" Type="http://schemas.openxmlformats.org/officeDocument/2006/relationships/hyperlink" Target="http://www.sec.gov/Archives/edgar/data/1717115/000095017025025603/tem-ex10_15.htm" TargetMode="External"/><Relationship Id="rId113" Type="http://schemas.openxmlformats.org/officeDocument/2006/relationships/hyperlink" Target="http://www.sec.gov/Archives/edgar/data/1717115/000119312524154635/d221145dex1015.htm" TargetMode="External"/><Relationship Id="rId114" Type="http://schemas.openxmlformats.org/officeDocument/2006/relationships/hyperlink" Target="http://www.sec.gov/Archives/edgar/data/1717115/000119312524142956/d221145dex1016.htm" TargetMode="External"/><Relationship Id="rId115" Type="http://schemas.openxmlformats.org/officeDocument/2006/relationships/hyperlink" Target="http://www.sec.gov/Archives/edgar/data/1717115/000119312524142956/d221145dex1017.htm" TargetMode="External"/><Relationship Id="rId116" Type="http://schemas.openxmlformats.org/officeDocument/2006/relationships/hyperlink" Target="http://www.sec.gov/Archives/edgar/data/1717115/000119312524142956/d221145dex1018.htm" TargetMode="External"/><Relationship Id="rId117" Type="http://schemas.openxmlformats.org/officeDocument/2006/relationships/hyperlink" Target="http://www.sec.gov/Archives/edgar/data/1717115/000119312524142956/d221145dex1019.htm" TargetMode="External"/><Relationship Id="rId118" Type="http://schemas.openxmlformats.org/officeDocument/2006/relationships/hyperlink" Target="http://www.sec.gov/Archives/edgar/data/1717115/000119312524142956/d221145dex1020.htm" TargetMode="External"/><Relationship Id="rId119" Type="http://schemas.openxmlformats.org/officeDocument/2006/relationships/hyperlink" Target="http://www.sec.gov/Archives/edgar/data/1717115/000119312524142956/d221145dex1021.htm" TargetMode="External"/><Relationship Id="rId120" Type="http://schemas.openxmlformats.org/officeDocument/2006/relationships/hyperlink" Target="http://www.sec.gov/Archives/edgar/data/1717115/000119312524142956/d221145dex1022.htm" TargetMode="External"/><Relationship Id="rId121" Type="http://schemas.openxmlformats.org/officeDocument/2006/relationships/hyperlink" Target="http://www.sec.gov/Archives/edgar/data/1717115/000119312524142956/d221145dex1024.htm" TargetMode="External"/><Relationship Id="rId123" Type="http://schemas.openxmlformats.org/officeDocument/2006/relationships/hyperlink" Target="http://www.sec.gov/Archives/edgar/data/1717115/000119312524142956/d221145dex1025.htm" TargetMode="External"/><Relationship Id="rId124" Type="http://schemas.openxmlformats.org/officeDocument/2006/relationships/hyperlink" Target="http://www.sec.gov/Archives/edgar/data/1717115/000119312524142956/d221145dex1026.htm" TargetMode="External"/><Relationship Id="rId125" Type="http://schemas.openxmlformats.org/officeDocument/2006/relationships/hyperlink" Target="http://www.sec.gov/Archives/edgar/data/1717115/000119312524154635/d221145dex1027.htm" TargetMode="External"/><Relationship Id="rId126" Type="http://schemas.openxmlformats.org/officeDocument/2006/relationships/hyperlink" Target="http://www.sec.gov/Archives/edgar/data/1717115/000119312524154635/d221145dex1028.htm" TargetMode="External"/><Relationship Id="rId127" Type="http://schemas.openxmlformats.org/officeDocument/2006/relationships/hyperlink" Target="http://www.sec.gov/Archives/edgar/data/1717115/000119312524154635/d221145dex1029.htm" TargetMode="External"/><Relationship Id="rId128" Type="http://schemas.openxmlformats.org/officeDocument/2006/relationships/hyperlink" Target="http://www.sec.gov/Archives/edgar/data/1717115/000119312524154635/d221145dex1030.htm" TargetMode="External"/><Relationship Id="rId129" Type="http://schemas.openxmlformats.org/officeDocument/2006/relationships/hyperlink" Target="http://www.sec.gov/Archives/edgar/data/1717115/000095017024120677/tem-ex10_11.htm" TargetMode="External"/><Relationship Id="rId130" Type="http://schemas.openxmlformats.org/officeDocument/2006/relationships/hyperlink" Target="http://www.sec.gov/Archives/edgar/data/1717115/000119312524251239/d907265dex101.htm" TargetMode="External"/><Relationship Id="rId131" Type="http://schemas.openxmlformats.org/officeDocument/2006/relationships/hyperlink" Target="http://www.sec.gov/Archives/edgar/data/1717115/000119312525019313/d843563dex101.htm" TargetMode="External"/><Relationship Id="rId132" Type="http://schemas.openxmlformats.org/officeDocument/2006/relationships/hyperlink" Target="http://www.sec.gov/Archives/edgar/data/1717115/000095017025025603/tem-ex10_34.htm" TargetMode="External"/><Relationship Id="rId133" Type="http://schemas.openxmlformats.org/officeDocument/2006/relationships/hyperlink" Target="http://www.sec.gov/Archives/edgar/data/1717115/000119312524154635/d221145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2025-02-25T08:09:09Z</dcterms:created>
  <dcterms:modified xsi:type="dcterms:W3CDTF">2025-02-25T08:09:09Z</dcterms:modified>
</cp:coreProperties>
</file>