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December 3, 2021.</w:t>
      </w:r>
    </w:p>
    <w:p>
      <w:pPr>
        <w:spacing w:after="0" w:line="6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This draft registration statement has not been publicly filed with the</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Securities and Exchange Commission and all information herein remains strictly confidential.</w:t>
      </w: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93980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120015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S-1</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120015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Tempus Labs,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118745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4" w:lineRule="exact"/>
        <w:rPr>
          <w:sz w:val="24"/>
          <w:szCs w:val="24"/>
          <w:color w:val="auto"/>
        </w:rPr>
      </w:pPr>
    </w:p>
    <w:tbl>
      <w:tblPr>
        <w:tblLayout w:type="fixed"/>
        <w:tblInd w:w="840" w:type="dxa"/>
        <w:tblCellMar>
          <w:top w:w="0" w:type="dxa"/>
          <w:left w:w="0" w:type="dxa"/>
          <w:bottom w:w="0" w:type="dxa"/>
          <w:right w:w="0" w:type="dxa"/>
        </w:tblCellMar>
      </w:tblPr>
      <w:tr>
        <w:trPr>
          <w:trHeight w:val="161"/>
        </w:trPr>
        <w:tc>
          <w:tcPr>
            <w:tcW w:w="252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20" w:type="dxa"/>
            <w:vAlign w:val="bottom"/>
          </w:tcPr>
          <w:p>
            <w:pPr>
              <w:jc w:val="center"/>
              <w:ind w:right="2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2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96"/>
        </w:trPr>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7"/>
                <w:szCs w:val="17"/>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2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2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174"/>
        </w:trPr>
        <w:tc>
          <w:tcPr>
            <w:tcW w:w="2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9"/>
        </w:trPr>
        <w:tc>
          <w:tcPr>
            <w:tcW w:w="2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5"/>
                <w:szCs w:val="15"/>
                <w:color w:val="auto"/>
              </w:rPr>
            </w:pPr>
          </w:p>
        </w:tc>
      </w:tr>
      <w:tr>
        <w:trPr>
          <w:trHeight w:val="144"/>
        </w:trPr>
        <w:tc>
          <w:tcPr>
            <w:tcW w:w="252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spacing w:after="0"/>
              <w:rPr>
                <w:sz w:val="12"/>
                <w:szCs w:val="12"/>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2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187"/>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19"/>
        </w:trPr>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19"/>
                <w:szCs w:val="19"/>
                <w:color w:val="auto"/>
              </w:rPr>
            </w:pPr>
          </w:p>
        </w:tc>
      </w:tr>
      <w:tr>
        <w:trPr>
          <w:trHeight w:val="183"/>
        </w:trPr>
        <w:tc>
          <w:tcPr>
            <w:tcW w:w="252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Nicole Brookshire</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Executive Vice President and</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Administrative and Legal Officer</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2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444 West Lake Street, Suite 1700</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85"/>
        </w:trPr>
        <w:tc>
          <w:tcPr>
            <w:tcW w:w="252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Chicago, Illinois 60606</w:t>
            </w:r>
          </w:p>
        </w:tc>
        <w:tc>
          <w:tcPr>
            <w:tcW w:w="3520" w:type="dxa"/>
            <w:vAlign w:val="bottom"/>
            <w:gridSpan w:val="2"/>
          </w:tcPr>
          <w:p>
            <w:pPr>
              <w:jc w:val="center"/>
              <w:ind w:left="1073"/>
              <w:spacing w:after="0"/>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114935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93" w:lineRule="exact"/>
        <w:rPr>
          <w:sz w:val="24"/>
          <w:szCs w:val="24"/>
          <w:color w:val="auto"/>
        </w:rPr>
      </w:pPr>
    </w:p>
    <w:p>
      <w:pPr>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109220</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2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 of each Class of</w:t>
            </w:r>
          </w:p>
        </w:tc>
        <w:tc>
          <w:tcPr>
            <w:tcW w:w="1820" w:type="dxa"/>
            <w:vAlign w:val="bottom"/>
            <w:tcBorders>
              <w:right w:val="single" w:sz="8" w:color="auto"/>
            </w:tcBorders>
          </w:tcPr>
          <w:p>
            <w:pPr>
              <w:jc w:val="center"/>
              <w:ind w:left="14"/>
              <w:spacing w:after="0" w:line="100" w:lineRule="exact"/>
              <w:rPr>
                <w:sz w:val="20"/>
                <w:szCs w:val="20"/>
                <w:color w:val="auto"/>
              </w:rPr>
            </w:pPr>
            <w:r>
              <w:rPr>
                <w:rFonts w:ascii="Times New Roman" w:cs="Times New Roman" w:eastAsia="Times New Roman" w:hAnsi="Times New Roman"/>
                <w:sz w:val="10"/>
                <w:szCs w:val="10"/>
                <w:b w:val="1"/>
                <w:bCs w:val="1"/>
                <w:color w:val="auto"/>
              </w:rPr>
              <w:t>Proposed Maximum</w:t>
            </w:r>
          </w:p>
        </w:tc>
        <w:tc>
          <w:tcPr>
            <w:tcW w:w="1780" w:type="dxa"/>
            <w:vAlign w:val="bottom"/>
            <w:vMerge w:val="restart"/>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72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jc w:val="center"/>
              <w:ind w:left="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Aggregate Offering</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 to be Registered</w:t>
            </w:r>
          </w:p>
        </w:tc>
        <w:tc>
          <w:tcPr>
            <w:tcW w:w="1820" w:type="dxa"/>
            <w:vAlign w:val="bottom"/>
            <w:tcBorders>
              <w:bottom w:val="single" w:sz="8" w:color="auto"/>
              <w:right w:val="single" w:sz="8" w:color="auto"/>
            </w:tcBorders>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11"/>
                <w:szCs w:val="11"/>
                <w:b w:val="1"/>
                <w:bCs w:val="1"/>
                <w:color w:val="auto"/>
              </w:rPr>
              <w:t>(1)(2)</w:t>
            </w:r>
          </w:p>
        </w:tc>
        <w:tc>
          <w:tcPr>
            <w:tcW w:w="17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38"/>
        </w:trPr>
        <w:tc>
          <w:tcPr>
            <w:tcW w:w="20" w:type="dxa"/>
            <w:vAlign w:val="bottom"/>
            <w:tcBorders>
              <w:bottom w:val="single" w:sz="8" w:color="auto"/>
            </w:tcBorders>
          </w:tcPr>
          <w:p>
            <w:pPr>
              <w:spacing w:after="0"/>
              <w:rPr>
                <w:sz w:val="11"/>
                <w:szCs w:val="11"/>
                <w:color w:val="auto"/>
              </w:rPr>
            </w:pPr>
          </w:p>
        </w:tc>
        <w:tc>
          <w:tcPr>
            <w:tcW w:w="7720" w:type="dxa"/>
            <w:vAlign w:val="bottom"/>
            <w:tcBorders>
              <w:bottom w:val="single" w:sz="8" w:color="auto"/>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820" w:type="dxa"/>
            <w:vAlign w:val="bottom"/>
            <w:tcBorders>
              <w:bottom w:val="single" w:sz="8" w:color="auto"/>
              <w:right w:val="single" w:sz="8" w:color="auto"/>
            </w:tcBorders>
          </w:tcPr>
          <w:p>
            <w:pPr>
              <w:jc w:val="right"/>
              <w:ind w:right="1114"/>
              <w:spacing w:after="0" w:line="138"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ind w:right="1090"/>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91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4" w:lineRule="exact"/>
        <w:rPr>
          <w:sz w:val="24"/>
          <w:szCs w:val="24"/>
          <w:color w:val="auto"/>
        </w:rPr>
      </w:pPr>
    </w:p>
    <w:p>
      <w:pPr>
        <w:ind w:left="460" w:hanging="455"/>
        <w:spacing w:after="0"/>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in accordance with Rule 457(o) of the Securities Act of 1933, as amended.</w:t>
      </w:r>
    </w:p>
    <w:p>
      <w:pPr>
        <w:ind w:left="460" w:hanging="455"/>
        <w:spacing w:after="0"/>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offering price of additional shares that the underwriters have the option to purchase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143510</wp:posOffset>
            </wp:positionV>
            <wp:extent cx="1517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61"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197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90170</wp:posOffset>
            </wp:positionV>
            <wp:extent cx="7197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DE1A1E"/>
        </w:rPr>
        <w:t>Issued</w:t>
      </w:r>
      <w:r>
        <w:rPr>
          <w:sz w:val="20"/>
          <w:szCs w:val="20"/>
          <w:color w:val="auto"/>
        </w:rPr>
        <w:tab/>
      </w:r>
      <w:r>
        <w:rPr>
          <w:rFonts w:ascii="Times New Roman" w:cs="Times New Roman" w:eastAsia="Times New Roman" w:hAnsi="Times New Roman"/>
          <w:sz w:val="18"/>
          <w:szCs w:val="18"/>
          <w:i w:val="1"/>
          <w:iCs w:val="1"/>
          <w:color w:val="DE1A1E"/>
        </w:rPr>
        <w:t>, 2021</w:t>
      </w:r>
    </w:p>
    <w:p>
      <w:pPr>
        <w:spacing w:after="0" w:line="8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100330</wp:posOffset>
            </wp:positionV>
            <wp:extent cx="2617470" cy="400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17470" cy="40005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650875</wp:posOffset>
            </wp:positionV>
            <wp:extent cx="750570" cy="758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0570" cy="75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175260</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56" w:lineRule="exact"/>
        <w:rPr>
          <w:sz w:val="20"/>
          <w:szCs w:val="20"/>
          <w:color w:val="auto"/>
        </w:rPr>
      </w:pPr>
    </w:p>
    <w:p>
      <w:pPr>
        <w:spacing w:after="0"/>
        <w:tabs>
          <w:tab w:leader="none" w:pos="7440" w:val="left"/>
        </w:tabs>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Labs, Inc. We are offering</w:t>
      </w:r>
      <w:r>
        <w:rPr>
          <w:sz w:val="20"/>
          <w:szCs w:val="20"/>
          <w:color w:val="auto"/>
        </w:rPr>
        <w:tab/>
      </w:r>
      <w:r>
        <w:rPr>
          <w:rFonts w:ascii="Times New Roman" w:cs="Times New Roman" w:eastAsia="Times New Roman" w:hAnsi="Times New Roman"/>
          <w:sz w:val="15"/>
          <w:szCs w:val="15"/>
          <w:b w:val="1"/>
          <w:bCs w:val="1"/>
          <w:i w:val="1"/>
          <w:iCs w:val="1"/>
          <w:color w:val="auto"/>
        </w:rPr>
        <w:t>shares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w:t>
      </w:r>
    </w:p>
    <w:p>
      <w:pPr>
        <w:spacing w:after="0" w:line="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 share.</w:t>
      </w:r>
    </w:p>
    <w:p>
      <w:pPr>
        <w:spacing w:after="0" w:line="105"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6"/>
          <w:szCs w:val="16"/>
          <w:b w:val="1"/>
          <w:bCs w:val="1"/>
          <w:i w:val="1"/>
          <w:iCs w:val="1"/>
          <w:color w:val="auto"/>
        </w:rPr>
        <w:t>The selling stockholders identified in this prospectus have granted the underwriters the option to purchase up to an additional</w:t>
      </w:r>
      <w:r>
        <w:rPr>
          <w:sz w:val="20"/>
          <w:szCs w:val="20"/>
          <w:color w:val="auto"/>
        </w:rPr>
        <w:tab/>
      </w:r>
      <w:r>
        <w:rPr>
          <w:rFonts w:ascii="Times New Roman" w:cs="Times New Roman" w:eastAsia="Times New Roman" w:hAnsi="Times New Roman"/>
          <w:sz w:val="15"/>
          <w:szCs w:val="15"/>
          <w:b w:val="1"/>
          <w:bCs w:val="1"/>
          <w:i w:val="1"/>
          <w:iCs w:val="1"/>
          <w:color w:val="auto"/>
        </w:rPr>
        <w:t>shares of Class A common stock on</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the same terms as set forth above within 30 days from the date of this prospectus to cover over-allotments, if any. We will not receive any proceeds from any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128905</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8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w:t>
      </w:r>
    </w:p>
    <w:p>
      <w:pPr>
        <w:spacing w:after="0" w:line="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b w:val="1"/>
          <w:bCs w:val="1"/>
          <w:i w:val="1"/>
          <w:iCs w:val="1"/>
          <w:color w:val="auto"/>
        </w:rPr>
        <w:t>Class B common stock is entitled to votes and is convertible at any time into one share of Class A common stock. In addition, all shares of Class B common stock will automatically convert into shares of Class A common stock in certain circumstances, including on the date that our Chief Executive Officer, Founder and Chairman (i) ceases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to serve as an executive officer or member of our Board of Directors or (ii) ceases to own, together with his controlled entities, at least shares of our Class B common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135255</wp:posOffset>
            </wp:positionV>
            <wp:extent cx="1517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0"/>
          <w:szCs w:val="20"/>
          <w:color w:val="auto"/>
        </w:rPr>
      </w:pPr>
    </w:p>
    <w:p>
      <w:pPr>
        <w:spacing w:after="0"/>
        <w:tabs>
          <w:tab w:leader="none" w:pos="4880" w:val="left"/>
        </w:tabs>
        <w:rPr>
          <w:sz w:val="20"/>
          <w:szCs w:val="20"/>
          <w:color w:val="auto"/>
        </w:rPr>
      </w:pPr>
      <w:r>
        <w:rPr>
          <w:rFonts w:ascii="Times New Roman" w:cs="Times New Roman" w:eastAsia="Times New Roman" w:hAnsi="Times New Roman"/>
          <w:sz w:val="16"/>
          <w:szCs w:val="16"/>
          <w:b w:val="1"/>
          <w:bCs w:val="1"/>
          <w:i w:val="1"/>
          <w:iCs w:val="1"/>
          <w:color w:val="auto"/>
        </w:rPr>
        <w:t>We intend to apply to list our Class A common stock on the Nasdaq</w:t>
      </w:r>
      <w:r>
        <w:rPr>
          <w:sz w:val="20"/>
          <w:szCs w:val="20"/>
          <w:color w:val="auto"/>
        </w:rPr>
        <w:tab/>
      </w:r>
      <w:r>
        <w:rPr>
          <w:rFonts w:ascii="Times New Roman" w:cs="Times New Roman" w:eastAsia="Times New Roman" w:hAnsi="Times New Roman"/>
          <w:sz w:val="15"/>
          <w:szCs w:val="15"/>
          <w:b w:val="1"/>
          <w:bCs w:val="1"/>
          <w:i w:val="1"/>
          <w:iCs w:val="1"/>
          <w:color w:val="auto"/>
        </w:rPr>
        <w:t>Market under the symbol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169545</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4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158115</wp:posOffset>
            </wp:positionV>
            <wp:extent cx="1517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4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Initial public offering price</w:t>
            </w: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w w:val="96"/>
              </w:rPr>
              <w:t>Per Share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3"/>
        </w:trPr>
        <w:tc>
          <w:tcPr>
            <w:tcW w:w="9420" w:type="dxa"/>
            <w:vAlign w:val="bottom"/>
            <w:vMerge w:val="continue"/>
          </w:tcPr>
          <w:p>
            <w:pPr>
              <w:spacing w:after="0"/>
              <w:rPr>
                <w:sz w:val="15"/>
                <w:szCs w:val="15"/>
                <w:color w:val="auto"/>
              </w:rPr>
            </w:pPr>
          </w:p>
        </w:tc>
        <w:tc>
          <w:tcPr>
            <w:tcW w:w="58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6"/>
                <w:szCs w:val="16"/>
                <w:i w:val="1"/>
                <w:iCs w:val="1"/>
                <w:color w:val="auto"/>
              </w:rPr>
              <w:t>$</w:t>
            </w:r>
          </w:p>
        </w:tc>
        <w:tc>
          <w:tcPr>
            <w:tcW w:w="980" w:type="dxa"/>
            <w:vAlign w:val="bottom"/>
          </w:tcPr>
          <w:p>
            <w:pPr>
              <w:spacing w:after="0"/>
              <w:rPr>
                <w:sz w:val="15"/>
                <w:szCs w:val="15"/>
                <w:color w:val="auto"/>
              </w:rPr>
            </w:pPr>
          </w:p>
        </w:tc>
        <w:tc>
          <w:tcPr>
            <w:tcW w:w="300" w:type="dxa"/>
            <w:vAlign w:val="bottom"/>
            <w:tcBorders>
              <w:top w:val="single" w:sz="8" w:color="auto"/>
            </w:tcBorders>
          </w:tcPr>
          <w:p>
            <w:pPr>
              <w:jc w:val="right"/>
              <w:ind w:right="61"/>
              <w:spacing w:after="0" w:line="173" w:lineRule="exact"/>
              <w:rPr>
                <w:sz w:val="20"/>
                <w:szCs w:val="20"/>
                <w:color w:val="auto"/>
              </w:rPr>
            </w:pPr>
            <w:r>
              <w:rPr>
                <w:rFonts w:ascii="Times New Roman" w:cs="Times New Roman" w:eastAsia="Times New Roman" w:hAnsi="Times New Roman"/>
                <w:sz w:val="16"/>
                <w:szCs w:val="16"/>
                <w:i w:val="1"/>
                <w:iCs w:val="1"/>
                <w:color w:val="auto"/>
              </w:rPr>
              <w:t>$</w:t>
            </w:r>
          </w:p>
        </w:tc>
        <w:tc>
          <w:tcPr>
            <w:tcW w:w="0" w:type="dxa"/>
            <w:vAlign w:val="bottom"/>
          </w:tcPr>
          <w:p>
            <w:pPr>
              <w:spacing w:after="0"/>
              <w:rPr>
                <w:sz w:val="1"/>
                <w:szCs w:val="1"/>
                <w:color w:val="auto"/>
              </w:rPr>
            </w:pPr>
          </w:p>
        </w:tc>
      </w:tr>
      <w:tr>
        <w:trPr>
          <w:trHeight w:val="198"/>
        </w:trPr>
        <w:tc>
          <w:tcPr>
            <w:tcW w:w="9420" w:type="dxa"/>
            <w:vAlign w:val="bottom"/>
          </w:tcPr>
          <w:p>
            <w:pPr>
              <w:spacing w:after="0" w:line="198" w:lineRule="exact"/>
              <w:rPr>
                <w:sz w:val="20"/>
                <w:szCs w:val="20"/>
                <w:color w:val="auto"/>
              </w:rPr>
            </w:pPr>
            <w:r>
              <w:rPr>
                <w:rFonts w:ascii="Times New Roman" w:cs="Times New Roman" w:eastAsia="Times New Roman" w:hAnsi="Times New Roman"/>
                <w:sz w:val="14"/>
                <w:szCs w:val="14"/>
                <w:i w:val="1"/>
                <w:iCs w:val="1"/>
                <w:color w:val="auto"/>
              </w:rPr>
              <w:t xml:space="preserve">Underwriting discounts and commissions </w:t>
            </w:r>
            <w:r>
              <w:rPr>
                <w:rFonts w:ascii="Times New Roman" w:cs="Times New Roman" w:eastAsia="Times New Roman" w:hAnsi="Times New Roman"/>
                <w:sz w:val="22"/>
                <w:szCs w:val="22"/>
                <w:i w:val="1"/>
                <w:iCs w:val="1"/>
                <w:color w:val="auto"/>
                <w:vertAlign w:val="superscript"/>
              </w:rPr>
              <w:t>(1)</w:t>
            </w:r>
          </w:p>
        </w:tc>
        <w:tc>
          <w:tcPr>
            <w:tcW w:w="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c>
          <w:tcPr>
            <w:tcW w:w="0" w:type="dxa"/>
            <w:vAlign w:val="bottom"/>
          </w:tcPr>
          <w:p>
            <w:pPr>
              <w:spacing w:after="0"/>
              <w:rPr>
                <w:sz w:val="1"/>
                <w:szCs w:val="1"/>
                <w:color w:val="auto"/>
              </w:rPr>
            </w:pPr>
          </w:p>
        </w:tc>
      </w:tr>
      <w:tr>
        <w:trPr>
          <w:trHeight w:val="197"/>
        </w:trPr>
        <w:tc>
          <w:tcPr>
            <w:tcW w:w="9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Tempus Labs, Inc.</w:t>
            </w:r>
          </w:p>
        </w:tc>
        <w:tc>
          <w:tcPr>
            <w:tcW w:w="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c>
          <w:tcPr>
            <w:tcW w:w="0" w:type="dxa"/>
            <w:vAlign w:val="bottom"/>
          </w:tcPr>
          <w:p>
            <w:pPr>
              <w:spacing w:after="0"/>
              <w:rPr>
                <w:sz w:val="1"/>
                <w:szCs w:val="1"/>
                <w:color w:val="auto"/>
              </w:rPr>
            </w:pPr>
          </w:p>
        </w:tc>
      </w:tr>
      <w:tr>
        <w:trPr>
          <w:trHeight w:val="208"/>
        </w:trPr>
        <w:tc>
          <w:tcPr>
            <w:tcW w:w="9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the selling stockholders</w:t>
            </w:r>
          </w:p>
        </w:tc>
        <w:tc>
          <w:tcPr>
            <w:tcW w:w="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918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i w:val="1"/>
          <w:iCs w:val="1"/>
          <w:color w:val="auto"/>
        </w:rPr>
        <w:t>(1)</w:t>
      </w:r>
      <w:r>
        <w:rPr>
          <w:sz w:val="20"/>
          <w:szCs w:val="20"/>
          <w:color w:val="auto"/>
        </w:rPr>
        <w:tab/>
      </w:r>
      <w:r>
        <w:rPr>
          <w:rFonts w:ascii="Times New Roman" w:cs="Times New Roman" w:eastAsia="Times New Roman" w:hAnsi="Times New Roman"/>
          <w:sz w:val="13"/>
          <w:szCs w:val="13"/>
          <w:i w:val="1"/>
          <w:iCs w:val="1"/>
          <w:color w:val="auto"/>
        </w:rPr>
        <w:t>See “Underwriting” for additional information regarding compensation payable to the underwriters.</w:t>
      </w:r>
    </w:p>
    <w:p>
      <w:pPr>
        <w:spacing w:after="0" w:line="9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w:t>
            </w:r>
          </w:p>
        </w:tc>
        <w:tc>
          <w:tcPr>
            <w:tcW w:w="1060" w:type="dxa"/>
            <w:vAlign w:val="bottom"/>
          </w:tcPr>
          <w:p>
            <w:pPr>
              <w:jc w:val="right"/>
              <w:ind w:right="281"/>
              <w:spacing w:after="0"/>
              <w:rPr>
                <w:sz w:val="20"/>
                <w:szCs w:val="20"/>
                <w:color w:val="auto"/>
              </w:rPr>
            </w:pPr>
            <w:r>
              <w:rPr>
                <w:rFonts w:ascii="Times New Roman" w:cs="Times New Roman" w:eastAsia="Times New Roman" w:hAnsi="Times New Roman"/>
                <w:sz w:val="16"/>
                <w:szCs w:val="16"/>
                <w:i w:val="1"/>
                <w:iCs w:val="1"/>
                <w:color w:val="auto"/>
              </w:rPr>
              <w:t>, 2021.</w:t>
            </w:r>
          </w:p>
        </w:tc>
        <w:tc>
          <w:tcPr>
            <w:tcW w:w="3440" w:type="dxa"/>
            <w:vAlign w:val="bottom"/>
          </w:tcPr>
          <w:p>
            <w:pPr>
              <w:spacing w:after="0"/>
              <w:rPr>
                <w:sz w:val="18"/>
                <w:szCs w:val="18"/>
                <w:color w:val="auto"/>
              </w:rPr>
            </w:pPr>
          </w:p>
        </w:tc>
      </w:tr>
      <w:tr>
        <w:trPr>
          <w:trHeight w:val="228"/>
        </w:trPr>
        <w:tc>
          <w:tcPr>
            <w:tcW w:w="4480" w:type="dxa"/>
            <w:vAlign w:val="bottom"/>
          </w:tcPr>
          <w:p>
            <w:pPr>
              <w:spacing w:after="0"/>
              <w:rPr>
                <w:sz w:val="19"/>
                <w:szCs w:val="19"/>
                <w:color w:val="auto"/>
              </w:rPr>
            </w:pPr>
          </w:p>
        </w:tc>
        <w:tc>
          <w:tcPr>
            <w:tcW w:w="2400" w:type="dxa"/>
            <w:vAlign w:val="bottom"/>
            <w:tcBorders>
              <w:bottom w:val="single" w:sz="8" w:color="auto"/>
            </w:tcBorders>
            <w:gridSpan w:val="2"/>
          </w:tcPr>
          <w:p>
            <w:pPr>
              <w:spacing w:after="0"/>
              <w:rPr>
                <w:sz w:val="19"/>
                <w:szCs w:val="19"/>
                <w:color w:val="auto"/>
              </w:rPr>
            </w:pPr>
          </w:p>
        </w:tc>
        <w:tc>
          <w:tcPr>
            <w:tcW w:w="3440" w:type="dxa"/>
            <w:vAlign w:val="bottom"/>
          </w:tcPr>
          <w:p>
            <w:pPr>
              <w:spacing w:after="0"/>
              <w:rPr>
                <w:sz w:val="19"/>
                <w:szCs w:val="19"/>
                <w:color w:val="auto"/>
              </w:rPr>
            </w:pPr>
          </w:p>
        </w:tc>
      </w:tr>
      <w:tr>
        <w:trPr>
          <w:trHeight w:val="340"/>
        </w:trPr>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MORGAN STANLEY</w:t>
            </w:r>
          </w:p>
        </w:tc>
        <w:tc>
          <w:tcPr>
            <w:tcW w:w="240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i w:val="1"/>
                <w:iCs w:val="1"/>
                <w:color w:val="auto"/>
              </w:rPr>
              <w:t>J.P. MORGAN</w:t>
            </w:r>
          </w:p>
        </w:tc>
        <w:tc>
          <w:tcPr>
            <w:tcW w:w="3440" w:type="dxa"/>
            <w:vAlign w:val="bottom"/>
          </w:tcPr>
          <w:p>
            <w:pPr>
              <w:ind w:left="1540"/>
              <w:spacing w:after="0"/>
              <w:rPr>
                <w:sz w:val="20"/>
                <w:szCs w:val="20"/>
                <w:color w:val="auto"/>
              </w:rPr>
            </w:pPr>
            <w:r>
              <w:rPr>
                <w:rFonts w:ascii="Times New Roman" w:cs="Times New Roman" w:eastAsia="Times New Roman" w:hAnsi="Times New Roman"/>
                <w:sz w:val="18"/>
                <w:szCs w:val="18"/>
                <w:i w:val="1"/>
                <w:iCs w:val="1"/>
                <w:color w:val="auto"/>
                <w:w w:val="95"/>
              </w:rPr>
              <w:t>ALLEN &amp; COMPANY LLC</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BofA SECURITIES</w:t>
            </w: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40" w:type="dxa"/>
            <w:vAlign w:val="bottom"/>
          </w:tcPr>
          <w:p>
            <w:pPr>
              <w:ind w:left="1540"/>
              <w:spacing w:after="0"/>
              <w:rPr>
                <w:sz w:val="20"/>
                <w:szCs w:val="20"/>
                <w:color w:val="auto"/>
              </w:rPr>
            </w:pPr>
            <w:r>
              <w:rPr>
                <w:rFonts w:ascii="Times New Roman" w:cs="Times New Roman" w:eastAsia="Times New Roman" w:hAnsi="Times New Roman"/>
                <w:sz w:val="18"/>
                <w:szCs w:val="18"/>
                <w:i w:val="1"/>
                <w:iCs w:val="1"/>
                <w:color w:val="auto"/>
              </w:rPr>
              <w:t>COWEN</w:t>
            </w:r>
          </w:p>
        </w:tc>
      </w:tr>
    </w:tbl>
    <w:p>
      <w:pPr>
        <w:spacing w:after="0" w:line="129" w:lineRule="exact"/>
        <w:rPr>
          <w:sz w:val="20"/>
          <w:szCs w:val="20"/>
          <w:color w:val="auto"/>
        </w:rPr>
      </w:pPr>
    </w:p>
    <w:p>
      <w:pPr>
        <w:sectPr>
          <w:pgSz w:w="11900" w:h="16838" w:orient="portrait"/>
          <w:cols w:equalWidth="0" w:num="1">
            <w:col w:w="11340"/>
          </w:cols>
          <w:pgMar w:left="320" w:top="448" w:right="239" w:bottom="1440" w:gutter="0" w:footer="0" w:header="0"/>
        </w:sectPr>
      </w:pPr>
    </w:p>
    <w:p>
      <w:pPr>
        <w:ind w:left="4600"/>
        <w:spacing w:after="0"/>
        <w:tabs>
          <w:tab w:leader="none" w:pos="6300" w:val="left"/>
        </w:tabs>
        <w:rPr>
          <w:sz w:val="20"/>
          <w:szCs w:val="20"/>
          <w:color w:val="auto"/>
        </w:rPr>
      </w:pPr>
      <w:r>
        <w:rPr>
          <w:rFonts w:ascii="Times New Roman" w:cs="Times New Roman" w:eastAsia="Times New Roman" w:hAnsi="Times New Roman"/>
          <w:sz w:val="16"/>
          <w:szCs w:val="16"/>
          <w:i w:val="1"/>
          <w:iCs w:val="1"/>
          <w:color w:val="auto"/>
        </w:rPr>
        <w:t>Prospectus dated</w:t>
      </w:r>
      <w:r>
        <w:rPr>
          <w:sz w:val="20"/>
          <w:szCs w:val="20"/>
          <w:color w:val="auto"/>
        </w:rPr>
        <w:tab/>
      </w:r>
      <w:r>
        <w:rPr>
          <w:rFonts w:ascii="Times New Roman" w:cs="Times New Roman" w:eastAsia="Times New Roman" w:hAnsi="Times New Roman"/>
          <w:sz w:val="15"/>
          <w:szCs w:val="15"/>
          <w:i w:val="1"/>
          <w:iCs w:val="1"/>
          <w:color w:val="auto"/>
        </w:rPr>
        <w:t>, 2021.</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3"/>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97</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of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of Our Class A Common Stock</w:t>
            </w:r>
          </w:p>
        </w:tc>
        <w:tc>
          <w:tcPr>
            <w:tcW w:w="250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102</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125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188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44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54483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Labs,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laboratory tests, an Intelligent Diagnostic contextualizes the laboratory test result to a specific patient, by incorporating an individual’s longitudinal clinical data into the result.</w:t>
      </w:r>
    </w:p>
    <w:p>
      <w:pPr>
        <w:spacing w:after="0" w:line="184"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To accomplish this, we built both a technology platform to free healthcare data from silos and an operating system to make this data useful. We refer to the combination of those as the Tempus Platform. Our proprietary technology has allowed us to amass what we consider to be one of the largest libraries of clinical and molecular oncology data in the world. Our goal is to embed AI throughout every aspect of diagnostic testing to enable physicians and researchers to make personalized, data-driven decisions that improve patient care. We started in oncology in 2016 and have expanded into neuropsychology, infectious diseases, and cardiology, with aspirations to eventually be in all major disease areas.</w:t>
      </w:r>
    </w:p>
    <w:p>
      <w:pPr>
        <w:spacing w:after="0" w:line="187" w:lineRule="exact"/>
        <w:rPr>
          <w:sz w:val="20"/>
          <w:szCs w:val="20"/>
          <w:color w:val="auto"/>
        </w:rPr>
      </w:pPr>
    </w:p>
    <w:p>
      <w:pPr>
        <w:jc w:val="both"/>
        <w:ind w:left="200" w:firstLine="438"/>
        <w:spacing w:after="0" w:line="288" w:lineRule="auto"/>
        <w:rPr>
          <w:sz w:val="20"/>
          <w:szCs w:val="20"/>
          <w:color w:val="auto"/>
        </w:rPr>
      </w:pPr>
      <w:r>
        <w:rPr>
          <w:rFonts w:ascii="Times New Roman" w:cs="Times New Roman" w:eastAsia="Times New Roman" w:hAnsi="Times New Roman"/>
          <w:sz w:val="16"/>
          <w:szCs w:val="16"/>
          <w:color w:val="auto"/>
        </w:rPr>
        <w:t>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56"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oncology, and other diseases, in the United States. Our Platform connects multiple stakeholders within the larger healthcare ecosystem, often in</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448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54483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near real time, to assemble and integrate the data we collect, thereby providing an opportunity for physicians to make data-driven decisions in the clinic and for researchers to discover and develop therapeutics. We aim to help doctors find the best therapies for their patients, help pharmaceutical and biotechnology companies make the best drugs possible, and enable patients to access emerging therapies and clinical trials when appropriate.</w:t>
      </w:r>
    </w:p>
    <w:p>
      <w:pPr>
        <w:spacing w:after="0" w:line="18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approximately 234 unique data connections, many of which supply us with complex multimodal data in near real time, across approximately 1,034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We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and to increase the effectiveness of our clinical trial matching services. In certain circumstances, we may cover the actual direct costs associated with the technical integrations needed to create a data connection.</w:t>
      </w:r>
    </w:p>
    <w:p>
      <w:pPr>
        <w:spacing w:after="0" w:line="189"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have launched a suite of different products derived from our Platform, which have gained significant traction over the past five years. In 2020 alone, we performed more than one million diagnostic laboratory tests, and our clinical NGS volume in oncology rose from approximately 31,000 samples in 2018 to approximately 104,000 in 2020. In the nine months ended September 30, 2021, we sequenced approximately 112,408 samples. Through September 30, 2021 our offerings have been used by more than 5,000 oncologists across hundreds of provider networks, including more than half of all academic medical centers in the United States. Our database has grown to be approximately fourteen times the size of The Cancer Genome Atlas, the largest public genomic dataset that we know of in oncology, as we now have approximately 42.5 petabytes of connected clinical and molecular data. Between our sequencing and data collection efforts, we are connected in some way to more than 40% of all oncologists practicing in the United States.</w:t>
      </w:r>
    </w:p>
    <w:p>
      <w:pPr>
        <w:spacing w:after="0" w:line="162"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revenues. Even though our cancer business was at an early stage, we next expanded into neuropsychology, as we believed our model was extensible across disease areas. Having gained early traction in depression, we moved into infectious disease, which was largely prioritized due to the COVID-19 pandemic. With the decline of COVID-19 testing revenue, we intend to expand our infectious disease offering to cover broader viral testing. Our next category is in cardiology, through our collaboration with Geisinger. Each time we enter a new disease area we look to expand upon the model we deployed in oncology by developing Intelligent Diagnostics connected to clinical data, and by amassing large amounts of de-identified data to advance patient care and accelerate drug discovery and development. Once we obtain sufficient data, we also expect to deploy our AI and machine learning capabilities to build algorithmic diagnostics at scale across diseases.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540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75406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1,500 employees, including hundreds with diverse expertise across genetics, molecular and computational biology, bioinformatics, regulatory affairs, medical, product and engineering, and data science. Roughly one-third of our team is technical, with over 160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generated total revenue of $62.1 million and $188.0 million in the years ended December 31, 2019 and 2020, respectively, and $87.2 million and $184.5 million in the nine months ended September 30, 2020 and 2021, respectively. Revenue generated from COVID-19 testing was $89.5 million, or 47.6% of our total revenue, $29.5 million, or 33.8% of our total revenue, and $84.9 million, or 46.0% of our total revenue, for the year ended December 31, 2020, the nine months ended September 30, 2020 and the nine months ended September 30, 2021, respectively. We anticipate that demand for, and revenue from, our COVID-19 testing products will decrease materially in future periods due to the lower prevalence of COVID-19 from successful containment efforts and the vaccination of a substantial majority of Americans, reduced testing needs of many of our clients, and the entrance of other testing providers into the market, and that such decreases would have an adverse effect on our results of operations. We incurred net losses of $115.0 million and $209.9 million in the years ended December 31, 2019 and 2020, respectively, and of $155.7 million and $200.2 million in the nine months ended September 30, 2020 and 2021, respectively.</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482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74822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their data warehouse, or their third-party data provider to pull relevant structured and unstructured data that the provider has agreed to contribute to us, including longitudinal follow-up data in certain circumstances. We have established relationships with hundreds of provider networks in the United States, including approximately half of all academic medical centers. In addition, we work with numerous industry associations, including the American Society of Clinical Oncology, or ASCO, to structure and distribute the cancer data that they collect as part of CancerLinq, which is their oncology data effort. We also ingest data via our two high-throughput diagnostic testing labs in Chicago and Atlanta, through which we offer a range of anatomical and molecular NGS tests. We intend to expand these capabilities with a new genomics lab in Raleigh, NC that we plan to operationalize by the end of 2021.</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to streamline and help secure this process. Once appropriately de-identified, we store the data in our multimodal database.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6822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7682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more than 300 million documents and more than 4.7 million patient records, including over 950,000 with imaging data, more than 470,000 with matched clinical records linked with genomic information, and approximately 80,000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also retain the rights to broadly commercialize the de-identified data we collect. As our database continues to grow from its current size of approximately 42.5 petabytes, we believe new AI applications and opportunities will emerge that are only possible with scale that will drive further innovations in patient treatment. The graph below shows our historical database growth and its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and other statistical learning techniques to generate patient-specific insights. Some of these AI models can be not only trained and validated for research use, but also developed into clinical-grade algorithmic tests, or Algos, and deployed clinically as part of routine care. As our data advantage and system architecture continue to improve, we believe our existing Intelligent Diagnostics will gain further adoption thereby accelerating our ability to deploy technologies, including Algos, in the clinical setting.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06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59067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 We describe below our three product lines— Genomics, Data, and Algos. For the year ended December 31, 2019, Genomics and Data represented 45% and 55% of our total revenue, respectively. For the year ended December 31, 2020, Genomics and Data represented 81% and 19% of our total revenue, respectively. For the nine months ended September 30, 2020, Genomics and Data represented 84% and 16% of our total revenue, respectively. For the nine months ended September 30, 2021, Genomics and Data represented 84% and 16% of our total revenue, respectively. For the nine months ended September 30, 2021, revenue generated from Algos was less than $1.0 million and was reported within our Data and other product line.</w:t>
      </w:r>
    </w:p>
    <w:p>
      <w:pPr>
        <w:spacing w:after="0" w:line="2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0"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product line leverages our laboratories to provide NGS diagnostics, polymerase chain reaction, or PCR, profiling, molecular genotyping, and other anatomic and molecular pathology testing to healthcare providers, life sciences companies, researchers, and other third parties. We operate robotic sequencing labs in Chicago and Atlanta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We also plan to open an additional sequencing lab in Raleigh by the end of 2021.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72" w:lineRule="exact"/>
        <w:rPr>
          <w:sz w:val="20"/>
          <w:szCs w:val="20"/>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 (we are currently performing analytical validation on a larger approximately 520 gene version);</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neuropsychology;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 – PCR test for COVID-19; and</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 – pan viral assay for infectious disease (including COVID-19, Influenza and RSV).</w:t>
      </w:r>
    </w:p>
    <w:p>
      <w:pPr>
        <w:spacing w:after="0" w:line="213" w:lineRule="exact"/>
        <w:rPr>
          <w:sz w:val="20"/>
          <w:szCs w:val="20"/>
          <w:color w:val="auto"/>
        </w:rPr>
      </w:pPr>
    </w:p>
    <w:p>
      <w:pPr>
        <w:jc w:val="both"/>
        <w:ind w:left="200" w:right="20" w:firstLine="438"/>
        <w:spacing w:after="0" w:line="267" w:lineRule="auto"/>
        <w:rPr>
          <w:sz w:val="20"/>
          <w:szCs w:val="20"/>
          <w:color w:val="auto"/>
        </w:rPr>
      </w:pPr>
      <w:r>
        <w:rPr>
          <w:rFonts w:ascii="Times New Roman" w:cs="Times New Roman" w:eastAsia="Times New Roman" w:hAnsi="Times New Roman"/>
          <w:sz w:val="18"/>
          <w:szCs w:val="18"/>
          <w:color w:val="auto"/>
        </w:rPr>
        <w:t>We are also currently developing xM, a low pass whole genome + methylation assay for monitoring for cancer recurrence and minimal residual disease.</w:t>
      </w:r>
    </w:p>
    <w:p>
      <w:pPr>
        <w:spacing w:after="0" w:line="17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clinical and molecular oncology datasets in the world, which we make available to physicians and life sciences companies. Because our Platform is designed to be extensible across disease areas, we hope, over time, to have similar success in neuropsychology, cardiology, infectious disease, and the other disease categories in which we choose to expand.</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248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5248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w:t>
      </w:r>
      <w:r>
        <w:rPr>
          <w:rFonts w:ascii="Times New Roman" w:cs="Times New Roman" w:eastAsia="Times New Roman" w:hAnsi="Times New Roman"/>
          <w:sz w:val="18"/>
          <w:szCs w:val="18"/>
          <w:i w:val="1"/>
          <w:iCs w:val="1"/>
          <w:color w:val="auto"/>
        </w:rPr>
        <w:t>Insights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xml:space="preserve">. Through our </w:t>
      </w:r>
      <w:r>
        <w:rPr>
          <w:rFonts w:ascii="Times New Roman" w:cs="Times New Roman" w:eastAsia="Times New Roman" w:hAnsi="Times New Roman"/>
          <w:sz w:val="18"/>
          <w:szCs w:val="18"/>
          <w:i w:val="1"/>
          <w:iCs w:val="1"/>
          <w:color w:val="auto"/>
        </w:rPr>
        <w:t>Insights</w:t>
      </w:r>
      <w:r>
        <w:rPr>
          <w:rFonts w:ascii="Times New Roman" w:cs="Times New Roman" w:eastAsia="Times New Roman" w:hAnsi="Times New Roman"/>
          <w:sz w:val="18"/>
          <w:szCs w:val="18"/>
          <w:color w:val="auto"/>
        </w:rPr>
        <w:t xml:space="preserve">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 from discovery, research and development, to commercialization. Customers either pay us on a per file basis or through multi-year data licensing agreements to access our de-identified database of clinical records. At present, we work with 15 of the 20 largest public pharmaceutical companies based on 2020 revenue, and, as of September 30, 2021, we have signed contracts with a remaining total contract value of $184 million, a majority of which we expect to deliver over the next several years. See “Business” for additional discussion regarding our remaining total contract value.</w:t>
      </w:r>
    </w:p>
    <w:p>
      <w:pPr>
        <w:spacing w:after="0" w:line="193"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over time, the value of a single de-identified record can increase over time.</w:t>
      </w:r>
    </w:p>
    <w:p>
      <w:pPr>
        <w:spacing w:after="0" w:line="180" w:lineRule="exact"/>
        <w:rPr>
          <w:sz w:val="20"/>
          <w:szCs w:val="20"/>
          <w:color w:val="auto"/>
        </w:rPr>
      </w:pPr>
    </w:p>
    <w:p>
      <w:pPr>
        <w:jc w:val="both"/>
        <w:ind w:left="200" w:firstLine="438"/>
        <w:spacing w:after="0" w:line="279" w:lineRule="auto"/>
        <w:rPr>
          <w:sz w:val="20"/>
          <w:szCs w:val="20"/>
          <w:color w:val="auto"/>
        </w:rPr>
      </w:pPr>
      <w:r>
        <w:rPr>
          <w:rFonts w:ascii="Times New Roman" w:cs="Times New Roman" w:eastAsia="Times New Roman" w:hAnsi="Times New Roman"/>
          <w:sz w:val="16"/>
          <w:szCs w:val="16"/>
          <w:color w:val="auto"/>
        </w:rPr>
        <w:t>To evaluate the revenue stream in our Data product line, we rely on “Cohort Lifetime Value.”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other in the Consolidated Statement of Operations. Cost of revenues, data and other were $6.3 million and $7.1 million for the years ended December 31, 2019 and 2020, respectively, and were $5.0 million and $8.0 million for the nine months ended September 30, 2020 and 2021, respectively. These costs represent 18.5% and 19.6% of data and other revenue for the years ended December 31, 2019 and 2020, respectively, and 36.1% and 26.5% for the nine months ended September 30, 2020 and 2021, respectively.</w:t>
      </w:r>
    </w:p>
    <w:p>
      <w:pPr>
        <w:spacing w:after="0" w:line="374"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September 30, 2021, we generated $45.3 million of combined revenue from sequencing, data licensing of de-identified data derived from those records, and clinical trials matching, which is approximately 5.0 times the revenue we received from sequencing at the onset. The total cost to sequence the 2018 cohort was $17.4 million, of which $9.0 million was covered by reimbursement for the corresponding sequencing tests. We then generated $16.3 million of data revenue from that cohort in 2018, finishing the year with a “Cohort Lifetime Value” of $7.9 million. As more customers licensed de-identified records from the 2018 cohort in subsequent years, we generated additional revenue in 2019, 2020 and 2021 from the 2018 cohort, and as of September 30, 2021, the 2018 “Cohort Lifetime Value” for this customer was $27.9 million. We maintained a similar trend for the 2019 cohort through its first two years in existence. The total cost to sequence the 2019 cohort was $39.1 million, of which $25.7 million was covered by</w:t>
      </w:r>
    </w:p>
    <w:p>
      <w:pPr>
        <w:spacing w:after="0" w:line="2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4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56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58566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88" w:lineRule="auto"/>
        <w:rPr>
          <w:sz w:val="20"/>
          <w:szCs w:val="20"/>
          <w:color w:val="auto"/>
        </w:rPr>
      </w:pPr>
      <w:r>
        <w:rPr>
          <w:rFonts w:ascii="Times New Roman" w:cs="Times New Roman" w:eastAsia="Times New Roman" w:hAnsi="Times New Roman"/>
          <w:sz w:val="16"/>
          <w:szCs w:val="16"/>
          <w:color w:val="auto"/>
        </w:rPr>
        <w:t>the reimbursement for the corresponding sequencing tests. We then generated $23.4 million of data revenue from that cohort in 2019, finishing the year with a “Cohort Lifetime Value” of $10.0 million. We generated additional data revenue in 2020 and 2021, and as of September 30, 2021, the 2019 “Cohort Lifetime Value” was $29.0 million. The total cost to sequence the 2020 cohort was $63.4 million, of which $46.9 million was covered by reimbursement for the corresponding sequencing tests. We then generated $16.7 million of data revenue from that cohort in 2020, finishing the year with a “Cohort Lifetime Value” of $0.2 million. We generated additional data revenue in 2021, and as of September 30, 2021, the 2020 “Cohort Lifetime Value” was $11.0 million.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“Cohort Lifetime Value” for the 2018, 2019, 2020 and 2021 data cohorts is illustrated in the graphs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448"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23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652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 xml:space="preserve">Our second product within our Data product line,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is designed to leverage the broad network of physicians we work with in oncology to provide clinical trial matching services for pharmaceutical companies that are looking to reach hard-to-find and underserved patient populations. Our clinical trial matching product is built on top of our near real-time data feeds and harnesses AI to accelerate the connection between patients, clinical trial providers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1,670 oncologists fully enrolled, more than 75 clinical trials onboarded and active, and more than 5,800 patients were identified for potential enrollment into clinical trials in our network, as of November 1, 2021.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0" w:lineRule="exact"/>
        <w:rPr>
          <w:sz w:val="20"/>
          <w:szCs w:val="20"/>
          <w:color w:val="auto"/>
        </w:rPr>
      </w:pPr>
    </w:p>
    <w:p>
      <w:pPr>
        <w:jc w:val="both"/>
        <w:ind w:left="200" w:firstLine="438"/>
        <w:spacing w:after="0" w:line="270" w:lineRule="auto"/>
        <w:rPr>
          <w:sz w:val="20"/>
          <w:szCs w:val="20"/>
          <w:color w:val="auto"/>
        </w:rPr>
      </w:pPr>
      <w:r>
        <w:rPr>
          <w:rFonts w:ascii="Times New Roman" w:cs="Times New Roman" w:eastAsia="Times New Roman" w:hAnsi="Times New Roman"/>
          <w:sz w:val="18"/>
          <w:szCs w:val="18"/>
          <w:color w:val="auto"/>
        </w:rPr>
        <w:t xml:space="preserve">Our newest product line,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focuses on developing and providing diagnostics that are algorithmic in nature. Algos are tests that can be run without additional chemistry or biology; they are simply 0’s and 1’s</w:t>
      </w:r>
    </w:p>
    <w:p>
      <w:pPr>
        <w:spacing w:after="0" w:line="2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320" w:top="448"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15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57150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running on digitized data derived from a laboratory test. Algos leverage AI-driven insights to produce clinically validated and actionable information for physicians.</w:t>
      </w:r>
    </w:p>
    <w:p>
      <w:pPr>
        <w:spacing w:after="0" w:line="17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currently offer two algorithmic tests in oncology: our tumor origin test, or TO test, and our homologous recombination deficiency test, or HRD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are also developing Algos in other disease areas. In cardiology, for example, we entered into a collaboration with Geisinger to build algorithmic models that aid clinicians in identifying patients at increased risk of developing atrial fibrillation, or AFib, along with a variety of other cardiac conditions. These Algos were trained off Geisinger’s dataset of approximately 3.2 million electrocardiograms, or ECGs, across approximately 600,000 patients, with decades of longitudinal connected clinical data, including outcome and response data. As part of this initiative, the U.S. Food and Drug Administration, or FDA, recently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w:t>
      </w:r>
    </w:p>
    <w:p>
      <w:pPr>
        <w:spacing w:after="0" w:line="186"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Algos product line represents an emerging category of diagnostics and has the potential to be highly disruptive across diagnostic tests in a broad set of disease areas. We believe that as our database grows, we will be able to expand our Algos offering, with the goal of launching hundreds or thousands of Algos at some point in the future, representing a significant long-term opportunity that may be substantially larger than our other existing product lines. We believe our ability to launch Algos at scale could be a unique differentiator of our Platform. For Algos, we use data the same way legacy diagnostic companies use chemistry in the battle against disease, improving patient care by learning from the patients who have come before, and tailoring test results based on a patient’s unique profile. While we only have two Algos tests at present, we have a goal of launching at least 50 Algos by year end 2025. Some Algos will likely yield little to no reimbursement until their clinical utility is well established, and some may obtain reimbursement at prevailing rates for comparable tests. Through September 30, 2021 our Algos have been ordered more than 9,400 times and have generated approximately $100 per test on average. Eventually, we would like to launch hundreds, if not thousands, of Algos.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and infectious diseases, in which there is over $4 trillion of economic burden according to publicly available sources.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981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69818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third party research for “real world evidence”, as estimated according to Mordor Intelligence and our internal estimates. Over time, we believe that the potential market opportunity for our Algos product line could be substantially larger than our other product lines combined.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product line is powered by dedicated, near real-time data pipelines that we believe are increasingly difficult to replicate; and our proprietary technology has allowed us to scale where others have been unable. As we are now connected to more than 40% of all oncologists practicing in the United States in some way, and a growing number of neuropsychiatric, infectious disease,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06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59067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a glimpse into how these technologies might influence care over time:</w:t>
      </w:r>
    </w:p>
    <w:p>
      <w:pPr>
        <w:spacing w:after="0" w:line="211" w:lineRule="exact"/>
        <w:rPr>
          <w:sz w:val="20"/>
          <w:szCs w:val="20"/>
          <w:color w:val="auto"/>
        </w:rPr>
      </w:pPr>
    </w:p>
    <w:p>
      <w:pPr>
        <w:jc w:val="both"/>
        <w:ind w:left="200" w:firstLine="438"/>
        <w:spacing w:after="0" w:line="256" w:lineRule="auto"/>
        <w:rPr>
          <w:sz w:val="20"/>
          <w:szCs w:val="20"/>
          <w:color w:val="auto"/>
        </w:rPr>
      </w:pPr>
      <w:r>
        <w:rPr>
          <w:rFonts w:ascii="Times New Roman" w:cs="Times New Roman" w:eastAsia="Times New Roman" w:hAnsi="Times New Roman"/>
          <w:sz w:val="18"/>
          <w:szCs w:val="18"/>
          <w:i w:val="1"/>
          <w:iCs w:val="1"/>
          <w:color w:val="auto"/>
        </w:rPr>
        <w:t>Imagine the world as it exists today. A 44 year old female feels a lump in her left breast. She sees her gynecologist, who orders a biopsy. The patient is diagnosed with triple negative breast cancer, which has metastasized to her lung. The patient is prescribed chemotherapy (paclitaxel), but her tumors don’t respond. Despite another course of chemotherapy (capecitabine), the patient’s survival rate is limited to approximately a year.</w:t>
      </w:r>
    </w:p>
    <w:p>
      <w:pPr>
        <w:spacing w:after="0" w:line="178" w:lineRule="exact"/>
        <w:rPr>
          <w:sz w:val="20"/>
          <w:szCs w:val="20"/>
          <w:color w:val="auto"/>
        </w:rPr>
      </w:pPr>
    </w:p>
    <w:p>
      <w:pPr>
        <w:jc w:val="both"/>
        <w:ind w:left="200" w:firstLine="438"/>
        <w:spacing w:after="0" w:line="256" w:lineRule="auto"/>
        <w:rPr>
          <w:sz w:val="20"/>
          <w:szCs w:val="20"/>
          <w:color w:val="auto"/>
        </w:rPr>
      </w:pPr>
      <w:r>
        <w:rPr>
          <w:rFonts w:ascii="Times New Roman" w:cs="Times New Roman" w:eastAsia="Times New Roman" w:hAnsi="Times New Roman"/>
          <w:sz w:val="18"/>
          <w:szCs w:val="18"/>
          <w:i w:val="1"/>
          <w:iCs w:val="1"/>
          <w:color w:val="auto"/>
        </w:rPr>
        <w:t>Now imagine a future world, where artificial intelligence and technology combine at scale to revolutionize treatment options. Not only does the same 44 year old patient receive a biopsy and scans, but her physician has access to a wealth of clinically relevant information including her clinical history, pathology images, germline, and tumor molecular profile to better inform precision care:</w:t>
      </w:r>
    </w:p>
    <w:p>
      <w:pPr>
        <w:spacing w:after="0" w:line="204" w:lineRule="exact"/>
        <w:rPr>
          <w:sz w:val="20"/>
          <w:szCs w:val="20"/>
          <w:color w:val="auto"/>
        </w:rPr>
      </w:pPr>
    </w:p>
    <w:p>
      <w:pPr>
        <w:jc w:val="both"/>
        <w:ind w:left="1160" w:right="20" w:hanging="268"/>
        <w:spacing w:after="0" w:line="256" w:lineRule="auto"/>
        <w:tabs>
          <w:tab w:leader="none" w:pos="11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Once the patient receives a biopsy, her diagnostic pathology slides are automatically connected to Tempus’ cloud platform. Within minutes, dozens of diagnostic algorithms run on her pathology images. Of note, the algorithm suggests the patient has HRD and an overexpression of c-Met protein.</w:t>
      </w:r>
    </w:p>
    <w:p>
      <w:pPr>
        <w:spacing w:after="0" w:line="204" w:lineRule="exact"/>
        <w:rPr>
          <w:rFonts w:ascii="Times New Roman" w:cs="Times New Roman" w:eastAsia="Times New Roman" w:hAnsi="Times New Roman"/>
          <w:sz w:val="18"/>
          <w:szCs w:val="18"/>
          <w:i w:val="1"/>
          <w:iCs w:val="1"/>
          <w:color w:val="auto"/>
        </w:rPr>
      </w:pPr>
    </w:p>
    <w:p>
      <w:pPr>
        <w:jc w:val="both"/>
        <w:ind w:left="1160" w:hanging="268"/>
        <w:spacing w:after="0" w:line="256" w:lineRule="auto"/>
        <w:tabs>
          <w:tab w:leader="none" w:pos="11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patient’s physician orders molecular profiling of her tumor using Tempus’ whole genome &amp; whole transcriptome assay. The results confirm the patient is HRD positive and c-Met amplified. Sequencing also reveals the patient has high expression levels of CD4O along with loss of heterozygosity for HLA A*01:01 in her tumor and is eligible for an immunotherapy trial targeting CD40.</w:t>
      </w:r>
    </w:p>
    <w:p>
      <w:pPr>
        <w:spacing w:after="0" w:line="204" w:lineRule="exact"/>
        <w:rPr>
          <w:rFonts w:ascii="Times New Roman" w:cs="Times New Roman" w:eastAsia="Times New Roman" w:hAnsi="Times New Roman"/>
          <w:sz w:val="18"/>
          <w:szCs w:val="18"/>
          <w:i w:val="1"/>
          <w:iCs w:val="1"/>
          <w:color w:val="auto"/>
        </w:rPr>
      </w:pPr>
    </w:p>
    <w:p>
      <w:pPr>
        <w:jc w:val="both"/>
        <w:ind w:left="1160" w:right="20" w:hanging="268"/>
        <w:spacing w:after="0" w:line="256" w:lineRule="auto"/>
        <w:tabs>
          <w:tab w:leader="none" w:pos="11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Tempus automatically scans the patient’s clinical history, which reveals that the patient had an ECG at her last visit. Tempus runs a body of cardiology-focused algorithms against the ECG and detects a high probability of developing atrial fibrillation, a potentially serious condition the patient and physician were unaware of.</w:t>
      </w:r>
    </w:p>
    <w:p>
      <w:pPr>
        <w:spacing w:after="0" w:line="178"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With access to both multimodal data and artificial intelligence, the physician prescribes a different course of treatment. Her oncologist starts with a PARP inhibitor to address her HRD status, and surgical ablation to address her atrial fibrillation. The patient also enrolls in an immunotherapy clinical trial, which begins after chemotherapy, with an immunotherapy drug targeting CD40. The patient responds well, having a complete radiologic response with no tumors in her breast or lung. Her physician orders quarterly minimal residual disease testing using Tempus’ cell free DNA assay, and the patient is routinely monitored on an annual basis thereafter.</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5580" w:right="200" w:hanging="4688"/>
        <w:spacing w:after="0" w:line="648" w:lineRule="auto"/>
        <w:tabs>
          <w:tab w:leader="none" w:pos="11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both a technology company and a healthcare company, allowing us to harness the advantages of both to advance precision medicine. 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89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5989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Algos at scale.</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neuropsychology, infectious disease,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w:t>
      </w:r>
    </w:p>
    <w:p>
      <w:pPr>
        <w:spacing w:after="0" w:line="88"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20" w:top="44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08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50895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our tests, our business, financial condition and results of operations will be negatively affected.</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88" w:lineRule="exact"/>
        <w:rPr>
          <w:rFonts w:ascii="Times New Roman" w:cs="Times New Roman" w:eastAsia="Times New Roman" w:hAnsi="Times New Roman"/>
          <w:sz w:val="18"/>
          <w:szCs w:val="18"/>
          <w:color w:val="auto"/>
        </w:rPr>
      </w:pPr>
    </w:p>
    <w:p>
      <w:pPr>
        <w:jc w:val="both"/>
        <w:ind w:left="1160" w:right="20" w:hanging="268"/>
        <w:spacing w:after="0" w:line="255"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780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37807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We were originally formed under the name Bioin LLC in Delaware in August 2015 and we converted to a Delaware corporation in September 2015 under the name Bioin Inc. We changed our name to Tempus Health, Inc. later in 2015 and in 2016, we changed our name to Tempus Labs,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87"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Labs, Inc. or our subsidiaries. Other trade names, trademarks and service marks used in this prospectus are the property of their respective owners.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$1.07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315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9315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642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the selling stockholders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22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net proceeds from the sale of our Class A common</w:t>
      </w:r>
    </w:p>
    <w:p>
      <w:pPr>
        <w:spacing w:after="0" w:line="21"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stock that we are offering will be approximately $</w:t>
      </w:r>
      <w:r>
        <w:rPr>
          <w:sz w:val="20"/>
          <w:szCs w:val="20"/>
          <w:color w:val="auto"/>
        </w:rPr>
        <w:tab/>
      </w:r>
      <w:r>
        <w:rPr>
          <w:rFonts w:ascii="Times New Roman" w:cs="Times New Roman" w:eastAsia="Times New Roman" w:hAnsi="Times New Roman"/>
          <w:sz w:val="16"/>
          <w:szCs w:val="16"/>
          <w:color w:val="auto"/>
        </w:rPr>
        <w:t>million,</w:t>
      </w:r>
    </w:p>
    <w:p>
      <w:pPr>
        <w:spacing w:after="0" w:line="3"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assuming an initial public offering price of $</w:t>
      </w:r>
      <w:r>
        <w:rPr>
          <w:sz w:val="20"/>
          <w:szCs w:val="20"/>
          <w:color w:val="auto"/>
        </w:rPr>
        <w:tab/>
      </w:r>
      <w:r>
        <w:rPr>
          <w:rFonts w:ascii="Times New Roman" w:cs="Times New Roman" w:eastAsia="Times New Roman" w:hAnsi="Times New Roman"/>
          <w:sz w:val="18"/>
          <w:szCs w:val="18"/>
          <w:color w:val="auto"/>
        </w:rPr>
        <w:t>per share, the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facilitate an orderly distribution of shares for the selling stockholders,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will have two classes of common stock following this offering: Class A common stock and Class B common stock. Each share of Class A common stock is entitled to one vote and each share of Class B common</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stock is entitled to votes and is convertible at any time into one share of Class A common stock. In addition, all shares of Class B common stock will automatically convert into shares of Class A common stock in certain circumstances,</w:t>
      </w:r>
    </w:p>
    <w:p>
      <w:pPr>
        <w:spacing w:after="0" w:line="200" w:lineRule="exact"/>
        <w:rPr>
          <w:sz w:val="20"/>
          <w:szCs w:val="20"/>
          <w:color w:val="auto"/>
        </w:rPr>
      </w:pPr>
    </w:p>
    <w:p>
      <w:pPr>
        <w:sectPr>
          <w:pgSz w:w="11900" w:h="16838" w:orient="portrait"/>
          <w:cols w:equalWidth="0" w:num="2">
            <w:col w:w="5620" w:space="280"/>
            <w:col w:w="5260"/>
          </w:cols>
          <w:pgMar w:left="320" w:top="448" w:right="419" w:bottom="1440" w:gutter="0" w:footer="0" w:header="0"/>
          <w:type w:val="continuous"/>
        </w:sectPr>
      </w:pP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097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50977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including on the date that Eric Lefkofsky, our Chief Executive Officer,</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Founder and Chairman (1) ceases to serve as an executive officer or</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w w:val="99"/>
              </w:rPr>
              <w:t>member of our Board of Directors or (2) ceases to own, together with his</w:t>
            </w:r>
          </w:p>
        </w:tc>
      </w:tr>
      <w:tr>
        <w:trPr>
          <w:trHeight w:val="210"/>
        </w:trPr>
        <w:tc>
          <w:tcPr>
            <w:tcW w:w="3720" w:type="dxa"/>
            <w:vAlign w:val="bottom"/>
          </w:tcPr>
          <w:p>
            <w:pPr>
              <w:spacing w:after="0"/>
              <w:rPr>
                <w:sz w:val="18"/>
                <w:szCs w:val="18"/>
                <w:color w:val="auto"/>
              </w:rPr>
            </w:pPr>
          </w:p>
        </w:tc>
        <w:tc>
          <w:tcPr>
            <w:tcW w:w="4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controlled entities, at least</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shares of Class B common stock (as</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w w:val="99"/>
              </w:rPr>
              <w:t>adjusted for stock splits, stock dividends, combinations, subdivisions and</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tc>
      </w:tr>
      <w:tr>
        <w:trPr>
          <w:trHeight w:val="228"/>
        </w:trPr>
        <w:tc>
          <w:tcPr>
            <w:tcW w:w="3720" w:type="dxa"/>
            <w:vAlign w:val="bottom"/>
          </w:tcPr>
          <w:p>
            <w:pPr>
              <w:spacing w:after="0"/>
              <w:rPr>
                <w:sz w:val="19"/>
                <w:szCs w:val="19"/>
                <w:color w:val="auto"/>
              </w:rPr>
            </w:pPr>
          </w:p>
        </w:tc>
        <w:tc>
          <w:tcPr>
            <w:tcW w:w="6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tc>
        <w:tc>
          <w:tcPr>
            <w:tcW w:w="500" w:type="dxa"/>
            <w:vAlign w:val="bottom"/>
          </w:tcPr>
          <w:p>
            <w:pPr>
              <w:spacing w:after="0"/>
              <w:rPr>
                <w:sz w:val="19"/>
                <w:szCs w:val="19"/>
                <w:color w:val="auto"/>
              </w:rPr>
            </w:pPr>
          </w:p>
        </w:tc>
      </w:tr>
      <w:tr>
        <w:trPr>
          <w:trHeight w:val="310"/>
        </w:trPr>
        <w:tc>
          <w:tcPr>
            <w:tcW w:w="3720" w:type="dxa"/>
            <w:vAlign w:val="bottom"/>
          </w:tcPr>
          <w:p>
            <w:pPr>
              <w:spacing w:after="0"/>
              <w:rPr>
                <w:sz w:val="24"/>
                <w:szCs w:val="24"/>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w w:val="98"/>
              </w:rPr>
              <w:t>generally vote together as a single class, unless otherwise required by law</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w w:val="97"/>
              </w:rPr>
              <w:t>Founder and Chairman, Eric Lefkofsky, will beneficially own 100% of our</w:t>
            </w:r>
          </w:p>
        </w:tc>
      </w:tr>
      <w:tr>
        <w:trPr>
          <w:trHeight w:val="210"/>
        </w:trPr>
        <w:tc>
          <w:tcPr>
            <w:tcW w:w="3720" w:type="dxa"/>
            <w:vAlign w:val="bottom"/>
          </w:tcPr>
          <w:p>
            <w:pPr>
              <w:spacing w:after="0"/>
              <w:rPr>
                <w:sz w:val="18"/>
                <w:szCs w:val="18"/>
                <w:color w:val="auto"/>
              </w:rPr>
            </w:pPr>
          </w:p>
        </w:tc>
        <w:tc>
          <w:tcPr>
            <w:tcW w:w="6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outstanding Class B common stock and will hold approximately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of</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w w:val="99"/>
              </w:rPr>
              <w:t>outcome of matters submitted to our stockholders for approval, including</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transaction. See the sections titled “Principal and Selling Stockholders”</w:t>
            </w:r>
          </w:p>
        </w:tc>
      </w:tr>
      <w:tr>
        <w:trPr>
          <w:trHeight w:val="228"/>
        </w:trPr>
        <w:tc>
          <w:tcPr>
            <w:tcW w:w="3720" w:type="dxa"/>
            <w:vAlign w:val="bottom"/>
          </w:tcPr>
          <w:p>
            <w:pPr>
              <w:spacing w:after="0"/>
              <w:rPr>
                <w:sz w:val="19"/>
                <w:szCs w:val="19"/>
                <w:color w:val="auto"/>
              </w:rPr>
            </w:pPr>
          </w:p>
        </w:tc>
        <w:tc>
          <w:tcPr>
            <w:tcW w:w="6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tc>
        <w:tc>
          <w:tcPr>
            <w:tcW w:w="500" w:type="dxa"/>
            <w:vAlign w:val="bottom"/>
          </w:tcPr>
          <w:p>
            <w:pPr>
              <w:spacing w:after="0"/>
              <w:rPr>
                <w:sz w:val="19"/>
                <w:szCs w:val="19"/>
                <w:color w:val="auto"/>
              </w:rPr>
            </w:pPr>
          </w:p>
        </w:tc>
      </w:tr>
      <w:tr>
        <w:trPr>
          <w:trHeight w:val="27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You should carefully read the section titled “Risk Factors” beginning on</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page 23 and the other information included in this prospectus for a</w:t>
            </w:r>
          </w:p>
        </w:tc>
      </w:tr>
      <w:tr>
        <w:trPr>
          <w:trHeight w:val="210"/>
        </w:trPr>
        <w:tc>
          <w:tcPr>
            <w:tcW w:w="3720" w:type="dxa"/>
            <w:vAlign w:val="bottom"/>
          </w:tcPr>
          <w:p>
            <w:pPr>
              <w:spacing w:after="0"/>
              <w:rPr>
                <w:sz w:val="18"/>
                <w:szCs w:val="18"/>
                <w:color w:val="auto"/>
              </w:rPr>
            </w:pPr>
          </w:p>
        </w:tc>
        <w:tc>
          <w:tcPr>
            <w:tcW w:w="7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discussion of facts that you should consider before deciding to invest in</w:t>
            </w:r>
          </w:p>
        </w:tc>
      </w:tr>
      <w:tr>
        <w:trPr>
          <w:trHeight w:val="228"/>
        </w:trPr>
        <w:tc>
          <w:tcPr>
            <w:tcW w:w="3720" w:type="dxa"/>
            <w:vAlign w:val="bottom"/>
          </w:tcPr>
          <w:p>
            <w:pPr>
              <w:spacing w:after="0"/>
              <w:rPr>
                <w:sz w:val="19"/>
                <w:szCs w:val="19"/>
                <w:color w:val="auto"/>
              </w:rPr>
            </w:pPr>
          </w:p>
        </w:tc>
        <w:tc>
          <w:tcPr>
            <w:tcW w:w="46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8"/>
              </w:rPr>
              <w:t>shares of our Class A common stock.</w:t>
            </w:r>
          </w:p>
        </w:tc>
        <w:tc>
          <w:tcPr>
            <w:tcW w:w="2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7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Proposed trading symbol</w:t>
            </w:r>
          </w:p>
        </w:tc>
        <w:tc>
          <w:tcPr>
            <w:tcW w:w="4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“TIME”</w:t>
            </w:r>
          </w:p>
        </w:tc>
        <w:tc>
          <w:tcPr>
            <w:tcW w:w="210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w:t>
      </w:r>
    </w:p>
    <w:p>
      <w:pPr>
        <w:spacing w:after="0" w:line="4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color w:val="auto"/>
        </w:rPr>
        <w:t>based on</w:t>
      </w:r>
      <w:r>
        <w:rPr>
          <w:sz w:val="20"/>
          <w:szCs w:val="20"/>
          <w:color w:val="auto"/>
        </w:rPr>
        <w:tab/>
      </w:r>
      <w:r>
        <w:rPr>
          <w:rFonts w:ascii="Times New Roman" w:cs="Times New Roman" w:eastAsia="Times New Roman" w:hAnsi="Times New Roman"/>
          <w:sz w:val="16"/>
          <w:szCs w:val="16"/>
          <w:color w:val="auto"/>
        </w:rPr>
        <w:t>shares of Class A common stock and no shares of Class B common stock outstanding as of September 30, 2021, and excludes:</w:t>
      </w:r>
    </w:p>
    <w:p>
      <w:pPr>
        <w:sectPr>
          <w:pgSz w:w="11900" w:h="16838" w:orient="portrait"/>
          <w:cols w:equalWidth="0" w:num="1">
            <w:col w:w="11160"/>
          </w:cols>
          <w:pgMar w:left="320" w:top="448" w:right="419" w:bottom="1440" w:gutter="0" w:footer="0" w:header="0"/>
        </w:sectPr>
      </w:pP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both"/>
        <w:ind w:firstLine="1090"/>
        <w:spacing w:after="0" w:line="251" w:lineRule="auto"/>
        <w:rPr>
          <w:sz w:val="20"/>
          <w:szCs w:val="20"/>
          <w:color w:val="auto"/>
        </w:rPr>
      </w:pPr>
      <w:r>
        <w:rPr>
          <w:rFonts w:ascii="Times New Roman" w:cs="Times New Roman" w:eastAsia="Times New Roman" w:hAnsi="Times New Roman"/>
          <w:sz w:val="18"/>
          <w:szCs w:val="18"/>
          <w:color w:val="auto"/>
        </w:rPr>
        <w:t>shares of Class A common stock issuable on the vesting and settlement of restricted stock units, or RSUs, outstanding as of under our Third Amended and Restated 2015 Stock Plan, as amended, or 2015 Plan, for which the performance-based vesting condition will be satisfied in connection with this offering, but for which the service-based vesting condition will not be satisfied on or before the date of this offering;</w:t>
      </w:r>
    </w:p>
    <w:p>
      <w:pPr>
        <w:spacing w:after="0" w:line="92" w:lineRule="exact"/>
        <w:rPr>
          <w:sz w:val="20"/>
          <w:szCs w:val="20"/>
          <w:color w:val="auto"/>
        </w:rPr>
      </w:pPr>
    </w:p>
    <w:p>
      <w:pPr>
        <w:sectPr>
          <w:pgSz w:w="11900" w:h="16838" w:orient="portrait"/>
          <w:cols w:equalWidth="0" w:num="2">
            <w:col w:w="680" w:space="480"/>
            <w:col w:w="10000"/>
          </w:cols>
          <w:pgMar w:left="320" w:top="448" w:right="41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7480" w:val="left"/>
        </w:tabs>
        <w:rPr>
          <w:sz w:val="20"/>
          <w:szCs w:val="20"/>
          <w:color w:val="auto"/>
        </w:rPr>
      </w:pPr>
      <w:r>
        <w:rPr>
          <w:rFonts w:ascii="Times New Roman" w:cs="Times New Roman" w:eastAsia="Times New Roman" w:hAnsi="Times New Roman"/>
          <w:sz w:val="18"/>
          <w:szCs w:val="18"/>
          <w:color w:val="auto"/>
        </w:rPr>
        <w:t>shares of Class A common stock issuable on the vesting and settlement of RSUs granted after</w:t>
      </w:r>
      <w:r>
        <w:rPr>
          <w:sz w:val="20"/>
          <w:szCs w:val="20"/>
          <w:color w:val="auto"/>
        </w:rPr>
        <w:tab/>
      </w:r>
      <w:r>
        <w:rPr>
          <w:rFonts w:ascii="Times New Roman" w:cs="Times New Roman" w:eastAsia="Times New Roman" w:hAnsi="Times New Roman"/>
          <w:sz w:val="16"/>
          <w:szCs w:val="16"/>
          <w:color w:val="auto"/>
        </w:rPr>
        <w:t>under the 2015 Plan for</w:t>
      </w:r>
    </w:p>
    <w:p>
      <w:pPr>
        <w:spacing w:after="0" w:line="21" w:lineRule="exact"/>
        <w:rPr>
          <w:sz w:val="20"/>
          <w:szCs w:val="20"/>
          <w:color w:val="auto"/>
        </w:rPr>
      </w:pPr>
    </w:p>
    <w:p>
      <w:pPr>
        <w:sectPr>
          <w:pgSz w:w="11900" w:h="16838" w:orient="portrait"/>
          <w:cols w:equalWidth="0" w:num="2">
            <w:col w:w="1240" w:space="720"/>
            <w:col w:w="9200"/>
          </w:cols>
          <w:pgMar w:left="320" w:top="448" w:right="419" w:bottom="1440" w:gutter="0" w:footer="0" w:header="0"/>
          <w:type w:val="continuous"/>
        </w:sectPr>
      </w:pPr>
    </w:p>
    <w:p>
      <w:pPr>
        <w:ind w:left="1160"/>
        <w:spacing w:after="0" w:line="247" w:lineRule="auto"/>
        <w:rPr>
          <w:sz w:val="20"/>
          <w:szCs w:val="20"/>
          <w:color w:val="auto"/>
        </w:rPr>
      </w:pPr>
      <w:r>
        <w:rPr>
          <w:rFonts w:ascii="Times New Roman" w:cs="Times New Roman" w:eastAsia="Times New Roman" w:hAnsi="Times New Roman"/>
          <w:sz w:val="18"/>
          <w:szCs w:val="18"/>
          <w:color w:val="auto"/>
        </w:rPr>
        <w:t>which the performance-based vesting condition will be satisfied in connection with this offering, but for which the service-based vesting condition will not be satisfied on or before the date of this offering;</w:t>
      </w: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64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56648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860" w:hanging="1235"/>
        <w:spacing w:after="0"/>
        <w:tabs>
          <w:tab w:leader="none" w:pos="1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Performance-Vesting Restricted Stock</w:t>
      </w:r>
    </w:p>
    <w:p>
      <w:pPr>
        <w:spacing w:after="0" w:line="44" w:lineRule="exact"/>
        <w:rPr>
          <w:sz w:val="20"/>
          <w:szCs w:val="20"/>
          <w:color w:val="auto"/>
        </w:rPr>
      </w:pPr>
    </w:p>
    <w:p>
      <w:pPr>
        <w:ind w:left="1160" w:right="20"/>
        <w:spacing w:after="0" w:line="247" w:lineRule="auto"/>
        <w:rPr>
          <w:sz w:val="20"/>
          <w:szCs w:val="20"/>
          <w:color w:val="auto"/>
        </w:rPr>
      </w:pPr>
      <w:r>
        <w:rPr>
          <w:rFonts w:ascii="Times New Roman" w:cs="Times New Roman" w:eastAsia="Times New Roman" w:hAnsi="Times New Roman"/>
          <w:sz w:val="18"/>
          <w:szCs w:val="18"/>
          <w:color w:val="auto"/>
        </w:rPr>
        <w:t>Units, or PSUs, outstanding as of , 2021 under our 2015 Plan, for which the performance-based vesting condition may be satisfied in connection with this offering, but for which the service-based vesting condition will not be satisfied on or before the date of this offering;</w:t>
      </w:r>
    </w:p>
    <w:p>
      <w:pPr>
        <w:spacing w:after="0" w:line="94" w:lineRule="exact"/>
        <w:rPr>
          <w:sz w:val="20"/>
          <w:szCs w:val="20"/>
          <w:color w:val="auto"/>
        </w:rPr>
      </w:pPr>
    </w:p>
    <w:p>
      <w:pPr>
        <w:ind w:left="1900" w:hanging="1275"/>
        <w:spacing w:after="0"/>
        <w:tabs>
          <w:tab w:leader="none" w:pos="1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reserved for future issuance under our 2021 Equity Incentive Plan, or 2021 Plan, plus a number of</w:t>
      </w:r>
    </w:p>
    <w:p>
      <w:pPr>
        <w:spacing w:after="0" w:line="29"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of Class A common stock not to exceed</w:t>
            </w:r>
          </w:p>
        </w:tc>
        <w:tc>
          <w:tcPr>
            <w:tcW w:w="6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(consisting of the number of shares that remain available under the 2015 Plan as of</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immediately prior to the effective date of the 2021 Plan, and any shares underlying RSUs outstanding under the 2015 Plan that expire or</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otherwise terminate prior to settlement after the effective date of the 2021 Plan), as well as any future increases, including annual automatic</w:t>
            </w:r>
          </w:p>
        </w:tc>
      </w:tr>
      <w:tr>
        <w:trPr>
          <w:trHeight w:val="228"/>
        </w:trPr>
        <w:tc>
          <w:tcPr>
            <w:tcW w:w="300" w:type="dxa"/>
            <w:vAlign w:val="bottom"/>
          </w:tcPr>
          <w:p>
            <w:pPr>
              <w:spacing w:after="0"/>
              <w:rPr>
                <w:sz w:val="19"/>
                <w:szCs w:val="19"/>
                <w:color w:val="auto"/>
              </w:rPr>
            </w:pPr>
          </w:p>
        </w:tc>
        <w:tc>
          <w:tcPr>
            <w:tcW w:w="8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6"/>
              </w:rPr>
              <w:t>evergreen increases, in the number of shares of Class A common stock reserved for issuance under the 2021 Plan;</w:t>
            </w:r>
          </w:p>
        </w:tc>
        <w:tc>
          <w:tcPr>
            <w:tcW w:w="20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7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issuable on the exercise of a stock option outstanding as of</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under the 2015 Plan, with an</w:t>
            </w:r>
          </w:p>
        </w:tc>
      </w:tr>
      <w:tr>
        <w:trPr>
          <w:trHeight w:val="228"/>
        </w:trPr>
        <w:tc>
          <w:tcPr>
            <w:tcW w:w="300" w:type="dxa"/>
            <w:vAlign w:val="bottom"/>
          </w:tcPr>
          <w:p>
            <w:pPr>
              <w:spacing w:after="0"/>
              <w:rPr>
                <w:sz w:val="19"/>
                <w:szCs w:val="19"/>
                <w:color w:val="auto"/>
              </w:rPr>
            </w:pPr>
          </w:p>
        </w:tc>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exercise price of $  per share;</w:t>
            </w:r>
          </w:p>
        </w:tc>
        <w:tc>
          <w:tcPr>
            <w:tcW w:w="42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w:t>
            </w:r>
          </w:p>
        </w:tc>
        <w:tc>
          <w:tcPr>
            <w:tcW w:w="9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issuable upon conversion of an outstanding convertible promissory note, which is convertible</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beginning in March 2026, as more fully described in the section of this prospectus titled “Description of Capital Stock—Convertible</w:t>
            </w:r>
          </w:p>
        </w:tc>
      </w:tr>
      <w:tr>
        <w:trPr>
          <w:trHeight w:val="228"/>
        </w:trPr>
        <w:tc>
          <w:tcPr>
            <w:tcW w:w="300" w:type="dxa"/>
            <w:vAlign w:val="bottom"/>
          </w:tcPr>
          <w:p>
            <w:pPr>
              <w:spacing w:after="0"/>
              <w:rPr>
                <w:sz w:val="19"/>
                <w:szCs w:val="19"/>
                <w:color w:val="auto"/>
              </w:rPr>
            </w:pPr>
          </w:p>
        </w:tc>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Promissory Note”; and</w:t>
            </w:r>
          </w:p>
        </w:tc>
        <w:tc>
          <w:tcPr>
            <w:tcW w:w="424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100" w:lineRule="exact"/>
        <w:rPr>
          <w:sz w:val="20"/>
          <w:szCs w:val="20"/>
          <w:color w:val="auto"/>
        </w:rPr>
      </w:pPr>
    </w:p>
    <w:p>
      <w:pPr>
        <w:jc w:val="both"/>
        <w:ind w:left="1160" w:hanging="535"/>
        <w:spacing w:after="0" w:line="25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w:t>
      </w:r>
    </w:p>
    <w:p>
      <w:pPr>
        <w:spacing w:after="0" w:line="180"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620"/>
        <w:spacing w:after="0"/>
        <w:tabs>
          <w:tab w:leader="none" w:pos="1140" w:val="left"/>
          <w:tab w:leader="none" w:pos="1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-for-one forward stock split of our Class A common stock to be effected prior to the closing of this offering;</w:t>
      </w:r>
    </w:p>
    <w:p>
      <w:pPr>
        <w:spacing w:after="0" w:line="121" w:lineRule="exact"/>
        <w:rPr>
          <w:sz w:val="20"/>
          <w:szCs w:val="20"/>
          <w:color w:val="auto"/>
        </w:rPr>
      </w:pPr>
    </w:p>
    <w:p>
      <w:pPr>
        <w:ind w:left="1160" w:right="20" w:hanging="535"/>
        <w:spacing w:after="0" w:line="267"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immediately prior to the closing of this offering;</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w:t>
      </w:r>
    </w:p>
    <w:p>
      <w:pPr>
        <w:spacing w:after="0" w:line="21" w:lineRule="exact"/>
        <w:rPr>
          <w:sz w:val="20"/>
          <w:szCs w:val="20"/>
          <w:color w:val="auto"/>
        </w:rPr>
      </w:pPr>
    </w:p>
    <w:p>
      <w:pPr>
        <w:ind w:left="1160"/>
        <w:spacing w:after="0"/>
        <w:tabs>
          <w:tab w:leader="none" w:pos="198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shares of Class B common stock, which will occur immediately prior to the closing of this offering;</w:t>
      </w:r>
    </w:p>
    <w:p>
      <w:pPr>
        <w:spacing w:after="0" w:line="103" w:lineRule="exact"/>
        <w:rPr>
          <w:sz w:val="20"/>
          <w:szCs w:val="20"/>
          <w:color w:val="auto"/>
        </w:rPr>
      </w:pPr>
    </w:p>
    <w:p>
      <w:pPr>
        <w:ind w:left="1160" w:hanging="535"/>
        <w:spacing w:after="0"/>
        <w:tabs>
          <w:tab w:leader="none" w:pos="11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on a one-for-one basis of all outstanding shares of redeemable convertible preferred stock, other than our Series B redeemable</w:t>
      </w:r>
    </w:p>
    <w:p>
      <w:pPr>
        <w:spacing w:after="0" w:line="29"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4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convertible preferred stock, into an aggregate of</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which will occur immediately prior to the closing</w:t>
            </w:r>
          </w:p>
        </w:tc>
      </w:tr>
      <w:tr>
        <w:trPr>
          <w:trHeight w:val="228"/>
        </w:trPr>
        <w:tc>
          <w:tcPr>
            <w:tcW w:w="300" w:type="dxa"/>
            <w:vAlign w:val="bottom"/>
          </w:tcPr>
          <w:p>
            <w:pPr>
              <w:spacing w:after="0"/>
              <w:rPr>
                <w:sz w:val="19"/>
                <w:szCs w:val="19"/>
                <w:color w:val="auto"/>
              </w:rPr>
            </w:pP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this offering;</w:t>
            </w:r>
          </w:p>
        </w:tc>
        <w:tc>
          <w:tcPr>
            <w:tcW w:w="2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additional shares of Class A common stock, which we refer to as the Additional Class A Conversion Shares, upon the</w:t>
            </w:r>
          </w:p>
        </w:tc>
      </w:tr>
      <w:tr>
        <w:trPr>
          <w:trHeight w:val="210"/>
        </w:trPr>
        <w:tc>
          <w:tcPr>
            <w:tcW w:w="300" w:type="dxa"/>
            <w:vAlign w:val="bottom"/>
          </w:tcPr>
          <w:p>
            <w:pPr>
              <w:spacing w:after="0"/>
              <w:rPr>
                <w:sz w:val="18"/>
                <w:szCs w:val="18"/>
                <w:color w:val="auto"/>
              </w:rPr>
            </w:pP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conversion of all outstanding shares of our redeemable convertible preferred stock and immediately prior to the closing of this offering,</w:t>
            </w:r>
          </w:p>
        </w:tc>
      </w:tr>
      <w:tr>
        <w:trPr>
          <w:trHeight w:val="210"/>
        </w:trPr>
        <w:tc>
          <w:tcPr>
            <w:tcW w:w="300" w:type="dxa"/>
            <w:vAlign w:val="bottom"/>
          </w:tcPr>
          <w:p>
            <w:pPr>
              <w:spacing w:after="0"/>
              <w:rPr>
                <w:sz w:val="18"/>
                <w:szCs w:val="18"/>
                <w:color w:val="auto"/>
              </w:rPr>
            </w:pPr>
          </w:p>
        </w:tc>
        <w:tc>
          <w:tcPr>
            <w:tcW w:w="91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pursuant to provisions of our certificate of incorporation as currently in effect, assuming an initial public offering price of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28"/>
        </w:trPr>
        <w:tc>
          <w:tcPr>
            <w:tcW w:w="300" w:type="dxa"/>
            <w:vAlign w:val="bottom"/>
          </w:tcPr>
          <w:p>
            <w:pPr>
              <w:spacing w:after="0"/>
              <w:rPr>
                <w:sz w:val="19"/>
                <w:szCs w:val="19"/>
                <w:color w:val="auto"/>
              </w:rPr>
            </w:pPr>
          </w:p>
        </w:tc>
        <w:tc>
          <w:tcPr>
            <w:tcW w:w="81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w:t>
            </w: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6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shares of Class A common stock upon the settlement of RSUs outstanding as of</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under our 2015 Plan for</w:t>
            </w:r>
          </w:p>
        </w:tc>
      </w:tr>
    </w:tbl>
    <w:p>
      <w:pPr>
        <w:jc w:val="both"/>
        <w:ind w:left="1160" w:right="20"/>
        <w:spacing w:after="0" w:line="245" w:lineRule="auto"/>
        <w:rPr>
          <w:sz w:val="20"/>
          <w:szCs w:val="20"/>
          <w:color w:val="auto"/>
        </w:rPr>
      </w:pPr>
      <w:r>
        <w:rPr>
          <w:rFonts w:ascii="Times New Roman" w:cs="Times New Roman" w:eastAsia="Times New Roman" w:hAnsi="Times New Roman"/>
          <w:sz w:val="18"/>
          <w:szCs w:val="18"/>
          <w:color w:val="auto"/>
        </w:rPr>
        <w:t>which the performance-based vesting condition will be satisfied in connection with this offering and for which any service-based vesting condition was satisfied on or before the date of this offering, which settlement will be effected upon the earlier of (i) the expiration of the lock-up period in connection with this offering and (ii) March 15, 2022;</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505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350583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the conversion of all outstanding shares of our nonvoting common stock into immediately prior to the closing of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Class A common stock, which will occur</w:t>
      </w:r>
    </w:p>
    <w:p>
      <w:pPr>
        <w:spacing w:after="0" w:line="354" w:lineRule="exact"/>
        <w:rPr>
          <w:sz w:val="20"/>
          <w:szCs w:val="20"/>
          <w:color w:val="auto"/>
        </w:rPr>
      </w:pPr>
    </w:p>
    <w:p>
      <w:pPr>
        <w:sectPr>
          <w:pgSz w:w="11900" w:h="16838" w:orient="portrait"/>
          <w:cols w:equalWidth="0" w:num="3">
            <w:col w:w="680" w:space="480"/>
            <w:col w:w="5640" w:space="720"/>
            <w:col w:w="3820"/>
          </w:cols>
          <w:pgMar w:left="320" w:top="448" w:right="2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8"/>
          <w:szCs w:val="18"/>
          <w:color w:val="auto"/>
        </w:rPr>
        <w:t>no exercise of the underwriters’ option to purchase up to this offering to cover over-allotments, if any;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additional shares of Class A common stock from the selling stockholders in</w:t>
      </w:r>
    </w:p>
    <w:p>
      <w:pPr>
        <w:spacing w:after="0" w:line="354" w:lineRule="exact"/>
        <w:rPr>
          <w:sz w:val="20"/>
          <w:szCs w:val="20"/>
          <w:color w:val="auto"/>
        </w:rPr>
      </w:pPr>
    </w:p>
    <w:p>
      <w:pPr>
        <w:sectPr>
          <w:pgSz w:w="11900" w:h="16838" w:orient="portrait"/>
          <w:cols w:equalWidth="0" w:num="3">
            <w:col w:w="680" w:space="480"/>
            <w:col w:w="3980" w:space="720"/>
            <w:col w:w="5480"/>
          </w:cols>
          <w:pgMar w:left="320" w:top="448" w:right="239" w:bottom="1440" w:gutter="0" w:footer="0" w:header="0"/>
          <w:type w:val="continuous"/>
        </w:sectPr>
      </w:pPr>
    </w:p>
    <w:p>
      <w:pPr>
        <w:ind w:left="1160" w:hanging="535"/>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except as described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right="180" w:firstLine="438"/>
        <w:spacing w:after="0" w:line="285"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w:t>
      </w:r>
    </w:p>
    <w:p>
      <w:pPr>
        <w:spacing w:after="0" w:line="1" w:lineRule="exact"/>
        <w:rPr>
          <w:sz w:val="20"/>
          <w:szCs w:val="20"/>
          <w:color w:val="auto"/>
        </w:rPr>
      </w:pPr>
    </w:p>
    <w:p>
      <w:pPr>
        <w:jc w:val="both"/>
        <w:ind w:left="200" w:right="180"/>
        <w:spacing w:after="0" w:line="274" w:lineRule="auto"/>
        <w:rPr>
          <w:sz w:val="20"/>
          <w:szCs w:val="20"/>
          <w:color w:val="auto"/>
        </w:rPr>
      </w:pPr>
      <w:r>
        <w:rPr>
          <w:rFonts w:ascii="Times New Roman" w:cs="Times New Roman" w:eastAsia="Times New Roman" w:hAnsi="Times New Roman"/>
          <w:sz w:val="16"/>
          <w:szCs w:val="16"/>
          <w:color w:val="auto"/>
        </w:rPr>
        <w:t>stock. As of the date of this prospectus, shares of redeemable convertible preferred stock have accrued approximately $ million in unpaid dividends, which we expect to pay in shares of our common stock. As a result, at the closing of this offering, we expect to issue the Additional Class A Conversion Shares to holders of shares of our redeemable convertible preferred stock. The number of Additional Class A Conversion Shares to be issued</w:t>
      </w: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depends on the initial public offering price of our Class A common stock. Based on an assumed initial public offering price of $ per share, the midpoint of the estimated price range set forth on the cover page of this prospectus, we will issue Additional Class A Conversion Shares</w:t>
      </w:r>
    </w:p>
    <w:p>
      <w:pPr>
        <w:spacing w:after="0" w:line="1" w:lineRule="exact"/>
        <w:rPr>
          <w:sz w:val="20"/>
          <w:szCs w:val="20"/>
          <w:color w:val="auto"/>
        </w:rPr>
      </w:pPr>
    </w:p>
    <w:p>
      <w:pPr>
        <w:jc w:val="both"/>
        <w:ind w:left="200" w:right="180"/>
        <w:spacing w:after="0" w:line="245" w:lineRule="auto"/>
        <w:rPr>
          <w:sz w:val="20"/>
          <w:szCs w:val="20"/>
          <w:color w:val="auto"/>
        </w:rPr>
      </w:pPr>
      <w:r>
        <w:rPr>
          <w:rFonts w:ascii="Times New Roman" w:cs="Times New Roman" w:eastAsia="Times New Roman" w:hAnsi="Times New Roman"/>
          <w:sz w:val="18"/>
          <w:szCs w:val="18"/>
          <w:color w:val="auto"/>
        </w:rPr>
        <w:t>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6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60" w:type="dxa"/>
            <w:vAlign w:val="bottom"/>
            <w:gridSpan w:val="2"/>
          </w:tcPr>
          <w:p>
            <w:pPr>
              <w:jc w:val="center"/>
              <w:ind w:right="1540"/>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60" w:type="dxa"/>
            <w:vAlign w:val="bottom"/>
            <w:gridSpan w:val="2"/>
          </w:tcPr>
          <w:p>
            <w:pPr>
              <w:jc w:val="center"/>
              <w:ind w:right="15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0" w:type="dxa"/>
            <w:vAlign w:val="bottom"/>
          </w:tcPr>
          <w:p>
            <w:pPr>
              <w:spacing w:after="0"/>
              <w:rPr>
                <w:sz w:val="1"/>
                <w:szCs w:val="1"/>
                <w:color w:val="auto"/>
              </w:rPr>
            </w:pPr>
          </w:p>
        </w:tc>
      </w:tr>
      <w:tr>
        <w:trPr>
          <w:trHeight w:val="144"/>
        </w:trPr>
        <w:tc>
          <w:tcPr>
            <w:tcW w:w="392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Assumed Initial Public</w:t>
            </w:r>
          </w:p>
        </w:tc>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Additional Class A</w:t>
            </w:r>
          </w:p>
        </w:tc>
        <w:tc>
          <w:tcPr>
            <w:tcW w:w="1540" w:type="dxa"/>
            <w:vAlign w:val="bottom"/>
          </w:tcPr>
          <w:p>
            <w:pPr>
              <w:spacing w:after="0"/>
              <w:rPr>
                <w:sz w:val="12"/>
                <w:szCs w:val="12"/>
                <w:color w:val="auto"/>
              </w:rPr>
            </w:pPr>
          </w:p>
        </w:tc>
        <w:tc>
          <w:tcPr>
            <w:tcW w:w="2660" w:type="dxa"/>
            <w:vAlign w:val="bottom"/>
            <w:gridSpan w:val="2"/>
          </w:tcPr>
          <w:p>
            <w:pPr>
              <w:jc w:val="center"/>
              <w:ind w:right="1560"/>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2100" w:type="dxa"/>
            <w:vAlign w:val="bottom"/>
            <w:gridSpan w:val="2"/>
          </w:tcPr>
          <w:p>
            <w:pPr>
              <w:jc w:val="center"/>
              <w:ind w:right="1000"/>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3"/>
        </w:trPr>
        <w:tc>
          <w:tcPr>
            <w:tcW w:w="3920" w:type="dxa"/>
            <w:vAlign w:val="bottom"/>
            <w:gridSpan w:val="3"/>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2660" w:type="dxa"/>
            <w:vAlign w:val="bottom"/>
            <w:gridSpan w:val="2"/>
          </w:tcPr>
          <w:p>
            <w:pPr>
              <w:jc w:val="center"/>
              <w:ind w:right="15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2100" w:type="dxa"/>
            <w:vAlign w:val="bottom"/>
            <w:gridSpan w:val="2"/>
          </w:tcPr>
          <w:p>
            <w:pPr>
              <w:jc w:val="center"/>
              <w:ind w:right="10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2760" w:type="dxa"/>
            <w:vAlign w:val="bottom"/>
            <w:gridSpan w:val="2"/>
          </w:tcPr>
          <w:p>
            <w:pPr>
              <w:jc w:val="center"/>
              <w:ind w:right="16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Offering 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112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Conversion Shares</w:t>
            </w:r>
          </w:p>
        </w:tc>
        <w:tc>
          <w:tcPr>
            <w:tcW w:w="1540" w:type="dxa"/>
            <w:vAlign w:val="bottom"/>
          </w:tcPr>
          <w:p>
            <w:pPr>
              <w:spacing w:after="0"/>
              <w:rPr>
                <w:sz w:val="14"/>
                <w:szCs w:val="14"/>
                <w:color w:val="auto"/>
              </w:rPr>
            </w:pPr>
          </w:p>
        </w:tc>
        <w:tc>
          <w:tcPr>
            <w:tcW w:w="2660" w:type="dxa"/>
            <w:vAlign w:val="bottom"/>
            <w:gridSpan w:val="2"/>
          </w:tcPr>
          <w:p>
            <w:pPr>
              <w:jc w:val="center"/>
              <w:ind w:right="15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2100" w:type="dxa"/>
            <w:vAlign w:val="bottom"/>
            <w:gridSpan w:val="2"/>
          </w:tcPr>
          <w:p>
            <w:pPr>
              <w:jc w:val="center"/>
              <w:ind w:right="10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146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58146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right="180" w:firstLine="438"/>
        <w:spacing w:after="0" w:line="246"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2019 and 2020 have been derived from our audited consolidated financial statements included elsewhere in this prospectus. The summary consolidated statements of operations data for the nine months ended September 30, 2020 and 2021 and the summary consolidated balance sheet data as of September 30, 2021 have been derived from our unaudited interim consolidated financial statements included elsewhere in this prospectus. The unaudited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0" w:type="dxa"/>
            <w:vAlign w:val="bottom"/>
          </w:tcPr>
          <w:p>
            <w:pPr>
              <w:spacing w:after="0"/>
              <w:rPr>
                <w:sz w:val="13"/>
                <w:szCs w:val="13"/>
                <w:color w:val="auto"/>
              </w:rPr>
            </w:pPr>
          </w:p>
        </w:tc>
        <w:tc>
          <w:tcPr>
            <w:tcW w:w="20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3"/>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20" w:type="dxa"/>
            <w:vAlign w:val="bottom"/>
            <w:gridSpan w:val="10"/>
          </w:tcPr>
          <w:p>
            <w:pPr>
              <w:jc w:val="right"/>
              <w:ind w:right="513"/>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27,890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151,911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73,224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154,514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Other</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34,167</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36,093</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13,928</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30,029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62,057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188,004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87,152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184,543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39,685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152,198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80,416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129,283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7,092</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5,028</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7,948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25,608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45,861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32,800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49,543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31,253</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45,415</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32,308</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42,526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78,962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130,892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88,006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144,158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181,838</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381,458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238,558</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(119,781)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(193,454)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(151,406)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(188,915)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(18,929)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(5,528)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expenses, net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(114,951)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(211,354)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(155,712)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(199,757)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(114,951</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(209,854</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(155,712</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(200,211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534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78"/>
              <w:spacing w:after="0" w:line="202" w:lineRule="exact"/>
              <w:rPr>
                <w:sz w:val="20"/>
                <w:szCs w:val="20"/>
                <w:color w:val="auto"/>
              </w:rPr>
            </w:pPr>
            <w:r>
              <w:rPr>
                <w:rFonts w:ascii="Times New Roman" w:cs="Times New Roman" w:eastAsia="Times New Roman" w:hAnsi="Times New Roman"/>
                <w:sz w:val="18"/>
                <w:szCs w:val="18"/>
                <w:color w:val="auto"/>
              </w:rPr>
              <w:t>(7,303)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58"/>
              <w:spacing w:after="0" w:line="202" w:lineRule="exact"/>
              <w:rPr>
                <w:sz w:val="20"/>
                <w:szCs w:val="20"/>
                <w:color w:val="auto"/>
              </w:rPr>
            </w:pPr>
            <w:r>
              <w:rPr>
                <w:rFonts w:ascii="Times New Roman" w:cs="Times New Roman" w:eastAsia="Times New Roman" w:hAnsi="Times New Roman"/>
                <w:sz w:val="18"/>
                <w:szCs w:val="18"/>
                <w:color w:val="auto"/>
              </w:rPr>
              <w:t>(7,381)</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78"/>
              <w:spacing w:after="0" w:line="202" w:lineRule="exact"/>
              <w:rPr>
                <w:sz w:val="20"/>
                <w:szCs w:val="20"/>
                <w:color w:val="auto"/>
              </w:rPr>
            </w:pPr>
            <w:r>
              <w:rPr>
                <w:rFonts w:ascii="Times New Roman" w:cs="Times New Roman" w:eastAsia="Times New Roman" w:hAnsi="Times New Roman"/>
                <w:sz w:val="18"/>
                <w:szCs w:val="18"/>
                <w:color w:val="auto"/>
              </w:rPr>
              <w:t>(3,203)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Dividends on Series A, B, B-1, B-2, C, D, E, F and G preferred shares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(23,640)</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(34,420)</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(25,523)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(2,250)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(148,144</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(253,905</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(186,331</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(228,916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53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5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78"/>
              <w:spacing w:after="0" w:line="202"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58"/>
              <w:spacing w:after="0" w:line="202" w:lineRule="exact"/>
              <w:rPr>
                <w:sz w:val="20"/>
                <w:szCs w:val="20"/>
                <w:color w:val="auto"/>
              </w:rPr>
            </w:pPr>
            <w:r>
              <w:rPr>
                <w:rFonts w:ascii="Times New Roman" w:cs="Times New Roman" w:eastAsia="Times New Roman" w:hAnsi="Times New Roman"/>
                <w:sz w:val="18"/>
                <w:szCs w:val="18"/>
                <w:color w:val="auto"/>
              </w:rPr>
              <w:t>(4.05)</w:t>
            </w: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78"/>
              <w:spacing w:after="0" w:line="202" w:lineRule="exact"/>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0" w:type="dxa"/>
            <w:vAlign w:val="bottom"/>
            <w:tcBorders>
              <w:bottom w:val="single" w:sz="8" w:color="auto"/>
            </w:tcBorders>
          </w:tcPr>
          <w:p>
            <w:pPr>
              <w:spacing w:after="0"/>
              <w:rPr>
                <w:sz w:val="13"/>
                <w:szCs w:val="13"/>
                <w:color w:val="auto"/>
              </w:rPr>
            </w:pPr>
          </w:p>
        </w:tc>
        <w:tc>
          <w:tcPr>
            <w:tcW w:w="5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46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48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584835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30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186"/>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ind w:left="200"/>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3460" w:type="dxa"/>
            <w:vAlign w:val="bottom"/>
            <w:gridSpan w:val="7"/>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90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basic and diluted</w:t>
            </w:r>
            <w:r>
              <w:rPr>
                <w:rFonts w:ascii="Times New Roman" w:cs="Times New Roman" w:eastAsia="Times New Roman" w:hAnsi="Times New Roman"/>
                <w:sz w:val="14"/>
                <w:szCs w:val="14"/>
                <w:color w:val="auto"/>
              </w:rPr>
              <w:t>(1)</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61,347</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62,706</w:t>
            </w:r>
          </w:p>
        </w:tc>
        <w:tc>
          <w:tcPr>
            <w:tcW w:w="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62,697</w:t>
            </w: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62,973</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r>
              <w:rPr>
                <w:rFonts w:ascii="Times New Roman" w:cs="Times New Roman" w:eastAsia="Times New Roman" w:hAnsi="Times New Roman"/>
                <w:sz w:val="14"/>
                <w:szCs w:val="14"/>
                <w:color w:val="auto"/>
              </w:rPr>
              <w:t>(2)</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ind w:right="738"/>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shares used to compute pro forma net loss per share attributable to common</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basic and diluted</w:t>
            </w:r>
            <w:r>
              <w:rPr>
                <w:rFonts w:ascii="Times New Roman" w:cs="Times New Roman" w:eastAsia="Times New Roman" w:hAnsi="Times New Roman"/>
                <w:sz w:val="14"/>
                <w:szCs w:val="14"/>
                <w:color w:val="auto"/>
              </w:rPr>
              <w:t>(2)</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20" w:type="dxa"/>
            <w:vAlign w:val="bottom"/>
            <w:tcBorders>
              <w:bottom w:val="single" w:sz="8" w:color="auto"/>
            </w:tcBorders>
          </w:tcPr>
          <w:p>
            <w:pPr>
              <w:spacing w:after="0"/>
              <w:rPr>
                <w:sz w:val="10"/>
                <w:szCs w:val="10"/>
                <w:color w:val="auto"/>
              </w:rPr>
            </w:pPr>
          </w:p>
        </w:tc>
        <w:tc>
          <w:tcPr>
            <w:tcW w:w="5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20" w:right="20" w:hanging="428"/>
        <w:spacing w:after="0" w:line="253"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11 to our consolidated financial statements included elsewhere in this prospectus for an explanation of the calculations of our basic and diluted net loss per share attributable to common stockholders.</w:t>
      </w:r>
    </w:p>
    <w:p>
      <w:pPr>
        <w:spacing w:after="0" w:line="1" w:lineRule="exact"/>
        <w:rPr>
          <w:rFonts w:ascii="Times New Roman" w:cs="Times New Roman" w:eastAsia="Times New Roman" w:hAnsi="Times New Roman"/>
          <w:sz w:val="18"/>
          <w:szCs w:val="18"/>
          <w:color w:val="auto"/>
        </w:rPr>
      </w:pPr>
    </w:p>
    <w:p>
      <w:pPr>
        <w:ind w:left="620" w:hanging="428"/>
        <w:spacing w:after="0"/>
        <w:tabs>
          <w:tab w:leader="none" w:pos="6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net loss per share gives effect to (a) the automatic conversion of all of our outstanding shares of Series B redeemable convertible preferred</w:t>
      </w:r>
    </w:p>
    <w:p>
      <w:pPr>
        <w:spacing w:after="0" w:line="194"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stock into shares of Class B common stock, which will occur immediately prior to the closing of this offering, (b) the automatic conversion of all of our outstanding shares of redeemable convertible preferred stock, other than our Series B preferred stock, into shares of Class A</w:t>
      </w:r>
    </w:p>
    <w:p>
      <w:pPr>
        <w:spacing w:after="0" w:line="2" w:lineRule="exact"/>
        <w:rPr>
          <w:sz w:val="20"/>
          <w:szCs w:val="20"/>
          <w:color w:val="auto"/>
        </w:rPr>
      </w:pPr>
    </w:p>
    <w:p>
      <w:pPr>
        <w:jc w:val="both"/>
        <w:ind w:left="620"/>
        <w:spacing w:after="0" w:line="683" w:lineRule="auto"/>
        <w:rPr>
          <w:sz w:val="20"/>
          <w:szCs w:val="20"/>
          <w:color w:val="auto"/>
        </w:rPr>
      </w:pPr>
      <w:r>
        <w:rPr>
          <w:rFonts w:ascii="Times New Roman" w:cs="Times New Roman" w:eastAsia="Times New Roman" w:hAnsi="Times New Roman"/>
          <w:sz w:val="16"/>
          <w:szCs w:val="16"/>
          <w:color w:val="auto"/>
        </w:rPr>
        <w:t>common stock, which will occur immediately prior to the closing of this offering, (c) the issuance of the Additional Class A Conversion Shares, which will occur upon the conversion of all outstanding shares of our redeemable convertible preferred stock and immediately prior to the closing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this offering, (d) the automatic conversion of all of our nonvoting common stock into shares of Class A common stock, which will occur immediately prior to the closing of this offering, (e) the issuance of shares of Class A common stock upon settlement of RSUs for which the</w:t>
      </w:r>
    </w:p>
    <w:p>
      <w:pPr>
        <w:spacing w:after="0" w:line="2" w:lineRule="exact"/>
        <w:rPr>
          <w:sz w:val="20"/>
          <w:szCs w:val="20"/>
          <w:color w:val="auto"/>
        </w:rPr>
      </w:pPr>
    </w:p>
    <w:p>
      <w:pPr>
        <w:jc w:val="both"/>
        <w:ind w:left="620" w:right="20"/>
        <w:spacing w:after="0" w:line="274" w:lineRule="auto"/>
        <w:rPr>
          <w:sz w:val="20"/>
          <w:szCs w:val="20"/>
          <w:color w:val="auto"/>
        </w:rPr>
      </w:pPr>
      <w:r>
        <w:rPr>
          <w:rFonts w:ascii="Times New Roman" w:cs="Times New Roman" w:eastAsia="Times New Roman" w:hAnsi="Times New Roman"/>
          <w:sz w:val="16"/>
          <w:szCs w:val="16"/>
          <w:color w:val="auto"/>
        </w:rPr>
        <w:t>service-based vesting condition was satisfied on or before the date of the offering and for which the performance-based vesting condition will be satisfied in connection with this offering, which settlement will occur upon the later of (i) the expiration of the lock-up period in connection with this</w:t>
      </w:r>
    </w:p>
    <w:p>
      <w:pPr>
        <w:jc w:val="both"/>
        <w:ind w:left="620" w:right="20"/>
        <w:spacing w:after="0" w:line="244" w:lineRule="auto"/>
        <w:rPr>
          <w:sz w:val="20"/>
          <w:szCs w:val="20"/>
          <w:color w:val="auto"/>
        </w:rPr>
      </w:pPr>
      <w:r>
        <w:rPr>
          <w:rFonts w:ascii="Times New Roman" w:cs="Times New Roman" w:eastAsia="Times New Roman" w:hAnsi="Times New Roman"/>
          <w:sz w:val="18"/>
          <w:szCs w:val="18"/>
          <w:color w:val="auto"/>
        </w:rPr>
        <w:t>offering and (ii) March 15, 2022, and (f) stock-based compensation expense of approximately $ million related to the vesting of RSUs subject to service-based and performance-based vesting conditions that will be satisfied upon consummation of this offering, as further described in Note 9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7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30, 2021</w:t>
            </w: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Pro</w:t>
            </w:r>
          </w:p>
        </w:tc>
        <w:tc>
          <w:tcPr>
            <w:tcW w:w="980" w:type="dxa"/>
            <w:vAlign w:val="bottom"/>
          </w:tcPr>
          <w:p>
            <w:pPr>
              <w:jc w:val="center"/>
              <w:ind w:left="50"/>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620" w:type="dxa"/>
            <w:vAlign w:val="bottom"/>
          </w:tcPr>
          <w:p>
            <w:pPr>
              <w:spacing w:after="0"/>
              <w:rPr>
                <w:sz w:val="12"/>
                <w:szCs w:val="12"/>
                <w:color w:val="auto"/>
              </w:rPr>
            </w:pPr>
          </w:p>
        </w:tc>
        <w:tc>
          <w:tcPr>
            <w:tcW w:w="9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vMerge w:val="continue"/>
          </w:tcPr>
          <w:p>
            <w:pPr>
              <w:spacing w:after="0"/>
              <w:rPr>
                <w:sz w:val="12"/>
                <w:szCs w:val="12"/>
                <w:color w:val="auto"/>
              </w:rPr>
            </w:pPr>
          </w:p>
        </w:tc>
        <w:tc>
          <w:tcPr>
            <w:tcW w:w="1020" w:type="dxa"/>
            <w:vAlign w:val="bottom"/>
            <w:gridSpan w:val="2"/>
          </w:tcPr>
          <w:p>
            <w:pPr>
              <w:jc w:val="center"/>
              <w:ind w:lef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As Adjusted</w:t>
            </w:r>
            <w:r>
              <w:rPr>
                <w:rFonts w:ascii="Times New Roman" w:cs="Times New Roman" w:eastAsia="Times New Roman" w:hAnsi="Times New Roman"/>
                <w:sz w:val="11"/>
                <w:szCs w:val="11"/>
                <w:b w:val="1"/>
                <w:bCs w:val="1"/>
                <w:color w:val="auto"/>
                <w:w w:val="99"/>
              </w:rPr>
              <w:t>(2)</w:t>
            </w: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tcPr>
          <w:p>
            <w:pPr>
              <w:ind w:left="400"/>
              <w:spacing w:after="0" w:line="157" w:lineRule="exact"/>
              <w:rPr>
                <w:sz w:val="20"/>
                <w:szCs w:val="20"/>
                <w:color w:val="auto"/>
              </w:rPr>
            </w:pPr>
            <w:r>
              <w:rPr>
                <w:rFonts w:ascii="Times New Roman" w:cs="Times New Roman" w:eastAsia="Times New Roman" w:hAnsi="Times New Roman"/>
                <w:sz w:val="14"/>
                <w:szCs w:val="14"/>
                <w:b w:val="1"/>
                <w:bCs w:val="1"/>
                <w:color w:val="auto"/>
              </w:rPr>
              <w:t>Forma</w:t>
            </w:r>
            <w:r>
              <w:rPr>
                <w:rFonts w:ascii="Times New Roman" w:cs="Times New Roman" w:eastAsia="Times New Roman" w:hAnsi="Times New Roman"/>
                <w:sz w:val="11"/>
                <w:szCs w:val="11"/>
                <w:b w:val="1"/>
                <w:bCs w:val="1"/>
                <w:color w:val="auto"/>
              </w:rPr>
              <w:t>(1)</w:t>
            </w:r>
          </w:p>
        </w:tc>
        <w:tc>
          <w:tcPr>
            <w:tcW w:w="9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7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99"/>
              </w:rPr>
              <w:t>$ 345,725</w:t>
            </w:r>
          </w:p>
        </w:tc>
        <w:tc>
          <w:tcPr>
            <w:tcW w:w="1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551,347</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4"/>
                <w:szCs w:val="14"/>
                <w:color w:val="auto"/>
              </w:rPr>
              <w:t>(4)</w:t>
            </w: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351,621</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890,535</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(739,322)</w:t>
            </w: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20" w:hanging="42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(a) the automatic conversion of all of our outstanding shares of Series B redeemable</w:t>
      </w:r>
    </w:p>
    <w:p>
      <w:pPr>
        <w:spacing w:after="0" w:line="6"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 into</w:t>
            </w:r>
          </w:p>
        </w:tc>
        <w:tc>
          <w:tcPr>
            <w:tcW w:w="7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Class B common stock, which will occur immediately prior to the closing of this offering,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the</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automatic</w:t>
            </w:r>
          </w:p>
        </w:tc>
        <w:tc>
          <w:tcPr>
            <w:tcW w:w="9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conversion of all of our outstanding shares of redeemable convertible preferred stock, other than our Series B preferred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stock,</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into</w:t>
            </w:r>
          </w:p>
        </w:tc>
        <w:tc>
          <w:tcPr>
            <w:tcW w:w="9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which will occur immediately prior to the closing of this offering, (c) the issuance of the Additional</w:t>
            </w:r>
          </w:p>
        </w:tc>
      </w:tr>
    </w:tbl>
    <w:p>
      <w:pPr>
        <w:ind w:left="620"/>
        <w:spacing w:after="0"/>
        <w:rPr>
          <w:sz w:val="20"/>
          <w:szCs w:val="20"/>
          <w:color w:val="auto"/>
        </w:rPr>
      </w:pPr>
      <w:r>
        <w:rPr>
          <w:rFonts w:ascii="Times New Roman" w:cs="Times New Roman" w:eastAsia="Times New Roman" w:hAnsi="Times New Roman"/>
          <w:sz w:val="18"/>
          <w:szCs w:val="18"/>
          <w:color w:val="auto"/>
        </w:rPr>
        <w:t>Class A Conversion Shares, which will</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448"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756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37560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occur upon the conversion of all outstanding shares of our redeemable convertible preferred stock and immediately prior to the closing of this</w:t>
      </w:r>
    </w:p>
    <w:p>
      <w:pPr>
        <w:spacing w:after="0" w:line="21"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8"/>
          <w:szCs w:val="18"/>
          <w:color w:val="auto"/>
        </w:rPr>
        <w:t>offering, (d) the automatic conversion of all of our nonvoting common stock into shares of Class A common stock, which will occur immediately prior to the closing of this offering, (e) the filing and effectiveness of our amended and restated certificate of incorporation, which will</w:t>
      </w:r>
    </w:p>
    <w:p>
      <w:pPr>
        <w:spacing w:after="0" w:line="1"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8"/>
          <w:szCs w:val="18"/>
          <w:color w:val="auto"/>
        </w:rPr>
        <w:t>occur immediately prior to the closing of this offering, (f) the issuance of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later of (i) the expiration of the lock-up period in connection</w:t>
      </w:r>
    </w:p>
    <w:p>
      <w:pPr>
        <w:spacing w:after="0" w:line="1"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8"/>
          <w:szCs w:val="18"/>
          <w:color w:val="auto"/>
        </w:rPr>
        <w:t>with this offering and (ii) March 15, 2022, and (g) stock-based compensation expense of approximately $ million related to the vesting of RSUs subject to service-based and performance-based vesting conditions that will be satisfied upon consummation of this offering, as further described in Note 9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 w:lineRule="exact"/>
        <w:rPr>
          <w:sz w:val="20"/>
          <w:szCs w:val="20"/>
          <w:color w:val="auto"/>
        </w:rPr>
      </w:pPr>
    </w:p>
    <w:p>
      <w:pPr>
        <w:ind w:left="620" w:hanging="428"/>
        <w:spacing w:after="0"/>
        <w:tabs>
          <w:tab w:leader="none" w:pos="6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and (b) our receipt of</w:t>
      </w:r>
    </w:p>
    <w:p>
      <w:pPr>
        <w:spacing w:after="0" w:line="26" w:lineRule="exact"/>
        <w:rPr>
          <w:sz w:val="20"/>
          <w:szCs w:val="20"/>
          <w:color w:val="auto"/>
        </w:rPr>
      </w:pPr>
    </w:p>
    <w:p>
      <w:pPr>
        <w:ind w:left="1440" w:hanging="815"/>
        <w:spacing w:after="0"/>
        <w:tabs>
          <w:tab w:leader="none" w:pos="1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in net proceeds from the sale of shares of Class A common stock that we are offering at an assumed initial public offering price of</w:t>
      </w:r>
    </w:p>
    <w:p>
      <w:pPr>
        <w:spacing w:after="0" w:line="26" w:lineRule="exact"/>
        <w:rPr>
          <w:sz w:val="20"/>
          <w:szCs w:val="20"/>
          <w:color w:val="auto"/>
        </w:rPr>
      </w:pPr>
    </w:p>
    <w:p>
      <w:pPr>
        <w:ind w:left="620" w:right="20" w:firstLine="5"/>
        <w:spacing w:after="0" w:line="243" w:lineRule="auto"/>
        <w:tabs>
          <w:tab w:leader="none" w:pos="17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after deducting the estimated underwriting discounts and commissions and estimated offering expenses payable by us.</w:t>
      </w:r>
    </w:p>
    <w:p>
      <w:pPr>
        <w:spacing w:after="0" w:line="1" w:lineRule="exact"/>
        <w:rPr>
          <w:sz w:val="20"/>
          <w:szCs w:val="20"/>
          <w:color w:val="auto"/>
        </w:rPr>
      </w:pPr>
    </w:p>
    <w:p>
      <w:pPr>
        <w:jc w:val="both"/>
        <w:ind w:left="620" w:hanging="419"/>
        <w:spacing w:after="0" w:line="243" w:lineRule="auto"/>
        <w:tabs>
          <w:tab w:leader="none" w:pos="600" w:val="left"/>
        </w:tabs>
        <w:rPr>
          <w:sz w:val="20"/>
          <w:szCs w:val="20"/>
          <w:color w:val="auto"/>
        </w:rPr>
      </w:pPr>
      <w:r>
        <w:rPr>
          <w:rFonts w:ascii="Times New Roman" w:cs="Times New Roman" w:eastAsia="Times New Roman" w:hAnsi="Times New Roman"/>
          <w:sz w:val="18"/>
          <w:szCs w:val="18"/>
          <w:color w:val="auto"/>
        </w:rPr>
        <w:t>(3)</w:t>
        <w:tab/>
        <w:t>Each $1.00 increase (decrease) in the assumed initial public offering price of $        per share, the midpoint of the estimated price range set forth on the cover page of this prospectus, would increase (decrease) each of our pro forma as adjusted cash, cash equivalents and restricted cash, total</w:t>
      </w:r>
    </w:p>
    <w:p>
      <w:pPr>
        <w:spacing w:after="0" w:line="1" w:lineRule="exact"/>
        <w:rPr>
          <w:sz w:val="20"/>
          <w:szCs w:val="20"/>
          <w:color w:val="auto"/>
        </w:rPr>
      </w:pPr>
    </w:p>
    <w:p>
      <w:pPr>
        <w:jc w:val="both"/>
        <w:ind w:left="620"/>
        <w:spacing w:after="0" w:line="410" w:lineRule="auto"/>
        <w:rPr>
          <w:sz w:val="20"/>
          <w:szCs w:val="20"/>
          <w:color w:val="auto"/>
        </w:rPr>
      </w:pPr>
      <w:r>
        <w:rPr>
          <w:rFonts w:ascii="Times New Roman" w:cs="Times New Roman" w:eastAsia="Times New Roman" w:hAnsi="Times New Roman"/>
          <w:sz w:val="16"/>
          <w:szCs w:val="16"/>
          <w:color w:val="auto"/>
        </w:rPr>
        <w:t>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 total stockholders’ (deficit) equity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the estimated underwriting discounts and commissions.</w:t>
      </w:r>
    </w:p>
    <w:p>
      <w:pPr>
        <w:spacing w:after="0" w:line="2" w:lineRule="exact"/>
        <w:rPr>
          <w:sz w:val="20"/>
          <w:szCs w:val="20"/>
          <w:color w:val="auto"/>
        </w:rPr>
      </w:pPr>
    </w:p>
    <w:p>
      <w:pPr>
        <w:ind w:left="620" w:hanging="4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448"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incurred significant losses since our inception. For the years ended December 31, 2019 and 2020 and the nine months ended September 30, 2020 and 2021, we incurred net losses of $115.0 million, $209.9 million, $155.7 million, and $200.2 million, respectively. As of September 30, 2021, we had an accumulated deficit of $739.3 million. To date, we have financed our operations principally from the sale of stock and convertible securities, and revenue from precision oncology and COVID-19 testing in our Genomics business, and from our Insights product in our Data business.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87"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w:t>
      </w:r>
    </w:p>
    <w:p>
      <w:pPr>
        <w:spacing w:after="0" w:line="7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currently offer reverse transcription polymerase chain reaction, or PCR, diagnostic tests for the qualitative detection of nucleic acid from the SARS-CoV-2 virus in nasopharyngeal swab specimens from individuals suspected of having COVID-19. We anticipate that demand for our COVID-19 testing products will decrease in future periods due to successful containment efforts, the successful vaccination of a majority of Americans and other factors, and such decreases would have an adverse effect on our results of operations. Revenue from COVID-19 testing accounted for $89.5 million, or 47.6%, of our revenue in the year ended December 31, 2020, $29.5 million, or 33.8%, of our revenue in the nine months ended September 30, 2020, and for $84.9 million, or 46.0%, of our revenue in the nine months ended September 30, 2021, of which $32.3 million and $9.4 million, and $45.2 million and $64.3 million, was derived from contracts with the Illinois Department of Public Health, or IDPH, and CVS Pharmacy, Inc., or CVS, respectively. We expect revenue from our contracts with the IDPH and CVS, and from other customers seeking COVID-19 testing products, to decrease substantially over time as the prevalence of COVID-19 subsides and as other COVID-19 testing providers enter the market. Pursuant to our agreement with the IDPH, we have agreed to provide COVID-19 testing services for up to 6,000 specimens per day, subject to our ability to reduce our volume commitment if IDPH does not deliver 60,000 tests to us over any 14-day period. The term of the agreement runs through June 30, 2022, prior to which IDPH may terminate the agreement for convenience upon ten days’ prior written notice. Our agreement with CVS, which accounted for 24.0% and 34.8% of our revenue for the year ended December 31, 2020 and the nine months ended September 30, 2021, respectively, expired in July 2021. Effective October 2021, we entered into a substantially similar agreement with CVS, under which CVS has agreed to purchase certain COVID-19 testing products and services from us without a minimum purchase commitment. The term of this agreement runs through October 1, 2022, prior to which either party may terminate the agreement for convenience upon 90 days’ prior written notice or for the other party’s uncured material breach.</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40"/>
          </w:cols>
          <w:pgMar w:left="320" w:top="44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CVS may also terminate the agreement if we fail to return test results within a certain period of time, and the agreement will terminate automatically upon the expiration or termination, as and if applicable, of CVS’s arrangements with the U.S. Department of Health and Human Services.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we currently provide our COVID-19 testing products under emergency use authorizations, or EUAs, issued by the Food &amp; Drug Administration, or FDA, to us or our licensor, permitting us to offer these tests without having completed the normally applicable FDA review and clearance or approval process for marketing authorization (with the related standards that would apply to demonstrate safety and effectiveness) or in some cases, as an LDT. Although the FDA has waived certain regulatory requirements for the duration of the EUAs, we remain subject to specific conditions of the authorizations, including ensuring appropriate labeling as approved by the FDA specifically for purposes of the EUAs, maintaining records of distribution to authorized laboratories, collecting data on occurrences of any false positives or false negatives, and tracking any adverse events. As with other FDA-regulated products, compliance or product performance issues could emerge during the course of the marketing and use of our products under an EUA, that could impact our ability to continue the sale and distribution of these products.</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EUAs or those of our licensors could be terminated or revoked at any time, including if the FDA determines the criteria for issuance are no longer met or other circumstances make such revocation appropriate to protect public health or safety, which could harm our future business prospects. Once an EUA is revoked or terminated, we will be required to stop marketing the applicable COVID-19 test immediately unless we can obtain FDA clearance for that COVID-19 test under a traditional regulatory pathway, which is lengthy and expensive, and which we may never receive. We also would be subject to the full and usual regulatory obligations for device manufacturers, including the FDA’s quality system regulations.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including diagnostic tests in oncology and infectious diseases,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Algos tests.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Algos diagnostic tests, including new product offerings as they become available;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Algos diagnostic tests by clinicians, pharmaceutical and biotechnology companies, KOLs, and advocacy groups;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Algos,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infectious disease, neuropsychology and other indications;</w:t>
      </w:r>
    </w:p>
    <w:p>
      <w:pPr>
        <w:spacing w:after="0" w:line="121" w:lineRule="exact"/>
        <w:rPr>
          <w:rFonts w:ascii="Times New Roman" w:cs="Times New Roman" w:eastAsia="Times New Roman" w:hAnsi="Times New Roman"/>
          <w:sz w:val="18"/>
          <w:szCs w:val="18"/>
          <w:color w:val="auto"/>
        </w:rPr>
      </w:pPr>
    </w:p>
    <w:p>
      <w:pPr>
        <w:ind w:left="5580" w:right="160" w:hanging="5129"/>
        <w:spacing w:after="0" w:line="435" w:lineRule="auto"/>
        <w:tabs>
          <w:tab w:leader="none" w:pos="9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maintain robust data sets with respect to patient populations in geographic regions that we may seek to enter in the future; 24</w:t>
      </w:r>
    </w:p>
    <w:p>
      <w:pPr>
        <w:sectPr>
          <w:pgSz w:w="11900" w:h="16838" w:orient="portrait"/>
          <w:cols w:equalWidth="0" w:num="1">
            <w:col w:w="11340"/>
          </w:cols>
          <w:pgMar w:left="320" w:top="4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Algos diagnostic testing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terrorism, and political unrest, epidemics or pandemics, boycotts, curtailment of trade and other business restrictions;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Additionally, it is difficult to predict the amounts, if any, we will be able to collect for our diagnostic tests from commercial payers. We are a participating network provider in an extremely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the political climate and the ongoing impact of the COVID-19 pandemic;</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including delays caused by these customers’ reducing activities in response to the COVID-19 pandemic. Further, many of our data licensing agreements allow us to deliver data to our customers over a period of time, which can span a year or longer. Revenue pursuant to our data licensing agreements is recognized upon delivery of the data to the customer. The actual timing of data deliveries can be based on a variety of factors, including, but not limited to, the customer’s requirements and/or our technological, operational, and human capital capacity.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is critical to our ability to offer our Data and Algos products and services. We have historically generated more revenue from the sale of products and services that leverage our de-identified data than we have from the provision of the underlying Genomics test related to such data, and we expect this trend to continue. Our Platform also includes proprietary software and dedicated data pipelines that create a network of healthcare institutions that supply us with complex multimodal data. Further, we rely on certain collaborations and licensing agreements to access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320" w:top="44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ability to maintain, expand and monetize our datasets are subject to a number of factors, many of which are outside of our control. With respect to data included in our Data and Algos products, we rely on a combination of the statutory rights available to us as a HIPAA covered entity and as a HIPAA business associate. As a HIPAA covered entity, we utilize data generated through our provision of Genomic tests. As a HIPAA business associate, we rely on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QCCA, NCCA, Geisinger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43%, 27%, and 31% of our revenue in the years ended December 31, 2019 and 2020 and the nine months ended September 30, 2021, respectively. We cannot assure that our oncology tests will continue to maintain or gain market acceptance, and any failure to do so would materially harm our business, financial condition and results of operations.</w:t>
      </w:r>
    </w:p>
    <w:p>
      <w:pPr>
        <w:spacing w:after="0" w:line="189"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scope and robustness of the Data products and Algos that we can offer our customers also depend significantly on the continued success of our Genomics product line, as the data that we collect through genomic testing is an essential component of our Data products and Algos. Further, we believe that growth in the use of our Data products will help drive awareness and adoption of our Genomics product line, which in turn will drive further growth within our Data and Algos product lines. However, there can be no assurance that we will realize these synergies.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curtail existing operations and could contribute to negative market perceptions about us or our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Algos product line is nascent.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September 30, 2021, we had only two commercialized Algos. While we have a number of additional Algos in development, we may not be successful in developing and commercializing these or future Algos, or in attaining our Algo development targets. Further, the scope and robustness of the Algos that we can offer our customers depend significantly on the continued success of our Genomics product line and access to third-party data, of which there can be no assurance. We also cannot accurately estimate how our future Algos will be priced, whether reimbursement can be obtained or whether we will generate any revenue from such Algos. Further, the use of diagnostics that are entirely algorithmic in nature is novel and today represent only a small proportion of the diagnostics market. While we believe Algos represent a significant long-term opportunity for us, there can be no assurances that a robust and sustained market for such diagnostics will develop or that we will successfully compete in any such market.</w:t>
      </w:r>
    </w:p>
    <w:p>
      <w:pPr>
        <w:spacing w:after="0" w:line="290"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Algos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Algos business, and we may exert limited or no control over such development efforts.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September 30, 2021, we offered approximately eight genomics diagnostics tests across oncology, infectious diseases, and neuropsychology, and three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September 30, 2021, our products have been mentioned in 55 peer-reviewed articles published or accepted for publication in major journals, including 38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may negatively impact our prospects.</w:t>
      </w:r>
    </w:p>
    <w:p>
      <w:pPr>
        <w:spacing w:after="0" w:line="291"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Genomics and Algos products depends in part on patients’, physicians’ and third-party payers’ confidence that our Platform can provide reliable, high-quality intelligent diagnostics that will improve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clinical outcomes and lower healthcare costs, as well as our ability to comply with applicable privacy and data security requirements. We believe that patients, physicians and third-party payers are likely to be particularly sensitive to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90"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81"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including commercial payers and government healthcare programs, do not provide coverage of, or adequate reimbursement for, our tests, our business, financial condition and results of operations will be negatively affected.</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2019 and 2020, we received payment through reimbursement on approximately 50% and 48% of our clinical oncology NGS tests, respectively. We did not receive payment on approximately 50% and 52% of our clinical oncology NGS tests during the same periods, respectively. In addition, we receive a substantial portion of our diagnostic revenue from a limited number of third-party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commercial payers, most of which have not contracted with us to be a participating provider. We also receive reimbursement from Medicare for claims submitted with respect to our various diagnostic tests. Approximately 30% and 29% of our clinical tests were for Medicare beneficiaries in the years 2019 and 2020, respectively, and 27% for the nine months ended September 30, 2021.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because our Genomics and Algos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Although we are a participating provider with an extremely small number of commercial payers, other large, national commercial payers, including Anthem, Aetna and Humana, have issued non-coverage policies that consider tissue and liquid comprehensive genomic profile testing, including certain of our Genomics tests, as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Medicare’s NCD for next generation sequencing, 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9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National Government Services, Inc., or the Local MAC, is the MAC that makes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the Local MAC indicated that such claims would be individually reviewed. Claims we have submitted under this were summarily denied.</w:t>
      </w:r>
    </w:p>
    <w:p>
      <w:pPr>
        <w:spacing w:after="0" w:line="15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begun the process of appealing these denials, but the outcome of any appeal is uncertain and the appeal process is typically slow and costly, and multiple levels of appeal may be required to reach final adjudication of the outstanding claims. In early November 2021, we received favorable results on a small number (fewer than 35) of outstanding level 2 claims that were adjudicated and have received payment for those claims as a result of the appeals process. We still have more than 3,000 outstanding level 2 appeals that have not been finally adjudicated as of November 5, 2021. As a result of the uncertainty inherent in the appeals process, it is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impossible for us to predict when the payments for NGS oncology tests performed for Medicare beneficiaries in our Chicago laboratory after March 25, 2021 will be finally adjudicated or whether we will receive any payment for the claims we have submitted to the Local MAC after March 25, 2021.</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At present, the outcome is uncertain and it is possible that the Local MAC will deny all claims related to the NGS oncology testing we perform for Medicare beneficiaries in our Chicago laboratory based on its July guidance. As of September 30, 2021, these claims represent approximately 27% of our clinical testing volume. While we intend to appeal any future denials of claims that we believe are inappropriate, the outcome of any appeal process is likely to be both lengthy and costly and the result of any such process is uncertain. As a result, beginning in the second quarter of 2021, we estimated the reimbursement rate for tests performed within our contractual allowances with a zero percent expected reimbursement for these tests.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0"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2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Artificial intelligence is enabled by or integrated into our Platform and, as a result, our diagnostic and data products and is a significant element of our current business and our future strategy. As with many developing technologies, artificial intelligence presents risks and challenges that could affect its further development, adoption, and use, and therefore our business.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recommendations, forecasts or analyses that our Platform’s artificial intelligence applications assist in producing are deficient or inaccurate, we could be subjected to competitive harm, potential legal liability and brand or reputational harm.</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inappropriate or controversial data practices by data scientists, engineers and end-users of our or our competitors’ products could impair the acceptance of artificial intelligence products. Though our business practices are designed to mitigate many of these risks, if we enable or offer artificial intelligence products that are controversial because of their purported or real impact on human rights, privacy, employment, or other social issues, we may experience brand or reputational harm. Additionally, regulation in the artificial intelligence space is constantly changing and increasing, and may make it difficult for us to continue using our artificial intelligence approach to diagnostics and data analysis.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our Platform does not function reliably, fails to meet expectations in terms of performance, or cannot be fully utilized due to increasing regulation or reputational concerns, we may be unable to provide or our customers may stop using our products.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8"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artificial intelligence-driven data platforms and diagnostic products.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neuropsychology include Myriad Genetics, Inc. and Genomind, Inc.</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Data products include Flatiron Health, Inc., IQVIA Holdings Inc., and ConcertAI, among others. Furthermore, our Data products also face competition from CROs, such as Covance, ICON, Syneos, PPD, and others, who provide data and clinical trial matching services to pharmaceutical and biotechnology companies.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Algos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and Eko Devices, Inc. In addition, we are aware that academic medical centers may be developing their own Algos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artificial intelligence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artificial intelligence,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0"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Algos tests to clinicians and hospital systems in the United States through our own sales organization, and we sell our Data products to pharmaceutical and biotechnology companies through our business development team.</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Each of our target markets is large, distinctive and diverse. As a result, we believe it is necessary for many of our sales representatives and business development managers to have established diagnostic- or healthcare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3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Sales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2020, we derived $22.1 million, or approximately 61% of our Data product line revenue from three customers. After removing the impact of COVID-19 testing revenue, we derived $23.6 million, or approximately 24%, of total revenue from the same three customers for the year ended December 31, 2020. We expect to continue to derive a significant portion of our Data product line revenues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5" w:lineRule="exact"/>
        <w:rPr>
          <w:sz w:val="20"/>
          <w:szCs w:val="20"/>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products after the license ends, and many of our contracts may be terminated or reduced in scope either immediately or upon notice. In addition, our customers may negotiate terms less advantageous to us upon renewal, which may reduce our revenues from these customers. Factors that are not within our control may contribute to a reduction in our Data product line revenues.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revenues may decline and our future revenues may be constrained.</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product line revenues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 significant portion of our current Data products sales are to customers in the life sciences industry, in particular the pharmaceutical and biotechnology industry. Demand for our Data products could be affected by factors that adversely affect the life sciences industry. The life sciences industry is highly regulated and competitive and has experienced periods of considerable consolidation. Consolidation among our customers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88"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288"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14% and 23% of total vendor payments for the year ended December 31, 2019 and 2020, respectively, and approximately 21% and 24% of total vendor payments for the nine months ended September 30, 2020 and 2021, respectively. Amounts due to this supplier approximated $4.1 million and $5.3 million at December 31, 2019 and 2020, respectively, and $3.9 million and $1.0 million at September 30, 2020 and 2021,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7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 civil unrest, acts of terrorism or other interruptions to or difficulties in the employment of labor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92"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currently derive nearly all of our diagnostic revenue from tests performed at laboratory facilities located in Chicago, Illinois and Atlanta, Georgia, and these facilities generally do not have redundant capabilities. Further, while we are currently in the process of validating our new laboratory facility in Raleigh, North Carolina, there is no assurance that we will successfully complete such validation in a timely manner or at all, and we will not be able to operationalize this facility until such validation is complete.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or Atlanta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If we cannot provide quality technical support and services for our Data products, we could lose customers and our business and prospects will suffer.</w:t>
      </w:r>
    </w:p>
    <w:p>
      <w:pPr>
        <w:spacing w:after="0" w:line="13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 Additionally, impacts of the COVID-19 pandemic could cause unpredictable temporary or permanent fluctuations in seasonal or cyclical variations, including seasonal demand for COVID-19 tests.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and Massachusetts, have implemented similar privacy laws and regulations, such as the California Confidentiality of Medical Information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Act, that impose restrictive requirements regulating the use and disclosure of health information and other personally identifiable information, and the California Consumer Privacy Act, which came into effect on January 1, 2020, and creates new data privacy rights for users. For example,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it is anticipated that the CCPA will be expanded on January 1, 2023, when the California Privacy Rights Act of 2020, or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become effective in 2023.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3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laboratory resides.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data and pseudonymised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39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the decision in Schrems II and subsequent draft guidance from the European Data Protection Board, or EDPB, may require the parties to that transfer to implement certain supplementary technical, organizational and/or contractual measures to rely on the standard contractual clauses as a GDPR-compliant ‘transfer mechanism.’ However, the aforementioned draft guidance from the EDPB on such supplementary technical, organizational</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Schrems II on relevant powers of U.S. public authorities and commentary in that draft EDPB guidance, include the United States in certain circumstances (e.g., where Section 702 of the US Foreign Intelligence Surveillance Act applies). If we are unable to implement a valid compliance mechanism for cross-border personal data transfers, we may face increased exposure to regulatory actions, substantial fines and injunctions against processing or transferring personal data from Europe.</w:t>
      </w:r>
    </w:p>
    <w:p>
      <w:pPr>
        <w:spacing w:after="0" w:line="159"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form the EEA to the United Kingdom to continue.</w:t>
      </w:r>
    </w:p>
    <w:p>
      <w:pPr>
        <w:spacing w:after="0" w:line="19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87"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artificial intelligence in analyzing data, including data in healthcare related areas;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artificial intelligence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8"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market some of our tests as LDTs. While we believe that we are in material compliance with applicable laws and regulations, we cannot assure that the FDA will agree with us.</w:t>
      </w:r>
    </w:p>
    <w:p>
      <w:pPr>
        <w:spacing w:after="0" w:line="17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 and deliver the results of the LDTs) in a way that would subject our products marketed as LDTs to the enforcement of regulatory requirements. If such changes to the regulatory framework occur, we could be subject to enforcement of regulatory requirements as a device manufacturer such as registration and listing requirements, 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The FDA has also largely refrained from regulating pharmacogenomic tests like those we perform in our neuropsychology business.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a PMA is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would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90"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in the event of material deficiencies or defects in design or manufacture. We may also, on our own initiative, recall a product. The FDA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285"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8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are subject to the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and Atlanta and have commenced the process of obtaining CLIA certification to perform our tests at our proposed laboratory in Raleigh, North Carolina. To maintain this certificate, we are subject to survey and inspection every two years. Moreover, CLIA inspectors may make random inspections of our laboratory from time to time.</w:t>
      </w:r>
    </w:p>
    <w:p>
      <w:pPr>
        <w:spacing w:after="0" w:line="16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also required to maintain clinical laboratory licenses to perform testing in Illinois and Georgia, and we will be required to maintain these licenses to perform testing at our proposed facility in Raleigh.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5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a version of our Tempus|xT test has been approved by NYSDOH. We will need to seek NYSDOH approval of any future LDTs we develop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apply for CAP accreditation for our planned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45"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302" w:lineRule="auto"/>
        <w:rPr>
          <w:sz w:val="20"/>
          <w:szCs w:val="20"/>
          <w:color w:val="auto"/>
        </w:rPr>
      </w:pPr>
      <w:r>
        <w:rPr>
          <w:rFonts w:ascii="Times New Roman" w:cs="Times New Roman" w:eastAsia="Times New Roman" w:hAnsi="Times New Roman"/>
          <w:sz w:val="16"/>
          <w:szCs w:val="16"/>
          <w:color w:val="auto"/>
        </w:rPr>
        <w:t>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54" w:lineRule="exact"/>
        <w:rPr>
          <w:sz w:val="20"/>
          <w:szCs w:val="20"/>
          <w:color w:val="auto"/>
        </w:rPr>
      </w:pPr>
    </w:p>
    <w:p>
      <w:pPr>
        <w:jc w:val="both"/>
        <w:ind w:left="1000" w:hanging="549"/>
        <w:spacing w:after="0" w:line="24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and teaching hospitals, and, beginning in 2022, payments and other transfers of value provided to physician assistants, nurse practitioners, clinical nurse specialists, certified registered nurse anesthetists and certified nurse midwives during the previous year;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45"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302"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5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294"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from our customers have been collected from patients, subjects or participants who have provided the necessary informed consent for purposes that extend to our development activities. In many instances, this requires the physician or hospital system ordering the diagnostic system to obtain the consent of the patient.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under a large number of different legal systems. Therefore, with respect to data and samples received from our customers, we rely on physicians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88"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87"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tests and the reimbursement rates of payers;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adequate reimbursement rates. Third-party payers usually require us to identify the test for which we are seeking reimbursement using a CPT code. CPT coding plays a significant role in how our diagnostic tests are reimbursed both from commercial and governmental payers. For example, no CPT code comprehensively describes our NGS oncology tests, so we have historically submitted claims using individual codes or combinations of codes based on the cancer subtype profiled. However, providers, such as the Local MAC,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are currently disputing denials of a substantial number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290"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revenues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 and our business.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benefits. Certain of these changes could impose additional limitations on the prices we will be able to charge for our tests, the coverage of, or the amounts of reimbursement available for our tests from commercial and government payers. Further, it is possible that additional governmental action will be taken in response to the COVID-19 pandemic.</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189"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37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88"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6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6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28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artificial intelligence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 and our business, financial condition and results of operations.</w:t>
      </w:r>
    </w:p>
    <w:p>
      <w:pPr>
        <w:spacing w:after="0" w:line="200" w:lineRule="exact"/>
        <w:rPr>
          <w:sz w:val="20"/>
          <w:szCs w:val="20"/>
          <w:color w:val="auto"/>
        </w:rPr>
      </w:pPr>
    </w:p>
    <w:p>
      <w:pPr>
        <w:spacing w:after="0" w:line="279"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w:t>
      </w:r>
    </w:p>
    <w:p>
      <w:pPr>
        <w:spacing w:after="0" w:line="186"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81"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04"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COVID-19 global pandemic and the worldwide attempts to contain it could harm our business and our results of operations have been and could continue to be adversely impacted by such pandemic.</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COVID-19 global pandemic and the various attempts throughout the world to contain it, have created significant volatility, uncertainty and disruption. In response to government directives and guidelines, health care advisories and employee and customer concerns, we altered certain aspects of our operations. Many of our employees worked remotely from home and those on site followed social distance guidelines, which have impacted their productivity. Any resurgence of COVID-19 could cause us or government authorities to reimpose these operating restrictions.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continues to cause or again causes severe disruption, vendors of equipment and reagents for our operations could also reduce production or even go out of business, resulting in supply constraints for us. The COVID-19 pandemic has resulted in, and could continue to cause, increased costs or delays to production and development of our products.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full extent to which the COVID-19 pandemic and the various responses to it impacts our business, operations and financial results will depend on numerous evolving factors that we may not be able to accurately predict, including: the duration and scope of the pandemic, including any resurgence in the United States; governmental, business and individuals’ actions that have been and continue to be taken in response to the pandemic; the availability, cost to access and effectiveness of COVID-19 tests, vaccines and medicines; the effect on our customers and customer demand for and ability to pay for our tests; restrictions on our employees’ ability to work and travel; disruptions related to the distribution of our tests, including impacts on logistics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shipping and receiving blood collection kits; and any stoppages, disruptions or increased costs associated with development, production and marketing of our products. During the COVID-19 pandemic, we may not be able to maintain the same level of customer outreach and service, which could negatively impact our customers’ perception of us. We will continue to actively monitor the issues raised by the COVID-19 pandemic and may take further actions that alter our operations, as may be required by federal, state, local or foreign authorities, or that we determine are in the best interests of our employees, customers and stockholders. It is not clear what the potential effects any such alterations or modifications may have on our business, including the effects on our financial results.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revenues, operating margins, cash flows, tests performed, and other financial and operating metrics, may not be indicative of our results for future periods. For example, we expect our COVID-19 diagnostic testing revenue to decline substantially over time as the COVID-19 pandemic wanes and demand for testing subsides. In addition,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 In addition to the impacts to our business, the global economy is likely to be significantly weakened as a result of actions taken in response to the COVID-19 pandemic. To the extent that such a weakened global economy impacts customers’ ability or willingness to pay for our tests, our business, financial condition and results of operations could be negatively impacted.</w:t>
      </w:r>
    </w:p>
    <w:p>
      <w:pPr>
        <w:spacing w:after="0" w:line="290"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We also may pursue strategic alliances and additional joint ventures that leverage our Platform and 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9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an ownership change for purposes of Section 382 or 383 has occurred, or whether there have been multiple ownership changes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but allows such NOLs to be carried forward indefinitely. These changes may adversely affect our future cash flow.</w:t>
      </w:r>
    </w:p>
    <w:p>
      <w:pPr>
        <w:spacing w:after="0" w:line="295"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For example, in connection with adopting and implementing the new revenue recognition standard,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management has made and will continue to make judgments and assumptions based on our interpretation of the new standard. The new revenue recognition standard is principle-based and interpretation of those principles may vary from company to company based on their unique circumstances.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member of the board of directors of Groupon, Inc., which he co-founded.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individual and collective efforts of Mr. Lefkofsky and our other employees will be important as we continue to develop our Platform and additional products, and as we expand our commercial activities. The loss or incapacity of existing members of our executive management team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and Atlanta and our planned laboratory in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2020,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This material weakness did not result in a material misstatement to the financial statements. However, this material weakness could result in material misstatements potentially impacting one or more of the financial statement accounts and disclosures that would not be prevented or detected.</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taken steps to remediate this material weakness by hiring a Chief Accounting Officer and other key technical accounting and financial reporting roles to further develop and document our accounting policies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financial reporting procedures, including ongoing senior management review. Management will continue to work to remediate this material weakness by hiring additional qualified accounting and financial reporting personnel, training existing personnel, and further evolving our accounting processes. At this time, we do not anticipate the costs associated with remediating this material weakness will be material. We expect that completion of the remediation of the material weakness could extend beyond December 31, 2021. There is no assurance that we will be able to remediate the material weakness in a timely manner or that in the future additional material weaknesses will not exist or otherwise be discovered. If we are not able to remedy this material weakness, we may not be able to manage our business effectively or accurately report our financial performance on a timely basis, which could cause a decline in our common stock price and adversely affect our business, financial condition, and results of operations.</w:t>
      </w:r>
    </w:p>
    <w:p>
      <w:pPr>
        <w:spacing w:after="0" w:line="290"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 and to remediate our material weakness described above.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we are unable to remediate our material weakness described above, or if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63"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artificial intelligence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90"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Cyber-attacks, security breaches, computer virus infections, malware execution, and other incidents could cause misappropriation, exposure, loss or other unauthorized disclosure of confidential data, personal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00" w:lineRule="exact"/>
        <w:rPr>
          <w:sz w:val="20"/>
          <w:szCs w:val="20"/>
          <w:color w:val="auto"/>
        </w:rPr>
      </w:pPr>
    </w:p>
    <w:p>
      <w:pPr>
        <w:spacing w:after="0" w:line="39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6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are vital to our operations and business strategy, and we devote significant resources to a variety of mechanisms, including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89"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9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288"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including regulations that limit our ability to collect and distribute de-identified patient data, tax laws, export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import restrictions, economic sanctions and embargoes, employment laws, healthcare regulatory requirements, including those governing diagnostic testing and reimbursement, and other governmental approvals, permits and licenses;</w:t>
      </w:r>
    </w:p>
    <w:p>
      <w:pPr>
        <w:spacing w:after="0" w:line="78" w:lineRule="exact"/>
        <w:rPr>
          <w:sz w:val="20"/>
          <w:szCs w:val="20"/>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2020, and September 30, 2021, we had indebtedness of $250 million and $243.4 million, respectively, under the convertible promissory note, or Note, that we issued to Google LLC, or Google. For as long as the Note is outstanding, it may have significant negative effects on our future operations, including:</w:t>
      </w:r>
    </w:p>
    <w:p>
      <w:pPr>
        <w:spacing w:after="0" w:line="89" w:lineRule="exact"/>
        <w:rPr>
          <w:sz w:val="20"/>
          <w:szCs w:val="20"/>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Note if we terminate our agreement with Google for use of Google Cloud or as a result of an event of default under the operating covenants in the Note, which could impair our liquidity and reduce the availability of our cash flow to fund working capital, capital expenditures, acquisitions and other important needs;</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Note contains restrictions on our ability to incur additional debt. Complying with these covenants may cause us to take actions that make it more difficult to successfully execute our business strategy and we may face competition from companies not subject to such restrictions.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Our Class B common stock has votes per share and our Class A common stock, which is the stock we are offering hereby, has one vote per share. Our Chief Executive Officer, Founder, and Chairman, Eric Lefkofsky, who, collectively with his controlled entities, holds all our outstanding shares of Class B</w:t>
      </w:r>
    </w:p>
    <w:p>
      <w:pPr>
        <w:spacing w:after="0" w:line="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common stock, will beneficially own shares representing approximately %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69"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87"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publicly disclose an intention to, during the period ending ,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stock or any securities convertible into or exchangeable for or that represent the right to receive 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w:t>
      </w:r>
    </w:p>
    <w:p>
      <w:pPr>
        <w:spacing w:after="0" w:line="19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w:t>
      </w:r>
    </w:p>
    <w:p>
      <w:pPr>
        <w:spacing w:after="0" w:line="184"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In addition, there were shares of Class A common stock issuable upon the exercise of options and upon the vesting and settlement of restricted stock units outstanding as of , 2021. The shares of Class A common stock will become eligible for sale in the public market to the extent such options</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are exercised or restricted stock units vested and settled, subject to the lock-up agreements described above and compliance with applicable securities laws. We intend to register all of the shares of Class A common stock issuable upon the vesting and settlement of outstanding restricted stock units, and other equity incentives we may grant in the future, for public resale under the Securities Act.</w:t>
      </w:r>
    </w:p>
    <w:p>
      <w:pPr>
        <w:spacing w:after="0" w:line="188"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Further, based on shares outstanding as of , 2021, holders of approximately shares of Class A common stock (assuming the issuance of the Additional Conversion Shares, as discussed under “Prospectus Summary” above, and assuming no exercise of the underwriters’ option to purchase additional</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shares) and approximately shares of Class B common stock (assuming the issuance of the Additional Conversion Shares),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w:t>
      </w:r>
    </w:p>
    <w:p>
      <w:pPr>
        <w:spacing w:after="0" w:line="2" w:lineRule="exact"/>
        <w:rPr>
          <w:sz w:val="20"/>
          <w:szCs w:val="20"/>
          <w:color w:val="auto"/>
        </w:rPr>
      </w:pPr>
    </w:p>
    <w:p>
      <w:pPr>
        <w:spacing w:after="0"/>
        <w:tabs>
          <w:tab w:leader="none" w:pos="780" w:val="left"/>
          <w:tab w:leader="none" w:pos="2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per share, or $</w:t>
      </w:r>
      <w:r>
        <w:rPr>
          <w:sz w:val="20"/>
          <w:szCs w:val="20"/>
          <w:color w:val="auto"/>
        </w:rPr>
        <w:tab/>
      </w:r>
      <w:r>
        <w:rPr>
          <w:rFonts w:ascii="Times New Roman" w:cs="Times New Roman" w:eastAsia="Times New Roman" w:hAnsi="Times New Roman"/>
          <w:sz w:val="16"/>
          <w:szCs w:val="16"/>
          <w:color w:val="auto"/>
        </w:rPr>
        <w:t>per share if the underwriters exercise their option to purchase additional shares in full, representing</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820" w:type="dxa"/>
            <w:vAlign w:val="bottom"/>
          </w:tcPr>
          <w:p>
            <w:pPr>
              <w:spacing w:after="0"/>
              <w:rPr>
                <w:sz w:val="17"/>
                <w:szCs w:val="17"/>
                <w:color w:val="auto"/>
              </w:rPr>
            </w:pPr>
          </w:p>
        </w:tc>
      </w:tr>
      <w:tr>
        <w:trPr>
          <w:trHeight w:val="500"/>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difference between our pro forma as adjusted net tangible book value per share as of</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 after giving effect to the sale of Class A common stock in</w:t>
            </w:r>
          </w:p>
        </w:tc>
      </w:tr>
      <w:tr>
        <w:trPr>
          <w:trHeight w:val="21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this offering and the assumed public offering price of $</w:t>
            </w:r>
          </w:p>
        </w:tc>
        <w:tc>
          <w:tcPr>
            <w:tcW w:w="7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 of this prospectus. See the</w:t>
            </w:r>
          </w:p>
        </w:tc>
      </w:tr>
      <w:tr>
        <w:trPr>
          <w:trHeight w:val="22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titled “Dilution.”</w:t>
            </w:r>
          </w:p>
        </w:tc>
        <w:tc>
          <w:tcPr>
            <w:tcW w:w="2260" w:type="dxa"/>
            <w:vAlign w:val="bottom"/>
          </w:tcPr>
          <w:p>
            <w:pPr>
              <w:spacing w:after="0"/>
              <w:rPr>
                <w:sz w:val="19"/>
                <w:szCs w:val="19"/>
                <w:color w:val="auto"/>
              </w:rPr>
            </w:pPr>
          </w:p>
        </w:tc>
        <w:tc>
          <w:tcPr>
            <w:tcW w:w="4820" w:type="dxa"/>
            <w:vAlign w:val="bottom"/>
          </w:tcPr>
          <w:p>
            <w:pPr>
              <w:spacing w:after="0"/>
              <w:rPr>
                <w:sz w:val="19"/>
                <w:szCs w:val="19"/>
                <w:color w:val="auto"/>
              </w:rPr>
            </w:pPr>
          </w:p>
        </w:tc>
      </w:tr>
    </w:tbl>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3"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6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as well as the anticipation of lock-up releases;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5"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10660" w:val="left"/>
        </w:tabs>
        <w:rPr>
          <w:sz w:val="20"/>
          <w:szCs w:val="20"/>
          <w:color w:val="auto"/>
        </w:rPr>
      </w:pPr>
      <w:r>
        <w:rPr>
          <w:rFonts w:ascii="Times New Roman" w:cs="Times New Roman" w:eastAsia="Times New Roman" w:hAnsi="Times New Roman"/>
          <w:sz w:val="18"/>
          <w:szCs w:val="18"/>
          <w:color w:val="auto"/>
        </w:rPr>
        <w:t>The Sarbanes-Oxley Act, the Dodd-Frank Wall Street Reform and Consumer Protection Act, the Exchange Act, the listing requirements of the</w:t>
      </w:r>
      <w:r>
        <w:rPr>
          <w:sz w:val="20"/>
          <w:szCs w:val="20"/>
          <w:color w:val="auto"/>
        </w:rPr>
        <w:tab/>
      </w:r>
      <w:r>
        <w:rPr>
          <w:rFonts w:ascii="Times New Roman" w:cs="Times New Roman" w:eastAsia="Times New Roman" w:hAnsi="Times New Roman"/>
          <w:sz w:val="16"/>
          <w:szCs w:val="16"/>
          <w:color w:val="auto"/>
        </w:rPr>
        <w:t>and other</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Algos;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2020, Outlook to 2026, July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September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2020: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2020 database, 2020: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September 2018</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2019-2021, 2019</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44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ind w:left="460"/>
        <w:spacing w:after="0"/>
        <w:tabs>
          <w:tab w:leader="none" w:pos="7140" w:val="left"/>
        </w:tabs>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w:t>
      </w:r>
      <w:r>
        <w:rPr>
          <w:sz w:val="20"/>
          <w:szCs w:val="20"/>
          <w:color w:val="auto"/>
        </w:rPr>
        <w:tab/>
      </w:r>
      <w:r>
        <w:rPr>
          <w:rFonts w:ascii="Times New Roman" w:cs="Times New Roman" w:eastAsia="Times New Roman" w:hAnsi="Times New Roman"/>
          <w:sz w:val="16"/>
          <w:szCs w:val="16"/>
          <w:color w:val="auto"/>
        </w:rPr>
        <w:t>million based on an assumed initial public offering price of</w:t>
      </w:r>
    </w:p>
    <w:p>
      <w:pPr>
        <w:spacing w:after="0" w:line="21" w:lineRule="exact"/>
        <w:rPr>
          <w:sz w:val="20"/>
          <w:szCs w:val="20"/>
          <w:color w:val="auto"/>
        </w:rPr>
      </w:pPr>
    </w:p>
    <w:p>
      <w:pPr>
        <w:jc w:val="both"/>
        <w:ind w:firstLine="5"/>
        <w:spacing w:after="0" w:line="244" w:lineRule="auto"/>
        <w:tabs>
          <w:tab w:leader="none" w:pos="81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w:t>
      </w:r>
    </w:p>
    <w:p>
      <w:pPr>
        <w:spacing w:after="0" w:line="19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w:t>
      </w:r>
    </w:p>
    <w:p>
      <w:pPr>
        <w:spacing w:after="0" w:line="2" w:lineRule="exact"/>
        <w:rPr>
          <w:sz w:val="20"/>
          <w:szCs w:val="20"/>
          <w:color w:val="auto"/>
        </w:rPr>
      </w:pPr>
    </w:p>
    <w:p>
      <w:pPr>
        <w:ind w:left="1060" w:hanging="1055"/>
        <w:spacing w:after="0"/>
        <w:tabs>
          <w:tab w:leader="none" w:pos="1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estimated underwriting discounts and commissions. Similarly, each increase (decrease) of 1,000,000 shares in the number of shares of Class A common stock</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facilitate an orderly distribution of shares for the selling stockholders,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40"/>
          </w:cols>
          <w:pgMar w:left="320" w:top="448"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Since our incorporation in 2015, we have paid an aggregate of $21.2 million in cash dividends to holders of our preferred stock in satisfaction of dividend obligations accruing pursuant to our certificate of incorporation in effect prior to this offering. As of the date of this prospectus, shares of our convertible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8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capitalization as of September 30, 2021:</w:t>
      </w:r>
    </w:p>
    <w:p>
      <w:pPr>
        <w:spacing w:after="0" w:line="121" w:lineRule="exact"/>
        <w:rPr>
          <w:sz w:val="20"/>
          <w:szCs w:val="20"/>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(1) the automatic conversion of all of our outstanding shares of Series B redeemable convertible preferred</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into</w:t>
            </w:r>
          </w:p>
        </w:tc>
        <w:tc>
          <w:tcPr>
            <w:tcW w:w="9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shares of Class B common stock, which will occur immediately prior to the closing of this offering; (2) the automatic</w:t>
            </w:r>
          </w:p>
        </w:tc>
      </w:tr>
      <w:tr>
        <w:trPr>
          <w:trHeight w:val="210"/>
        </w:trPr>
        <w:tc>
          <w:tcPr>
            <w:tcW w:w="300" w:type="dxa"/>
            <w:vAlign w:val="bottom"/>
          </w:tcPr>
          <w:p>
            <w:pPr>
              <w:spacing w:after="0"/>
              <w:rPr>
                <w:sz w:val="18"/>
                <w:szCs w:val="18"/>
                <w:color w:val="auto"/>
              </w:rPr>
            </w:pPr>
          </w:p>
        </w:tc>
        <w:tc>
          <w:tcPr>
            <w:tcW w:w="95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8"/>
              </w:rPr>
              <w:t>conversion of all of our outstanding shares of redeemable convertible preferred stock, other than our Series B preferred stock, into</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w:t>
            </w:r>
          </w:p>
        </w:tc>
      </w:tr>
      <w:tr>
        <w:trPr>
          <w:trHeight w:val="210"/>
        </w:trPr>
        <w:tc>
          <w:tcPr>
            <w:tcW w:w="300" w:type="dxa"/>
            <w:vAlign w:val="bottom"/>
          </w:tcPr>
          <w:p>
            <w:pPr>
              <w:spacing w:after="0"/>
              <w:rPr>
                <w:sz w:val="18"/>
                <w:szCs w:val="18"/>
                <w:color w:val="auto"/>
              </w:rPr>
            </w:pPr>
          </w:p>
        </w:tc>
        <w:tc>
          <w:tcPr>
            <w:tcW w:w="8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 Class A common stock, which will occur immediately prior to the closing of this offering; (3) the issuance of</w:t>
            </w:r>
          </w:p>
        </w:tc>
        <w:tc>
          <w:tcPr>
            <w:tcW w:w="6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Additional Class A</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7"/>
              </w:rPr>
              <w:t>Conversion Shares, which will occur upon the conversion of all outstanding shares of our redeemable convertible preferred stock and immediately</w:t>
            </w:r>
          </w:p>
        </w:tc>
      </w:tr>
      <w:tr>
        <w:trPr>
          <w:trHeight w:val="210"/>
        </w:trPr>
        <w:tc>
          <w:tcPr>
            <w:tcW w:w="300" w:type="dxa"/>
            <w:vAlign w:val="bottom"/>
          </w:tcPr>
          <w:p>
            <w:pPr>
              <w:spacing w:after="0"/>
              <w:rPr>
                <w:sz w:val="18"/>
                <w:szCs w:val="18"/>
                <w:color w:val="auto"/>
              </w:rPr>
            </w:pPr>
          </w:p>
        </w:tc>
        <w:tc>
          <w:tcPr>
            <w:tcW w:w="8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prior to the closing of this offering; (4) the automatic conversion of all of our nonvoting common stock into</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Class A common</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8"/>
              </w:rPr>
              <w:t>stock, which will occur immediately prior to the closing of this offering; (5) the filing and effectiveness of our amended and restated certificate of</w:t>
            </w:r>
          </w:p>
        </w:tc>
      </w:tr>
      <w:tr>
        <w:trPr>
          <w:trHeight w:val="228"/>
        </w:trPr>
        <w:tc>
          <w:tcPr>
            <w:tcW w:w="300" w:type="dxa"/>
            <w:vAlign w:val="bottom"/>
          </w:tcPr>
          <w:p>
            <w:pPr>
              <w:spacing w:after="0"/>
              <w:rPr>
                <w:sz w:val="19"/>
                <w:szCs w:val="19"/>
                <w:color w:val="auto"/>
              </w:rPr>
            </w:pPr>
          </w:p>
        </w:tc>
        <w:tc>
          <w:tcPr>
            <w:tcW w:w="8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incorporation, which will occur immediately prior to the closing of this offering; and</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on a pro forma as adjusted basis, giving effect to (1) the pro forma adjustments set forth above and (2) our receipt of $</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net</w:t>
            </w:r>
          </w:p>
        </w:tc>
      </w:tr>
      <w:tr>
        <w:trPr>
          <w:trHeight w:val="210"/>
        </w:trPr>
        <w:tc>
          <w:tcPr>
            <w:tcW w:w="300" w:type="dxa"/>
            <w:vAlign w:val="bottom"/>
          </w:tcPr>
          <w:p>
            <w:pPr>
              <w:spacing w:after="0"/>
              <w:rPr>
                <w:sz w:val="18"/>
                <w:szCs w:val="18"/>
                <w:color w:val="auto"/>
              </w:rPr>
            </w:pPr>
          </w:p>
        </w:tc>
        <w:tc>
          <w:tcPr>
            <w:tcW w:w="9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proceeds from the sale of shares of Class A common stock that we are offering at an assumed initial public offering price of $</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after deducting the estimated underwriting discounts and</w:t>
            </w:r>
          </w:p>
        </w:tc>
      </w:tr>
      <w:tr>
        <w:trPr>
          <w:trHeight w:val="228"/>
        </w:trPr>
        <w:tc>
          <w:tcPr>
            <w:tcW w:w="300" w:type="dxa"/>
            <w:vAlign w:val="bottom"/>
          </w:tcPr>
          <w:p>
            <w:pPr>
              <w:spacing w:after="0"/>
              <w:rPr>
                <w:sz w:val="19"/>
                <w:szCs w:val="19"/>
                <w:color w:val="auto"/>
              </w:rPr>
            </w:pPr>
          </w:p>
        </w:tc>
        <w:tc>
          <w:tcPr>
            <w:tcW w:w="8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6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80" w:type="dxa"/>
            <w:vAlign w:val="bottom"/>
          </w:tcPr>
          <w:p>
            <w:pPr>
              <w:spacing w:after="0"/>
              <w:rPr>
                <w:sz w:val="9"/>
                <w:szCs w:val="9"/>
                <w:color w:val="auto"/>
              </w:rPr>
            </w:pPr>
          </w:p>
        </w:tc>
        <w:tc>
          <w:tcPr>
            <w:tcW w:w="12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0" w:type="dxa"/>
            <w:vAlign w:val="bottom"/>
          </w:tcPr>
          <w:p>
            <w:pPr>
              <w:spacing w:after="0"/>
              <w:rPr>
                <w:sz w:val="9"/>
                <w:szCs w:val="9"/>
                <w:color w:val="auto"/>
              </w:rPr>
            </w:pPr>
          </w:p>
        </w:tc>
        <w:tc>
          <w:tcPr>
            <w:tcW w:w="9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740" w:type="dxa"/>
            <w:vAlign w:val="bottom"/>
            <w:tcBorders>
              <w:top w:val="single" w:sz="8" w:color="auto"/>
            </w:tcBorders>
            <w:gridSpan w:val="7"/>
          </w:tcPr>
          <w:p>
            <w:pPr>
              <w:jc w:val="center"/>
              <w:ind w:right="108"/>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Cash, cash equivalents and restricted cash . . . . . . . . . . . . . . . . . . . .</w:t>
            </w:r>
          </w:p>
        </w:tc>
        <w:tc>
          <w:tcPr>
            <w:tcW w:w="19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345,725</w:t>
            </w:r>
          </w:p>
        </w:tc>
        <w:tc>
          <w:tcPr>
            <w:tcW w:w="1300" w:type="dxa"/>
            <w:vAlign w:val="bottom"/>
            <w:gridSpan w:val="2"/>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243,420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40" w:type="dxa"/>
            <w:vAlign w:val="bottom"/>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64,760,746 shares authorized,</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61,078,813 shares issued and outstanding, actual; no shares authorized, issued and outstanding,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and pro forma as adjusted</w:t>
            </w:r>
          </w:p>
        </w:tc>
        <w:tc>
          <w:tcPr>
            <w:tcW w:w="1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890,535</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40" w:type="dxa"/>
            <w:vAlign w:val="bottom"/>
            <w:gridSpan w:val="3"/>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w w:val="97"/>
              </w:rPr>
              <w:t>Preferred stock, $0.0001 par value, no shares authorized, issued, and outstanding, actual;</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60" w:type="dxa"/>
            <w:vAlign w:val="bottom"/>
            <w:gridSpan w:val="5"/>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shares authorized, no shares issued and outstanding, pro forma and pro forma</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 adjusted</w:t>
            </w:r>
          </w:p>
        </w:tc>
        <w:tc>
          <w:tcPr>
            <w:tcW w:w="20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56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Non-voting common stock, $0.001 par value, 63,946,620 shares authorized 4,612,450 shares</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6"/>
              </w:rPr>
              <w:t>issued and outstanding, actual; no shares authorized, issued and outstanding, pro forma</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2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56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$0.001 par value, 181,700,285 shares authorized 58,367,961 shares</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issued and outstanding, actual;</w:t>
            </w:r>
          </w:p>
        </w:tc>
        <w:tc>
          <w:tcPr>
            <w:tcW w:w="2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shares authorized,</w:t>
            </w:r>
          </w:p>
        </w:tc>
        <w:tc>
          <w:tcPr>
            <w:tcW w:w="1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issued and</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1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56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$0.001 par value, 5,374,899 shares authorized no shares issued and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actual;</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shares authorized,</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w w:val="97"/>
              </w:rPr>
              <w:t>issued and outstanding, pro</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(739,342)</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(739,322</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0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394,633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4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8"/>
              </w:rPr>
              <w:t>per share of Class A common stock, the midpoint of the estimated</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price range set forth on the cover page of this prospectus, would increase (decrease) each of our pro forma as adjusted cash, cash equivalents and restricted cash,</w:t>
      </w:r>
    </w:p>
    <w:p>
      <w:pPr>
        <w:spacing w:after="0" w:line="2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3"/>
          <w:szCs w:val="13"/>
          <w:color w:val="auto"/>
        </w:rPr>
        <w:t>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right="760" w:firstLine="454"/>
        <w:spacing w:after="0" w:line="267"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is based on shares of Class A common stock and shares of Class B common stock outstanding as of September 30, 2021, and excludes:</w:t>
      </w:r>
    </w:p>
    <w:p>
      <w:pPr>
        <w:sectPr>
          <w:pgSz w:w="11900" w:h="16838" w:orient="portrait"/>
          <w:cols w:equalWidth="0" w:num="1">
            <w:col w:w="11340"/>
          </w:cols>
          <w:pgMar w:left="320" w:top="448" w:right="239" w:bottom="1440" w:gutter="0" w:footer="0" w:header="0"/>
        </w:sectPr>
      </w:pPr>
    </w:p>
    <w:p>
      <w:pPr>
        <w:spacing w:after="0" w:line="7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40" w:firstLine="803"/>
        <w:spacing w:after="0" w:line="267" w:lineRule="auto"/>
        <w:rPr>
          <w:sz w:val="20"/>
          <w:szCs w:val="20"/>
          <w:color w:val="auto"/>
        </w:rPr>
      </w:pPr>
      <w:r>
        <w:rPr>
          <w:rFonts w:ascii="Times New Roman" w:cs="Times New Roman" w:eastAsia="Times New Roman" w:hAnsi="Times New Roman"/>
          <w:sz w:val="18"/>
          <w:szCs w:val="18"/>
          <w:color w:val="auto"/>
        </w:rPr>
        <w:t>shares of Class A common stock issuable on the vesting and settlement of RSUs outstanding as of which the performance-based vesting condition will be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2015 Plan, for</w:t>
      </w:r>
    </w:p>
    <w:p>
      <w:pPr>
        <w:spacing w:after="0" w:line="380" w:lineRule="exact"/>
        <w:rPr>
          <w:sz w:val="20"/>
          <w:szCs w:val="20"/>
          <w:color w:val="auto"/>
        </w:rPr>
      </w:pPr>
    </w:p>
    <w:p>
      <w:pPr>
        <w:sectPr>
          <w:pgSz w:w="11900" w:h="16838" w:orient="portrait"/>
          <w:cols w:equalWidth="0" w:num="3">
            <w:col w:w="520" w:space="480"/>
            <w:col w:w="7900" w:space="720"/>
            <w:col w:w="1720"/>
          </w:cols>
          <w:pgMar w:left="320" w:top="44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1340"/>
          </w:cols>
          <w:pgMar w:left="320" w:top="448" w:right="2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satisfied in connection with this offering, but for which the service-based vesting condition will not be satisfied on or before the date of this offering;</w:t>
      </w:r>
    </w:p>
    <w:p>
      <w:pPr>
        <w:spacing w:after="0" w:line="78" w:lineRule="exact"/>
        <w:rPr>
          <w:sz w:val="20"/>
          <w:szCs w:val="20"/>
          <w:color w:val="auto"/>
        </w:rPr>
      </w:pPr>
    </w:p>
    <w:p>
      <w:pPr>
        <w:jc w:val="both"/>
        <w:ind w:left="1000" w:hanging="549"/>
        <w:spacing w:after="0" w:line="255" w:lineRule="auto"/>
        <w:tabs>
          <w:tab w:leader="none" w:pos="17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on the vesting and settlement of RSUs granted after September 30, 2021 under the 2015 Plan for which the performance-based vesting condition will be satisfied in connection with this offering, but for which the service-based vesting condition will not be satisfied on or before the date of this offering;</w:t>
      </w:r>
    </w:p>
    <w:p>
      <w:pPr>
        <w:sectPr>
          <w:pgSz w:w="11900" w:h="16838" w:orient="portrait"/>
          <w:cols w:equalWidth="0" w:num="1">
            <w:col w:w="11340"/>
          </w:cols>
          <w:pgMar w:left="320" w:top="448" w:right="239" w:bottom="1440" w:gutter="0" w:footer="0" w:header="0"/>
        </w:sectPr>
      </w:pPr>
    </w:p>
    <w:p>
      <w:pPr>
        <w:spacing w:after="0" w:line="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firstLine="848"/>
        <w:spacing w:after="0" w:line="255" w:lineRule="auto"/>
        <w:rPr>
          <w:sz w:val="20"/>
          <w:szCs w:val="20"/>
          <w:color w:val="auto"/>
        </w:rPr>
      </w:pPr>
      <w:r>
        <w:rPr>
          <w:rFonts w:ascii="Times New Roman" w:cs="Times New Roman" w:eastAsia="Times New Roman" w:hAnsi="Times New Roman"/>
          <w:sz w:val="18"/>
          <w:szCs w:val="18"/>
          <w:color w:val="auto"/>
        </w:rPr>
        <w:t>shares of Class A common stock that may become issuable upon the vesting and settlement of PSUs outstanding as of September 30, 2021 under our 2015 Plan, for which the performance-based vesting condition may be satisfied in connection with this offering, but for which the service-based vesting condition will not be satisfied on or before the date of this offering;</w:t>
      </w:r>
    </w:p>
    <w:p>
      <w:pPr>
        <w:spacing w:after="0" w:line="89"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ind w:left="1760" w:hanging="1309"/>
        <w:spacing w:after="0"/>
        <w:tabs>
          <w:tab w:leader="none" w:pos="17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reserved for future issuance under 2021 Plan, plus a number of shares of Class A common stock not to</w:t>
      </w:r>
    </w:p>
    <w:p>
      <w:pPr>
        <w:spacing w:after="0" w:line="2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exceed</w:t>
            </w:r>
          </w:p>
        </w:tc>
        <w:tc>
          <w:tcPr>
            <w:tcW w:w="9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(consisting of the number of shares that remain available under the 2015 Plan as of immediately prior to the effective date of the</w:t>
            </w:r>
          </w:p>
        </w:tc>
      </w:tr>
      <w:tr>
        <w:trPr>
          <w:trHeight w:val="210"/>
        </w:trPr>
        <w:tc>
          <w:tcPr>
            <w:tcW w:w="300" w:type="dxa"/>
            <w:vAlign w:val="bottom"/>
          </w:tcPr>
          <w:p>
            <w:pPr>
              <w:spacing w:after="0"/>
              <w:rPr>
                <w:sz w:val="18"/>
                <w:szCs w:val="18"/>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2021 Plan, and any shares underlying RSUs outstanding under the 2015 Plan that expire or otherwise terminate prior to settlement after the</w:t>
            </w:r>
          </w:p>
        </w:tc>
      </w:tr>
      <w:tr>
        <w:trPr>
          <w:trHeight w:val="210"/>
        </w:trPr>
        <w:tc>
          <w:tcPr>
            <w:tcW w:w="300" w:type="dxa"/>
            <w:vAlign w:val="bottom"/>
          </w:tcPr>
          <w:p>
            <w:pPr>
              <w:spacing w:after="0"/>
              <w:rPr>
                <w:sz w:val="18"/>
                <w:szCs w:val="18"/>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7"/>
              </w:rPr>
              <w:t>effective date of the 2021 Plan), as well as any future increases, including annual automatic evergreen increases, in the number of shares of Class A</w:t>
            </w:r>
          </w:p>
        </w:tc>
      </w:tr>
      <w:tr>
        <w:trPr>
          <w:trHeight w:val="228"/>
        </w:trPr>
        <w:tc>
          <w:tcPr>
            <w:tcW w:w="300" w:type="dxa"/>
            <w:vAlign w:val="bottom"/>
          </w:tcPr>
          <w:p>
            <w:pPr>
              <w:spacing w:after="0"/>
              <w:rPr>
                <w:sz w:val="19"/>
                <w:szCs w:val="19"/>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stock reserved for issuance under the 2021 Plan;</w:t>
            </w: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9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issuable on the exercise of a stock option outstanding as of September 30, 2021 under the 2015 Plan,</w:t>
            </w:r>
          </w:p>
        </w:tc>
      </w:tr>
      <w:tr>
        <w:trPr>
          <w:trHeight w:val="228"/>
        </w:trPr>
        <w:tc>
          <w:tcPr>
            <w:tcW w:w="300" w:type="dxa"/>
            <w:vAlign w:val="bottom"/>
          </w:tcPr>
          <w:p>
            <w:pPr>
              <w:spacing w:after="0"/>
              <w:rPr>
                <w:sz w:val="19"/>
                <w:szCs w:val="19"/>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an exercise price of $  per share; and</w:t>
            </w: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w:t>
            </w:r>
          </w:p>
        </w:tc>
        <w:tc>
          <w:tcPr>
            <w:tcW w:w="9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issuable upon conversion of an outstanding convertible promissory note, which is convertible</w:t>
            </w:r>
          </w:p>
        </w:tc>
      </w:tr>
      <w:tr>
        <w:trPr>
          <w:trHeight w:val="210"/>
        </w:trPr>
        <w:tc>
          <w:tcPr>
            <w:tcW w:w="300" w:type="dxa"/>
            <w:vAlign w:val="bottom"/>
          </w:tcPr>
          <w:p>
            <w:pPr>
              <w:spacing w:after="0"/>
              <w:rPr>
                <w:sz w:val="18"/>
                <w:szCs w:val="18"/>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beginning in March 2026, as more fully described in the section of this prospectus titled “Description of Capital Stock—Convertible Promissory</w:t>
            </w:r>
          </w:p>
        </w:tc>
      </w:tr>
      <w:tr>
        <w:trPr>
          <w:trHeight w:val="228"/>
        </w:trPr>
        <w:tc>
          <w:tcPr>
            <w:tcW w:w="30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w:t>
            </w:r>
          </w:p>
        </w:tc>
        <w:tc>
          <w:tcPr>
            <w:tcW w:w="9700" w:type="dxa"/>
            <w:vAlign w:val="bottom"/>
          </w:tcPr>
          <w:p>
            <w:pPr>
              <w:spacing w:after="0"/>
              <w:rPr>
                <w:sz w:val="19"/>
                <w:szCs w:val="19"/>
                <w:color w:val="auto"/>
              </w:rPr>
            </w:pPr>
          </w:p>
        </w:tc>
      </w:tr>
      <w:tr>
        <w:trPr>
          <w:trHeight w:val="354"/>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00" w:type="dxa"/>
            <w:vAlign w:val="bottom"/>
          </w:tcPr>
          <w:p>
            <w:pPr>
              <w:jc w:val="right"/>
              <w:ind w:right="5452"/>
              <w:spacing w:after="0"/>
              <w:rPr>
                <w:sz w:val="20"/>
                <w:szCs w:val="20"/>
                <w:color w:val="auto"/>
              </w:rPr>
            </w:pPr>
            <w:r>
              <w:rPr>
                <w:rFonts w:ascii="Times New Roman" w:cs="Times New Roman" w:eastAsia="Times New Roman" w:hAnsi="Times New Roman"/>
                <w:sz w:val="18"/>
                <w:szCs w:val="18"/>
                <w:color w:val="auto"/>
              </w:rPr>
              <w:t>101</w:t>
            </w:r>
          </w:p>
        </w:tc>
      </w:tr>
    </w:tbl>
    <w:p>
      <w:pPr>
        <w:sectPr>
          <w:pgSz w:w="11900" w:h="16838" w:orient="portrait"/>
          <w:cols w:equalWidth="0" w:num="1">
            <w:col w:w="11340"/>
          </w:cols>
          <w:pgMar w:left="320" w:top="448" w:right="2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Our pro forma net tangible book value as of September 30, 2021 was $ million, or $ per share. Our pro forma net tangible book value per share represents the amount of our total tangible assets less our total liabilities, divided by the number of our shares of common stock outstanding as of</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September 30, 2021, after giving effect to (1) the automatic conversion of all outstanding shares of our Series B redeemable preferred stock into shares of Class B common stock, which will occur immediately prior to the closing of this offering; (2) the automatic conversion of all outstanding shares of our</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redeemable convertible preferred stock, other than our Series B preferred stock, into an aggregate of shares of Class A common stock, which will occur immediately prior to the closing of this offering; (3) the issuance of the Additional Class A Conversion Shares, which will occur upon the conversion of all outstanding shares of our redeemable convertible preferred stock and immediately prior to the closing of this offering; (4) the automatic conversion of all of our</w:t>
      </w:r>
    </w:p>
    <w:p>
      <w:pPr>
        <w:jc w:val="both"/>
        <w:spacing w:after="0" w:line="245" w:lineRule="auto"/>
        <w:rPr>
          <w:sz w:val="20"/>
          <w:szCs w:val="20"/>
          <w:color w:val="auto"/>
        </w:rPr>
      </w:pPr>
      <w:r>
        <w:rPr>
          <w:rFonts w:ascii="Times New Roman" w:cs="Times New Roman" w:eastAsia="Times New Roman" w:hAnsi="Times New Roman"/>
          <w:sz w:val="18"/>
          <w:szCs w:val="18"/>
          <w:color w:val="auto"/>
        </w:rPr>
        <w:t>nonvoting common stock into shares of Class A common stock, which will occur immediately prior to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88" w:lineRule="exact"/>
        <w:rPr>
          <w:sz w:val="20"/>
          <w:szCs w:val="20"/>
          <w:color w:val="auto"/>
        </w:rPr>
      </w:pPr>
    </w:p>
    <w:p>
      <w:pPr>
        <w:ind w:left="460"/>
        <w:spacing w:after="0"/>
        <w:tabs>
          <w:tab w:leader="none" w:pos="4460" w:val="left"/>
        </w:tabs>
        <w:rPr>
          <w:sz w:val="20"/>
          <w:szCs w:val="20"/>
          <w:color w:val="auto"/>
        </w:rPr>
      </w:pPr>
      <w:r>
        <w:rPr>
          <w:rFonts w:ascii="Times New Roman" w:cs="Times New Roman" w:eastAsia="Times New Roman" w:hAnsi="Times New Roman"/>
          <w:sz w:val="18"/>
          <w:szCs w:val="18"/>
          <w:color w:val="auto"/>
        </w:rPr>
        <w:t>After giving effect to the sale by us of</w:t>
      </w:r>
      <w:r>
        <w:rPr>
          <w:sz w:val="20"/>
          <w:szCs w:val="20"/>
          <w:color w:val="auto"/>
        </w:rPr>
        <w:tab/>
      </w:r>
      <w:r>
        <w:rPr>
          <w:rFonts w:ascii="Times New Roman" w:cs="Times New Roman" w:eastAsia="Times New Roman" w:hAnsi="Times New Roman"/>
          <w:sz w:val="18"/>
          <w:szCs w:val="18"/>
          <w:color w:val="auto"/>
        </w:rPr>
        <w:t>shares of Class A common stock in this offering at an assumed initial public offering price of</w:t>
      </w:r>
    </w:p>
    <w:p>
      <w:pPr>
        <w:spacing w:after="0" w:line="21" w:lineRule="exact"/>
        <w:rPr>
          <w:sz w:val="20"/>
          <w:szCs w:val="20"/>
          <w:color w:val="auto"/>
        </w:rPr>
      </w:pPr>
    </w:p>
    <w:p>
      <w:pPr>
        <w:ind w:left="900" w:hanging="895"/>
        <w:spacing w:after="0"/>
        <w:tabs>
          <w:tab w:leader="none" w:pos="9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the midpoint of the estimated price range set forth on the cover page of this prospectus, after deducting estimated underwriting discounts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commissions and estimated offering expenses payable by us, our pro forma as adjusted net tangible book value as of September 30, 2021 would have been</w:t>
      </w:r>
    </w:p>
    <w:p>
      <w:pPr>
        <w:spacing w:after="0" w:line="2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million, or $ per share. This amount represents an immediate increase in pro forma as adjusted net tangible book value of $ per share to our existing stockholders and an immediate dilution of $ per share to new investors purchasing Class A common stock in this offering. We</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determine dilution by subtracting the pro forma as adjusted net tangible book value per share after this offering from the initial public offering price per share paid by investors purchasing Class A common stock in this offering. The following table illustrates this dilution on a per share basis: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20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2021</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per share attributable to the pro forma adjustments described above</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2021</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2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Decrease in pro forma as adjusted net tangible book value per share attributable to new investors purchasing shares in this</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offering</w:t>
            </w:r>
          </w:p>
        </w:tc>
        <w:tc>
          <w:tcPr>
            <w:tcW w:w="3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20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jc w:val="right"/>
              <w:ind w:right="3352"/>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88"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following table summarizes, as of September 30, 2021, on a pro forma as adjusted basis as described above, the aggregate number of shares of our Class A common stock and Class B common stock, the total consideration and the average price per share (1) paid to us by existing stockholders, and (2) to be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120" w:type="dxa"/>
            <w:vAlign w:val="bottom"/>
            <w:gridSpan w:val="4"/>
            <w:vMerge w:val="restart"/>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80" w:type="dxa"/>
            <w:vAlign w:val="bottom"/>
            <w:gridSpan w:val="4"/>
            <w:vMerge w:val="restart"/>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2280" w:type="dxa"/>
            <w:vAlign w:val="bottom"/>
            <w:gridSpan w:val="4"/>
            <w:vMerge w:val="continue"/>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0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60" w:type="dxa"/>
            <w:vAlign w:val="bottom"/>
          </w:tcPr>
          <w:p>
            <w:pPr>
              <w:spacing w:after="0"/>
              <w:rPr>
                <w:sz w:val="11"/>
                <w:szCs w:val="11"/>
                <w:color w:val="auto"/>
              </w:rPr>
            </w:pPr>
          </w:p>
        </w:tc>
        <w:tc>
          <w:tcPr>
            <w:tcW w:w="660" w:type="dxa"/>
            <w:vAlign w:val="bottom"/>
            <w:tcBorders>
              <w:top w:val="single" w:sz="8" w:color="auto"/>
            </w:tcBorders>
          </w:tcPr>
          <w:p>
            <w:pPr>
              <w:jc w:val="right"/>
              <w:ind w:right="4"/>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43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right"/>
              <w:ind w:right="41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4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12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Sales by the selling stockholders upon the exercise in full of the underwriters’ option to purchase additional shares to cover over-allotments, if any, would</w:t>
      </w:r>
    </w:p>
    <w:p>
      <w:pPr>
        <w:spacing w:after="0" w:line="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w:t>
      </w:r>
    </w:p>
    <w:p>
      <w:pPr>
        <w:spacing w:after="0" w:line="188" w:lineRule="exact"/>
        <w:rPr>
          <w:sz w:val="20"/>
          <w:szCs w:val="20"/>
          <w:color w:val="auto"/>
        </w:rPr>
      </w:pPr>
    </w:p>
    <w:p>
      <w:pPr>
        <w:ind w:left="460"/>
        <w:spacing w:after="0"/>
        <w:tabs>
          <w:tab w:leader="none" w:pos="6800" w:val="left"/>
        </w:tabs>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cover page of this prospectus, would increase (decrease) the total consideration paid by new investors and total consideration paid by all stockholders by</w:t>
      </w:r>
    </w:p>
    <w:p>
      <w:pPr>
        <w:spacing w:after="0" w:line="3" w:lineRule="exact"/>
        <w:rPr>
          <w:sz w:val="20"/>
          <w:szCs w:val="20"/>
          <w:color w:val="auto"/>
        </w:rPr>
      </w:pPr>
    </w:p>
    <w:p>
      <w:pPr>
        <w:jc w:val="both"/>
        <w:ind w:firstLine="5"/>
        <w:spacing w:after="0" w:line="274" w:lineRule="auto"/>
        <w:tabs>
          <w:tab w:leader="none" w:pos="92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offered by us would increase (decrease) the total consideration paid by new investors and total consideration paid by all stockholders by</w:t>
      </w:r>
    </w:p>
    <w:p>
      <w:pPr>
        <w:spacing w:after="0" w:line="19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right="760" w:firstLine="454"/>
        <w:spacing w:after="0" w:line="267"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is based on shares of Class A common stock and shares of Class B common stock outstanding as of September 30, 2021, and excludes:</w:t>
      </w:r>
    </w:p>
    <w:p>
      <w:pPr>
        <w:spacing w:after="0" w:line="78" w:lineRule="exact"/>
        <w:rPr>
          <w:sz w:val="20"/>
          <w:szCs w:val="20"/>
          <w:color w:val="auto"/>
        </w:rPr>
      </w:pPr>
    </w:p>
    <w:p>
      <w:pPr>
        <w:jc w:val="both"/>
        <w:ind w:left="1000" w:hanging="549"/>
        <w:spacing w:after="0" w:line="255" w:lineRule="auto"/>
        <w:tabs>
          <w:tab w:leader="none" w:pos="17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on the vesting and settlement of RSUs outstanding as of September 30, 2021 under our 2015 Plan, for which the performance-based vesting condition will be satisfied in connection with this offering, but for which the service-based vesting condition will not be satisfied on or before the date of this offering;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5" w:lineRule="auto"/>
        <w:tabs>
          <w:tab w:leader="none" w:pos="178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on the vesting and settlement of RSUs granted after September 30, 2021 under the 2015 Plan for which the performance-based vesting condition will be satisfied in connection with this offering, but for which the service-based vesting condition will not be satisfied on or before the date of this offering;</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7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that may become issuable to upon the vesting and settlement of PSUs outstanding as of September 30, 2021 under our 2015 Plan, for which the performance-based vesting condition may be satisfied in connection with this offering, but for which the service-based vesting condition will not be satisfied on or before the date of this offering;</w:t>
      </w:r>
    </w:p>
    <w:p>
      <w:pPr>
        <w:spacing w:after="0" w:line="88" w:lineRule="exact"/>
        <w:rPr>
          <w:rFonts w:ascii="Times New Roman" w:cs="Times New Roman" w:eastAsia="Times New Roman" w:hAnsi="Times New Roman"/>
          <w:sz w:val="18"/>
          <w:szCs w:val="18"/>
          <w:color w:val="auto"/>
        </w:rPr>
      </w:pPr>
    </w:p>
    <w:p>
      <w:pPr>
        <w:ind w:left="1720" w:hanging="1269"/>
        <w:spacing w:after="0"/>
        <w:tabs>
          <w:tab w:leader="none" w:pos="17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reserved for future issuance under our 2021 Plan, plus a number of shares of Class A common stock not</w:t>
      </w:r>
    </w:p>
    <w:p>
      <w:pPr>
        <w:spacing w:after="0" w:line="2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exceed</w:t>
            </w:r>
          </w:p>
        </w:tc>
        <w:tc>
          <w:tcPr>
            <w:tcW w:w="9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(consisting of the number of shares that remain available under the 2015 Plan as of immediately prior to the effective date of</w:t>
            </w:r>
          </w:p>
        </w:tc>
      </w:tr>
      <w:tr>
        <w:trPr>
          <w:trHeight w:val="210"/>
        </w:trPr>
        <w:tc>
          <w:tcPr>
            <w:tcW w:w="300" w:type="dxa"/>
            <w:vAlign w:val="bottom"/>
          </w:tcPr>
          <w:p>
            <w:pPr>
              <w:spacing w:after="0"/>
              <w:rPr>
                <w:sz w:val="18"/>
                <w:szCs w:val="18"/>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2021 Plan, and any shares underlying RSUs outstanding under the 2015 Plan that expire or otherwise terminate prior to settlement after the</w:t>
            </w:r>
          </w:p>
        </w:tc>
      </w:tr>
      <w:tr>
        <w:trPr>
          <w:trHeight w:val="210"/>
        </w:trPr>
        <w:tc>
          <w:tcPr>
            <w:tcW w:w="300" w:type="dxa"/>
            <w:vAlign w:val="bottom"/>
          </w:tcPr>
          <w:p>
            <w:pPr>
              <w:spacing w:after="0"/>
              <w:rPr>
                <w:sz w:val="18"/>
                <w:szCs w:val="18"/>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7"/>
              </w:rPr>
              <w:t>effective date of the 2021 Plan), as well as any future increases, including annual automatic evergreen increases, in the number of shares of Class A</w:t>
            </w:r>
          </w:p>
        </w:tc>
      </w:tr>
      <w:tr>
        <w:trPr>
          <w:trHeight w:val="228"/>
        </w:trPr>
        <w:tc>
          <w:tcPr>
            <w:tcW w:w="300" w:type="dxa"/>
            <w:vAlign w:val="bottom"/>
          </w:tcPr>
          <w:p>
            <w:pPr>
              <w:spacing w:after="0"/>
              <w:rPr>
                <w:sz w:val="19"/>
                <w:szCs w:val="19"/>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stock reserved for issuance under the 2021 Plan;</w:t>
            </w: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4"/>
                <w:szCs w:val="24"/>
                <w:color w:val="auto"/>
              </w:rPr>
            </w:pPr>
          </w:p>
        </w:tc>
        <w:tc>
          <w:tcPr>
            <w:tcW w:w="9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shares of Class A common stock issuable on the exercise of a stock option outstanding as of September 30, 2021 under the 2015 Plan,</w:t>
            </w:r>
          </w:p>
        </w:tc>
      </w:tr>
      <w:tr>
        <w:trPr>
          <w:trHeight w:val="228"/>
        </w:trPr>
        <w:tc>
          <w:tcPr>
            <w:tcW w:w="300" w:type="dxa"/>
            <w:vAlign w:val="bottom"/>
          </w:tcPr>
          <w:p>
            <w:pPr>
              <w:spacing w:after="0"/>
              <w:rPr>
                <w:sz w:val="19"/>
                <w:szCs w:val="19"/>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an exercise price of $  per share; and</w:t>
            </w: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w:t>
            </w:r>
          </w:p>
        </w:tc>
        <w:tc>
          <w:tcPr>
            <w:tcW w:w="9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issuable upon conversion of an outstanding convertible promissory note, which is convertible</w:t>
            </w:r>
          </w:p>
        </w:tc>
      </w:tr>
      <w:tr>
        <w:trPr>
          <w:trHeight w:val="210"/>
        </w:trPr>
        <w:tc>
          <w:tcPr>
            <w:tcW w:w="300" w:type="dxa"/>
            <w:vAlign w:val="bottom"/>
          </w:tcPr>
          <w:p>
            <w:pPr>
              <w:spacing w:after="0"/>
              <w:rPr>
                <w:sz w:val="18"/>
                <w:szCs w:val="18"/>
                <w:color w:val="auto"/>
              </w:rPr>
            </w:pPr>
          </w:p>
        </w:tc>
        <w:tc>
          <w:tcPr>
            <w:tcW w:w="10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beginning in March 2026, as more fully described in the section of this prospectus titled “Description of Capital Stock—Convertible Promissory</w:t>
            </w:r>
          </w:p>
        </w:tc>
      </w:tr>
      <w:tr>
        <w:trPr>
          <w:trHeight w:val="228"/>
        </w:trPr>
        <w:tc>
          <w:tcPr>
            <w:tcW w:w="300" w:type="dxa"/>
            <w:vAlign w:val="bottom"/>
          </w:tcPr>
          <w:p>
            <w:pPr>
              <w:spacing w:after="0"/>
              <w:rPr>
                <w:sz w:val="19"/>
                <w:szCs w:val="19"/>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w:t>
            </w:r>
          </w:p>
        </w:tc>
        <w:tc>
          <w:tcPr>
            <w:tcW w:w="9600" w:type="dxa"/>
            <w:vAlign w:val="bottom"/>
          </w:tcPr>
          <w:p>
            <w:pPr>
              <w:spacing w:after="0"/>
              <w:rPr>
                <w:sz w:val="19"/>
                <w:szCs w:val="19"/>
                <w:color w:val="auto"/>
              </w:rPr>
            </w:pPr>
          </w:p>
        </w:tc>
      </w:tr>
    </w:tbl>
    <w:p>
      <w:pPr>
        <w:spacing w:after="0" w:line="19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September 30, 2021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To accomplish this, we built both a technology platform to free healthcare data from silos and an operating system to make this data useful. We refer to the combination of those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$62.1 million and $188.0 million in the years ended December 31, 2019 and 2020, respectively, and of $87.2 million and $184.5 million in the nine months ended September 30, 2020 and 2021, respectively. In the year ended December 31, 2019, two separate customers accounted for approximately 14.8% and 17.7% of our total revenue, and revenue from one customer accounted for approximately 16.5% of our total revenue in the year ended December 31, 2020. In the nine months ended September 30, 2020, two customers accounted for 15.6% and 12.6% of our total revenue, respectively. In the nine months ended September 30, 2021, one customer accounted for 34.8% of our total revenue. We also incurred net losses of $115.0 million and $209.9 million in the years ended December 31, 2019 and 2020, respectively, and net losses of $155.7 million and $200.2 million in the nine months ended September 30, 2020 and 2021,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currently offer three product lines: Genomics, Data, and Algos. Each product line is designed to enable and enhance the others, thereby creating network effects in each of the markets in which we operate. We are able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commercialize records multiple times, both at the time a test is run and thereafter. As a result, we differ from traditional diagnostic companies that need to focus on maximizing gross profit when performing a test. At its 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Although we are only five years old, the network effects described above have already been demonstrated with the cohort of records that were added to our database in 2018, 2019, 2020, and 2021. To evaluate the revenue stream in our Data product line, we rely on “Cohort Lifetime Value.”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In 2018, the first full year that we operated a laboratory, we sequenced samples from approximately 7,500 patients. From that 2018 cohort of sequenced patients, through September 30, 2021, we generated $45.3 million of combined revenue from sequencing, data licensing of de-identified data derived from those records, and clinical trials matching, which is approximately 5.0 times the revenue we received from sequencing at the onset. The total cost to sequence the 2018 cohort was $17.4 million, of which $9.0 million was covered by reimbursement for the corresponding sequencing tests. We then generated $16.3 million of data revenue from that cohort in 2018, finishing the year with a “Cohort Lifetime Value” of $7.9 million. As more customers licensed de-identified records from the 2018 cohort in subsequent years, we generated additional revenue in 2019, 2020 and 2021 from the 2018 cohort, and as of September 30, 2021, the 2018 “Cohort Lifetime Value” for this cohort was $27.9 million. We maintained a similar trend for the 2019 cohort through its first two years in existence. The total cost to sequence the 2019 cohort was $39.1 million, of which $25.7 million was covered by the reimbursement for the corresponding sequencing tests. We then generated $23.4 million of data revenue from that cohort in 2019, finishing the year with a “Cohort Lifetime Value” of $10.0 million. We generated additional data revenue in 2020 and 2021, and as of September 30, 2021, the 2019 “Cohort Lifetime Value” was $29.0 million. The total cost to sequence the 2020 cohort was $63.4 million, of which $46.9 million was covered by reimbursement for the corresponding sequencing tests. We then generated $16.7 million of data revenue from that cohort in 2020, finishing the year with a “Cohort Lifetime Value” of $0.2 million. We generated additional data revenue in 2021, and as of September 30, 2021, the 2020 “Cohort Lifetime Value” was $11.0 million.</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below charts which illustrate our 2018, 2019, 2020 and 2021 “Cohort Lifetime Values,”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205105</wp:posOffset>
            </wp:positionV>
            <wp:extent cx="5043805" cy="6485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43805" cy="648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139"/>
          </w:cols>
          <w:pgMar w:left="320" w:top="448"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205105</wp:posOffset>
            </wp:positionV>
            <wp:extent cx="5043805" cy="19589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43805" cy="195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Genomics revenue was $27.9 million and $151.9 million for the years ended December 31, 2019 and 2020, respectively, and $73.2 million and $154.5 million for the nine months ended September 30, 2020 and 2021, respectively. COVID-19 PCR testing accounted for $89.5 million of revenue for the year ended December 31, 2020 and $29.5 million and $84.9 million for the nine months ended September 30, 2020 and 2021, respectively. COVID-19 PCR testing did not generate revenue in the year ended December 31, 2019.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products, Insights and Therapies.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or upon the completion of performance obligations for related services.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320" w:top="44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Therapies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Therapies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revenue was $34.2 million and $36.1 million for the years ended December 31, 2019 and 2020, respectively, and $13.9 million and $30.0 million for the nine months ended September 30, 2020 and 2021, respectively. Our Data revenue is typically back-weighted towards the second half of the year based on the budgeting cycles of our customers.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Algos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newest product line, Algos, is focused on developing and providing diagnostics that are algorithmic in nature. Algos are tests that can be run without chemistry or biology; they are simply 0’s and 1’s running on digitized data derived from a laboratory test. Algos leverage AI-driven insights to produce clinically validated and actionable information for physicians.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launched our Algos product line in the fourth quarter of 2020 and currently offer two algorithmic tests in oncology: our Tumor Origin, TO, test and our Homologous Recombination Deficiency, HRD, test. Similar to our Genomics product line, we typically bill commercial payers or government-funded programs (i.e., Medicare and Medicaid) after delivering a test result. The amount that we charge varies depending on the algorithms being run, the party being billed and other information about the patient’s diagnosis. Revenue is generally recognized based on estimated cash receipts determined by historical and current payment trends. We currently report our Algos revenue within our Data and Other product line.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Algos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$31.3 million and $45.4 million during the years ended December 31, 2019 and 2020, respectively, and $32.3 million and $42.5 million during the nine months ended September 30, 2020 and 2021,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320" w:top="448"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Algos, this entails demonstrating the utility of these algorithms in a clinical setting. Since our inception, our offerings have been used by more than 5,000 oncologists and 40 pharmaceutical and biotechnology customers licensing data through our Insights product, including 15 of the 20 largest public pharmaceutical companies based on 2020 revenue. Our financial performance relies heavily on our ability to add customers to our Platform and expand the relationships with our current customers through adoption of our new products.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$25.6 million and $45.9 million during the years ended December 31, 2019 and 2020, respectively, and $32.8 million and $49.5 million during the nine months ended September 30, 2020 and 2021,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For the year ended December 31, 2019 and 2020, we received payment on approximately 50% and 48% of our clinical oncology NGS tests, respectively. We did not receive payment on approximately 50% and 52% of our clinical oncology NGS tests during the same periods,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$89.5 million, $29.5 million, and $84.9 million of revenue for the year ended December 31, 2020 and the nine months ended September 30, 2020 and 2021, respectively. Given the unpredictability surrounding the COVID-19 testing needs going forward, we are unable to predict testing volumes for our test on a go-forward basis, although there is a reasonable likelihood that levels will decline. We expect revenue from COVID-19 testing to decrease materially as a result of a lower prevalence of COVID-19 from successful containment efforts and the vaccination of a substantial majority of Americans, reduced testing needs of</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many of our clients, including as a result of the expiration and renegotiation of our COVID-19 testing agreement with CVS Pharmacy, Inc. in July 2021 and November 2021, respectively, and the entrance of other testing providers into the market. In addition, our agreement with CVS, which accounted for 24.0% and 34.8% of our revenue for the year ended December 31, 2020 and the nine months ended September 30, 2021, respectively, expired in July 2021. Effective October 2021, we entered into a substantially similar agreement with CVS under which CVS has agreed to purchase certain COVID-19 testing products and services from us without a minimum purchase commitment. Due to the expiration of our prior agreement with CVS in July 2021, our financial performance in the second half of 2021 may not be comparable to our financial performance in the second half of 2020.</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Other.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Other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Algos revenue within this line item as it is immaterial.</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incur costs to generate revenue for each of our two primary product lines. Cost of revenues for our Genomics product line is a higher percentage of the Genomics revenue than cost of revenues for Data and Other is as a percentage of Data and Other revenue. As revenue shifts between these product lines, total cost of revenue as a percentage of revenue will be impacted.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Other primarily includes data acquisition and royalty fees, and personnel costs related to delivery of our data services and platform, and certain allocated overhead expenses. Costs associated with performing data product services are recorded as incurred. We expect these costs will increase in absolute dollars as our Data and Other revenues continue to grow. We currently report our Algos cost of revenue within this line item as it is immaterial.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quarter in which this offering occurs due to stock-based compensation expenses of approximately $ million related to RSUs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Our technology research and development expense will increase in the quarter in which this offering occurs due to stock-based compensation expenses of approximately</w:t>
      </w:r>
    </w:p>
    <w:p>
      <w:pPr>
        <w:spacing w:after="0" w:line="3" w:lineRule="exact"/>
        <w:rPr>
          <w:sz w:val="20"/>
          <w:szCs w:val="20"/>
          <w:color w:val="auto"/>
        </w:rPr>
      </w:pPr>
    </w:p>
    <w:p>
      <w:pPr>
        <w:ind w:firstLine="5"/>
        <w:spacing w:after="0" w:line="247" w:lineRule="auto"/>
        <w:tabs>
          <w:tab w:leader="none" w:pos="9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related to RSUs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 stock-based compensation expenses of approximately $ million related to RSUs for which the service-based vesting condition was satisfied and for which the performance-based vesting condition will be satisfied in connection with this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consists primarily of interest from our convertible debt, and capital leases. In 2020, we recorded a loss on extinguishment of debt relating to the conversion of convertible debt into Series G-2 preferred shares. Interest expense related to our convertible debt will continue, but should decrease over time as the principal amount decreases.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Provision for (benefit from) income taxes consists of U.S. federal and state income taxes and income taxes in certain foreign jurisdictions in which we conduct business. We maintain a full valuation allowance on our U.S. federal and state deferred tax assets as we have concluded that it is more likely than not that the deferred tax assets will not be realized. Our effective tax rate is affected by tax rates in foreign jurisdictions and the relative amounts of income we earn in those jurisdictions, as well as non-deductible expenses, such as stock-based compensation, and changes in our valuation allowance.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consists of earnings from our joint venture entered during the third quarter of 2020.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3"/>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4"/>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00" w:type="dxa"/>
            <w:vAlign w:val="bottom"/>
            <w:gridSpan w:val="5"/>
          </w:tcPr>
          <w:p>
            <w:pPr>
              <w:jc w:val="center"/>
              <w:ind w:right="96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27,890</w:t>
            </w:r>
          </w:p>
        </w:tc>
        <w:tc>
          <w:tcPr>
            <w:tcW w:w="9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w w:val="97"/>
              </w:rPr>
              <w:t>$ 151,911</w:t>
            </w:r>
          </w:p>
        </w:tc>
        <w:tc>
          <w:tcPr>
            <w:tcW w:w="3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73,224</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34,167</w:t>
            </w:r>
          </w:p>
        </w:tc>
        <w:tc>
          <w:tcPr>
            <w:tcW w:w="9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36,093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13,928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62,057</w:t>
            </w:r>
          </w:p>
        </w:tc>
        <w:tc>
          <w:tcPr>
            <w:tcW w:w="4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87,152</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39,685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80,416</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6,330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5,028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25,608</w:t>
            </w:r>
          </w:p>
        </w:tc>
        <w:tc>
          <w:tcPr>
            <w:tcW w:w="9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45,861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32,800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31,253</w:t>
            </w:r>
          </w:p>
        </w:tc>
        <w:tc>
          <w:tcPr>
            <w:tcW w:w="9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45,415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32,308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78,962</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144,158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238,558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373,458</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(119,781</w:t>
            </w:r>
          </w:p>
        </w:tc>
        <w:tc>
          <w:tcPr>
            <w:tcW w:w="420" w:type="dxa"/>
            <w:vAlign w:val="bottom"/>
          </w:tcPr>
          <w:p>
            <w:pPr>
              <w:jc w:val="right"/>
              <w:ind w:right="342"/>
              <w:spacing w:after="0"/>
              <w:rPr>
                <w:sz w:val="20"/>
                <w:szCs w:val="20"/>
                <w:color w:val="auto"/>
              </w:rPr>
            </w:pPr>
            <w:r>
              <w:rPr>
                <w:rFonts w:ascii="Times New Roman" w:cs="Times New Roman" w:eastAsia="Times New Roman" w:hAnsi="Times New Roman"/>
                <w:sz w:val="8"/>
                <w:szCs w:val="8"/>
                <w:color w:val="auto"/>
                <w:w w:val="7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(193,454</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(151,406)</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4,860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(18,929)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(5,528)</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(114,951</w:t>
            </w:r>
          </w:p>
        </w:tc>
        <w:tc>
          <w:tcPr>
            <w:tcW w:w="420" w:type="dxa"/>
            <w:vAlign w:val="bottom"/>
          </w:tcPr>
          <w:p>
            <w:pPr>
              <w:jc w:val="right"/>
              <w:ind w:right="342"/>
              <w:spacing w:after="0"/>
              <w:rPr>
                <w:sz w:val="20"/>
                <w:szCs w:val="20"/>
                <w:color w:val="auto"/>
              </w:rPr>
            </w:pPr>
            <w:r>
              <w:rPr>
                <w:rFonts w:ascii="Times New Roman" w:cs="Times New Roman" w:eastAsia="Times New Roman" w:hAnsi="Times New Roman"/>
                <w:sz w:val="8"/>
                <w:szCs w:val="8"/>
                <w:color w:val="auto"/>
                <w:w w:val="7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(211,354</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(155,712)</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(199,757)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2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w w:val="93"/>
              </w:rPr>
              <w:t>(114,951)</w:t>
            </w:r>
          </w:p>
        </w:tc>
        <w:tc>
          <w:tcPr>
            <w:tcW w:w="9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(209,854)</w:t>
            </w:r>
          </w:p>
        </w:tc>
        <w:tc>
          <w:tcPr>
            <w:tcW w:w="30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(155,712)</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20" w:type="dxa"/>
            <w:vAlign w:val="bottom"/>
            <w:vMerge w:val="restart"/>
          </w:tcPr>
          <w:p>
            <w:pPr>
              <w:jc w:val="right"/>
              <w:ind w:right="67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2020 and 2021</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$87.2 million for the nine months ended September 30, 2020 compared to $184.5 million for the nine months ended September 30, 2021, an increase of $97.4 million, or 112%. Adjusted for the impact of COVID-19 PCR testing, revenue increased $41.9 million or 73%, from $57.7 million for the nine months ended September 30, 2020, compared to $99.6 million for the nine months ended September 30, 2021. The increase in revenue was primarily due to increased volume of clinical oncology tests performed in Genomics and increased data deliveries in our Data product 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Genomics, adjusted for the impact of COVID-19 PCR testing, increased $25.8 million, or 59%, from $43.7 million for the nine months ended September 30, 2020, compared to $69.6 million for the nine months ended September 30, 2021. This increase was primarily driven by increases in the number of next generation sequencing tests delivered in oncology, which increased from 31,822 tests for the nine months ended September 30, 2020 to 52,107 tests for the nine months ended September 30, 2021. The increase in revenue was slightly offset by an increase in the contractual allowance of $4.3 million primarily due to the estimated reimbursement rate for tests performed during the second and third quarters of 2021 being computed with the impact of the revised coding instructions received from the Local MAC on March 25, 2021, as well as instructions received in July from communication with the Local MAC. For certain government covered tests, the Local MAC is the only available reimbursement option. Accordingly, we intend to pursue all available appeals with respect to these tests.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Other increased $16.1 million, or 116%, from $13.9 million for the nine months ended September 30, 2020, compared to $30.0 million for the nine months ended September 30, 2021. This increase was primarily driven by increased volume of data deliveries compared to the nine months ended September 30, 2020. Generally, increases in revenue are a result of increases in adoption of our products and services within our existing customer base or adoption by new customers.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Cost of revenues were $85.4 million for the nine months ended September 30, 2020 compared to $137.2 million for the nine months ended September 30, 2021, an increase of $51.8 million, or 61%. Adjusted for the impact of COVID-19 PCR testing, cost of revenue increased $17.8 million or 30.1%, from $59.1 million for the nine months ended September 30, 2020, compared to $76.9 million for the nine months ended September 30, 2021. This increase was primarily due to an increase of $27.0 million of material and service costs, an increase of $11.3 million in service fees related to COVID-19 PCR testing arrangements, and an increase of $5.9 million in personnel, labor and overhead costs.</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Genomics was $80.4 million for the nine months ended September 30, 2020 compared to $129.3 million for the nine months ended September 30, 2021, an increase of $48.9 million, or 61%. This increase was primarily due to an increase of $27.0 million in material and service costs, an increase of $11.3 million in marketing expenses, and a $3.1 million increase in personnel, labor and overhead costs.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Data and Other was $5.0 million for the nine months ended September 30, 2020 compared to $7.9 million for the nine months ended September 30, 2021, an increase of $2.9 million, or 58%. This increase was primarily due to an increase in personnel costs.</w:t>
      </w:r>
    </w:p>
    <w:p>
      <w:pPr>
        <w:spacing w:after="0" w:line="2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$32.3 million for the nine months ended September 30, 2020 compared to $42.5 million for the nine months ended September 30, 2021, an increase of $10.2 million, or 32%. This increase was primarily due to an increase in personnel-related costs for employees in our research and development group, as we increased our spend and headcount to support continued investment in our technology.</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$32.8 million for the nine months ended September 30, 2020 compared to $49.5 million for the nine months ended September 30, 2021, an increase of $16.7 million, or 51%. This increase was entirely the result of an increase in personnel-related costs associated with the investment in our cloud infrastructure and new lines of business.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Selling, general and administrative expenses were $88.0 million for the nine months ended September 30, 2020 compared to $144.2 million for the nine months ended September 30, 2021, an increase of $56.2 million, or 64%. This increase was primarily due to an increase of $18.8 million in personnel-related costs, an increase of $22.0 million related to cloud storage costs, an increase of $6.0 million related to software and tools, an increase of $4.6 million in contingent consideration expense related to the acquisition of AKESOgen, Inc., and an increase of $4.8 million in rent expense and general other administrative expenses as a result of increased office space to accommodate our increased headcount and overall growth.</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income was $1.2 million for the nine months ended September 30, 2020 compared to $0.5 million for the nine months ended September 30, 2021, a decrease of $0.7 million, or 58%. This decrease was primarily due to a significant decrease in interest rates as the U.S. Federal Reserve lowered the risk-free interest rate to nearly zero, which occurred in March 2020.</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expense was $5.5 million for the nine months ended September 30, 2020 compared to $11.4 million for the nine months ended September 30, 2021, an increase of $5.8 million, or 105%. This increase was entirely due to interest expense related to our convertible debt issued in June 2020.</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nine months ended September 30, 2020, other expense decreased by an immaterial amount compared to the nine months ended September 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a loss of $0.5 million for the nine months ended September 30, 2021. There were no earnings or losses from equity method investments for the nine months ended September 30, 2020.</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2019 and 2020</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$62.1 million for the year ended December 31, 2019 compared to $188.0 million for the year ended December 31, 2020, an increase of $125.9 million, or 203%. Adjusted for the impact of COVID-19 PCR testing, revenue increased $36.4 million or 59%, from $62.1 million for the year ended December 31, 2019, compared to $98.5 million for the year ended December 31, 2019. The increase in revenue is due to increased volume of clinical oncology tests performed in Genomics and increased data deliveries in our Data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Genomics, adjusted for the impact of COVID-19 PCR testing, increased $34.5 million, or 124%, from $27.9 million for the year ended December 31, 2019, compared to $62.4 million for the year ended December 31, 2020. This increase was primarily driven by increases in the number of next generation sequencing tests delivered in oncology, which increased from 24,348 tests for the year ended December 31, 2019 to 46,349 tests in the year ended December 31, 2020. The acquisition of AKESOgen, Inc. also contributed $0.7 million of revenue in the year ended December 31, 2019 compared to $11.3 million of revenue in the year ended December 31, 2020.</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Other increased $1.9 million, or 6%, from $34.2 million for the year ended December 31, 2019, compared to $36.1 million for the year ended December 31, 2020. Our Data and Other product line was negatively impacted by the effects of COVID-19 due to fewer customer interactions caused by office interruptions and clinical trial recruitments being delayed. Generally, increases in revenue are a result of increases in adoption of our products and services within our existing customer base or adoption by new customers.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$46.0 million for the year ended December 31, 2019 compared to $159.3 million for the year ended December 31, 2020, an increase of $113.3 million, or 246%. Adjusted for the impact of COVID-19 PCR testing, cost of revenue increased $36.8 million or 80%, from $46.0 million for the year ended December 31, 2019, compared to $82.8 million for the year ended December 31, 2020. This increase was primarily due to an increase of $19.7 million of material and service costs and $12.6 million in personnel, labor and overhead costs.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Genomics was $39.7 million for the year ended December 31, 2019 compared to $75.7 million for the year ended December 31, 2020, an increase of $36.0 million, or 91%. This increase was primarily due to an increase of $19.7 million in material and service costs, a $10.6 million increase in production labor and overhead costs, a $3.8 million increase in depreciation expense, and a $1.7 million increase in other costs including costs related to kits and freight.</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Data and Other was $6.3 million for the year ended December 31, 2019 compared to $7.1 million for the year ended December 31, 2020, an increase of $0.8 million, or 12%. This increase was primarily due to an increase in personnel costs.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were $31.3 million for the year ended December 31, 2019 compared to $45.4 million for the year ended December 31, 2020, an increase of $14.2 million, or 45%. This increase was primarily due to an $8.5 million increase in personnel-related costs for employees in our research and development group, as we increased our spend and headcount to support continued investment in our technology and an increase of $5.5 million in validation and regulatory-related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$25.6 million for the year ended December 31, 2019 compared to $45.9 million for the year ended December 31, 2020, an increase of $20.3 million, or 79%. This increase was entirely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Selling, general and administrative expenses were $79.0 million for the year ended December 31, 2019 compared to $130.9 million for the year ended December 31, 2020, an increase of $51.9 million, or 66%. This increase was primarily due to an increase of $28.5 million in personnel-related costs, inclusive of $6.0 million of software licenses, as a result of an increase in our headcount, an increase of $11.4 million related to cloud storage costs, an increase of $6.9 million in contingent consideration expense related to the acquisition of AKESOgen, Inc., an increase of $2.9 million in rent expense as a result of increased office space to accommodate our increased headcount, and an increase of $1.5 million professional service expenses related to outside legal, accounting, and consulting.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income was $4.9 million for the year ended December 31, 2019 compared to $1.5 million for the year ended December 31, 2020, a decrease of $3.4 million, or 69%. This decrease was primarily due to a significant decrease in interest rate as the U.S. Federal Reserve lowered the risk-free interest rate to nearly zero.</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immaterial for the year ended December 31, 2019 compared to $18.9 million for the year ended December 31, 2020, an increase of $18.9 million, or 100%. This increase was primarily due to $10.0 million of interest expense related to our convertible debt issued in June 2020, and $8.9 million of loss on extinguishment of $80 million of our promissory note which was converted in November 2020.</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2020, other income (expense), net included bad debt expense of $0.5 million related to customer accounts receivable which were deemed uncollectible. There was no similar charge or gain for the year ended December 31, 2019.</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2019 there were no equity method investments, we entered into a joint venture in September 2020, which had earnings of $1.5 million for the year ended December 31, 2020.</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December 31, 2020 and September 30, 2021, we had an accumulated deficit of $513.0 million and $739.3 million, respectively. We expect to incur additional operating losses in the near future and our operating expenses will increase as we continue to invest in clinical trials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and sales of our products. As of December 31, 2020 and September 30, 2021, we had cash, cash equivalents and restricted cash of $514.2 million and $345.7 million, respectively.</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and anticipated cash flows from operations will be sufficient to meet our anticipated cash requirements for more than twelve months from the date of this prospectus.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including because of lower demand for our products as a result of lower than currently expected rates of reimbursement from our customers or other risks described elsewhere in this prospectus, we may seek to sell additional common or preferred equity or convertible debt securities, enter into a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Amount, except that we may, at our option, prepay the Outstanding Amount in an amount such that the principal amount remaining outstanding after such repayment is $150.0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38"/>
        </w:trPr>
        <w:tc>
          <w:tcPr>
            <w:tcW w:w="660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ind w:right="400"/>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top w:val="single" w:sz="8" w:color="auto"/>
              <w:bottom w:val="single" w:sz="8" w:color="auto"/>
            </w:tcBorders>
          </w:tcPr>
          <w:p>
            <w:pPr>
              <w:jc w:val="right"/>
              <w:ind w:right="137"/>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00"/>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7"/>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r>
      <w:tr>
        <w:trPr>
          <w:trHeight w:val="138"/>
        </w:trPr>
        <w:tc>
          <w:tcPr>
            <w:tcW w:w="6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20" w:type="dxa"/>
            <w:vAlign w:val="bottom"/>
            <w:gridSpan w:val="2"/>
          </w:tcPr>
          <w:p>
            <w:pPr>
              <w:jc w:val="right"/>
              <w:ind w:right="66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$(117,111)</w:t>
            </w:r>
          </w:p>
        </w:tc>
        <w:tc>
          <w:tcPr>
            <w:tcW w:w="13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$(206,562)</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(161,572)</w:t>
            </w:r>
          </w:p>
        </w:tc>
        <w:tc>
          <w:tcPr>
            <w:tcW w:w="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(148,229)</w:t>
            </w: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(43,029)</w:t>
            </w:r>
          </w:p>
        </w:tc>
        <w:tc>
          <w:tcPr>
            <w:tcW w:w="13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(13,416)</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(11,461)</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(19,402)</w:t>
            </w: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196,692</w:t>
            </w:r>
          </w:p>
        </w:tc>
        <w:tc>
          <w:tcPr>
            <w:tcW w:w="13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506,107</w:t>
            </w:r>
          </w:p>
        </w:tc>
        <w:tc>
          <w:tcPr>
            <w:tcW w:w="11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410,423</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(885)</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2020 was $161.6 million, which resulted from a net loss of $155.7 million, a net change in our operating assets and liabilities of $23.9 million, and non-cash charges of $18.1 million. Non-cash charges primarily consisted of $17.0 million of depreciation and amortization. The net change in our operating assets and liabilities was primarily the result of a $20.4 million increase in accounts receivable due to increased volume of clinical oncology tests performed in Genomics and increased data deliveries in our Data product line, a $24.3 million increase in inventory as a result of building supplies for COVID kit tests, a $14.5 million increase in investments and other assets, and a $4.2 million increase in accrued data licensing fees, $13.1 million of which is the result of extending the term of licensed data intangible.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2021 was $148.2 million, which resulted from a net loss of $200.2 million, a net change in our operating assets and liabilities of $32.4 million, and non-cash charges of $19.6 million. Non-cash charges primarily consisted of $18.2 million of depreciation and amortization. The net change in our operating assets and liabilities was primarily the result of a $12.9 million decrease in accounts receivable as a result of Data and other customer payments related to the revenue recognized in the fourth quarter of 2020, $15.6 million decrease in inventory as a result of reducing supplies for COVID kit tests.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2019 was $117.1 million, which resulted from a net loss of $115.0 million and net change in our operating assets and liabilities of $17.9 million, offset by non-cash charges of $15.8 million. Non-cash charges primarily consisted of $15.0 million of depreciation and amortization. The net change in our operating assets and liabilities was primarily the result of a $13.4 million increase in accounts receivable primarily as a result of Data and other revenue.</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2020 was $206.6 million, which resulted from a net loss of $209.9 million and net change in our operating assets and liabilities of $28.6 million, offset by non-cash charges of $31.9 million. Non-cash charges primarily consisted of $23.1 million of depreciation and amortization and a $8.9 million relating to loss on extinguishment of convertible promissory notes. The net change in our operating assets and liabilities was primarily the result of a $55.8 million increase in accounts receivable primarily as a result of Genomics revenue, specifically COVID-19 sample testing, $29.3 million increase in inventory as a result of supplies for COVID kit tests.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2020 was $11.5 million, which resulted entirely from purchases of property and equipment.</w:t>
      </w:r>
    </w:p>
    <w:p>
      <w:pPr>
        <w:spacing w:after="0" w:line="17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Cash used in investing activities during the nine months ended September 30, 2021 was $19.4 million, which resulted from investments in non-marketable security of $6.0 million, the release of escrow related to the AKESOgen purchase of $4.0 million, and purchases of property and equipment of $9.4 million.</w:t>
      </w:r>
    </w:p>
    <w:p>
      <w:pPr>
        <w:spacing w:after="0" w:line="12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2019 was $43.0 million, which resulted primarily from the business combination of AKESOgen, Inc. of $26.0 million and purchases of property and equipment of $17.0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2020 was $13.4 million, which resulted entirely from purchases of property and equipment.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2020 was $410.4 million which was primarily due to net proceeds of $94.1 million from the issuance of convertible preferred stock and net proceeds of $330.0 million from the issuance of a convertible promissory note.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2021 was $0.9 million which was primarily due to net proceeds of $8.9 million from the issuance of convertible preferred stock offset by dividends of $5.6 million and payment of contingent consideration of $3.4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2019 was $196.7 million which was primarily due to proceeds of $192.7 million from the issuance of convertible preferred stock and net proceeds of $10.2 million from the issuance of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2020 was $506.1 million which was primarily due to net proceeds of $189.9 million from the issuance of convertible preferred stock and net proceeds of $330.0 million from the issuance of a convertible promissory note.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8"/>
        </w:trPr>
        <w:tc>
          <w:tcPr>
            <w:tcW w:w="3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Borders>
              <w:bottom w:val="single" w:sz="8" w:color="auto"/>
            </w:tcBorders>
          </w:tcPr>
          <w:p>
            <w:pPr>
              <w:jc w:val="right"/>
              <w:ind w:right="390"/>
              <w:spacing w:after="0" w:line="138" w:lineRule="exact"/>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Borders>
              <w:bottom w:val="single" w:sz="8" w:color="auto"/>
            </w:tcBorders>
            <w:gridSpan w:val="2"/>
          </w:tcPr>
          <w:p>
            <w:pPr>
              <w:ind w:left="280"/>
              <w:spacing w:after="0" w:line="138"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1560" w:type="dxa"/>
            <w:vAlign w:val="bottom"/>
            <w:tcBorders>
              <w:bottom w:val="single" w:sz="8" w:color="auto"/>
            </w:tcBorders>
          </w:tcPr>
          <w:p>
            <w:pPr>
              <w:jc w:val="right"/>
              <w:ind w:right="460"/>
              <w:spacing w:after="0" w:line="138"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980" w:type="dxa"/>
            <w:vAlign w:val="bottom"/>
            <w:tcBorders>
              <w:bottom w:val="single" w:sz="8" w:color="auto"/>
            </w:tcBorders>
          </w:tcPr>
          <w:p>
            <w:pPr>
              <w:jc w:val="right"/>
              <w:ind w:right="276"/>
              <w:spacing w:after="0" w:line="138"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360" w:type="dxa"/>
            <w:vAlign w:val="bottom"/>
            <w:tcBorders>
              <w:bottom w:val="single" w:sz="8" w:color="auto"/>
            </w:tcBorders>
            <w:gridSpan w:val="2"/>
          </w:tcPr>
          <w:p>
            <w:pPr>
              <w:ind w:left="260"/>
              <w:spacing w:after="0" w:line="138" w:lineRule="exact"/>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40" w:type="dxa"/>
            <w:vAlign w:val="bottom"/>
          </w:tcPr>
          <w:p>
            <w:pPr>
              <w:spacing w:after="0"/>
              <w:rPr>
                <w:sz w:val="11"/>
                <w:szCs w:val="11"/>
                <w:color w:val="auto"/>
              </w:rPr>
            </w:pPr>
          </w:p>
        </w:tc>
      </w:tr>
      <w:tr>
        <w:trPr>
          <w:trHeight w:val="138"/>
        </w:trPr>
        <w:tc>
          <w:tcPr>
            <w:tcW w:w="3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60" w:type="dxa"/>
            <w:vAlign w:val="bottom"/>
          </w:tcPr>
          <w:p>
            <w:pPr>
              <w:jc w:val="right"/>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$ 49,262</w:t>
            </w: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6,260</w:t>
            </w:r>
          </w:p>
        </w:tc>
        <w:tc>
          <w:tcPr>
            <w:tcW w:w="15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$13,314</w:t>
            </w:r>
          </w:p>
        </w:tc>
        <w:tc>
          <w:tcPr>
            <w:tcW w:w="9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$ 13,184</w:t>
            </w:r>
          </w:p>
        </w:tc>
        <w:tc>
          <w:tcPr>
            <w:tcW w:w="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16,504</w:t>
            </w: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134,417</w:t>
            </w:r>
          </w:p>
        </w:tc>
        <w:tc>
          <w:tcPr>
            <w:tcW w:w="5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37,750</w:t>
            </w: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40,167</w:t>
            </w:r>
          </w:p>
        </w:tc>
        <w:tc>
          <w:tcPr>
            <w:tcW w:w="9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50,000</w:t>
            </w:r>
          </w:p>
        </w:tc>
        <w:tc>
          <w:tcPr>
            <w:tcW w:w="6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257,987</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257,987</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441,666</w:t>
            </w:r>
          </w:p>
        </w:tc>
        <w:tc>
          <w:tcPr>
            <w:tcW w:w="5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44,010</w:t>
            </w: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53,481</w:t>
            </w:r>
          </w:p>
        </w:tc>
        <w:tc>
          <w:tcPr>
            <w:tcW w:w="9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321,171</w:t>
            </w:r>
          </w:p>
        </w:tc>
        <w:tc>
          <w:tcPr>
            <w:tcW w:w="6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ind w:left="460" w:hanging="455"/>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$7,987 of interest payable.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September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8"/>
        </w:trPr>
        <w:tc>
          <w:tcPr>
            <w:tcW w:w="3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40" w:type="dxa"/>
            <w:vAlign w:val="bottom"/>
            <w:tcBorders>
              <w:bottom w:val="single" w:sz="8" w:color="auto"/>
            </w:tcBorders>
          </w:tcPr>
          <w:p>
            <w:pPr>
              <w:jc w:val="right"/>
              <w:ind w:right="390"/>
              <w:spacing w:after="0" w:line="138" w:lineRule="exact"/>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Borders>
              <w:bottom w:val="single" w:sz="8" w:color="auto"/>
            </w:tcBorders>
            <w:gridSpan w:val="2"/>
          </w:tcPr>
          <w:p>
            <w:pPr>
              <w:ind w:left="280"/>
              <w:spacing w:after="0" w:line="138"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1560" w:type="dxa"/>
            <w:vAlign w:val="bottom"/>
            <w:tcBorders>
              <w:bottom w:val="single" w:sz="8" w:color="auto"/>
            </w:tcBorders>
          </w:tcPr>
          <w:p>
            <w:pPr>
              <w:jc w:val="right"/>
              <w:ind w:right="460"/>
              <w:spacing w:after="0" w:line="138"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980" w:type="dxa"/>
            <w:vAlign w:val="bottom"/>
            <w:tcBorders>
              <w:bottom w:val="single" w:sz="8" w:color="auto"/>
            </w:tcBorders>
          </w:tcPr>
          <w:p>
            <w:pPr>
              <w:jc w:val="right"/>
              <w:ind w:right="276"/>
              <w:spacing w:after="0" w:line="138"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360" w:type="dxa"/>
            <w:vAlign w:val="bottom"/>
            <w:tcBorders>
              <w:bottom w:val="single" w:sz="8" w:color="auto"/>
            </w:tcBorders>
            <w:gridSpan w:val="2"/>
          </w:tcPr>
          <w:p>
            <w:pPr>
              <w:ind w:left="260"/>
              <w:spacing w:after="0" w:line="138" w:lineRule="exact"/>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40" w:type="dxa"/>
            <w:vAlign w:val="bottom"/>
          </w:tcPr>
          <w:p>
            <w:pPr>
              <w:spacing w:after="0"/>
              <w:rPr>
                <w:sz w:val="11"/>
                <w:szCs w:val="11"/>
                <w:color w:val="auto"/>
              </w:rPr>
            </w:pPr>
          </w:p>
        </w:tc>
      </w:tr>
      <w:tr>
        <w:trPr>
          <w:trHeight w:val="138"/>
        </w:trPr>
        <w:tc>
          <w:tcPr>
            <w:tcW w:w="3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60" w:type="dxa"/>
            <w:vAlign w:val="bottom"/>
          </w:tcPr>
          <w:p>
            <w:pPr>
              <w:jc w:val="right"/>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$ 44,650</w:t>
            </w: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6,489</w:t>
            </w:r>
          </w:p>
        </w:tc>
        <w:tc>
          <w:tcPr>
            <w:tcW w:w="15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$13,770</w:t>
            </w:r>
          </w:p>
        </w:tc>
        <w:tc>
          <w:tcPr>
            <w:tcW w:w="9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$ 11,502</w:t>
            </w:r>
          </w:p>
        </w:tc>
        <w:tc>
          <w:tcPr>
            <w:tcW w:w="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12,889</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160,081</w:t>
            </w:r>
          </w:p>
        </w:tc>
        <w:tc>
          <w:tcPr>
            <w:tcW w:w="5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30,013</w:t>
            </w: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52,960</w:t>
            </w:r>
          </w:p>
        </w:tc>
        <w:tc>
          <w:tcPr>
            <w:tcW w:w="9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58,461</w:t>
            </w:r>
          </w:p>
        </w:tc>
        <w:tc>
          <w:tcPr>
            <w:tcW w:w="6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18,647</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262,694</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262,694</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467,425</w:t>
            </w:r>
          </w:p>
        </w:tc>
        <w:tc>
          <w:tcPr>
            <w:tcW w:w="5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36,502</w:t>
            </w: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66,730</w:t>
            </w:r>
          </w:p>
        </w:tc>
        <w:tc>
          <w:tcPr>
            <w:tcW w:w="9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332,657</w:t>
            </w:r>
          </w:p>
        </w:tc>
        <w:tc>
          <w:tcPr>
            <w:tcW w:w="6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ind w:left="460" w:hanging="455"/>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$19,274 of interest payable.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Other revenue from the commercialization of data generated in the lab through the licensing of de-identified datasets to third parties and from matching patients to clinical trials enrolled in its clinical trial network. The majority of our revenue is generated in North America.</w:t>
      </w:r>
    </w:p>
    <w:p>
      <w:pPr>
        <w:spacing w:after="0" w:line="17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 condition exists to be vested, which will be satisfied upon achievement of a specific market condition, which could result in recognition of stock-based compensation expense upon the consummation of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and a probability-weighted expected return method, or PWERM, which involves the estimation of multiple future potential outcomes for us, and estimates of the probability of each potential outcome. The per share value of our common stock determined using the PWERM approach is ultimately based upon probability-weighted per share values resulting from the various future scenarios, which include an initial public offering, merger or sale or continued operation as a private company.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we expect to incur approximately $ million of stock-based compensation expense related to RSUs for which the service-based vesting condition was satisfied and for which the performance-based vesting condition will be satisfied in connection with this offering.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December 31, 2020, we had cash, cash equivalents and restricted cash of $514.2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December 31, 2020,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2020, the effect of a hypothetical 10% change in foreign currency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audited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endeavor to unlock the true power of precision medicine by creating Intelligent Diagnostics through the practical application of artificial intelligence, or AI, in healthcare. Intelligent Diagnostics use AI to make laboratory tests more accurate, tailored, and personal. Unlike traditional laboratory tests, an Intelligent Diagnostic contextualizes the laboratory test result to a specific patient, by incorporating an individual’s longitudinal clinical data into the result. We believe Intelligent Diagnostics represents an emerging industry that we are pioneering. To accomplish this, we built both a technology platform to free healthcare data from silos and an operating system to make this data useful. We refer to the combination of those as the Tempus Platform. Our investment in this technology has allowed us to amass what we consider to be one of the largest libraries of oncology focused clinical and molecular data in the world. Our goal is to embed AI throughout every aspect of diagnostics to enable physicians and researchers to make data-driven decisions that improve patient care. We started in oncology in 2016 and have expanded into neuropsychology, infectious diseases, and cardiology, with aspirations to eventually be in all major disease areas.</w:t>
      </w:r>
    </w:p>
    <w:p>
      <w:pPr>
        <w:spacing w:after="0" w:line="16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make tests intelligent by connecting laboratory results to a patient’s own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advance personalized medicine. Unlike traditional diagnostic labs, we can incorporate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therapeutics. We believe their adoption could empower physicians to deliver better care and researchers to develop more precise therapies, with the potential to save millions of lives.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Tempus has built this integrated Platform, and we are now deploying it at scale in oncology in the United States.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 We endeavor to help doctors find the best therapies for their patients, help life sciences companies make the best drugs possible, and enable patients to access emerging therapies and clinical trials when appropriate.</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approximately 234 unique data connections, many of which supply us with complex multimodal data in near real time, across approximately 1,034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addition to the data we receive in these capacities, we currently have a limited number of paid license agreements through which we acquire de-identified data directly from healthcare associations or institutions. We integrate this data into a unified software Platform through which we offer numerous analytical and decision support capabilities to our customers. We establish dedicated and integrated data connections with healthcare institutions to enhance the information we provide in our clinical reports, and to increase the effectiveness of our clinical trial matching services. In certain circumstances, we may cover the actual direct costs associated with the technical integrations needed to create a data connection.</w:t>
      </w:r>
    </w:p>
    <w:p>
      <w:pPr>
        <w:spacing w:after="0" w:line="187"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Algos</w:t>
      </w:r>
      <w:r>
        <w:rPr>
          <w:rFonts w:ascii="Times New Roman" w:cs="Times New Roman" w:eastAsia="Times New Roman" w:hAnsi="Times New Roman"/>
          <w:sz w:val="16"/>
          <w:szCs w:val="16"/>
          <w:color w:val="auto"/>
        </w:rPr>
        <w:t>.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131445</wp:posOffset>
            </wp:positionV>
            <wp:extent cx="7002780" cy="28676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0278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Genomics</w:t>
      </w:r>
      <w:r>
        <w:rPr>
          <w:rFonts w:ascii="Times New Roman" w:cs="Times New Roman" w:eastAsia="Times New Roman" w:hAnsi="Times New Roman"/>
          <w:sz w:val="18"/>
          <w:szCs w:val="18"/>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Insights and Therapies. Through our Insights product, we license de-identified libraries of linked clinical, molecular, and imaging data and provide a suite of analytic and cloud-and-compute tools to pharmaceutical and biotechnology companies. Our second product within our Data product line, </w:t>
      </w:r>
      <w:r>
        <w:rPr>
          <w:rFonts w:ascii="Times New Roman" w:cs="Times New Roman" w:eastAsia="Times New Roman" w:hAnsi="Times New Roman"/>
          <w:sz w:val="18"/>
          <w:szCs w:val="18"/>
          <w:i w:val="1"/>
          <w:iCs w:val="1"/>
          <w:color w:val="auto"/>
        </w:rPr>
        <w:t>Therapies</w:t>
      </w:r>
      <w:r>
        <w:rPr>
          <w:rFonts w:ascii="Times New Roman" w:cs="Times New Roman" w:eastAsia="Times New Roman" w:hAnsi="Times New Roman"/>
          <w:sz w:val="18"/>
          <w:szCs w:val="18"/>
          <w:color w:val="auto"/>
        </w:rPr>
        <w:t xml:space="preserve">, leverages our broad network of oncologists to provide clinical trial matching services for pharmaceutical companies that are looking to reach hard-to-find and underserved patient populations. Our newest product line,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xml:space="preserve"> is focused on developing and providing diagnostics that are algorithmic in nature. We currently offer two Algos in oncology and are also developing Algos in other disease areas.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ability to leverage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5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147955</wp:posOffset>
            </wp:positionV>
            <wp:extent cx="7002780" cy="44018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5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and technology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4183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02780" cy="441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infectious disease, and cardiology. Below is a timeline of our Platform’s evolution, both within oncology and into different disease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Platform comprises multiple elements that work together to grow our database, generate Intelligent Diagnostics, and integrate the data we collect into clinical practice so that physicians and researchers can make data-driven decisions. Our technology stack allows us to ingest large amounts of multimodal healthcare data, which we then structure and harmonize into a common database that powers a variety of healthcare applications. Our scaled, interconnected provider network covers approximately 40%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provide us a significant advantage. The following diagram represents the different elements of our Platform.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4018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and generate healthcare data at scale through multiple methods into our Platform, including molecular, clinical, and imaging data. Between our sequencing and data collection efforts, we are connected in some way to more than 40% of all oncologists practicing in the United States, along with a growing number of patients in neuropsychology,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Ingesting data through our relationships and partnerships with healthcare providers. </w:t>
      </w:r>
      <w:r>
        <w:rPr>
          <w:rFonts w:ascii="Times New Roman" w:cs="Times New Roman" w:eastAsia="Times New Roman" w:hAnsi="Times New Roman"/>
          <w:sz w:val="16"/>
          <w:szCs w:val="16"/>
          <w:color w:val="auto"/>
        </w:rPr>
        <w:t>We have developed proprietary tools to establish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approximately 234 direct data connections, many of which are bi-directional. We have established relationships with hundreds of provider networks, including approximately half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contribute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374" w:lineRule="exact"/>
        <w:rPr>
          <w:sz w:val="20"/>
          <w:szCs w:val="20"/>
          <w:color w:val="auto"/>
        </w:rPr>
      </w:pPr>
    </w:p>
    <w:p>
      <w:pPr>
        <w:jc w:val="both"/>
        <w:ind w:left="460" w:firstLine="435"/>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460"/>
        <w:spacing w:after="0" w:line="283" w:lineRule="auto"/>
        <w:rPr>
          <w:sz w:val="20"/>
          <w:szCs w:val="20"/>
          <w:color w:val="auto"/>
        </w:rPr>
      </w:pPr>
      <w:r>
        <w:rPr>
          <w:rFonts w:ascii="Times New Roman" w:cs="Times New Roman" w:eastAsia="Times New Roman" w:hAnsi="Times New Roman"/>
          <w:sz w:val="16"/>
          <w:szCs w:val="16"/>
          <w:color w:val="auto"/>
        </w:rPr>
        <w:t>and distribute the oncology data ASCO collects as part of CancerLinq, which is their oncology data effort. We work with other large associations such as Quality Cancer Care Alliance, or QCCA, and National Cancer Care Alliance, or NCCA, and have agreements in place with large integrated community practices. While our relationships in oncology are widespread, we are making inroads in other disease areas. For example, we hold a perpetual, royalty-bearing license from Geisinger to build algorithmic models and commercialize a de-identified dataset of approximately 3.2 million ECGs, across approximately 600,000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w:t>
      </w:r>
    </w:p>
    <w:p>
      <w:pPr>
        <w:spacing w:after="0" w:line="160" w:lineRule="exact"/>
        <w:rPr>
          <w:sz w:val="20"/>
          <w:szCs w:val="20"/>
          <w:color w:val="auto"/>
        </w:rPr>
      </w:pPr>
    </w:p>
    <w:p>
      <w:pPr>
        <w:jc w:val="both"/>
        <w:ind w:left="460" w:firstLine="43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two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and Atlanta. We intend to expand these capabilities with a new genomics lab in Raleigh that we plan to operationalize by the end of 2021.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89"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018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Once data is ingested, we apply AI and other technologies to organize millions of records into a common format that spans a variety of data types. For example, we organize clinical data from unstructured documents and structured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provided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Multimodal Database</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an oncology database that is approximately fourteen times the size of The Cancer Genome Atlas, which we believe to be the largest public genomic dataset in oncology, based on the number of data points collected (and approximately 14 times the size based on petabytes of data). This represents what we consider to be one of the largest matched molecular libraries of cancer patients in the world. Our Platform, across all diseases, has ingested more than 300 million documents and contains more than 4.7 million patient records, including more than 950,000 with imaging data, more than 470,000 with matched clinical records linked with genomic information, and approximately 80,000 with full transcriptomic profiles. The breadth of our database, the quality and diversity of its data, as well as its regularly updating nature, allow us to offer a variety of AI-enabled solutions to the market. We also retain the rights to broadly commercialize the de-identified data we collect. As our database continues to grow from its current size of approximately 42.5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268605</wp:posOffset>
            </wp:positionV>
            <wp:extent cx="7002780" cy="37598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02780" cy="375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40"/>
          </w:cols>
          <w:pgMar w:left="320" w:top="44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September 30, 2021,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33261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0278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 We describe below some of the core software applications that form part of our Platform.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launched in May 2021. Lens is aligned with Insights, one of our products within Data, and allows users to identify, license, and ultimately analyze cohorts of data for research purposes. We typically enable our customers to access our software applications free of charge. However, in some cases we may charge for access to Lens when a customer is interested in some form of customization or Lens’ enhanced features.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TCR and BCR profiles, immune infiltrates and neoantigens. Finally, Time on Therapy provides physicians a view into the Tempus Precision Medicine Library, which includes the treatment paths of thousands of patients who display similar molecular or phenotypic profiles to their own patients. These tools enable new patients to potentially benefit from the experience of those that came before.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37350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40"/>
          </w:cols>
          <w:pgMar w:left="320" w:top="448"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137</w:t>
      </w:r>
    </w:p>
    <w:p>
      <w:pPr>
        <w:sectPr>
          <w:pgSz w:w="11900" w:h="16838" w:orient="portrait"/>
          <w:cols w:equalWidth="0" w:num="1">
            <w:col w:w="10139"/>
          </w:cols>
          <w:pgMar w:left="320" w:top="448" w:right="1440"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139"/>
          </w:cols>
          <w:pgMar w:left="320" w:top="448"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350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Lens is our software application for life sciences research. We designed Lens to expose our multimodal, de-identified dataset to two main constituencies: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clinicians interested in exploring data related both to their own patients and to similarly situated patients from the broader Tempus dataset, and</w:t>
      </w:r>
    </w:p>
    <w:p>
      <w:pPr>
        <w:spacing w:after="0" w:line="3" w:lineRule="exact"/>
        <w:rPr>
          <w:sz w:val="20"/>
          <w:szCs w:val="20"/>
          <w:color w:val="auto"/>
        </w:rPr>
      </w:pPr>
    </w:p>
    <w:p>
      <w:pPr>
        <w:ind w:firstLine="5"/>
        <w:spacing w:after="0" w:line="247" w:lineRule="auto"/>
        <w:tabs>
          <w:tab w:leader="none" w:pos="2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clients that are focused on drug discovery and development and want to explore our dataset and/or supplement their own analytics with our tools and data.</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first constituency,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178435</wp:posOffset>
            </wp:positionV>
            <wp:extent cx="7002780" cy="76193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ectPr>
          <w:pgSz w:w="11900" w:h="16838" w:orient="portrait"/>
          <w:cols w:equalWidth="0" w:num="1">
            <w:col w:w="10600"/>
          </w:cols>
          <w:pgMar w:left="320" w:top="448"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600"/>
          </w:cols>
          <w:pgMar w:left="320" w:top="448" w:right="97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ectPr>
          <w:pgSz w:w="11900" w:h="16838" w:orient="portrait"/>
          <w:cols w:equalWidth="0" w:num="1">
            <w:col w:w="11340"/>
          </w:cols>
          <w:pgMar w:left="320" w:top="448" w:right="239" w:bottom="1107"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1340"/>
          </w:cols>
          <w:pgMar w:left="320" w:top="448" w:right="239" w:bottom="1107"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also have developed a mobile application in the infectious disease space that we use to deliver COVID-19 test results directly to patients. The application allows patients to connect to Tempus and contribute their data in an effort to combine clinical and molecular data for COVID-19 patients. To date, we have more than 17,000 users who have agreed to contribute data to Tempus to advance research and other valuable use cases.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Google Cloud Agreement</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we signed an agreement with Google to migrate most of our cloud-based infrastructure to the Google Cloud Platform, or GCP. The Agreement with Google has two components: (1) a Master Agreement through which Google provides us with cloud services, as well as other products and services, for a multi-year period during which we committed to make escalating minimum payments with certain termination rights, along with contractual penalties for early termination and (2) a Convertible Note, the balance of which is reduced based on the amount we spend on Google cloud services. We believe our strategic arrangement with Google offers Tempus a distinct competitive advantage because we believe it provides us with attractive cloud and computing rates, along with resources and teams at Google that are aligned to advancing elements of our product roadmap.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products are organized under three product lines, with each product line designed to enable and enhance the others, thereby creating network effects in the markets in which we operate. Our Genomics product line provides a broad arrange of diagnostic testing services to healthcare providers. Our Data product line monetizes de-identified data that we collect and facilitates enrollment in clinical trials. Our Algos product line leverages our database to provide diagnostics entirely driven by data.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145415</wp:posOffset>
            </wp:positionV>
            <wp:extent cx="7002780" cy="44932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02780" cy="449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40"/>
          </w:cols>
          <w:pgMar w:left="320" w:top="448"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Algos product lines. As we run more tests through our laboratories, and as those tests are linked to patient records and clinical outcomes, we grow our data assets and leverage them across our other product lines. We operate two laboratories that provide NGS diagnostics, PCR profiling, and other anatomic and molecular pathology tests, and we expect to operationalize a third laboratory by the end of 2021.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clinical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7599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02780" cy="475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across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which, if validated, we expect to launch commercially by the middle of 2022.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 Submitted pre-market approval, or PMA, to the FDA in March 2021 for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variation (xT-Onco) based in substantial part on a recent version of the xT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assay</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144</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Tempus|xE</w:t>
            </w:r>
          </w:p>
        </w:tc>
        <w:tc>
          <w:tcPr>
            <w:tcW w:w="2500" w:type="dxa"/>
            <w:vAlign w:val="bottom"/>
            <w:gridSpan w:val="2"/>
            <w:shd w:val="clear" w:color="auto" w:fill="CCEEFF"/>
          </w:tcPr>
          <w:p>
            <w:pPr>
              <w:jc w:val="right"/>
              <w:ind w:right="340"/>
              <w:spacing w:after="0" w:line="185" w:lineRule="exact"/>
              <w:rPr>
                <w:sz w:val="20"/>
                <w:szCs w:val="20"/>
                <w:color w:val="auto"/>
              </w:rPr>
            </w:pPr>
            <w:r>
              <w:rPr>
                <w:rFonts w:ascii="Times New Roman" w:cs="Times New Roman" w:eastAsia="Times New Roman" w:hAnsi="Times New Roman"/>
                <w:sz w:val="18"/>
                <w:szCs w:val="18"/>
                <w:color w:val="auto"/>
              </w:rPr>
              <w:t>2018</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85"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 Run at 500x coverage for approximately 650 of the most significant onco-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driving mutations and 250x depth of coverage for more than 19,000 genes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panel</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   Currently validating an updated version of assay which covers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525 genes, including bTMB, MSI, additional fusions and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200"/>
        <w:spacing w:after="0" w:line="435" w:lineRule="auto"/>
        <w:rPr>
          <w:sz w:val="20"/>
          <w:szCs w:val="20"/>
          <w:color w:val="auto"/>
        </w:rPr>
      </w:pPr>
      <w:r>
        <w:rPr>
          <w:rFonts w:ascii="Times New Roman" w:cs="Times New Roman" w:eastAsia="Times New Roman" w:hAnsi="Times New Roman"/>
          <w:sz w:val="18"/>
          <w:szCs w:val="18"/>
          <w:color w:val="auto"/>
        </w:rPr>
        <w:t>We are also currently developing xM, a low pass whole genome + methylation for monitoring for cancer recurrence and minimal residual disease. 145</w:t>
      </w:r>
    </w:p>
    <w:p>
      <w:pPr>
        <w:sectPr>
          <w:pgSz w:w="11900" w:h="16838" w:orient="portrait"/>
          <w:cols w:equalWidth="0" w:num="1">
            <w:col w:w="11340"/>
          </w:cols>
          <w:pgMar w:left="320" w:top="44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2512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02780" cy="325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104,000 in 2020, and approximately 112,408 in the first nine months of 2021.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0347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02780" cy="403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Neuropsychology Tests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Neuropsychology Test</w:t>
            </w:r>
          </w:p>
        </w:tc>
        <w:tc>
          <w:tcPr>
            <w:tcW w:w="19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Tempus|nP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r>
      <w:tr>
        <w:trPr>
          <w:trHeight w:val="228"/>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r>
      <w:tr>
        <w:trPr>
          <w:trHeight w:val="328"/>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97"/>
              </w:rPr>
              <w:t>   Covers 13 validated genes and approximately 90 variants (e.g., CYP2D6)</w:t>
            </w:r>
          </w:p>
        </w:tc>
      </w:tr>
      <w:tr>
        <w:trPr>
          <w:trHeight w:val="310"/>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 Run off whole exome platform at 50x depth of coverage, with an average depth of</w:t>
            </w:r>
          </w:p>
        </w:tc>
      </w:tr>
      <w:tr>
        <w:trPr>
          <w:trHeight w:val="228"/>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coverage of approximately 1050x for clinically reported variants</w:t>
            </w:r>
          </w:p>
        </w:tc>
      </w:tr>
      <w:tr>
        <w:trPr>
          <w:trHeight w:val="310"/>
        </w:trPr>
        <w:tc>
          <w:tcPr>
            <w:tcW w:w="2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w:t>
            </w:r>
          </w:p>
        </w:tc>
      </w:tr>
      <w:tr>
        <w:trPr>
          <w:trHeight w:val="210"/>
        </w:trPr>
        <w:tc>
          <w:tcPr>
            <w:tcW w:w="2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spectrometry to analyze approximately 90 pharmacogenetic variants and cover the exonic</w:t>
            </w:r>
          </w:p>
        </w:tc>
      </w:tr>
      <w:tr>
        <w:trPr>
          <w:trHeight w:val="210"/>
        </w:trPr>
        <w:tc>
          <w:tcPr>
            <w:tcW w:w="2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regions of approximately 20,000 genes at an average coverage of 50X, with an average</w:t>
            </w:r>
          </w:p>
        </w:tc>
      </w:tr>
      <w:tr>
        <w:trPr>
          <w:trHeight w:val="228"/>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depth of coverage of approximately 1050x for clinically reported variants</w:t>
            </w:r>
          </w:p>
        </w:tc>
      </w:tr>
      <w:tr>
        <w:trPr>
          <w:trHeight w:val="368"/>
        </w:trPr>
        <w:tc>
          <w:tcPr>
            <w:tcW w:w="2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00" w:type="dxa"/>
            <w:vAlign w:val="bottom"/>
          </w:tcPr>
          <w:p>
            <w:pPr>
              <w:jc w:val="right"/>
              <w:ind w:right="5452"/>
              <w:spacing w:after="0"/>
              <w:rPr>
                <w:sz w:val="20"/>
                <w:szCs w:val="20"/>
                <w:color w:val="auto"/>
              </w:rPr>
            </w:pPr>
            <w:r>
              <w:rPr>
                <w:rFonts w:ascii="Times New Roman" w:cs="Times New Roman" w:eastAsia="Times New Roman" w:hAnsi="Times New Roman"/>
                <w:sz w:val="18"/>
                <w:szCs w:val="18"/>
                <w:color w:val="auto"/>
              </w:rPr>
              <w:t>147</w:t>
            </w:r>
          </w:p>
        </w:tc>
      </w:tr>
    </w:tbl>
    <w:p>
      <w:pPr>
        <w:sectPr>
          <w:pgSz w:w="11900" w:h="16838" w:orient="portrait"/>
          <w:cols w:equalWidth="0" w:num="1">
            <w:col w:w="11340"/>
          </w:cols>
          <w:pgMar w:left="320" w:top="448"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21" w:lineRule="exact"/>
        <w:rPr>
          <w:sz w:val="20"/>
          <w:szCs w:val="20"/>
          <w:color w:val="auto"/>
        </w:rPr>
      </w:pPr>
    </w:p>
    <w:p>
      <w:pPr>
        <w:ind w:firstLine="5"/>
        <w:spacing w:after="0" w:line="247" w:lineRule="auto"/>
        <w:tabs>
          <w:tab w:leader="none" w:pos="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 including Alzheimer’s disease/dementia, epilepsy, ALS, multiple sclerosis, and others.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expanded into infectious diseases in 2020 due to the growing focus from healthcare providers and pharmaceutical companies on better understanding, diagnosing, and treating infectious diseases. Our strategy in infectious diseases is to offer a suite of tests that enable a better understanding of infectious disease, to use the data we collect while running tests to contribute to our Platform, and ultimately to make infectious disease tests intelligent over time.</w:t>
      </w:r>
    </w:p>
    <w:p>
      <w:pPr>
        <w:spacing w:after="0" w:line="14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COVID-19 heightened our collective awareness of how we might use our Platform to combat viruses and other pathogens. We believe there is a need in infectious disease for a more data-driven approach to diagnosis, therapy recommendation, and drug development. For example, there is a limited understanding of why some patients have minimal reactions to viruses and others become ill, why certain patients respond to pathogens and corresponding therapeutics differently, and why some patients have severe adverse reactions to certain drugs while others do not. Collecting sufficient data that provides a more complete picture of the pathogen could result in a better understanding of the disease and improve clinical decisions and therapeutic development. Furthermore, the growing problem of antimicrobial resistance might be addressable with data that helps facilitate a better understanding of pathogens and effective therapies.</w:t>
      </w:r>
    </w:p>
    <w:p>
      <w:pPr>
        <w:spacing w:after="0" w:line="15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capitalized on the demand for COVID-19 testing to build our database by launching PCR and NGS tests for COVID-19. Our laboratory testing infrastructure and our relationships with a broad customer base enabled us to rapidly scale operations and deliver approximately 2.3 million COVID-19 clinical tests through September 30, 2021. We entered into clinical testing agreements with various clients, including pharmacies, urgent care centers, state departments of health, primary care providers, universities and schools, and corporate clients. In addition, as part of our multimodal data collection efforts, we launched a patient facing mobile application to return results to users and create a portal through which they could elect to contribute their clinical data to Tempus for research purposes.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COVID-19 testing has materially decreased in the United States in light of the broadly distributed vaccines and changes in CDC guidance as to whom should be tested, we have shifted resources away from COVID-19 testing and do not expect levels of COVID-19 testing to be material to our business going forward. As such, we are focusing our efforts on other infectious diseases areas and on broader respiratory pathogen testing.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product line facilitates drug discovery and development for pharmaceutical and biotechnology companies through two primary products: Insights and Therapies. We also maintain a growing tumor-derived biological modeling (or organoid) laboratory, which allows us to provide modeling and screening services to our pharmaceutical and biotech clients.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In 2020, we worked with 15 of the 20 largest public pharmaceutical companies based on 2020 revenue and, as of September 30, 2021, we have signed contracts with a remaining total contract value, or Remaining TCV, of $184 million (which includes all products and services provided to life sciences companies). We expect to deliver a majority of this contract value over the next several years.</w:t>
      </w:r>
    </w:p>
    <w:p>
      <w:pPr>
        <w:spacing w:after="0" w:line="187"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As of September 30, 2021, Remaining TCV is equal to the total potential value of signed contracts and assumes the exercise of all contract options, all discretionary opt-ins, and no early termination. It excludes any revenue recognized to date on these contracts or any future adjustments made to the contractual value as a result of amendments or terminations. Many of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and the exercise of contractual options. Moreover, Remaining TCV may differ from similarly titled metrics presented by other companies and may not be comparable to such other metrics.</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32429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0278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40"/>
          </w:cols>
          <w:pgMar w:left="320" w:top="448"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2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increases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increases over time, in a manner similar to a content company where you pay to create content and then monetize the content over time as people subscribe to access the content.</w:t>
      </w:r>
    </w:p>
    <w:p>
      <w:pPr>
        <w:spacing w:after="0" w:line="12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To evaluate the revenue stream in our Data product line, we rely on “Cohort Lifetime Value.”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other in the Consolidated Statement of Operations. Cost of revenues, data and other were $6.3 million and $7.1 million for the years ended December 31, 2019 and 2020, respectively, and were $5.0 million and $8.0 million for the nine months ended September 30, 2020 and 2021, respectively. These costs represent 18.5% and 19.6% of data and other revenue for the years ended December 31, 2019 and 2020, respectively, and 36.1% and 26.5% for the nine months ended September 30, 2020 and 2021, respectively.</w:t>
      </w:r>
    </w:p>
    <w:p>
      <w:pPr>
        <w:spacing w:after="0" w:line="1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2018, the first full year that we operated a laboratory, we sequenced samples from approximately 7,500 patients. From that 2018 cohort of sequenced patients, through September 30, 2021, we generated $45.3 million of combined revenue from sequencing, data licensing of de-identified data derived from those records, and clinical trials matching, which is approximately 5.0 times the revenue we received from sequencing at the onset. The total cost to sequence the 2018 cohort was $17.4 million, of which $9.0 million was covered by reimbursement for the corresponding sequencing tests. We then generated $16.3 million of data revenue from that cohort in 2018, finishing the year with a “Cohort Lifetime Value” of $7.9 million. As more customers licensed de-identified records from the 2018 cohort in subsequent years, we generated additional revenue in 2019, 2020 and 2021 from the 2018 cohort, and as of September 30, 2021, the 2018 “Cohort Lifetime Value” for this cohort was $27.9 million. We maintained a similar trend for the 2019 cohort through its first two years in existence. The total cost to sequence the 2019 cohort was $39.1 million, of which $25.7 million was covered by the reimbursement for the corresponding sequencing tests. We then generated $23.4 million of data revenue from that cohort in 2019, finishing the year with a “Cohort Lifetime Value” of $10.0 million. We generated additional data revenue in 2020 and 2021, and as of September 30, 2021, the 2019 “Cohort Lifetime Value” was $29.0 million. The total cost to sequence the 2020 cohort was $63.4 million, of which $46.9 million was covered by reimbursement for the corresponding sequencing tests. We then generated $16.7 million of data revenue from that cohort in 2020, finishing the year with a “Cohort Lifetime Value” of $0.2 million. We generated additional data revenue in 2021, and as of September 30, 2021, the 2020 “Cohort Lifetime Value” was $11.0 million.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340"/>
          </w:cols>
          <w:pgMar w:left="320" w:top="448"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“Cohort Lifetime Value” for the 2018, 2019, 2020 and 2021 data cohorts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28575</wp:posOffset>
            </wp:positionV>
            <wp:extent cx="5043805" cy="6336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43805" cy="633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139"/>
          </w:cols>
          <w:pgMar w:left="320" w:top="448"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205105</wp:posOffset>
            </wp:positionV>
            <wp:extent cx="5043805" cy="1958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43805" cy="195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Therapies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Therapies is our second offering within our Data product line and leverages our broad network of oncologists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w:t>
      </w:r>
    </w:p>
    <w:p>
      <w:pPr>
        <w:spacing w:after="0" w:line="15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Therapies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clinical trial matching product is called the TIME Trial</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and as of November 1, 2021, more than 170 provider networks and research institutions, representing more than 8,100 oncologists, have signed up to join the program. As of November 1, 2021, more than 1,670 oncologists were fully enrolled, more than 75 clinical trials were onboarded and active, and more than 5,800 patients were identified for potential enrollment into clinical trials in our network.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343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02780" cy="434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One of the primary benefits of our Therapies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Therapies product taking 8.8 days on average between April 2020 and August 2021.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7515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02780" cy="3751580"/>
                    </a:xfrm>
                    <a:prstGeom prst="rect">
                      <a:avLst/>
                    </a:prstGeom>
                    <a:noFill/>
                  </pic:spPr>
                </pic:pic>
              </a:graphicData>
            </a:graphic>
          </wp:anchor>
        </w:drawing>
      </w:r>
    </w:p>
    <w:p>
      <w:pPr>
        <w:sectPr>
          <w:pgSz w:w="11900" w:h="16838" w:orient="portrait"/>
          <w:cols w:equalWidth="0" w:num="1">
            <w:col w:w="11340"/>
          </w:cols>
          <w:pgMar w:left="320" w:top="448" w:right="239" w:bottom="7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11340"/>
          </w:cols>
          <w:pgMar w:left="320" w:top="448" w:right="239" w:bottom="752"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In addition to our efforts to collect vast amounts of phenotypic, morphologic, and molecular data, we have built a large, biological modeling lab that allows us to test various theories in vitro through our large repository of tumor-derived organoids, or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w:t>
      </w:r>
    </w:p>
    <w:p>
      <w:pPr>
        <w:spacing w:after="0" w:line="3" w:lineRule="exact"/>
        <w:rPr>
          <w:sz w:val="20"/>
          <w:szCs w:val="20"/>
          <w:color w:val="auto"/>
        </w:rPr>
      </w:pPr>
    </w:p>
    <w:p>
      <w:pPr>
        <w:jc w:val="both"/>
        <w:ind w:firstLine="5"/>
        <w:spacing w:after="0" w:line="245" w:lineRule="auto"/>
        <w:tabs>
          <w:tab w:leader="none" w:pos="3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materially,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222885</wp:posOffset>
            </wp:positionV>
            <wp:extent cx="7002780" cy="40430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02780" cy="404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vastness of our dataset creates an opportunity to use data to algorithmically diagnose and treat patients. Our newest product line, Algos, is focused on developing diagnostics that are algorithmic in nature. We use data the same way legacy diagnostic companies use chemistry in the battle against disease, seeking to improve patient care by learning from all the patients who have come before, and tailoring test results based on each patient’s unique profile. Our Algos can be run without the need for additional chemistry or biology; they are simply 0’s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1’s running on digitized data derived from a laboratory test. Algos leverage AI-driven insights to produce clinically validated and actionable information for physicians.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56686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02780"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As of September 30, 2021, we have two commercialized Algos, and we have approximately 24 more in various stages of development. Some Algos will likely yield little to no reimbursement until their clinical utility is established, and some may obtain reimbursement at prevailing rates for comparable tests. Through September 30, 2021 our Algos have been ordered approximately 9,400 times and have generated approximately $100 per test on average. Eventually, we would like to launch hundreds, if not thousands, of Algos. The following table represents our current Algos products, as well as our nearer term Algos in the pipeline: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40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 Predicts the site of origin for cancer patients whose primary tumor site is unknown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 Intended use of the TO test is for cancers of unknown primary, or CUPs, and may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help clinicians make more informed decisions where other clinical information like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imaging and immunohistochemistry results do not provide a 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information from analysis of nucleic acids by NGS performed as part of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transcriptomic molecular data. By comparing the molecular profile (transcriptome)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the patient’s cancer with profiles of other cancers in our database, we can help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pinpoint the origin of the patient’s cancer, potentially helping to inform the course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 For the nine months ended September 30, 2021 ordered on approximately 9%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our solid 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Homologous Recombination Deficiency (“HRD”) Test</w:t>
            </w:r>
          </w:p>
        </w:tc>
        <w:tc>
          <w:tcPr>
            <w:tcW w:w="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 A DNA-based algorithmic test that helps identify if a patient has HRD, providing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comprehensive view into a patient’s ability to repair double-stranded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 into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commonly mutated genes in the HR-pathway, along with a genome wide l LOH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 additional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2"/>
          </w:tcPr>
          <w:p>
            <w:pPr>
              <w:jc w:val="right"/>
              <w:ind w:right="55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50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82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accuracy and increase the percentage of tumors that the algorithm can be run on.</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 For the nine months ended September 30, 2021, ordered on approximately 20% of</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solid tumor orders.</w:t>
            </w:r>
          </w:p>
        </w:tc>
        <w:tc>
          <w:tcPr>
            <w:tcW w:w="0" w:type="dxa"/>
            <w:vAlign w:val="bottom"/>
          </w:tcPr>
          <w:p>
            <w:pPr>
              <w:spacing w:after="0"/>
              <w:rPr>
                <w:sz w:val="1"/>
                <w:szCs w:val="1"/>
                <w:color w:val="auto"/>
              </w:rPr>
            </w:pPr>
          </w:p>
        </w:tc>
      </w:tr>
      <w:tr>
        <w:trPr>
          <w:trHeight w:val="120"/>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50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rPr>
              <w:t>Launch</w:t>
            </w:r>
          </w:p>
        </w:tc>
        <w:tc>
          <w:tcPr>
            <w:tcW w:w="340" w:type="dxa"/>
            <w:vAlign w:val="bottom"/>
          </w:tcPr>
          <w:p>
            <w:pPr>
              <w:spacing w:after="0"/>
              <w:rPr>
                <w:sz w:val="10"/>
                <w:szCs w:val="10"/>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82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Cardiology</w:t>
            </w:r>
          </w:p>
        </w:tc>
        <w:tc>
          <w:tcPr>
            <w:tcW w:w="1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 We have developed an algorithm designed to predict AFib from a normal ECG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expected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certain populations.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launch</w:t>
            </w:r>
          </w:p>
        </w:tc>
        <w:tc>
          <w:tcPr>
            <w:tcW w:w="340" w:type="dxa"/>
            <w:vAlign w:val="bottom"/>
          </w:tcPr>
          <w:p>
            <w:pPr>
              <w:spacing w:after="0"/>
              <w:rPr>
                <w:sz w:val="19"/>
                <w:szCs w:val="19"/>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 About 3.5% of patients who receive ECGs appear not to have AFib but will develop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AFib, acute coronary syndrome, or similar condition within one year. This Algo 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designed to predict major cardiac trauma and stroke risk from these normal ECG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 The Tempus AFib test received FDA breakthrough designation in March 2021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40 years of age and older, without pre-existing or concurrent AFib or atrial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flutter, and who are at elevated risk of stroke based on a commonly used clinical</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stroke risk assessment tool (i.e., CHA</w:t>
            </w:r>
            <w:r>
              <w:rPr>
                <w:rFonts w:ascii="Times New Roman" w:cs="Times New Roman" w:eastAsia="Times New Roman" w:hAnsi="Times New Roman"/>
                <w:sz w:val="14"/>
                <w:szCs w:val="14"/>
                <w:color w:val="auto"/>
              </w:rPr>
              <w:t>2DS2-VASc score of</w:t>
            </w:r>
            <w:r>
              <w:rPr>
                <w:rFonts w:ascii="Times New Roman" w:cs="Times New Roman" w:eastAsia="Times New Roman" w:hAnsi="Times New Roman"/>
                <w:sz w:val="18"/>
                <w:szCs w:val="18"/>
                <w:color w:val="auto"/>
              </w:rPr>
              <w:t xml:space="preserve"> </w:t>
            </w:r>
            <w:r>
              <w:rPr>
                <w:rFonts w:ascii="Arial" w:cs="Arial" w:eastAsia="Arial" w:hAnsi="Arial"/>
                <w:sz w:val="11"/>
                <w:szCs w:val="11"/>
                <w:b w:val="1"/>
                <w:bCs w:val="1"/>
                <w:color w:val="auto"/>
              </w:rPr>
              <w:t>³</w:t>
            </w: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 We are also advancing Algos that are designed to predict aortic stenosis, and we 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working on other disease areas within cardiology, such as low ejection fraction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familial hypercholesterolemia.</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Algos Collaboration with Geisinger</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87" w:lineRule="exact"/>
        <w:rPr>
          <w:sz w:val="20"/>
          <w:szCs w:val="20"/>
          <w:color w:val="auto"/>
        </w:rPr>
      </w:pPr>
    </w:p>
    <w:p>
      <w:pPr>
        <w:jc w:val="both"/>
        <w:ind w:firstLine="454"/>
        <w:spacing w:after="0" w:line="263" w:lineRule="auto"/>
        <w:rPr>
          <w:sz w:val="20"/>
          <w:szCs w:val="20"/>
          <w:color w:val="auto"/>
        </w:rPr>
      </w:pPr>
      <w:r>
        <w:rPr>
          <w:rFonts w:ascii="Times New Roman" w:cs="Times New Roman" w:eastAsia="Times New Roman" w:hAnsi="Times New Roman"/>
          <w:sz w:val="18"/>
          <w:szCs w:val="18"/>
          <w:color w:val="auto"/>
        </w:rPr>
        <w:t>Our first cardiology products in development are a suite of algorithms that assess an individual’s risk of undiagnosed disease from an ECG. The FDA recently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-VASc score of </w:t>
      </w:r>
      <w:r>
        <w:rPr>
          <w:rFonts w:ascii="Arial" w:cs="Arial" w:eastAsia="Arial" w:hAnsi="Arial"/>
          <w:sz w:val="18"/>
          <w:szCs w:val="18"/>
          <w:b w:val="1"/>
          <w:bCs w:val="1"/>
          <w:color w:val="auto"/>
        </w:rPr>
        <w:t>³</w:t>
      </w:r>
      <w:r>
        <w:rPr>
          <w:rFonts w:ascii="Times New Roman" w:cs="Times New Roman" w:eastAsia="Times New Roman" w:hAnsi="Times New Roman"/>
          <w:sz w:val="18"/>
          <w:szCs w:val="18"/>
          <w:color w:val="auto"/>
        </w:rPr>
        <w:t>4)).</w:t>
      </w:r>
    </w:p>
    <w:p>
      <w:pPr>
        <w:spacing w:after="0" w:line="15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work in cardiology has been accelerated by a strategic collaboration with a multidisciplinary cardiovascular research team at Geisinger that leverages 25 years of valuable EHR data. We hold a perpetual, royalty-bearing license from Geisinger to build algorithmic models and commercialize a de-identified dataset of approximately 3.2 million ECGs, across approximately 600,000 patients, with decades of longitudinal clinical data, including outcome and response data.</w:t>
      </w:r>
    </w:p>
    <w:p>
      <w:pPr>
        <w:spacing w:after="0" w:line="184"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In parallel, we are working to build out a network of healthcare systems and clinical providers to deploy these clinical algorithms at scale. We believe we are well positioned to build such a network by leveraging the existing technical integrations in place through our current product lines in oncology and neurology.</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340"/>
          </w:cols>
          <w:pgMar w:left="320" w:top="448"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data-driven decisions.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8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 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 This patient was originally sequenced by Tempus in November 2018 and as of September 30, 2021 is alive and well.</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Genmab is an example of a pharmaceutical company that has used many of our products and services. We signed a strategic collaboration with Genmab to help identify novel molecular and immune targets in cancer indications of interest. One aspect of the collaboration is a shared interest in developing new treatments for patients with pancreatic cancer. Tempus and Genmab data scientists collaborated to explore multiple indications in an effort to validate biomarkers and accelerate research and development using Tempus’ multimodal datasets. We analyzed de-identified data derived from over 2,000 pancreatic cancer patients with comprehensive DNA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40"/>
          </w:cols>
          <w:pgMar w:left="320" w:top="448"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sequencing, full transcriptomic sequencing, longitudinal EHR data, and digital pathology slides to fuel their discovery efforts. We believe comparable multimodal datasets of this depth and breadth have not previously been assembled for pancreatic cancer. Fueled with a unique and larger dataset, computational biologists and data scientists from both organizations identified for further assessment select subtype-specific surfaceome gene targets that were highly expressed in pancreatic cancer samples but lowly expressed in normal tissue. Ultimately, several hundred potential drug discovery targets were identified and are currently being assessed by Genmab using antibody databases, cell-type analyses, immune infiltration, and biological mechanism pathway analyses. The Genmab collaboration demonstrates how Tempus can work as a partner in the target identification and validation process and highlights the valuable insights that can be garnered using Tempus’ data. With the shared goal to bring novel drugs to patients in need, Tempus is entitled to receive milestone and royalty payments for programs that advance through clinical development under this collaboration.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Therapies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8.8 days on average between April 2020 and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043805" cy="900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438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Sermonix is a powerful example of the potential for our Therapies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ten business days for each site. By comparison, it took on average 230 days for the CRO to open each new site. Tempus enrolled 14 of the ultimately 29 patients in the study, and helped shorten the full enrollment time down to ten months.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infectious diseases, in which there is over $4 trillion of economic burden according to publicly available sources.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147320</wp:posOffset>
            </wp:positionV>
            <wp:extent cx="7002780" cy="4284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02780" cy="428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At present, we offer three main assays in cancer, including solid tumor profiling, liquid biopsy, and inherited cancer risk screening, and expect to commercialize our fourth assay for cancer recurrence monitoring and measuring minimal residual disease in 2022. We believe our assays provide a comprehensive and holistic range of options for physicians and patients. Over time, we anticipate being able to address other emerging NGS oncology markets, such as early disease screening, as our most recent cancer recurrence and MRD assay (xM) is based on low pass whole genome plus methylation technology, an approach that other companies have used in early detection and disease monitoring.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Therapy selection: </w:t>
      </w:r>
      <w:r>
        <w:rPr>
          <w:rFonts w:ascii="Times New Roman" w:cs="Times New Roman" w:eastAsia="Times New Roman" w:hAnsi="Times New Roman"/>
          <w:sz w:val="16"/>
          <w:szCs w:val="16"/>
          <w:color w:val="auto"/>
        </w:rPr>
        <w:t>We address the market for therapy selection with our current tissue and liquid biopsy assay offerings and immunohistochemistry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 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267335</wp:posOffset>
            </wp:positionV>
            <wp:extent cx="7002780" cy="3717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02780" cy="371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anticipate launching our liquid biopsy test for cancer recurrence monitoring and minimal residual disease in 2022. While this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is currently emerging, we anticipate that newly</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8"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2018.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Neuropsychology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16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2020, an estimated $219 billion was spent on clinical development in the United States. Within this market, our Data product line addresses the following spending categories for biotechnology and pharmaceutical researchers:</w:t>
      </w:r>
    </w:p>
    <w:p>
      <w:pPr>
        <w:spacing w:after="0" w:line="92" w:lineRule="exact"/>
        <w:rPr>
          <w:sz w:val="20"/>
          <w:szCs w:val="20"/>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$38 billion spend in 2020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$46 billion spend in 2021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$29 billion spend in 2020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 Product Line Market Opportunity</w:t>
      </w:r>
    </w:p>
    <w:p>
      <w:pPr>
        <w:spacing w:after="0" w:line="110"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Algos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 Data product lines. Although such tests currently represent a small portion of laboratory testing volume today, we believe in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1,500 employees, including hundreds with diverse expertise in genetics, molecular and computational biology, bioinformatics, regulatory affairs, medical, product and engineering, and data science. Roughly one-third of our team is technical, with over 160 PhDs and MDs on staff. In addition, as a testament to our balanced workforce, we have roughly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approximately 234 direct data connections, many of which supply us with data in near real time, across approximately 1,034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 Diagnostics to enable precision medicine at scale. We have amassed an oncology database that is over 42.5</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Petabytes in size and is approximately fourteen times the size of The Cancer Genome Atlas, the largest public genomic dataset that we know of in oncology. We also recently extended our Platform into neuropsychology, infectious disease, and cardiology. We believe each of the elements of our Platform is difficult for others to replicate.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Therapies product offering, we also help oncologists identify patients eligible for clinical trials. Over time, we believe our Algos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product line, which in turn drives our Algos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 further enhances our revenue opportunity as the records we collect have value over time, given that outcomes and response evolve as patients progress through treatment.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We are able to leverage multimodal data to deploy AI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neuropsychology in 2020 (MDD, bipolar disease, anxiety), infectious disease (COVID-19 testing) in 2020, and hope to enter cardiology in the near future (ECG-based algorithms starting with AFib and Aortic Stenosis).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Algos at scale.</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our Algos product line represents an emerging category of diagnostics and has the potential to be highly disruptive across a broad set of disease areas. Our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Algos offering, with the goal of launching hundreds or thousands of Algos at some point in the future, representing a significant long-term opportunity that may be substantially larger than our other existing product lines. We believe our ability to launch Algos at scale is a key differentiator of our Platform. We currently offer two algorithmic tests in oncology, our TO test and our HRD test, and have ongoing development efforts in other disease areas, such as cardiology with our recent Afib algorithm that was awarded breakthrough designation by the FDA.</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half of all academic medical centers in the United States. We have approximately 234 direct unique data connections, many of which supply us with complex multimodal data in near real time, across approximately 1,034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5,000 oncologists in some way. The value of our products is further evidenced by our volume of repeat ordering from oncologists. Through September 2021, the 12-month retention rate for oncologists ordering more than 5 tests was 91%. We define the 12-month retention rate as having placed an order within the previous 360 days. Between our sequencing and data collection efforts, we are connected in some way to more than 40% of all oncologists practicing in the United States.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320" w:top="448"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 clinical trials and through the development of companion diagnostics. At present, we have approximately 150 sales representatives focused on our Genomics offering, and intend to significantly add resources to the team over time.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As of September 30, 2021, we had 40 pharmaceutical and biotechnology customers licensing data through our Insights product, including 15 of the 20 largest public pharmaceutical companies based on 2020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products and services built on our Platform easier to use, including our Lens application that enhances cloud and compute analytical capabilities for researchers. For our Therapies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Algos at scale.</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currently have two Algos that we have commercially launched in oncology, our TO test and our HRD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Algos across multiple disease categories.</w:t>
      </w:r>
    </w:p>
    <w:p>
      <w:pPr>
        <w:spacing w:after="0" w:line="290"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neuropsychology, infectious disease, cardiology, and other disease categories.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infectious diseases,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8"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September 30, 2021, our clinical sales organization in the United States included approximately 150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 As of September 30, 2021, we had approximately 136 sales executives in the field focused on oncology and neurology, and we also have a team of 13 sales reps, who largely call on customers virtually throughout our outbound call center, focused predominantly on infectious disease.</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an oncologist starts using Tempus, if they order at least 5 NGS tests from us, their 12-month retention rate is 91%. We define the 12-month retention rate as having placed at least one order in the previous 360 days.</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September 30, 2021, we have either published or been acknowledged in the following:</w:t>
      </w:r>
    </w:p>
    <w:p>
      <w:pPr>
        <w:spacing w:after="0" w:line="76" w:lineRule="exact"/>
        <w:rPr>
          <w:sz w:val="20"/>
          <w:szCs w:val="20"/>
          <w:color w:val="auto"/>
        </w:rPr>
      </w:pPr>
    </w:p>
    <w:p>
      <w:pPr>
        <w:ind w:left="1000" w:hanging="549"/>
        <w:spacing w:after="0" w:line="270"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55 total (38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additional manuscripts under consideration for publication by peer-review journals.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total (59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 similar strategy in neuropsychology, in which we aim to increase the commercial adoption of our nP test for depression as part of the rapidly growing market for pharmacogenomic testing, with a goal to better understand, diagnose and treat neuropsychiatric disorders. As it relates to infectious disease, we started offering COVID-19 testing through our iC test, and are in the midst of validating a pan viral respiratory pathogen test, iD, which is expected to cover a wider range of viruses such as Influenza, Respiratory Syncytial Virus, COVID-19, etc.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8"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September 30, 2021, we had approximately 33 sales executives in our Data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most instances, we bill Algos to third-party payers just like our other clinical tests. We expect reimbursement will be limited for most Algos at launch and may grow over time as we build additional evidence to support the clinical utility and benefit of each Algo. In addition, we work with pharmaceutical companies from time to time to deploy algorithms that they have developed or are interested in developing with us, typically collecting some amount of fees upfront and on a per test basis every time the algorithm is run.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Neogenomics, and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products primarily face competition from companies that help pharmaceutical and biotechnology companies acquire data to inform drug discovery and development. Our main competitors in this area are Flatiron Health, Inc., IQVIA Holdings Inc., ConcertAI, and others. Our Data products also face competition from CROs, such as Covance,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Algos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6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7" w:lineRule="exact"/>
        <w:rPr>
          <w:sz w:val="20"/>
          <w:szCs w:val="20"/>
          <w:color w:val="auto"/>
        </w:rPr>
      </w:pPr>
    </w:p>
    <w:p>
      <w:pPr>
        <w:jc w:val="center"/>
        <w:ind w:right="40"/>
        <w:spacing w:after="0" w:line="435" w:lineRule="auto"/>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 170</w:t>
      </w:r>
    </w:p>
    <w:p>
      <w:pPr>
        <w:sectPr>
          <w:pgSz w:w="11900" w:h="16838" w:orient="portrait"/>
          <w:cols w:equalWidth="0" w:num="1">
            <w:col w:w="11340"/>
          </w:cols>
          <w:pgMar w:left="320" w:top="448"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 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the year ended December 31, 2019 and 2020, we received payment through reimbursement on approximately 50% and 48% of our clinical oncology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NGS tests, respectively. We did not receive payment on approximately 50% and 52% of our clinical oncology NGS tests during the same periods, respectively.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to improve reimbursement is as follows:</w:t>
      </w:r>
    </w:p>
    <w:p>
      <w:pPr>
        <w:spacing w:after="0" w:line="103" w:lineRule="exact"/>
        <w:rPr>
          <w:sz w:val="20"/>
          <w:szCs w:val="20"/>
          <w:color w:val="auto"/>
        </w:rPr>
      </w:pPr>
    </w:p>
    <w:p>
      <w:pPr>
        <w:ind w:left="1000" w:hanging="549"/>
        <w:spacing w:after="0" w:line="267"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improve coverage, and the amount they currently pay, for tests, through a reconsideration request for our main assays (xT, xF) and through various appeals when coverage is denied.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new MAC, Palmetto, who will cover our tests when performed out of our newest lab in Raleigh, NC,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toward FDA approval of our main solid tumor assay, xT, for which we filed a PMA in early 2021, and once approved, work with CMS to apply a national coverage determination that covers our assay.</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commercial payers to both get in network and get our assay approved and reimbursement at a higher rate than it currently is.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offerings are point-of-care ordered,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currently perform our laboratory tests, including our NGS and anatomic pathology tests in our clinical laboratories in Chicago and Atlanta. We intend to expand these capabilities with a new genomics lab in Raleigh that we plan to operationalize by the end of 2021. Our Chicago and Atlanta laboratories are CAP-accredited and CLIA-certified, and licensed in other states including New York, California, Maryland, Pennsylvania, and Rhode Island.</w:t>
      </w:r>
    </w:p>
    <w:p>
      <w:pPr>
        <w:spacing w:after="0" w:line="7" w:lineRule="exact"/>
        <w:rPr>
          <w:sz w:val="20"/>
          <w:szCs w:val="20"/>
          <w:color w:val="auto"/>
        </w:rPr>
      </w:pPr>
    </w:p>
    <w:p>
      <w:pPr>
        <w:jc w:val="both"/>
        <w:ind w:firstLine="454"/>
        <w:spacing w:after="0" w:line="263" w:lineRule="auto"/>
        <w:rPr>
          <w:sz w:val="20"/>
          <w:szCs w:val="20"/>
          <w:color w:val="auto"/>
        </w:rPr>
      </w:pPr>
      <w:r>
        <w:rPr>
          <w:rFonts w:ascii="Times New Roman" w:cs="Times New Roman" w:eastAsia="Times New Roman" w:hAnsi="Times New Roman"/>
          <w:sz w:val="17"/>
          <w:szCs w:val="17"/>
          <w:color w:val="auto"/>
        </w:rPr>
        <w:t xml:space="preserve">The scale our laboratories have been able to achieve in the approximately 4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w:t>
      </w:r>
    </w:p>
    <w:p>
      <w:pPr>
        <w:spacing w:after="0" w:line="17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September 30, 2021, our average turnaround time for our xT assays was 10 days, and our average turnaround time for xF was 9 days.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 As an example of this, Tempus was able to stand up our COVID testing assays in both Atlanta and Chicago, obtain EUA approvals, make necessary modifications to our laboratory information systems and provide connectivity integrations to our largest customers (who were each running thousands of tests per day for a period of time) efficiently delivering results to them with turn around times and error rates that met or exceeded industry standards, during the peak of the pandemic in 2020 and early 2021.</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 with AstraZeneca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2026, unless terminated sooner.</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warrant, AstraZeneca has the right to purchase up to $100 million shares of our Class A common stock at an exercise price equal to the price per share at which our common stock is valued in connection with the 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to $300 million.</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 and implemented COVID-19 testing in May of 2020, and have run approximately 2.3 million tests in the last twelve months ended September 30, 2021.</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145415</wp:posOffset>
            </wp:positionV>
            <wp:extent cx="7002780" cy="51517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02780" cy="515175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174</w:t>
      </w:r>
    </w:p>
    <w:p>
      <w:pPr>
        <w:sectPr>
          <w:pgSz w:w="11900" w:h="16838" w:orient="portrait"/>
          <w:cols w:equalWidth="0" w:num="1">
            <w:col w:w="11340"/>
          </w:cols>
          <w:pgMar w:left="320" w:top="448" w:right="2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relays information contained in our oncology reports and supporting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September 30, 2021, our patent portfolio included owned and in-licensed patents and patent applications, including 16 issued or allowed U.S. patents or pending applications and 59 pending U.S. non-provisional patent applications, 35 pending U.S. provisional patent applications, 30 pending Patent Cooperation Treaty (international) patent applications, and 5 issued foreign patents and 34 pending foreign patent applications. Our issued patents are expected to begin expiring in December 2029, assuming payment of all appropriate maintenance, renewal, annuity or other governmental fees. These patents and applications generally fall into four broad categories:</w:t>
      </w:r>
    </w:p>
    <w:p>
      <w:pPr>
        <w:spacing w:after="0" w:line="95" w:lineRule="exact"/>
        <w:rPr>
          <w:sz w:val="20"/>
          <w:szCs w:val="20"/>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 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40"/>
          </w:cols>
          <w:pgMar w:left="320" w:top="448"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 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investigational products, or “off-label” uses of cleared or approved products;</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53"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1" w:lineRule="exact"/>
        <w:rPr>
          <w:rFonts w:ascii="Times New Roman" w:cs="Times New Roman" w:eastAsia="Times New Roman" w:hAnsi="Times New Roman"/>
          <w:sz w:val="18"/>
          <w:szCs w:val="18"/>
          <w:color w:val="auto"/>
        </w:rPr>
      </w:pPr>
    </w:p>
    <w:p>
      <w:pPr>
        <w:jc w:val="both"/>
        <w:ind w:left="1000" w:hanging="549"/>
        <w:spacing w:after="0" w:line="245"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96"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apply for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also will be required to report such information regarding their payments and other transfers of value to physician assistants, nurse practitioners, clinical nurse specialists, anesthesiologist assistants, certified registered nurse anesthetists and certified nurse midwives during the previous year.</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efforts. Failure or perceived failure to comply with these laws, where applicable, can result in material adverse effects to our business, including the imposition of significant civil and/or criminal penalties and private litigation.</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is expected to take effect on January 1, 2023 and create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its Consumer Data Protection Act, and Colorado passed the Colorado Privacy act, both of which differ from the CPRA and become effective in 2023.</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It is also possible that additional governmental action will be taken in response to the COVID-19 pandemic.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Although we are a participating provider with a limited number of commercial payers, certain other large, national commercial payers, including Anthem, Aetna and Humana, have issued non-coverage policies that consider tissue and liquid comprehensive genomic profile testing, including certain of our Genomics tests, as experimental or investigational.</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 Medicare’s NCD for NGS, first established in 2018 and subsequently updated in 2020, states that NGS oncology tests (such as our Tempus xT and Tempus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89"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National Government Services, Inc., or the Local MAC, is the MAC that makes LCDs for tests conducted at our Chicago laboratory. The Local MAC has issued two LCDs related to genetic testing in cancer, each of which currently require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the Local MAC indicated that such claims would be individually reviewed. Claims we have submitted under this code have since been summarily denied. We have begun the process of appealing these denials, but the outcome of any appeal is uncertain and the appeal process is typically slow and costly. As a result, it is impossible for us to predict when the payments for NGS oncology tests performed for Medicare beneficiaries in our Chicago laboratory after March 25, 2021 will be finally adjudicated or whether we will receive any payment for the claims we have submitted to National Government after March 25, 2021. In addition, on July 23, 2021, the Local MAC issued revised instructions for CPT coding which may be applicable to our NGS oncology tests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At present, the outcome is uncertain and it is possible that the Local MAC will deny all claims related to the NGS oncology testing we perform for Medicare beneficiaries in our Chicago laboratory, which as of September 30, 2021 represented approximately one third of our clinical testing volume. While we intend to appeal any future denials of claims that we believe are inappropriate, the outcome of any appeal process is likely to be both lengthy and costly and the result of any such process is uncertain. As a result, beginning in the second quarter of 2021 we estimated the reimbursement rate for tests performed within our contractual allowances with a zero percent expected reimbursement for these tests. Our Atlanta, Georgia laboratory is not subject to any similar LCD.</w:t>
      </w:r>
    </w:p>
    <w:p>
      <w:pPr>
        <w:spacing w:after="0" w:line="3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achieve broad coverage and adequate contracted reimbursement with a majority of payers for our tests. However, we cannot predict whether, under what circumstances, or at what price levels payers will cover and reimburse our tests.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plan to operationalize a new genomics lab in Raleigh, North Carolina by the end of 2021.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September 30, 2021, we had a total of 1,570 employees, of which 586 were technical and were engaged in product and engineering, and research and development. As of September 30, 2021, 837 employees were based at our headquarters in Chicago, Illinois, and 69 employees were based in Atlanta, Georgia. None of our employees are represented by a labor union or covered under a collective bargaining agreement, and we have never experienced a work stoppage. We consider our relationship with our employees to be positive.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September 30, 2021,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Administrative and Legal Officer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5"/>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Ghenchev</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Eric Lefkofsky is our Founder and has served as our Chief Executive Officer and a member of our board of directors since our inception. Before founding Tempus, Mr. Lefkofsky co-founded Groupon, Inc. in 2008, where he held various roles, including Executive Chairman (through August 2013), Chief Executive Officer (August 2013 to November 2015), and Chairman of the board of directors (November 2015 to June 2020). He continues to serve as a member of Groupon’s board of directors. Mr. Lefkofsky also co-founded Lightbank LLC in 2008, a private venture capital firm specializing in investments in technology companies, and has served as its managing member since inception. Mr. Lefkofsky also co-founded InnerWorkings, Inc., Mediaocean, LLC, and Echo Global Logistics,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83" w:lineRule="exact"/>
        <w:rPr>
          <w:sz w:val="20"/>
          <w:szCs w:val="20"/>
          <w:color w:val="auto"/>
        </w:rPr>
      </w:pPr>
    </w:p>
    <w:p>
      <w:pPr>
        <w:jc w:val="both"/>
        <w:ind w:firstLine="454"/>
        <w:spacing w:after="0" w:line="30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Ryan Fukushima </w:t>
      </w:r>
      <w:r>
        <w:rPr>
          <w:rFonts w:ascii="Times New Roman" w:cs="Times New Roman" w:eastAsia="Times New Roman" w:hAnsi="Times New Roman"/>
          <w:sz w:val="16"/>
          <w:szCs w:val="16"/>
          <w:color w:val="auto"/>
        </w:rPr>
        <w:t>has served as our Chief Operating Officer since September 2015. Prior to joining us, Mr. Fukushima was an Entrepreneur-in-Residence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Vice President at Lightbank LLC, a private venture capital firm specializing in investments in technology companies, from February 2014 to September 2015. Mr. Fukushima holds a B.S. from California Polytechnic University and a M.B.A. from the Ross School of Business at the University of Michigan.</w:t>
      </w:r>
    </w:p>
    <w:p>
      <w:pPr>
        <w:spacing w:after="0" w:line="139"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boards of directors of Berkshire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Grey, Inc. since April 2016, Sprout Social, Inc. since February 2011 and Groupon since January 2008.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Insulet Corp since October 2020, Forma Therapeutics Holdings, Inc. since July 2020, and Humana Inc. since February 2020. He also serves on the boards of directors of privately held companies and charitable organizations. Dr. Frederick is the President of Howard University, having held this position since July 2014, and also serves as the Charles R. Drew Endowed Chair of Surgery at Howard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7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Senior Partner at Novo Holdings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Inc. which provides consulting services to Novo Holdings A/S. Since January 2018, Mr. Ghenchev has also served as Head of Novo Growth at Novo Holdings A/S. Prior to joining Novo Holdings, Mr. Ghenchev served as a Senior Vice President at Moelis &amp; Company in London where he focused on mergers and acquisitions within the healthcare industry, from April 2010 to January 2018. Mr. Ghenchev also serves on the boards of directors of a European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Special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the Capital One Arena in Washington, D.C.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37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ind w:left="460"/>
        <w:spacing w:after="0"/>
        <w:tabs>
          <w:tab w:leader="none" w:pos="8500" w:val="left"/>
        </w:tabs>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We currently have</w:t>
      </w:r>
      <w:r>
        <w:rPr>
          <w:sz w:val="20"/>
          <w:szCs w:val="20"/>
          <w:color w:val="auto"/>
        </w:rPr>
        <w:tab/>
      </w:r>
      <w:r>
        <w:rPr>
          <w:rFonts w:ascii="Times New Roman" w:cs="Times New Roman" w:eastAsia="Times New Roman" w:hAnsi="Times New Roman"/>
          <w:sz w:val="16"/>
          <w:szCs w:val="16"/>
          <w:color w:val="auto"/>
        </w:rPr>
        <w:t>directors. Each director is elected to the</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Eric Lefkofsky serves as both our Chief Executive Officer and as Chairman of our board of directors. Our corporate governance guidelines provide that one of our independent directors may serve as the lead independent director at any time that Mr. Lefkofsky or anyone else who is not an independent director is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serving as the chairman of the board of directors. Our board of directors has appointed, effective upon the completion of this offering, to serve as our lead independent director. As lead independent director, will preside at all meetings of the board of directors at which Mr. Lefkofsky is not present, will</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preside over executive sessions of our independent directors, will serve as a liaison between Mr. Lefkofksy and our independent directors, and will perform such additional duties as our board of directors may otherwise determine and delegate.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that term is defined under the listing standards of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ind w:left="460"/>
        <w:spacing w:after="0"/>
        <w:tabs>
          <w:tab w:leader="none" w:pos="5040" w:val="left"/>
          <w:tab w:leader="none" w:pos="5920" w:val="left"/>
          <w:tab w:leader="none" w:pos="6960" w:val="left"/>
        </w:tabs>
        <w:rPr>
          <w:sz w:val="20"/>
          <w:szCs w:val="20"/>
          <w:color w:val="auto"/>
        </w:rPr>
      </w:pPr>
      <w:r>
        <w:rPr>
          <w:rFonts w:ascii="Times New Roman" w:cs="Times New Roman" w:eastAsia="Times New Roman" w:hAnsi="Times New Roman"/>
          <w:sz w:val="18"/>
          <w:szCs w:val="18"/>
          <w:color w:val="auto"/>
        </w:rPr>
        <w:t>After this offering, our audit committee will consist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6"/>
          <w:szCs w:val="16"/>
          <w:color w:val="auto"/>
        </w:rPr>
        <w:t>. Our board of directors has determined that each of</w:t>
      </w:r>
    </w:p>
    <w:p>
      <w:pPr>
        <w:spacing w:after="0" w:line="21" w:lineRule="exact"/>
        <w:rPr>
          <w:sz w:val="20"/>
          <w:szCs w:val="20"/>
          <w:color w:val="auto"/>
        </w:rPr>
      </w:pPr>
    </w:p>
    <w:p>
      <w:pPr>
        <w:spacing w:after="0"/>
        <w:tabs>
          <w:tab w:leader="none" w:pos="4120" w:val="left"/>
        </w:tabs>
        <w:rPr>
          <w:sz w:val="20"/>
          <w:szCs w:val="20"/>
          <w:color w:val="auto"/>
        </w:rPr>
      </w:pPr>
      <w:r>
        <w:rPr>
          <w:rFonts w:ascii="Times New Roman" w:cs="Times New Roman" w:eastAsia="Times New Roman" w:hAnsi="Times New Roman"/>
          <w:sz w:val="18"/>
          <w:szCs w:val="18"/>
          <w:color w:val="auto"/>
        </w:rPr>
        <w:t>satisfies the independence requirements under</w:t>
      </w:r>
      <w:r>
        <w:rPr>
          <w:sz w:val="20"/>
          <w:szCs w:val="20"/>
          <w:color w:val="auto"/>
        </w:rPr>
        <w:tab/>
      </w:r>
      <w:r>
        <w:rPr>
          <w:rFonts w:ascii="Times New Roman" w:cs="Times New Roman" w:eastAsia="Times New Roman" w:hAnsi="Times New Roman"/>
          <w:sz w:val="16"/>
          <w:szCs w:val="16"/>
          <w:color w:val="auto"/>
        </w:rPr>
        <w:t>listing standards and Rule 10A-3(b)(1) of the Exchange Act. The chair of our audit committee will be</w:t>
      </w:r>
    </w:p>
    <w:p>
      <w:pPr>
        <w:spacing w:after="0" w:line="3" w:lineRule="exact"/>
        <w:rPr>
          <w:sz w:val="20"/>
          <w:szCs w:val="20"/>
          <w:color w:val="auto"/>
        </w:rPr>
      </w:pPr>
    </w:p>
    <w:p>
      <w:pPr>
        <w:jc w:val="both"/>
        <w:ind w:firstLine="726"/>
        <w:spacing w:after="0" w:line="245" w:lineRule="auto"/>
        <w:tabs>
          <w:tab w:leader="none" w:pos="81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ectPr>
          <w:pgSz w:w="11900" w:h="16838" w:orient="portrait"/>
          <w:cols w:equalWidth="0" w:num="1">
            <w:col w:w="11340"/>
          </w:cols>
          <w:pgMar w:left="320" w:top="448" w:right="239" w:bottom="1440" w:gutter="0" w:footer="0" w:header="0"/>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committee will operate under a written charter, to be effective prior to the closing of this offering, that satisfies the applicable listing standards of</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20" w:space="240"/>
            <w:col w:w="10880"/>
          </w:cols>
          <w:pgMar w:left="320" w:top="448" w:right="239" w:bottom="1440" w:gutter="0" w:footer="0" w:header="0"/>
          <w:type w:val="continuous"/>
        </w:sectPr>
      </w:pPr>
    </w:p>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ectPr>
          <w:pgSz w:w="11900" w:h="16838" w:orient="portrait"/>
          <w:cols w:equalWidth="0" w:num="1">
            <w:col w:w="11340"/>
          </w:cols>
          <w:pgMar w:left="320" w:top="448" w:right="239" w:bottom="1440" w:gutter="0" w:footer="0" w:header="0"/>
          <w:type w:val="continuous"/>
        </w:sectPr>
      </w:pPr>
    </w:p>
    <w:p>
      <w:pPr>
        <w:spacing w:after="0" w:line="135" w:lineRule="exact"/>
        <w:rPr>
          <w:sz w:val="20"/>
          <w:szCs w:val="20"/>
          <w:color w:val="auto"/>
        </w:rPr>
      </w:pPr>
    </w:p>
    <w:p>
      <w:pPr>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board of directors has determined that each of and defined in Rule 16b-3 promulgated under the Exchange 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firstLine="316"/>
        <w:spacing w:after="0" w:line="267" w:lineRule="auto"/>
        <w:rPr>
          <w:sz w:val="20"/>
          <w:szCs w:val="20"/>
          <w:color w:val="auto"/>
        </w:rPr>
      </w:pPr>
      <w:r>
        <w:rPr>
          <w:rFonts w:ascii="Times New Roman" w:cs="Times New Roman" w:eastAsia="Times New Roman" w:hAnsi="Times New Roman"/>
          <w:sz w:val="18"/>
          <w:szCs w:val="18"/>
          <w:color w:val="auto"/>
        </w:rPr>
        <w:t>and . The chair of our compensation committee will be . Our is independent under listing standards and a “non-employee director” as</w:t>
      </w:r>
    </w:p>
    <w:p>
      <w:pPr>
        <w:spacing w:after="0" w:line="379" w:lineRule="exact"/>
        <w:rPr>
          <w:sz w:val="20"/>
          <w:szCs w:val="20"/>
          <w:color w:val="auto"/>
        </w:rPr>
      </w:pPr>
    </w:p>
    <w:p>
      <w:pPr>
        <w:sectPr>
          <w:pgSz w:w="11900" w:h="16838" w:orient="portrait"/>
          <w:cols w:equalWidth="0" w:num="2">
            <w:col w:w="4880" w:space="480"/>
            <w:col w:w="5980"/>
          </w:cols>
          <w:pgMar w:left="320" w:top="448"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compensation committee will operate under a written charter, to be effective prior to the closing of this offering, that satisfies the applicable listing</w:t>
      </w:r>
    </w:p>
    <w:p>
      <w:pPr>
        <w:spacing w:after="0" w:line="44"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standards of the</w:t>
      </w:r>
      <w:r>
        <w:rPr>
          <w:sz w:val="20"/>
          <w:szCs w:val="20"/>
          <w:color w:val="auto"/>
        </w:rPr>
        <w:tab/>
      </w:r>
      <w:r>
        <w:rPr>
          <w:rFonts w:ascii="Times New Roman" w:cs="Times New Roman" w:eastAsia="Times New Roman" w:hAnsi="Times New Roman"/>
          <w:sz w:val="16"/>
          <w:szCs w:val="16"/>
          <w:color w:val="auto"/>
        </w:rPr>
        <w:t>.</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and . The chair of our nominating and corporate governance committee will be . Our board of directors has determined that each member of the nominating and corporate governance committee is independent under listing standards.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nominating and corporate governance committee will operate under a written charter, to be effective prior to the closing of this offering, that satisfies</w:t>
      </w:r>
    </w:p>
    <w:p>
      <w:pPr>
        <w:spacing w:after="0" w:line="44"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8"/>
          <w:szCs w:val="18"/>
          <w:color w:val="auto"/>
        </w:rPr>
        <w:t>the applicable listing standards of the</w:t>
      </w:r>
      <w:r>
        <w:rPr>
          <w:sz w:val="20"/>
          <w:szCs w:val="20"/>
          <w:color w:val="auto"/>
        </w:rPr>
        <w:tab/>
      </w:r>
      <w:r>
        <w:rPr>
          <w:rFonts w:ascii="Times New Roman" w:cs="Times New Roman" w:eastAsia="Times New Roman" w:hAnsi="Times New Roman"/>
          <w:sz w:val="16"/>
          <w:szCs w:val="16"/>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2020:</w:t>
      </w:r>
    </w:p>
    <w:p>
      <w:pPr>
        <w:spacing w:after="0" w:line="24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vMerge w:val="restart"/>
          </w:tcPr>
          <w:p>
            <w:pPr>
              <w:spacing w:after="0"/>
              <w:rPr>
                <w:sz w:val="13"/>
                <w:szCs w:val="13"/>
                <w:color w:val="auto"/>
              </w:rPr>
            </w:pPr>
          </w:p>
        </w:tc>
        <w:tc>
          <w:tcPr>
            <w:tcW w:w="2500" w:type="dxa"/>
            <w:vAlign w:val="bottom"/>
          </w:tcPr>
          <w:p>
            <w:pPr>
              <w:spacing w:after="0"/>
              <w:rPr>
                <w:sz w:val="13"/>
                <w:szCs w:val="13"/>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80" w:type="dxa"/>
            <w:vAlign w:val="bottom"/>
          </w:tcPr>
          <w:p>
            <w:pPr>
              <w:spacing w:after="0"/>
              <w:rPr>
                <w:sz w:val="13"/>
                <w:szCs w:val="13"/>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188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Paid in Cash</w:t>
            </w: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r>
              <w:rPr>
                <w:rFonts w:ascii="Times New Roman" w:cs="Times New Roman" w:eastAsia="Times New Roman" w:hAnsi="Times New Roman"/>
                <w:sz w:val="14"/>
                <w:szCs w:val="14"/>
                <w:color w:val="auto"/>
              </w:rPr>
              <w:t>(2)</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18,750</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18,750</w:t>
            </w: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100,000</w:t>
            </w: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r>
              <w:rPr>
                <w:rFonts w:ascii="Times New Roman" w:cs="Times New Roman" w:eastAsia="Times New Roman" w:hAnsi="Times New Roman"/>
                <w:sz w:val="14"/>
                <w:szCs w:val="14"/>
                <w:color w:val="auto"/>
              </w:rPr>
              <w:t>(3)</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jc w:val="both"/>
        <w:ind w:left="460" w:hanging="455"/>
        <w:spacing w:after="0" w:line="248"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and as of the year ended December 31, 2020, none of our non-employee directors received or held stock awards under our 2015 Plan, except Mr. Barris, who, as of December 31, 2020, held a restricted stock award of 100,000 shares of our Class A common stock, one fourth of which vest on September 7, 2018,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2"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Doudna joined our board of directors in April 2021.</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West joined our board of directors in April 2021.</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intend to adopt a non-employee director compensation policy in connection with this offering on terms to be determined by our board of directors. Under the non-employee director policy, our non-employee directors will be eligible to receive compensation for service on our board of directors and committees of our board of directors.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were:</w:t>
      </w:r>
    </w:p>
    <w:p>
      <w:pPr>
        <w:spacing w:after="0" w:line="103" w:lineRule="exact"/>
        <w:rPr>
          <w:sz w:val="20"/>
          <w:szCs w:val="20"/>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Erik Phelps, Executive Vice President and Chief Administrative and Legal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Vanessa Rollings, former Chief Financial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Summary Compensation Table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for the year ended December 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60" w:type="dxa"/>
            <w:vAlign w:val="bottom"/>
          </w:tcPr>
          <w:p>
            <w:pPr>
              <w:spacing w:after="0"/>
              <w:rPr>
                <w:sz w:val="13"/>
                <w:szCs w:val="13"/>
                <w:color w:val="auto"/>
              </w:rPr>
            </w:pPr>
          </w:p>
        </w:tc>
        <w:tc>
          <w:tcPr>
            <w:tcW w:w="1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3"/>
                <w:szCs w:val="13"/>
                <w:color w:val="auto"/>
              </w:rPr>
            </w:pPr>
          </w:p>
        </w:tc>
        <w:tc>
          <w:tcPr>
            <w:tcW w:w="1800" w:type="dxa"/>
            <w:vAlign w:val="bottom"/>
            <w:gridSpan w:val="2"/>
          </w:tcPr>
          <w:p>
            <w:pPr>
              <w:jc w:val="right"/>
              <w:ind w:right="112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6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9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3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525</w:t>
            </w:r>
          </w:p>
        </w:tc>
        <w:tc>
          <w:tcPr>
            <w:tcW w:w="1040" w:type="dxa"/>
            <w:vAlign w:val="bottom"/>
            <w:tcBorders>
              <w:top w:val="single" w:sz="8" w:color="CCEEFF"/>
            </w:tcBorders>
            <w:shd w:val="clear" w:color="auto" w:fill="CCEEFF"/>
          </w:tcPr>
          <w:p>
            <w:pPr>
              <w:jc w:val="right"/>
              <w:ind w:right="806"/>
              <w:spacing w:after="0"/>
              <w:rPr>
                <w:sz w:val="20"/>
                <w:szCs w:val="20"/>
                <w:color w:val="auto"/>
              </w:rPr>
            </w:pPr>
            <w:r>
              <w:rPr>
                <w:rFonts w:ascii="Times New Roman" w:cs="Times New Roman" w:eastAsia="Times New Roman" w:hAnsi="Times New Roman"/>
                <w:sz w:val="15"/>
                <w:szCs w:val="15"/>
                <w:color w:val="auto"/>
                <w:w w:val="79"/>
              </w:rPr>
              <w:t>(2)</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70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546,354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103,250</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26"/>
              <w:spacing w:after="0"/>
              <w:rPr>
                <w:sz w:val="20"/>
                <w:szCs w:val="20"/>
                <w:color w:val="auto"/>
              </w:rPr>
            </w:pPr>
            <w:r>
              <w:rPr>
                <w:rFonts w:ascii="Times New Roman" w:cs="Times New Roman" w:eastAsia="Times New Roman" w:hAnsi="Times New Roman"/>
                <w:sz w:val="18"/>
                <w:szCs w:val="18"/>
                <w:color w:val="auto"/>
              </w:rPr>
              <w:t>48,681</w:t>
            </w: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698,285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i w:val="1"/>
                <w:iCs w:val="1"/>
                <w:color w:val="auto"/>
              </w:rPr>
              <w:t>Executive Vice President and Chief Administrative and Legal</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5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Vanessa Rollings</w:t>
            </w: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382,254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103,250</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6"/>
              <w:spacing w:after="0"/>
              <w:rPr>
                <w:sz w:val="20"/>
                <w:szCs w:val="20"/>
                <w:color w:val="auto"/>
              </w:rPr>
            </w:pPr>
            <w:r>
              <w:rPr>
                <w:rFonts w:ascii="Times New Roman" w:cs="Times New Roman" w:eastAsia="Times New Roman" w:hAnsi="Times New Roman"/>
                <w:sz w:val="18"/>
                <w:szCs w:val="18"/>
                <w:color w:val="auto"/>
              </w:rPr>
              <w:t>525</w:t>
            </w: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486,029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918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39" w:lineRule="exact"/>
        <w:rPr>
          <w:sz w:val="20"/>
          <w:szCs w:val="20"/>
          <w:color w:val="auto"/>
        </w:rPr>
      </w:pPr>
    </w:p>
    <w:p>
      <w:pPr>
        <w:jc w:val="both"/>
        <w:ind w:left="460" w:hanging="455"/>
        <w:spacing w:after="0" w:line="248"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represents the aggregate grant date fair value of RSUs granted to our executive officer during 2020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includes pro-rated parking fees in the amount of $525 earned during 2020 before our office closed in March 2020 due to the COVID-19 pandemic.</w:t>
      </w:r>
    </w:p>
    <w:p>
      <w:pPr>
        <w:ind w:left="460" w:hanging="455"/>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includes housing stipend in the amount of $48,126 and life insurance premiums paid in the amount of $30.</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Rollings resigned as our Chief Financial Officer, effective April 15, 2021.</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2020</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remain outstanding as of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1"/>
                <w:szCs w:val="11"/>
                <w:b w:val="1"/>
                <w:bCs w:val="1"/>
                <w:color w:val="auto"/>
              </w:rPr>
              <w:t>(1)</w:t>
            </w: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20" w:type="dxa"/>
            <w:vAlign w:val="bottom"/>
            <w:gridSpan w:val="2"/>
          </w:tcPr>
          <w:p>
            <w:pPr>
              <w:jc w:val="center"/>
              <w:ind w:right="680"/>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8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18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5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88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8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5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88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880" w:type="dxa"/>
            <w:vAlign w:val="bottom"/>
            <w:vMerge w:val="continue"/>
          </w:tcPr>
          <w:p>
            <w:pPr>
              <w:spacing w:after="0"/>
              <w:rPr>
                <w:sz w:val="15"/>
                <w:szCs w:val="15"/>
                <w:color w:val="auto"/>
              </w:rPr>
            </w:pPr>
          </w:p>
        </w:tc>
        <w:tc>
          <w:tcPr>
            <w:tcW w:w="1520" w:type="dxa"/>
            <w:vAlign w:val="bottom"/>
            <w:gridSpan w:val="2"/>
          </w:tcPr>
          <w:p>
            <w:pPr>
              <w:jc w:val="right"/>
              <w:ind w:right="76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240" w:type="dxa"/>
            <w:vAlign w:val="bottom"/>
          </w:tcPr>
          <w:p>
            <w:pPr>
              <w:spacing w:after="0"/>
              <w:rPr>
                <w:sz w:val="15"/>
                <w:szCs w:val="15"/>
                <w:color w:val="auto"/>
              </w:rPr>
            </w:pPr>
          </w:p>
        </w:tc>
        <w:tc>
          <w:tcPr>
            <w:tcW w:w="1940" w:type="dxa"/>
            <w:vAlign w:val="bottom"/>
            <w:gridSpan w:val="2"/>
          </w:tcPr>
          <w:p>
            <w:pPr>
              <w:jc w:val="right"/>
              <w:ind w:right="108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520" w:type="dxa"/>
            <w:vAlign w:val="bottom"/>
            <w:gridSpan w:val="2"/>
          </w:tcPr>
          <w:p>
            <w:pPr>
              <w:jc w:val="center"/>
              <w:ind w:right="660"/>
              <w:spacing w:after="0" w:line="156" w:lineRule="exact"/>
              <w:rPr>
                <w:sz w:val="20"/>
                <w:szCs w:val="20"/>
                <w:color w:val="auto"/>
              </w:rPr>
            </w:pPr>
            <w:r>
              <w:rPr>
                <w:rFonts w:ascii="Times New Roman" w:cs="Times New Roman" w:eastAsia="Times New Roman" w:hAnsi="Times New Roman"/>
                <w:sz w:val="14"/>
                <w:szCs w:val="14"/>
                <w:b w:val="1"/>
                <w:bCs w:val="1"/>
                <w:color w:val="auto"/>
                <w:w w:val="96"/>
              </w:rPr>
              <w:t>Vested (#)</w:t>
            </w:r>
          </w:p>
        </w:tc>
        <w:tc>
          <w:tcPr>
            <w:tcW w:w="100" w:type="dxa"/>
            <w:vAlign w:val="bottom"/>
          </w:tcPr>
          <w:p>
            <w:pPr>
              <w:spacing w:after="0"/>
              <w:rPr>
                <w:sz w:val="15"/>
                <w:szCs w:val="15"/>
                <w:color w:val="auto"/>
              </w:rPr>
            </w:pPr>
          </w:p>
        </w:tc>
        <w:tc>
          <w:tcPr>
            <w:tcW w:w="78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4"/>
                <w:szCs w:val="14"/>
                <w:b w:val="1"/>
                <w:bCs w:val="1"/>
                <w:color w:val="auto"/>
                <w:w w:val="97"/>
              </w:rPr>
              <w:t>Vested</w:t>
            </w:r>
            <w:r>
              <w:rPr>
                <w:rFonts w:ascii="Times New Roman" w:cs="Times New Roman" w:eastAsia="Times New Roman" w:hAnsi="Times New Roman"/>
                <w:sz w:val="11"/>
                <w:szCs w:val="11"/>
                <w:b w:val="1"/>
                <w:bCs w:val="1"/>
                <w:color w:val="auto"/>
                <w:w w:val="97"/>
              </w:rPr>
              <w:t>(2)</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 Phelps</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May 1, 2017</w:t>
            </w:r>
          </w:p>
        </w:tc>
        <w:tc>
          <w:tcPr>
            <w:tcW w:w="240" w:type="dxa"/>
            <w:vAlign w:val="bottom"/>
          </w:tcPr>
          <w:p>
            <w:pPr>
              <w:spacing w:after="0"/>
              <w:rPr>
                <w:sz w:val="24"/>
                <w:szCs w:val="24"/>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December 31, 2017</w:t>
            </w: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9,627,000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February 24, 2018</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25,000</w:t>
            </w: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802,250</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40" w:type="dxa"/>
            <w:vAlign w:val="bottom"/>
          </w:tcPr>
          <w:p>
            <w:pPr>
              <w:spacing w:after="0"/>
              <w:rPr>
                <w:sz w:val="18"/>
                <w:szCs w:val="18"/>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February 1, 2019</w:t>
            </w: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10,000</w:t>
            </w: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320,900</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15, 2020</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February 1, 2020</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12,500</w:t>
            </w: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401,125</w:t>
            </w:r>
          </w:p>
        </w:tc>
        <w:tc>
          <w:tcPr>
            <w:tcW w:w="0" w:type="dxa"/>
            <w:vAlign w:val="bottom"/>
          </w:tcPr>
          <w:p>
            <w:pPr>
              <w:spacing w:after="0"/>
              <w:rPr>
                <w:sz w:val="1"/>
                <w:szCs w:val="1"/>
                <w:color w:val="auto"/>
              </w:rPr>
            </w:pPr>
          </w:p>
        </w:tc>
      </w:tr>
      <w:tr>
        <w:trPr>
          <w:trHeight w:val="315"/>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Vanessa Rollings</w:t>
            </w:r>
            <w:r>
              <w:rPr>
                <w:rFonts w:ascii="Times New Roman" w:cs="Times New Roman" w:eastAsia="Times New Roman" w:hAnsi="Times New Roman"/>
                <w:sz w:val="14"/>
                <w:szCs w:val="14"/>
                <w:color w:val="auto"/>
              </w:rPr>
              <w:t>(5)</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October 25, 2018</w:t>
            </w:r>
          </w:p>
        </w:tc>
        <w:tc>
          <w:tcPr>
            <w:tcW w:w="240" w:type="dxa"/>
            <w:vAlign w:val="bottom"/>
          </w:tcPr>
          <w:p>
            <w:pPr>
              <w:spacing w:after="0"/>
              <w:rPr>
                <w:sz w:val="24"/>
                <w:szCs w:val="24"/>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September 4, 2018</w:t>
            </w: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275,000</w:t>
            </w: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8,824,750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15, 2020</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February 1, 2020</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12,500</w:t>
            </w: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401,125</w:t>
            </w: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6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918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60" w:hanging="455"/>
        <w:spacing w:after="0" w:line="255"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granted pursuant to our 2015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Plans—2015 Stock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ind w:left="460" w:hanging="455"/>
        <w:spacing w:after="0" w:line="243"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$32.09 as of December 31, 2020 as determined by our board of directors, multiplied by the amount shown in the column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Number of Shares or Units of Stock that Have Not Vested.”</w:t>
      </w:r>
    </w:p>
    <w:p>
      <w:pPr>
        <w:jc w:val="both"/>
        <w:ind w:left="460" w:hanging="455"/>
        <w:spacing w:after="0" w:line="243"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December 31, 2017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 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4"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Rollings resigned as our Chief Financial Officer, effective April 15, 2021. Pursuant to the terms of Ms. Rollings’ separation agreement, which is described below, Ms. Rollings’ RSUs will continue to vest through September 4, 2021, such that as of September 4, 2021, 235,730 RSUs subject to the award granted on October 25, 2018 will have satisfied the service-based vesting condition, and 4,688 RSUs subject to the award granted on April 15, 2020 will have satisfied the service-based vesting condition.</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2021 Equity Incentive Plan, as amended, or the 2021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Plans—2021 Equity Incentive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the completion of this offering, we will enter into revised employment agreements with each of our named executive officers setting forth the terms and conditions of such executive’s employment with us. The employment agreements generally will provide for at-will employment and set forth the executive officer’s initial base salary. Each of our named executive officers has also executed our standard form of proprietary information and inventions assignment agreement.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Mr. Lefkofsky’s employment is at will and may be terminated at any time, with or without cause. We do not currently pay Mr. Lefkofsky a salary. Prior to the completion of this offering, we will enter into an employment agreement with Mr. Lefkofsky.</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Erik Phelps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Mr. Phelps’s employment is at will and may be terminated at any time, with or without cause. Prior to the completion of this offering, we will enter into an employment agreement with Mr. Phelps.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Vanessa Rollings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June 2018, we entered into an offer letter with Ms. Rollings, our former Chief Financial Officer. The offer letter provided for Ms. Rollings’s at-will employment, base compensation, RSU award and her ability to participate in our employee benefit plans generally. Ms. Rollings’s offer letter also provided that if her employment was terminated by us without cause, Ms. Rollings would be entitled to a severance benefit equal to six months of her base salary for the then-current year and six-month additional vesting of her RSU award.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Arrangement</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Vanessa Rollings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In connection with the termination of her employment, we entered into a separation and release of claims agreement with Ms. Rollings, effective March 2, 2021. Ms. Rollings’s last day of employment was April 15, 2021. The separation agreement provides for Ms. Rollings to receive (i) continuation of her base salary through August 15, 2021 (effective March 2, 2021, her base salary was increased from $385,000 to $400,000), (ii) payment of the company portion of health insurance premiums through August 15, 2021 and (iii) continuation of vesting of her RSU grants through September 4, 2021. Such severance benefits superseded and replaced in their entirety all severance benefits that would otherwise apply under the terms of her offer letter dated June 2018.</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board of directors intends to adopt the 2021 Equity Incentive Plan, or the 2021 Plan, that will become effective on the date of the underwriting agreement related to this offering. Our 2021 Plan will come into existence upon its adoption by our board of directors, but no grants will be made under our 2021 Plan prior to its effectiveness. Once our 2021 Plan becomes effective, no further grants will be made under our 2015 Plan.</w:t>
      </w:r>
    </w:p>
    <w:p>
      <w:pPr>
        <w:spacing w:after="0" w:line="17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2021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maximum number of shares of our Class A common stock that may be issued under our 2021 Plan is shares of our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is the sum of: (i) new shares, plus (ii) up to shares of our Class A common stock subject to awards granted under our</w:t>
      </w:r>
    </w:p>
    <w:p>
      <w:pPr>
        <w:jc w:val="both"/>
        <w:spacing w:after="0" w:line="243" w:lineRule="auto"/>
        <w:rPr>
          <w:sz w:val="20"/>
          <w:szCs w:val="20"/>
          <w:color w:val="auto"/>
        </w:rPr>
      </w:pPr>
      <w:r>
        <w:rPr>
          <w:rFonts w:ascii="Times New Roman" w:cs="Times New Roman" w:eastAsia="Times New Roman" w:hAnsi="Times New Roman"/>
          <w:sz w:val="18"/>
          <w:szCs w:val="18"/>
          <w:color w:val="auto"/>
        </w:rPr>
        <w:t>2015 Plan that, after the effective date of our 2021 Plan, expire or otherwise terminate without having been exercised in full or are forfeited to or repurchased by us. The number of shares of our Class A common stock reserved for issuance under our 2021 Plan will automatically increase on January 1 of each year, beginning on January 1, 2022, and continuing through and including January 1, 2031, by % of the aggregate number of shares of common stock (both Class A and Class B) outstanding on December 31 of the preceding calendar year, or a lesser number of shares determined by our board of directors prior to the</w:t>
      </w:r>
    </w:p>
    <w:p>
      <w:pPr>
        <w:spacing w:after="0" w:line="2"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18"/>
          <w:szCs w:val="18"/>
          <w:color w:val="auto"/>
        </w:rPr>
        <w:t>applicable January 1. The maximum number of shares that may be issued upon the exercise of ISOs under our 2021 Plan is</w:t>
      </w:r>
      <w:r>
        <w:rPr>
          <w:sz w:val="20"/>
          <w:szCs w:val="20"/>
          <w:color w:val="auto"/>
        </w:rPr>
        <w:tab/>
      </w:r>
      <w:r>
        <w:rPr>
          <w:rFonts w:ascii="Times New Roman" w:cs="Times New Roman" w:eastAsia="Times New Roman" w:hAnsi="Times New Roman"/>
          <w:sz w:val="16"/>
          <w:szCs w:val="16"/>
          <w:color w:val="auto"/>
        </w:rPr>
        <w:t>shares.</w:t>
      </w:r>
    </w:p>
    <w:p>
      <w:pPr>
        <w:spacing w:after="0" w:line="19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2021 Plan will be authorized but unissued or reacquired shares of Class A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2021 Plan or otherwise during any calendar year beginning in 2022 to any non-employee director, taken together with any cash fees paid by us to such non-employee director during such calendar year for service on the board of directors, will not exceed $ in total value (calculating the value of any such stock awards based on the grant date fair value of such stock awards for financial reporting purposes), or, with respect to the calendar year in which a non-employee director is first appointed or elected to our board of directors, $ .</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2021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2021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2021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14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our Class A common stock with respect to ISOs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for the first time by an option holder during any calendar</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2021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9"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2021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7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2021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2021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2021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2021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2021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 terminated.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November 2020. The 2015 Plan provides for the grant of ISOs, NSOs, restricted stock awards, RSUs,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 2021, there were shares of common stock issuable upon the vesting and settlement of RSUs outstanding under the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there were shares of common stock issuable upon the exercise of stock options outstanding under the 2015 Plan at an exercise price of $ per share, no options to purchase shares of our common stock had been exercised, and shares of common stock were available for future</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issuance under the 2015 Plan. On and after the effective date of the 2021 Plan described above, we will grant no further stock options or other awards under the 2015 Plan.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Subject to certain adjustments as provided in the 2015 Plan, the maximum aggregate number of shares of our Class A common stock</w:t>
      </w:r>
    </w:p>
    <w:p>
      <w:pPr>
        <w:spacing w:after="0" w:line="4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that may be issued pursuant to awards under the 2015 Plan will not exceed shares. The maximum number of shares of Class A common stock that may be issued pursuant to the exercise of ISOs under our 2015 Plan is shares. Shares issued under our 2015 Plan will consist of authorized but unissued or</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8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 ISOs and NSOs granted under the 2015 Plan are evidenced by award agreements established by our board of directors.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37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 satisfied on the first to occur of: (1) a change in control (as described below) or (2) the effective date of 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registration statement under the Securities Act of 1933, as amended, or the Securities Act, for the sale of our Class A common stock, or the Liquidity Event Date.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 awards vest as follows:</w:t>
      </w:r>
    </w:p>
    <w:p>
      <w:pPr>
        <w:spacing w:after="0" w:line="103" w:lineRule="exact"/>
        <w:rPr>
          <w:sz w:val="20"/>
          <w:szCs w:val="20"/>
          <w:color w:val="auto"/>
        </w:rPr>
      </w:pPr>
    </w:p>
    <w:p>
      <w:pPr>
        <w:ind w:left="1000" w:hanging="549"/>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also granted Performance-Vesting Restricted Stock Unit awards, or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2018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D Convertible Preferred Stock Financing</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March 2018, we sold 8,534,330 shares of our Series D convertible preferred stock at a price per share of $9.3739, for an aggregate purchase price of approximately $80.0 million in private placements to accredited investors. The table below sets forth the number of shares of our Series D convertible preferred stock purchased by our executive officers, directors, holders of more than 5% of our capital stock and their affiliated entities or immediate family members. Each</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share of Series D convertible preferred stock will automatically convert into shares of our Class A common stock immediately prior to the closing of this offering. The holders of our Series D convertible preferred stock listed below are entitled to specified registration rights. See the section titled “Description of Capital Stock—Registration Rights” for additional information regarding these registration rights.</w:t>
      </w:r>
    </w:p>
    <w:p>
      <w:pPr>
        <w:spacing w:after="0" w:line="213"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460" w:type="dxa"/>
            <w:vAlign w:val="bottom"/>
            <w:vMerge w:val="restart"/>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D Shares</w:t>
            </w:r>
          </w:p>
        </w:tc>
        <w:tc>
          <w:tcPr>
            <w:tcW w:w="4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460" w:type="dxa"/>
            <w:vAlign w:val="bottom"/>
            <w:vMerge w:val="continue"/>
          </w:tcPr>
          <w:p>
            <w:pPr>
              <w:spacing w:after="0"/>
              <w:rPr>
                <w:sz w:val="20"/>
                <w:szCs w:val="20"/>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Innovation Group Investors, L.P. – 2011 Series</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533,395</w:t>
            </w: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4,999,991.39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Enterprise Associates 16, L.P.</w:t>
            </w:r>
            <w:r>
              <w:rPr>
                <w:rFonts w:ascii="Times New Roman" w:cs="Times New Roman" w:eastAsia="Times New Roman" w:hAnsi="Times New Roman"/>
                <w:sz w:val="14"/>
                <w:szCs w:val="14"/>
                <w:color w:val="auto"/>
              </w:rPr>
              <w:t>(2)</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1,066,791</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9,999,992.15</w:t>
            </w: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Tempus Series D Investments, LLC</w:t>
            </w:r>
            <w:r>
              <w:rPr>
                <w:rFonts w:ascii="Times New Roman" w:cs="Times New Roman" w:eastAsia="Times New Roman" w:hAnsi="Times New Roman"/>
                <w:sz w:val="14"/>
                <w:szCs w:val="14"/>
                <w:color w:val="auto"/>
              </w:rPr>
              <w:t>(1)</w:t>
            </w: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2,133,583</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19,999,993.68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53"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Innovation Group Investors, L.P. – 2011 Series and Tempus Series D Investments, LLC is controlled by Eric Lefkofsky, our Chief Executive Officer, Founder and Chairman.</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New Enterprise Associates 16, L.P., or NEA, at the time of this transaction.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E Convertible Preferred Stock Financing</w:t>
      </w:r>
    </w:p>
    <w:p>
      <w:pPr>
        <w:spacing w:after="0" w:line="11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From August 2018 through April 2019, we sold an aggregate of 6,630,905 shares of our Series E convertible preferred stock at a price per share of $16.7428, for an aggregate purchase price of approximately $111.0 million in private placements to accredited investors. During this period, we issued a total of 7,517,209 shares of our Series E convertible preferred stock, of which 886,304 shares were repurchased from Tempus Series E Investments, LLC at the original issue price per share, for an aggregate repurchase price of approximately $14.8 million, in order to accommodate the issuance and sale of shares of our Series E convertible preferred stock to additional purchasers. The table below sets forth the number of shares of our Series E convertible preferred stock purchased by our executive officers, directors, holders of more than 5% of our capital stock and their affiliated entities or immediate family members. Each share of Series E</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convertible preferred stock will automatically convert into shares of our Class A common stock immediately prior to the closing of this offering. The holders of our Series E convertible preferred stock listed below are entitled to specified registration rights. See the section titled “Description of Capital Stock— Registration Rights” for additional information regarding these registration rights.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95"/>
        </w:trPr>
        <w:tc>
          <w:tcPr>
            <w:tcW w:w="71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8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E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4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New Enterprise Associates 16, L.P.</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358,362</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5,999,983.29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Revolution Growth III, LP</w:t>
            </w:r>
            <w:r>
              <w:rPr>
                <w:rFonts w:ascii="Times New Roman" w:cs="Times New Roman" w:eastAsia="Times New Roman" w:hAnsi="Times New Roman"/>
                <w:sz w:val="14"/>
                <w:szCs w:val="14"/>
                <w:color w:val="auto"/>
              </w:rPr>
              <w:t>(2)</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597,271</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9,999,988.90</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Tempus Series E Investments, LLC</w:t>
            </w:r>
            <w:r>
              <w:rPr>
                <w:rFonts w:ascii="Times New Roman" w:cs="Times New Roman" w:eastAsia="Times New Roman" w:hAnsi="Times New Roman"/>
                <w:sz w:val="14"/>
                <w:szCs w:val="14"/>
                <w:color w:val="auto"/>
              </w:rPr>
              <w:t>(3)</w:t>
            </w:r>
          </w:p>
        </w:tc>
        <w:tc>
          <w:tcPr>
            <w:tcW w:w="1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1,134,816</w:t>
            </w:r>
            <w:r>
              <w:rPr>
                <w:rFonts w:ascii="Times New Roman" w:cs="Times New Roman" w:eastAsia="Times New Roman" w:hAnsi="Times New Roman"/>
                <w:sz w:val="14"/>
                <w:szCs w:val="14"/>
                <w:color w:val="auto"/>
              </w:rPr>
              <w:t>(4)</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18,999,997.32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Theodore J. Leonsis, a member of our board of directors, is a founder and partner at Revolution Growth..</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E Investments,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E Investments, LLC purchased an aggregate of 1,134,816 shares of our Series E convertible preferred stock, of which 886,304 shares were repurchased by us in April 2019. See the section titled “—Repurchases of Equity Securities—Redemptions of Preferred Stock” below. . As a result, Tempus Series E Investments, LLC currently owns 248,512 shares of our Series E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F Convertible Preferred Stock Financing</w:t>
      </w:r>
    </w:p>
    <w:p>
      <w:pPr>
        <w:spacing w:after="0" w:line="11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From April through July 2019, we sold an aggregate of 8,077,674 shares of our Series F convertible preferred stock at a price per share of $24.7596, for an aggregate purchase price of approximately $200.0 million in private placements to accredited investors. During this period, we issued a total of 8,677,006 shares of our Series F convertible preferred stock, of which an aggregate of 599,332 shares of our Series F convertible preferred stock were repurchased from Tempus Series F Investments, LLC in May and July 2019 at the original issue price per share, for an aggregate repurchase price of approximately $14.8 million, in order to accommodate the issuance and sale of shares of our Series F convertible preferred stock to additional purchasers. The table below sets forth the number of shares of our Series F convertible preferred stock purchased by our executive officers, directors, holders of more than 5% of our capital stock and their affiliated</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entities or immediate family members. Each share of Series F convertible preferred stock will automatically convert into shares of our Class A common stock in connection with the closing of this offering. The holders of our Series F convertible preferred stock listed below are entitled to specified registration rights. See the section titled “Description of Capital Stock—Registration Rights” for additional information regarding these registration rights.</w:t>
      </w:r>
    </w:p>
    <w:p>
      <w:pPr>
        <w:spacing w:after="0" w:line="213"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240" w:type="dxa"/>
            <w:vAlign w:val="bottom"/>
            <w:vMerge w:val="restart"/>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4"/>
              </w:rPr>
              <w:t>F Shares</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240" w:type="dxa"/>
            <w:vAlign w:val="bottom"/>
            <w:vMerge w:val="continue"/>
          </w:tcPr>
          <w:p>
            <w:pPr>
              <w:spacing w:after="0"/>
              <w:rPr>
                <w:sz w:val="20"/>
                <w:szCs w:val="20"/>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New Enterprise Associates 16, L.P.</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403,883</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9,999,981.53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Revolution Growth III, LP</w:t>
            </w:r>
            <w:r>
              <w:rPr>
                <w:rFonts w:ascii="Times New Roman" w:cs="Times New Roman" w:eastAsia="Times New Roman" w:hAnsi="Times New Roman"/>
                <w:sz w:val="14"/>
                <w:szCs w:val="14"/>
                <w:color w:val="auto"/>
              </w:rPr>
              <w:t>(2)</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201,941</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4,999,978.38</w:t>
            </w:r>
          </w:p>
        </w:tc>
        <w:tc>
          <w:tcPr>
            <w:tcW w:w="0" w:type="dxa"/>
            <w:vAlign w:val="bottom"/>
          </w:tcPr>
          <w:p>
            <w:pPr>
              <w:spacing w:after="0"/>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Tempus Series F Investments, LLC</w:t>
            </w:r>
            <w:r>
              <w:rPr>
                <w:rFonts w:ascii="Times New Roman" w:cs="Times New Roman" w:eastAsia="Times New Roman" w:hAnsi="Times New Roman"/>
                <w:sz w:val="14"/>
                <w:szCs w:val="14"/>
                <w:color w:val="auto"/>
              </w:rPr>
              <w:t>(3)</w:t>
            </w:r>
          </w:p>
        </w:tc>
        <w:tc>
          <w:tcPr>
            <w:tcW w:w="1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599,332</w:t>
            </w:r>
            <w:r>
              <w:rPr>
                <w:rFonts w:ascii="Times New Roman" w:cs="Times New Roman" w:eastAsia="Times New Roman" w:hAnsi="Times New Roman"/>
                <w:sz w:val="14"/>
                <w:szCs w:val="14"/>
                <w:color w:val="auto"/>
              </w:rPr>
              <w:t>(4)</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14,839,220.59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918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5" w:lineRule="exact"/>
        <w:rPr>
          <w:sz w:val="20"/>
          <w:szCs w:val="20"/>
          <w:color w:val="auto"/>
        </w:rPr>
      </w:pPr>
    </w:p>
    <w:p>
      <w:pPr>
        <w:ind w:left="460" w:hanging="455"/>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Theodore J. Leonsis, a member of our board of directors, is a founder and partner at Revolution Growth.</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F Investments,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91" w:lineRule="auto"/>
        <w:tabs>
          <w:tab w:leader="none" w:pos="4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Series F Investments, LLC purchased an aggregate of 599,332 shares of our Series F convertible preferred stock, of which 203,521 shares were repurchased by us in May 2019 and the remaining 395,811 shares were repurchased by us in July 2019. See the section titled “—Repurchases of Equity Securities—Redemptions of Preferred Stock” below. As a result, Tempus Series F Investments, LLC is no longer a stockholder of our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3"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 Convertible Preferred Stock Financing</w:t>
      </w:r>
    </w:p>
    <w:p>
      <w:pPr>
        <w:spacing w:after="0" w:line="11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From February through April 2020, we sold an aggregate of 2,537,290 shares of our Series G convertible preferred stock at a price per share of $38.3524, for an aggregate purchase price of approximately $97.3 million in private placements to accredited investors. During this period, we issued a total of 2,667,660 shares of our Series G convertible preferred stock, of which 130,370 shares of our Series G convertible preferred stock were repurchased from Tempus Series G Investments, LLC at the original issue price per share, for an aggregate repurchase price of approximately $5.0 million, in order to accommodate the issuance and sale of shares of our Series G convertible preferred stock to an additional purchaser. The table below sets forth the number of shares of our Series G convertible preferred stock purchased by our executive officers, directors, holders of more than 5% of our capital stock and their affiliated entities or immediate family</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members. Each share of Series G convertible preferred stock will automatically convert into shares of our Class A common stock immediately prior to the closing of this offering. The holders of our Series G convertible preferred stock listed below are entitled to specified registration rights. See the section titled “Description of Capital Stock—Registration Rights” for additional information regarding these registration rights.</w:t>
      </w:r>
    </w:p>
    <w:p>
      <w:pPr>
        <w:spacing w:after="0" w:line="213"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240" w:type="dxa"/>
            <w:vAlign w:val="bottom"/>
            <w:vMerge w:val="restart"/>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G Shares</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240" w:type="dxa"/>
            <w:vAlign w:val="bottom"/>
            <w:vMerge w:val="continue"/>
          </w:tcPr>
          <w:p>
            <w:pPr>
              <w:spacing w:after="0"/>
              <w:rPr>
                <w:sz w:val="20"/>
                <w:szCs w:val="20"/>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Innovation Group Investors, L.P. – 2011 Series</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130,370</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5,000,002.38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Enterprise Associates 16, L.P.</w:t>
            </w:r>
            <w:r>
              <w:rPr>
                <w:rFonts w:ascii="Times New Roman" w:cs="Times New Roman" w:eastAsia="Times New Roman" w:hAnsi="Times New Roman"/>
                <w:sz w:val="14"/>
                <w:szCs w:val="14"/>
                <w:color w:val="auto"/>
              </w:rPr>
              <w:t>(2)</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182,517</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6,999,964.99</w:t>
            </w:r>
          </w:p>
        </w:tc>
        <w:tc>
          <w:tcPr>
            <w:tcW w:w="0" w:type="dxa"/>
            <w:vAlign w:val="bottom"/>
          </w:tcPr>
          <w:p>
            <w:pPr>
              <w:spacing w:after="0"/>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Novo Holdings A/S </w:t>
            </w:r>
            <w:r>
              <w:rPr>
                <w:rFonts w:ascii="Times New Roman" w:cs="Times New Roman" w:eastAsia="Times New Roman" w:hAnsi="Times New Roman"/>
                <w:sz w:val="14"/>
                <w:szCs w:val="14"/>
                <w:color w:val="auto"/>
              </w:rPr>
              <w:t>(3)</w:t>
            </w:r>
          </w:p>
        </w:tc>
        <w:tc>
          <w:tcPr>
            <w:tcW w:w="1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260,739</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9,999,966.42</w:t>
            </w:r>
          </w:p>
        </w:tc>
        <w:tc>
          <w:tcPr>
            <w:tcW w:w="0" w:type="dxa"/>
            <w:vAlign w:val="bottom"/>
          </w:tcPr>
          <w:p>
            <w:pPr>
              <w:spacing w:after="0"/>
              <w:rPr>
                <w:sz w:val="1"/>
                <w:szCs w:val="1"/>
                <w:color w:val="auto"/>
              </w:rPr>
            </w:pPr>
          </w:p>
        </w:tc>
      </w:tr>
      <w:tr>
        <w:trPr>
          <w:trHeight w:val="22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Tempus Series G Investments, LLC</w:t>
            </w:r>
            <w:r>
              <w:rPr>
                <w:rFonts w:ascii="Times New Roman" w:cs="Times New Roman" w:eastAsia="Times New Roman" w:hAnsi="Times New Roman"/>
                <w:sz w:val="14"/>
                <w:szCs w:val="14"/>
                <w:color w:val="auto"/>
              </w:rPr>
              <w:t>(1)</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451,378</w:t>
            </w:r>
            <w:r>
              <w:rPr>
                <w:rFonts w:ascii="Times New Roman" w:cs="Times New Roman" w:eastAsia="Times New Roman" w:hAnsi="Times New Roman"/>
                <w:sz w:val="14"/>
                <w:szCs w:val="14"/>
                <w:color w:val="auto"/>
              </w:rPr>
              <w:t>(4)</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17,311,429.61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ind w:left="460" w:hanging="455"/>
        <w:spacing w:after="0" w:line="253"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Innovation Group Investors, L.P. – 2011 Series and Tempus Series G Investments, LLC is affiliated with and controlled by Eric Lefkofsky, our Chief Executive Officer, Founder and Chairman.</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G Investments, LLC purchased an aggregate of 451,378 shares of our Series G convertible preferred stock, of which 130,370 shares were repurchased by us in April 2020. See the section titled “—Repurchases of Equity Securities—Redemptions of Preferred Stock” below. As a result, Tempus Series G Investments, LLC currently owns 321,008 shares of our Series G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members. Each share of Series G-2 convertible preferred stock will automatically convert into shares of our Class A common stock immediately prior to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95"/>
        </w:trPr>
        <w:tc>
          <w:tcPr>
            <w:tcW w:w="71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8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5"/>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4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Novo Holdings A/S</w:t>
            </w:r>
            <w:r>
              <w:rPr>
                <w:rFonts w:ascii="Times New Roman" w:cs="Times New Roman" w:eastAsia="Times New Roman" w:hAnsi="Times New Roman"/>
                <w:sz w:val="14"/>
                <w:szCs w:val="14"/>
                <w:color w:val="auto"/>
              </w:rPr>
              <w:t>(1)</w:t>
            </w:r>
          </w:p>
        </w:tc>
        <w:tc>
          <w:tcPr>
            <w:tcW w:w="1300" w:type="dxa"/>
            <w:vAlign w:val="bottom"/>
            <w:tcBorders>
              <w:top w:val="single" w:sz="8" w:color="auto"/>
            </w:tcBorders>
            <w:shd w:val="clear" w:color="auto" w:fill="CCEEFF"/>
          </w:tcPr>
          <w:p>
            <w:pPr>
              <w:ind w:left="720"/>
              <w:spacing w:after="0" w:line="196" w:lineRule="exact"/>
              <w:rPr>
                <w:sz w:val="20"/>
                <w:szCs w:val="20"/>
                <w:color w:val="auto"/>
              </w:rPr>
            </w:pPr>
            <w:r>
              <w:rPr>
                <w:rFonts w:ascii="Times New Roman" w:cs="Times New Roman" w:eastAsia="Times New Roman" w:hAnsi="Times New Roman"/>
                <w:sz w:val="18"/>
                <w:szCs w:val="18"/>
                <w:color w:val="auto"/>
                <w:w w:val="95"/>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Blue Media, LLC</w:t>
            </w:r>
            <w:r>
              <w:rPr>
                <w:rFonts w:ascii="Times New Roman" w:cs="Times New Roman" w:eastAsia="Times New Roman" w:hAnsi="Times New Roman"/>
                <w:sz w:val="14"/>
                <w:szCs w:val="14"/>
                <w:color w:val="auto"/>
              </w:rPr>
              <w:t>(2)</w:t>
            </w:r>
          </w:p>
        </w:tc>
        <w:tc>
          <w:tcPr>
            <w:tcW w:w="1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130,876</w:t>
            </w:r>
            <w:r>
              <w:rPr>
                <w:rFonts w:ascii="Times New Roman" w:cs="Times New Roman" w:eastAsia="Times New Roman" w:hAnsi="Times New Roman"/>
                <w:sz w:val="14"/>
                <w:szCs w:val="14"/>
                <w:color w:val="auto"/>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ind w:left="460" w:hanging="455"/>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2016 to 2018, we leased an office space from Lightbank LLC, an entity affiliated with and controlled by Eric Lefkofsky, our Chief Executive Officer, Founder and Chairman. In connection with this, we incurred $0.5 million of rent and other operating expenses in 2018.</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$1.0 million remains to be amortized. We currently sublease a portion of this office space to Lightbank LLC, Lefkofsky Family Foundation and 346 Investment Partners, each an entity affiliated with and controlled by Mr. Lefkofsky, on a month-to-month basis. As of September 30, 2021, we have received an aggregate of $0.3 million in sublease income from Lightbank LLC.</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September 30, 2021,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with Pathos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August 2021, we entered into a master agreement with Pathos AI, Inc., or, Pathos, a healthcare company that Mr. Lefkofsky, our Chief Executive Officer, Founder and Chairman, co-founded. Mr. Lefkofsky currently serves as Executive Chairman and a member of Pathos’ board of directors. As of the date of this prospectus, we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3"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$400,000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w:t>
      </w:r>
    </w:p>
    <w:p>
      <w:pPr>
        <w:spacing w:after="0" w:line="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written notice to the other party. As of , 2021, we have received an aggregate of $ in license fees from Pathos, and we have not exercised the warrant to purchase shares of Pathos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6"/>
          <w:szCs w:val="16"/>
          <w:b w:val="1"/>
          <w:bCs w:val="1"/>
          <w:color w:val="auto"/>
        </w:rPr>
        <w:t>Repurchases of Equity Securities</w:t>
      </w:r>
    </w:p>
    <w:p>
      <w:pPr>
        <w:spacing w:after="0" w:line="129"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RSUs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In September 2019, we entered into a redemption agreement with Ryan Fukushima, our Chief Operating Officer. Pursuant to the redemption agreement, we repurchased 100,000 vested RSUs from Mr. Fukushima at a purchase price of $9.64 per RSU, for an aggregate repurchase price of approximately $1.0 million.</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we repurchased an aggregate of 190,639 shares of voting common stock from the Lefkofsky Family Foundation, an organization affiliated with Eric Lefkofsky, for a total purchase price of approximately $7.3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from April 2019 to January 2021, we repurchased an aggregate of 3,362,835 shares of various series of convertible preferred stock from entities affiliated with and controlled by Eric Lefkofsky at the original issue price for a total purchase price of approximately $51.5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2021 by:</w:t>
            </w:r>
          </w:p>
        </w:tc>
      </w:tr>
    </w:tbl>
    <w:p>
      <w:pPr>
        <w:spacing w:after="0" w:line="100" w:lineRule="exact"/>
        <w:rPr>
          <w:sz w:val="20"/>
          <w:szCs w:val="20"/>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shares of Class A common stock and shares of Class B common stock outstanding as of , assuming the automatic conversion of all outstanding shares of our convertible preferred stock, other than our Series B preferred stock, into shares of Class A common stock, including the issuance of the Additional Class A Conversion Shares, the conversion of all outstanding shares of our Series B convertible preferred stock into shares of Class B common stock, and the automatic conversion of all outstanding shares of our nonvoting common stock into shares of Class A common stock, each of which will occur immediately prior to the closing of this offering. See</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“Prospectus Summary—The Offering” for a description of the Additional Class A Conversion Shares, as the number of Additional Class A Conversion Shares that will be issued depends on the initial public offering price of our Class A common stock.</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Applicable percentage ownership after this offering assumes that the underwriters’ option to purchase additional shares to cover over-allotments, if any,</w:t>
      </w:r>
    </w:p>
    <w:p>
      <w:pPr>
        <w:spacing w:after="0" w:line="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from the selling stockholders is not exercised is based on (1) shares of Class A common stock and (2) shares of Class B common stock outstanding immediately after the closing of this offering. Applicable percentage ownership after this offering if the underwriters’ option to purchase additional</w:t>
      </w:r>
    </w:p>
    <w:p>
      <w:pPr>
        <w:spacing w:after="0" w:line="1" w:lineRule="exact"/>
        <w:rPr>
          <w:sz w:val="20"/>
          <w:szCs w:val="20"/>
          <w:color w:val="auto"/>
        </w:rPr>
      </w:pPr>
    </w:p>
    <w:p>
      <w:pPr>
        <w:spacing w:after="0"/>
        <w:tabs>
          <w:tab w:leader="none" w:pos="8600" w:val="left"/>
        </w:tabs>
        <w:rPr>
          <w:sz w:val="20"/>
          <w:szCs w:val="20"/>
          <w:color w:val="auto"/>
        </w:rPr>
      </w:pPr>
      <w:r>
        <w:rPr>
          <w:rFonts w:ascii="Times New Roman" w:cs="Times New Roman" w:eastAsia="Times New Roman" w:hAnsi="Times New Roman"/>
          <w:sz w:val="18"/>
          <w:szCs w:val="18"/>
          <w:color w:val="auto"/>
        </w:rPr>
        <w:t>shares to cover over-allotments, if any, from the selling stockholders is exercised in full is based on (1)</w:t>
      </w:r>
      <w:r>
        <w:rPr>
          <w:sz w:val="20"/>
          <w:szCs w:val="20"/>
          <w:color w:val="auto"/>
        </w:rPr>
        <w:tab/>
      </w:r>
      <w:r>
        <w:rPr>
          <w:rFonts w:ascii="Times New Roman" w:cs="Times New Roman" w:eastAsia="Times New Roman" w:hAnsi="Times New Roman"/>
          <w:sz w:val="18"/>
          <w:szCs w:val="18"/>
          <w:color w:val="auto"/>
        </w:rPr>
        <w:t>shares of Class A common stock and</w:t>
      </w:r>
    </w:p>
    <w:p>
      <w:pPr>
        <w:spacing w:after="0" w:line="3" w:lineRule="exact"/>
        <w:rPr>
          <w:sz w:val="20"/>
          <w:szCs w:val="20"/>
          <w:color w:val="auto"/>
        </w:rPr>
      </w:pPr>
    </w:p>
    <w:p>
      <w:pPr>
        <w:jc w:val="both"/>
        <w:ind w:firstLine="5"/>
        <w:spacing w:after="0" w:line="274" w:lineRule="auto"/>
        <w:tabs>
          <w:tab w:leader="none" w:pos="1031"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w:t>
      </w:r>
    </w:p>
    <w:p>
      <w:pPr>
        <w:spacing w:after="0" w:line="247" w:lineRule="auto"/>
        <w:rPr>
          <w:sz w:val="20"/>
          <w:szCs w:val="20"/>
          <w:color w:val="auto"/>
        </w:rPr>
      </w:pPr>
      <w:r>
        <w:rPr>
          <w:rFonts w:ascii="Times New Roman" w:cs="Times New Roman" w:eastAsia="Times New Roman" w:hAnsi="Times New Roman"/>
          <w:sz w:val="18"/>
          <w:szCs w:val="18"/>
          <w:color w:val="auto"/>
        </w:rPr>
        <w:t>service-based vesting conditions within 60 days of , 2021. However, except as described above, we did not deem such shares outstanding for the purpose of computing the percentage ownership of any other person.</w:t>
      </w:r>
    </w:p>
    <w:p>
      <w:pPr>
        <w:spacing w:after="0" w:line="186"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Labs, Inc., 600 West Chicago Avenue, Suite 510 Chicago, Illinois 60654.</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Name of Beneficial</w:t>
      </w:r>
    </w:p>
    <w:p>
      <w:pPr>
        <w:spacing w:after="0" w:line="1"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Owner</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16" w:lineRule="auto"/>
        <w:rPr>
          <w:sz w:val="20"/>
          <w:szCs w:val="20"/>
          <w:color w:val="auto"/>
        </w:rPr>
      </w:pPr>
      <w:r>
        <w:rPr>
          <w:rFonts w:ascii="Times New Roman" w:cs="Times New Roman" w:eastAsia="Times New Roman" w:hAnsi="Times New Roman"/>
          <w:sz w:val="14"/>
          <w:szCs w:val="14"/>
          <w:color w:val="auto"/>
        </w:rPr>
        <w:t>Eric Lefkofsky</w:t>
      </w:r>
      <w:r>
        <w:rPr>
          <w:rFonts w:ascii="Times New Roman" w:cs="Times New Roman" w:eastAsia="Times New Roman" w:hAnsi="Times New Roman"/>
          <w:sz w:val="11"/>
          <w:szCs w:val="11"/>
          <w:color w:val="auto"/>
        </w:rPr>
        <w:t>(1)</w:t>
      </w:r>
    </w:p>
    <w:p>
      <w:pPr>
        <w:spacing w:after="0" w:line="215" w:lineRule="auto"/>
        <w:rPr>
          <w:sz w:val="20"/>
          <w:szCs w:val="20"/>
          <w:color w:val="auto"/>
        </w:rPr>
      </w:pPr>
      <w:r>
        <w:rPr>
          <w:rFonts w:ascii="Times New Roman" w:cs="Times New Roman" w:eastAsia="Times New Roman" w:hAnsi="Times New Roman"/>
          <w:sz w:val="14"/>
          <w:szCs w:val="14"/>
          <w:color w:val="auto"/>
        </w:rPr>
        <w:t>Keeks, LLC</w:t>
      </w:r>
      <w:r>
        <w:rPr>
          <w:rFonts w:ascii="Times New Roman" w:cs="Times New Roman" w:eastAsia="Times New Roman" w:hAnsi="Times New Roman"/>
          <w:sz w:val="11"/>
          <w:szCs w:val="11"/>
          <w:color w:val="auto"/>
        </w:rPr>
        <w:t>(2)</w:t>
      </w:r>
    </w:p>
    <w:p>
      <w:pPr>
        <w:ind w:left="140" w:right="540" w:hanging="139"/>
        <w:spacing w:after="0" w:line="215" w:lineRule="auto"/>
        <w:rPr>
          <w:sz w:val="20"/>
          <w:szCs w:val="20"/>
          <w:color w:val="auto"/>
        </w:rPr>
      </w:pPr>
      <w:r>
        <w:rPr>
          <w:rFonts w:ascii="Times New Roman" w:cs="Times New Roman" w:eastAsia="Times New Roman" w:hAnsi="Times New Roman"/>
          <w:sz w:val="14"/>
          <w:szCs w:val="14"/>
          <w:b w:val="1"/>
          <w:bCs w:val="1"/>
          <w:color w:val="auto"/>
        </w:rPr>
        <w:t>Other Directors and Named Executive Officers:</w:t>
      </w:r>
    </w:p>
    <w:p>
      <w:pPr>
        <w:spacing w:after="0" w:line="215" w:lineRule="auto"/>
        <w:rPr>
          <w:sz w:val="20"/>
          <w:szCs w:val="20"/>
          <w:color w:val="auto"/>
        </w:rPr>
      </w:pPr>
      <w:r>
        <w:rPr>
          <w:rFonts w:ascii="Times New Roman" w:cs="Times New Roman" w:eastAsia="Times New Roman" w:hAnsi="Times New Roman"/>
          <w:sz w:val="14"/>
          <w:szCs w:val="14"/>
          <w:color w:val="auto"/>
        </w:rPr>
        <w:t>Erik Phelps</w:t>
      </w:r>
      <w:r>
        <w:rPr>
          <w:rFonts w:ascii="Times New Roman" w:cs="Times New Roman" w:eastAsia="Times New Roman" w:hAnsi="Times New Roman"/>
          <w:sz w:val="11"/>
          <w:szCs w:val="11"/>
          <w:color w:val="auto"/>
        </w:rPr>
        <w:t>(3)</w:t>
      </w:r>
    </w:p>
    <w:p>
      <w:pPr>
        <w:spacing w:after="0" w:line="216" w:lineRule="auto"/>
        <w:rPr>
          <w:sz w:val="20"/>
          <w:szCs w:val="20"/>
          <w:color w:val="auto"/>
        </w:rPr>
      </w:pPr>
      <w:r>
        <w:rPr>
          <w:rFonts w:ascii="Times New Roman" w:cs="Times New Roman" w:eastAsia="Times New Roman" w:hAnsi="Times New Roman"/>
          <w:sz w:val="14"/>
          <w:szCs w:val="14"/>
          <w:color w:val="auto"/>
        </w:rPr>
        <w:t>Vanessa Rollings</w:t>
      </w:r>
      <w:r>
        <w:rPr>
          <w:rFonts w:ascii="Times New Roman" w:cs="Times New Roman" w:eastAsia="Times New Roman" w:hAnsi="Times New Roman"/>
          <w:sz w:val="11"/>
          <w:szCs w:val="11"/>
          <w:color w:val="auto"/>
        </w:rPr>
        <w:t>(4)</w:t>
      </w:r>
    </w:p>
    <w:p>
      <w:pPr>
        <w:spacing w:after="0" w:line="215" w:lineRule="auto"/>
        <w:rPr>
          <w:sz w:val="20"/>
          <w:szCs w:val="20"/>
          <w:color w:val="auto"/>
        </w:rPr>
      </w:pPr>
      <w:r>
        <w:rPr>
          <w:rFonts w:ascii="Times New Roman" w:cs="Times New Roman" w:eastAsia="Times New Roman" w:hAnsi="Times New Roman"/>
          <w:sz w:val="14"/>
          <w:szCs w:val="14"/>
          <w:color w:val="auto"/>
        </w:rPr>
        <w:t>Peter J. Barris</w:t>
      </w:r>
      <w:r>
        <w:rPr>
          <w:rFonts w:ascii="Times New Roman" w:cs="Times New Roman" w:eastAsia="Times New Roman" w:hAnsi="Times New Roman"/>
          <w:sz w:val="11"/>
          <w:szCs w:val="11"/>
          <w:color w:val="auto"/>
        </w:rPr>
        <w:t>(5)</w:t>
      </w:r>
    </w:p>
    <w:p>
      <w:pPr>
        <w:spacing w:after="0" w:line="215" w:lineRule="auto"/>
        <w:rPr>
          <w:sz w:val="20"/>
          <w:szCs w:val="20"/>
          <w:color w:val="auto"/>
        </w:rPr>
      </w:pPr>
      <w:r>
        <w:rPr>
          <w:rFonts w:ascii="Times New Roman" w:cs="Times New Roman" w:eastAsia="Times New Roman" w:hAnsi="Times New Roman"/>
          <w:sz w:val="14"/>
          <w:szCs w:val="14"/>
          <w:color w:val="auto"/>
        </w:rPr>
        <w:t>Eric D. Belcher</w:t>
      </w:r>
    </w:p>
    <w:p>
      <w:pPr>
        <w:spacing w:after="0" w:line="216" w:lineRule="auto"/>
        <w:rPr>
          <w:sz w:val="20"/>
          <w:szCs w:val="20"/>
          <w:color w:val="auto"/>
        </w:rPr>
      </w:pPr>
      <w:r>
        <w:rPr>
          <w:rFonts w:ascii="Times New Roman" w:cs="Times New Roman" w:eastAsia="Times New Roman" w:hAnsi="Times New Roman"/>
          <w:sz w:val="14"/>
          <w:szCs w:val="14"/>
          <w:color w:val="auto"/>
        </w:rPr>
        <w:t>Jennifer A. Doudna, Ph.D.</w:t>
      </w:r>
      <w:r>
        <w:rPr>
          <w:rFonts w:ascii="Times New Roman" w:cs="Times New Roman" w:eastAsia="Times New Roman" w:hAnsi="Times New Roman"/>
          <w:sz w:val="11"/>
          <w:szCs w:val="11"/>
          <w:color w:val="auto"/>
        </w:rPr>
        <w:t>(6)</w:t>
      </w:r>
    </w:p>
    <w:p>
      <w:pPr>
        <w:spacing w:after="0" w:line="215" w:lineRule="auto"/>
        <w:rPr>
          <w:sz w:val="20"/>
          <w:szCs w:val="20"/>
          <w:color w:val="auto"/>
        </w:rPr>
      </w:pPr>
      <w:r>
        <w:rPr>
          <w:rFonts w:ascii="Times New Roman" w:cs="Times New Roman" w:eastAsia="Times New Roman" w:hAnsi="Times New Roman"/>
          <w:sz w:val="14"/>
          <w:szCs w:val="14"/>
          <w:color w:val="auto"/>
        </w:rPr>
        <w:t>Wayne A.I. Frederick, M.D.</w:t>
      </w:r>
      <w:r>
        <w:rPr>
          <w:rFonts w:ascii="Times New Roman" w:cs="Times New Roman" w:eastAsia="Times New Roman" w:hAnsi="Times New Roman"/>
          <w:sz w:val="11"/>
          <w:szCs w:val="11"/>
          <w:color w:val="auto"/>
        </w:rPr>
        <w:t>(7)</w:t>
      </w:r>
    </w:p>
    <w:p>
      <w:pPr>
        <w:spacing w:after="0" w:line="215" w:lineRule="auto"/>
        <w:rPr>
          <w:sz w:val="20"/>
          <w:szCs w:val="20"/>
          <w:color w:val="auto"/>
        </w:rPr>
      </w:pPr>
      <w:r>
        <w:rPr>
          <w:rFonts w:ascii="Times New Roman" w:cs="Times New Roman" w:eastAsia="Times New Roman" w:hAnsi="Times New Roman"/>
          <w:sz w:val="14"/>
          <w:szCs w:val="14"/>
          <w:color w:val="auto"/>
        </w:rPr>
        <w:t>Robert Ghenchev</w:t>
      </w:r>
    </w:p>
    <w:p>
      <w:pPr>
        <w:spacing w:after="0" w:line="215" w:lineRule="auto"/>
        <w:rPr>
          <w:sz w:val="20"/>
          <w:szCs w:val="20"/>
          <w:color w:val="auto"/>
        </w:rPr>
      </w:pPr>
      <w:r>
        <w:rPr>
          <w:rFonts w:ascii="Times New Roman" w:cs="Times New Roman" w:eastAsia="Times New Roman" w:hAnsi="Times New Roman"/>
          <w:sz w:val="14"/>
          <w:szCs w:val="14"/>
          <w:color w:val="auto"/>
        </w:rPr>
        <w:t>Scott Gottlieb, M.D.</w:t>
      </w:r>
      <w:r>
        <w:rPr>
          <w:rFonts w:ascii="Times New Roman" w:cs="Times New Roman" w:eastAsia="Times New Roman" w:hAnsi="Times New Roman"/>
          <w:sz w:val="11"/>
          <w:szCs w:val="11"/>
          <w:color w:val="auto"/>
        </w:rPr>
        <w:t>(8)</w:t>
      </w:r>
    </w:p>
    <w:p>
      <w:pPr>
        <w:spacing w:after="0" w:line="216" w:lineRule="auto"/>
        <w:rPr>
          <w:sz w:val="20"/>
          <w:szCs w:val="20"/>
          <w:color w:val="auto"/>
        </w:rPr>
      </w:pPr>
      <w:r>
        <w:rPr>
          <w:rFonts w:ascii="Times New Roman" w:cs="Times New Roman" w:eastAsia="Times New Roman" w:hAnsi="Times New Roman"/>
          <w:sz w:val="14"/>
          <w:szCs w:val="14"/>
          <w:color w:val="auto"/>
        </w:rPr>
        <w:t>Theodore J. Leonsis</w:t>
      </w:r>
    </w:p>
    <w:p>
      <w:pPr>
        <w:spacing w:after="0"/>
        <w:rPr>
          <w:sz w:val="20"/>
          <w:szCs w:val="20"/>
          <w:color w:val="auto"/>
        </w:rPr>
      </w:pPr>
      <w:r>
        <w:rPr>
          <w:rFonts w:ascii="Times New Roman" w:cs="Times New Roman" w:eastAsia="Times New Roman" w:hAnsi="Times New Roman"/>
          <w:sz w:val="14"/>
          <w:szCs w:val="14"/>
          <w:color w:val="auto"/>
        </w:rPr>
        <w:t>Nadja West, M.D.</w:t>
      </w:r>
      <w:r>
        <w:rPr>
          <w:rFonts w:ascii="Times New Roman" w:cs="Times New Roman" w:eastAsia="Times New Roman" w:hAnsi="Times New Roman"/>
          <w:sz w:val="11"/>
          <w:szCs w:val="11"/>
          <w:color w:val="auto"/>
        </w:rPr>
        <w:t>(9)</w:t>
      </w:r>
    </w:p>
    <w:p>
      <w:pPr>
        <w:spacing w:after="0" w:line="72" w:lineRule="exact"/>
        <w:rPr>
          <w:sz w:val="20"/>
          <w:szCs w:val="20"/>
          <w:color w:val="auto"/>
        </w:rPr>
      </w:pPr>
    </w:p>
    <w:p>
      <w:pPr>
        <w:ind w:left="140" w:hanging="139"/>
        <w:spacing w:after="0" w:line="227" w:lineRule="auto"/>
        <w:rPr>
          <w:sz w:val="20"/>
          <w:szCs w:val="20"/>
          <w:color w:val="auto"/>
        </w:rPr>
      </w:pPr>
      <w:r>
        <w:rPr>
          <w:rFonts w:ascii="Times New Roman" w:cs="Times New Roman" w:eastAsia="Times New Roman" w:hAnsi="Times New Roman"/>
          <w:sz w:val="14"/>
          <w:szCs w:val="14"/>
          <w:color w:val="auto"/>
        </w:rPr>
        <w:t>All directors and executive officers as a group (12 persons)</w:t>
      </w:r>
      <w:r>
        <w:rPr>
          <w:rFonts w:ascii="Times New Roman" w:cs="Times New Roman" w:eastAsia="Times New Roman" w:hAnsi="Times New Roman"/>
          <w:sz w:val="11"/>
          <w:szCs w:val="11"/>
          <w:color w:val="auto"/>
        </w:rPr>
        <w:t>(10)</w:t>
      </w:r>
    </w:p>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918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7"/>
          </w:tcPr>
          <w:p>
            <w:pPr>
              <w:jc w:val="center"/>
              <w:ind w:right="55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7"/>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Beneficial Ownership</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continue"/>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 Not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w:t>
            </w:r>
          </w:p>
        </w:tc>
        <w:tc>
          <w:tcPr>
            <w:tcW w:w="0" w:type="dxa"/>
            <w:vAlign w:val="bottom"/>
          </w:tcPr>
          <w:p>
            <w:pPr>
              <w:spacing w:after="0"/>
              <w:rPr>
                <w:sz w:val="1"/>
                <w:szCs w:val="1"/>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 the Offering</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Exercised in Full</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0"/>
                <w:szCs w:val="10"/>
                <w:color w:val="auto"/>
              </w:rPr>
            </w:pPr>
          </w:p>
        </w:tc>
        <w:tc>
          <w:tcPr>
            <w:tcW w:w="940" w:type="dxa"/>
            <w:vAlign w:val="bottom"/>
            <w:gridSpan w:val="4"/>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76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0"/>
                <w:szCs w:val="10"/>
                <w:color w:val="auto"/>
              </w:rPr>
            </w:pP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44"/>
        </w:trPr>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4"/>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158"/>
        </w:trPr>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8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80" w:type="dxa"/>
            <w:vAlign w:val="bottom"/>
          </w:tcPr>
          <w:p>
            <w:pPr>
              <w:spacing w:after="0"/>
              <w:rPr>
                <w:sz w:val="13"/>
                <w:szCs w:val="13"/>
                <w:color w:val="auto"/>
              </w:rPr>
            </w:pPr>
          </w:p>
        </w:tc>
        <w:tc>
          <w:tcPr>
            <w:tcW w:w="92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13"/>
        </w:trPr>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8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Before the</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180" w:type="dxa"/>
            <w:vAlign w:val="bottom"/>
          </w:tcPr>
          <w:p>
            <w:pPr>
              <w:spacing w:after="0"/>
              <w:rPr>
                <w:sz w:val="9"/>
                <w:szCs w:val="9"/>
                <w:color w:val="auto"/>
              </w:rPr>
            </w:pPr>
          </w:p>
        </w:tc>
        <w:tc>
          <w:tcPr>
            <w:tcW w:w="9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Stock Being</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200" w:type="dxa"/>
            <w:vAlign w:val="bottom"/>
          </w:tcPr>
          <w:p>
            <w:pPr>
              <w:spacing w:after="0"/>
              <w:rPr>
                <w:sz w:val="9"/>
                <w:szCs w:val="9"/>
                <w:color w:val="auto"/>
              </w:rPr>
            </w:pP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0" w:type="dxa"/>
            <w:vAlign w:val="bottom"/>
          </w:tcPr>
          <w:p>
            <w:pPr>
              <w:spacing w:after="0"/>
              <w:rPr>
                <w:sz w:val="1"/>
                <w:szCs w:val="1"/>
                <w:color w:val="auto"/>
              </w:rPr>
            </w:pPr>
          </w:p>
        </w:tc>
      </w:tr>
      <w:tr>
        <w:trPr>
          <w:trHeight w:val="169"/>
        </w:trPr>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183515</wp:posOffset>
            </wp:positionV>
            <wp:extent cx="7197725" cy="914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458470</wp:posOffset>
            </wp:positionV>
            <wp:extent cx="7197725" cy="914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641985</wp:posOffset>
            </wp:positionV>
            <wp:extent cx="7197725" cy="914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825500</wp:posOffset>
            </wp:positionV>
            <wp:extent cx="7197725" cy="914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1009015</wp:posOffset>
            </wp:positionV>
            <wp:extent cx="7197725" cy="914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1191895</wp:posOffset>
            </wp:positionV>
            <wp:extent cx="7197725" cy="914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1442085</wp:posOffset>
            </wp:positionV>
            <wp:extent cx="7197725" cy="1835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7725" cy="183515"/>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-7620</wp:posOffset>
            </wp:positionV>
            <wp:extent cx="7197725" cy="1003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7725" cy="100330"/>
                    </a:xfrm>
                    <a:prstGeom prst="rect">
                      <a:avLst/>
                    </a:prstGeom>
                    <a:noFill/>
                  </pic:spPr>
                </pic:pic>
              </a:graphicData>
            </a:graphic>
          </wp:anchor>
        </w:drawing>
      </w:r>
    </w:p>
    <w:p>
      <w:pPr>
        <w:spacing w:after="0" w:line="2878" w:lineRule="exact"/>
        <w:rPr>
          <w:sz w:val="20"/>
          <w:szCs w:val="20"/>
          <w:color w:val="auto"/>
        </w:rPr>
      </w:pPr>
    </w:p>
    <w:p>
      <w:pPr>
        <w:sectPr>
          <w:pgSz w:w="11900" w:h="16838" w:orient="portrait"/>
          <w:cols w:equalWidth="0" w:num="2">
            <w:col w:w="2220" w:space="220"/>
            <w:col w:w="8900"/>
          </w:cols>
          <w:pgMar w:left="320" w:top="448" w:right="239" w:bottom="1440" w:gutter="0" w:footer="0" w:header="0"/>
          <w:type w:val="continuous"/>
        </w:sectPr>
      </w:pPr>
    </w:p>
    <w:p>
      <w:pPr>
        <w:ind w:left="460" w:hanging="455"/>
        <w:spacing w:after="0"/>
        <w:tabs>
          <w:tab w:leader="none" w:pos="4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ind w:left="460" w:hanging="455"/>
        <w:spacing w:after="0" w:line="215" w:lineRule="auto"/>
        <w:tabs>
          <w:tab w:leader="none" w:pos="4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w:t>
      </w:r>
    </w:p>
    <w:tbl>
      <w:tblPr>
        <w:tblLayout w:type="fixed"/>
        <w:tblInd w:w="0" w:type="dxa"/>
        <w:tblCellMar>
          <w:top w:w="0" w:type="dxa"/>
          <w:left w:w="0" w:type="dxa"/>
          <w:bottom w:w="0" w:type="dxa"/>
          <w:right w:w="0" w:type="dxa"/>
        </w:tblCellMar>
      </w:tblPr>
      <w:tr>
        <w:trPr>
          <w:trHeight w:val="129"/>
        </w:trPr>
        <w:tc>
          <w:tcPr>
            <w:tcW w:w="34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entitled to</w:t>
            </w:r>
          </w:p>
        </w:tc>
        <w:tc>
          <w:tcPr>
            <w:tcW w:w="440" w:type="dxa"/>
            <w:vAlign w:val="bottom"/>
          </w:tcPr>
          <w:p>
            <w:pPr>
              <w:spacing w:after="0"/>
              <w:rPr>
                <w:sz w:val="11"/>
                <w:szCs w:val="11"/>
                <w:color w:val="auto"/>
              </w:rPr>
            </w:pPr>
          </w:p>
        </w:tc>
        <w:tc>
          <w:tcPr>
            <w:tcW w:w="9800" w:type="dxa"/>
            <w:vAlign w:val="bottom"/>
            <w:gridSpan w:val="10"/>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votes per share, and holders of our Class A common stock are entitled to one vote per share. See the section titled “Description of Capital Stock—Class A Common Stock and</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w:t>
            </w:r>
          </w:p>
        </w:tc>
        <w:tc>
          <w:tcPr>
            <w:tcW w:w="6900" w:type="dxa"/>
            <w:vAlign w:val="bottom"/>
            <w:gridSpan w:val="7"/>
          </w:tcPr>
          <w:p>
            <w:pPr>
              <w:ind w:left="120"/>
              <w:spacing w:after="0" w:line="145" w:lineRule="exact"/>
              <w:rPr>
                <w:sz w:val="20"/>
                <w:szCs w:val="20"/>
                <w:color w:val="auto"/>
              </w:rPr>
            </w:pPr>
            <w:r>
              <w:rPr>
                <w:rFonts w:ascii="Times New Roman" w:cs="Times New Roman" w:eastAsia="Times New Roman" w:hAnsi="Times New Roman"/>
                <w:sz w:val="14"/>
                <w:szCs w:val="14"/>
                <w:color w:val="auto"/>
              </w:rPr>
              <w:t>Class B Common Stock” for additional information about the voting rights of our Class A and Class B common stock.</w:t>
            </w: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12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Consists of (a)</w:t>
            </w:r>
          </w:p>
        </w:tc>
        <w:tc>
          <w:tcPr>
            <w:tcW w:w="4020" w:type="dxa"/>
            <w:vAlign w:val="bottom"/>
            <w:gridSpan w:val="4"/>
          </w:tcPr>
          <w:p>
            <w:pPr>
              <w:ind w:left="38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(b)</w:t>
            </w:r>
          </w:p>
        </w:tc>
        <w:tc>
          <w:tcPr>
            <w:tcW w:w="4220" w:type="dxa"/>
            <w:vAlign w:val="bottom"/>
            <w:gridSpan w:val="4"/>
          </w:tcPr>
          <w:p>
            <w:pPr>
              <w:ind w:left="58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Gray Media, LLC, (c)</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4140" w:type="dxa"/>
            <w:vAlign w:val="bottom"/>
            <w:gridSpan w:val="5"/>
          </w:tcPr>
          <w:p>
            <w:pPr>
              <w:ind w:left="120"/>
              <w:spacing w:after="0" w:line="145" w:lineRule="exact"/>
              <w:rPr>
                <w:sz w:val="20"/>
                <w:szCs w:val="20"/>
                <w:color w:val="auto"/>
              </w:rPr>
            </w:pPr>
            <w:r>
              <w:rPr>
                <w:rFonts w:ascii="Times New Roman" w:cs="Times New Roman" w:eastAsia="Times New Roman" w:hAnsi="Times New Roman"/>
                <w:sz w:val="14"/>
                <w:szCs w:val="14"/>
                <w:color w:val="auto"/>
              </w:rPr>
              <w:t>common stock held by Innovation Group Investors, L.P. - Series 3, (d)</w:t>
            </w:r>
          </w:p>
        </w:tc>
        <w:tc>
          <w:tcPr>
            <w:tcW w:w="5780" w:type="dxa"/>
            <w:vAlign w:val="bottom"/>
            <w:gridSpan w:val="6"/>
          </w:tcPr>
          <w:p>
            <w:pPr>
              <w:ind w:left="6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 Series 1B, (e)</w:t>
            </w:r>
          </w:p>
        </w:tc>
        <w:tc>
          <w:tcPr>
            <w:tcW w:w="10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4140" w:type="dxa"/>
            <w:vAlign w:val="bottom"/>
            <w:gridSpan w:val="5"/>
          </w:tcPr>
          <w:p>
            <w:pPr>
              <w:ind w:left="120"/>
              <w:spacing w:after="0" w:line="145" w:lineRule="exact"/>
              <w:rPr>
                <w:sz w:val="20"/>
                <w:szCs w:val="20"/>
                <w:color w:val="auto"/>
              </w:rPr>
            </w:pPr>
            <w:r>
              <w:rPr>
                <w:rFonts w:ascii="Times New Roman" w:cs="Times New Roman" w:eastAsia="Times New Roman" w:hAnsi="Times New Roman"/>
                <w:sz w:val="14"/>
                <w:szCs w:val="14"/>
                <w:color w:val="auto"/>
              </w:rPr>
              <w:t>Class A common stock held by Lightbank Investments 1B, LLC, (f)</w:t>
            </w:r>
          </w:p>
        </w:tc>
        <w:tc>
          <w:tcPr>
            <w:tcW w:w="5300" w:type="dxa"/>
            <w:vAlign w:val="bottom"/>
            <w:gridSpan w:val="5"/>
          </w:tcPr>
          <w:p>
            <w:pPr>
              <w:ind w:left="54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A Investments, LLC, (g)</w:t>
            </w:r>
          </w:p>
        </w:tc>
        <w:tc>
          <w:tcPr>
            <w:tcW w:w="480" w:type="dxa"/>
            <w:vAlign w:val="bottom"/>
          </w:tcPr>
          <w:p>
            <w:pPr>
              <w:spacing w:after="0"/>
              <w:rPr>
                <w:sz w:val="12"/>
                <w:szCs w:val="12"/>
                <w:color w:val="auto"/>
              </w:rPr>
            </w:pPr>
          </w:p>
        </w:tc>
        <w:tc>
          <w:tcPr>
            <w:tcW w:w="10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B</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368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w w:val="99"/>
              </w:rPr>
              <w:t>common stock held by Tempus Series B Investments, LLC, (h)</w:t>
            </w:r>
          </w:p>
        </w:tc>
        <w:tc>
          <w:tcPr>
            <w:tcW w:w="460" w:type="dxa"/>
            <w:vAlign w:val="bottom"/>
          </w:tcPr>
          <w:p>
            <w:pPr>
              <w:spacing w:after="0"/>
              <w:rPr>
                <w:sz w:val="12"/>
                <w:szCs w:val="12"/>
                <w:color w:val="auto"/>
              </w:rPr>
            </w:pPr>
          </w:p>
        </w:tc>
        <w:tc>
          <w:tcPr>
            <w:tcW w:w="5300" w:type="dxa"/>
            <w:vAlign w:val="bottom"/>
            <w:gridSpan w:val="5"/>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B-1 Investments, LLC, (i)</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368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held by Tempus Series B-2 Investments, LLC, (j)</w:t>
            </w:r>
          </w:p>
        </w:tc>
        <w:tc>
          <w:tcPr>
            <w:tcW w:w="4940" w:type="dxa"/>
            <w:vAlign w:val="bottom"/>
            <w:gridSpan w:val="5"/>
          </w:tcPr>
          <w:p>
            <w:pPr>
              <w:ind w:left="1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C Investments, LLC, (k)</w:t>
            </w:r>
          </w:p>
        </w:tc>
        <w:tc>
          <w:tcPr>
            <w:tcW w:w="23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258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by Tempus Series D Investments, LLC, (l)</w:t>
            </w:r>
          </w:p>
        </w:tc>
        <w:tc>
          <w:tcPr>
            <w:tcW w:w="5360" w:type="dxa"/>
            <w:vAlign w:val="bottom"/>
            <w:gridSpan w:val="5"/>
          </w:tcPr>
          <w:p>
            <w:pPr>
              <w:ind w:left="5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E Investments, LLC, (m)</w:t>
            </w:r>
          </w:p>
        </w:tc>
        <w:tc>
          <w:tcPr>
            <w:tcW w:w="30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258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Series F Investments, LLC, and (n)</w:t>
            </w:r>
          </w:p>
        </w:tc>
        <w:tc>
          <w:tcPr>
            <w:tcW w:w="8420" w:type="dxa"/>
            <w:vAlign w:val="bottom"/>
            <w:gridSpan w:val="9"/>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G Investments, LLC. Mr. Lefkofsky is the controlling shareholder of, and may be deemed to</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8620" w:type="dxa"/>
            <w:vAlign w:val="bottom"/>
            <w:gridSpan w:val="9"/>
          </w:tcPr>
          <w:p>
            <w:pPr>
              <w:ind w:left="120"/>
              <w:spacing w:after="0" w:line="145" w:lineRule="exact"/>
              <w:rPr>
                <w:sz w:val="20"/>
                <w:szCs w:val="20"/>
                <w:color w:val="auto"/>
              </w:rPr>
            </w:pPr>
            <w:r>
              <w:rPr>
                <w:rFonts w:ascii="Times New Roman" w:cs="Times New Roman" w:eastAsia="Times New Roman" w:hAnsi="Times New Roman"/>
                <w:sz w:val="14"/>
                <w:szCs w:val="14"/>
                <w:color w:val="auto"/>
              </w:rPr>
              <w:t>have shared voting, investment and dispositive power with respect to the shares held by, the aforementioned entities. Mr. Lefkofsky also holds</w:t>
            </w:r>
          </w:p>
        </w:tc>
        <w:tc>
          <w:tcPr>
            <w:tcW w:w="23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color w:val="auto"/>
              </w:rPr>
              <w:t>RSUs, for which the service-based</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w:t>
            </w:r>
          </w:p>
        </w:tc>
        <w:tc>
          <w:tcPr>
            <w:tcW w:w="368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vesting condition would be satisfied within 60 days of</w:t>
            </w:r>
          </w:p>
        </w:tc>
        <w:tc>
          <w:tcPr>
            <w:tcW w:w="4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98"/>
              </w:rPr>
              <w:t>, 2021.</w:t>
            </w:r>
          </w:p>
        </w:tc>
        <w:tc>
          <w:tcPr>
            <w:tcW w:w="1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40" w:type="dxa"/>
            <w:vAlign w:val="bottom"/>
          </w:tcPr>
          <w:p>
            <w:pPr>
              <w:spacing w:after="0"/>
              <w:rPr>
                <w:sz w:val="12"/>
                <w:szCs w:val="12"/>
                <w:color w:val="auto"/>
              </w:rPr>
            </w:pPr>
          </w:p>
        </w:tc>
        <w:tc>
          <w:tcPr>
            <w:tcW w:w="9800" w:type="dxa"/>
            <w:vAlign w:val="bottom"/>
            <w:gridSpan w:val="10"/>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Keeks, LLC. To our knowledge, Kimberly Keywell is the controlling shareholder of, and may be deemed to have shared voting,</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w:t>
            </w:r>
          </w:p>
        </w:tc>
        <w:tc>
          <w:tcPr>
            <w:tcW w:w="6900" w:type="dxa"/>
            <w:vAlign w:val="bottom"/>
            <w:gridSpan w:val="7"/>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 and dispositive power with respect to the shares held by, the aforementioned entity.</w:t>
            </w: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800" w:type="dxa"/>
            <w:vAlign w:val="bottom"/>
            <w:gridSpan w:val="10"/>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Phelps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40" w:type="dxa"/>
            <w:vAlign w:val="bottom"/>
            <w:vMerge w:val="continue"/>
          </w:tcPr>
          <w:p>
            <w:pPr>
              <w:spacing w:after="0"/>
              <w:rPr>
                <w:sz w:val="12"/>
                <w:szCs w:val="12"/>
                <w:color w:val="auto"/>
              </w:rPr>
            </w:pPr>
          </w:p>
        </w:tc>
        <w:tc>
          <w:tcPr>
            <w:tcW w:w="980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Rollings, for which the service-based vesting condition would be satisfied as of September 4,</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40" w:type="dxa"/>
            <w:vAlign w:val="bottom"/>
          </w:tcPr>
          <w:p>
            <w:pPr>
              <w:spacing w:after="0"/>
              <w:rPr>
                <w:sz w:val="12"/>
                <w:szCs w:val="12"/>
                <w:color w:val="auto"/>
              </w:rPr>
            </w:pPr>
          </w:p>
        </w:tc>
        <w:tc>
          <w:tcPr>
            <w:tcW w:w="98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4140" w:type="dxa"/>
            <w:vAlign w:val="bottom"/>
            <w:gridSpan w:val="5"/>
          </w:tcPr>
          <w:p>
            <w:pPr>
              <w:ind w:left="120"/>
              <w:spacing w:after="0" w:line="145" w:lineRule="exact"/>
              <w:rPr>
                <w:sz w:val="20"/>
                <w:szCs w:val="20"/>
                <w:color w:val="auto"/>
              </w:rPr>
            </w:pPr>
            <w:r>
              <w:rPr>
                <w:rFonts w:ascii="Times New Roman" w:cs="Times New Roman" w:eastAsia="Times New Roman" w:hAnsi="Times New Roman"/>
                <w:sz w:val="14"/>
                <w:szCs w:val="14"/>
                <w:color w:val="auto"/>
              </w:rPr>
              <w:t>2021 pursuant to the terms of Ms. Rollings’ separation agreement.</w:t>
            </w:r>
          </w:p>
        </w:tc>
        <w:tc>
          <w:tcPr>
            <w:tcW w:w="1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40" w:type="dxa"/>
            <w:vAlign w:val="bottom"/>
          </w:tcPr>
          <w:p>
            <w:pPr>
              <w:spacing w:after="0"/>
              <w:rPr>
                <w:sz w:val="12"/>
                <w:szCs w:val="12"/>
                <w:color w:val="auto"/>
              </w:rPr>
            </w:pPr>
          </w:p>
        </w:tc>
        <w:tc>
          <w:tcPr>
            <w:tcW w:w="24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800" w:type="dxa"/>
            <w:vAlign w:val="bottom"/>
            <w:gridSpan w:val="10"/>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Doudna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40" w:type="dxa"/>
            <w:vAlign w:val="bottom"/>
            <w:vMerge w:val="continue"/>
          </w:tcPr>
          <w:p>
            <w:pPr>
              <w:spacing w:after="0"/>
              <w:rPr>
                <w:sz w:val="12"/>
                <w:szCs w:val="12"/>
                <w:color w:val="auto"/>
              </w:rPr>
            </w:pPr>
          </w:p>
        </w:tc>
        <w:tc>
          <w:tcPr>
            <w:tcW w:w="980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Frederick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8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40" w:type="dxa"/>
            <w:vAlign w:val="bottom"/>
            <w:vMerge w:val="continue"/>
          </w:tcPr>
          <w:p>
            <w:pPr>
              <w:spacing w:after="0"/>
              <w:rPr>
                <w:sz w:val="12"/>
                <w:szCs w:val="12"/>
                <w:color w:val="auto"/>
              </w:rPr>
            </w:pPr>
          </w:p>
        </w:tc>
        <w:tc>
          <w:tcPr>
            <w:tcW w:w="980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Gottlieb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8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40" w:type="dxa"/>
            <w:vAlign w:val="bottom"/>
            <w:vMerge w:val="continue"/>
          </w:tcPr>
          <w:p>
            <w:pPr>
              <w:spacing w:after="0"/>
              <w:rPr>
                <w:sz w:val="12"/>
                <w:szCs w:val="12"/>
                <w:color w:val="auto"/>
              </w:rPr>
            </w:pPr>
          </w:p>
        </w:tc>
        <w:tc>
          <w:tcPr>
            <w:tcW w:w="980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West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2021.</w:t>
            </w:r>
          </w:p>
        </w:tc>
        <w:tc>
          <w:tcPr>
            <w:tcW w:w="98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40" w:type="dxa"/>
            <w:vAlign w:val="bottom"/>
            <w:vMerge w:val="continue"/>
          </w:tcPr>
          <w:p>
            <w:pPr>
              <w:spacing w:after="0"/>
              <w:rPr>
                <w:sz w:val="12"/>
                <w:szCs w:val="12"/>
                <w:color w:val="auto"/>
              </w:rPr>
            </w:pPr>
          </w:p>
        </w:tc>
        <w:tc>
          <w:tcPr>
            <w:tcW w:w="24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shares of Class A common stock, (b)</w:t>
            </w:r>
          </w:p>
        </w:tc>
        <w:tc>
          <w:tcPr>
            <w:tcW w:w="460" w:type="dxa"/>
            <w:vAlign w:val="bottom"/>
          </w:tcPr>
          <w:p>
            <w:pPr>
              <w:spacing w:after="0"/>
              <w:rPr>
                <w:sz w:val="12"/>
                <w:szCs w:val="12"/>
                <w:color w:val="auto"/>
              </w:rPr>
            </w:pPr>
          </w:p>
        </w:tc>
        <w:tc>
          <w:tcPr>
            <w:tcW w:w="276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color w:val="auto"/>
              </w:rPr>
              <w:t>shares of Class B common stock and (c)</w:t>
            </w:r>
          </w:p>
        </w:tc>
        <w:tc>
          <w:tcPr>
            <w:tcW w:w="41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the settlement of RSUs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12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Consists of (a)</w:t>
            </w:r>
          </w:p>
        </w:tc>
        <w:tc>
          <w:tcPr>
            <w:tcW w:w="24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41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22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for which the service-based vesting condition would be satisfied within 60 days of</w:t>
            </w:r>
          </w:p>
        </w:tc>
        <w:tc>
          <w:tcPr>
            <w:tcW w:w="1680" w:type="dxa"/>
            <w:vAlign w:val="bottom"/>
          </w:tcPr>
          <w:p>
            <w:pPr>
              <w:jc w:val="right"/>
              <w:ind w:right="1170"/>
              <w:spacing w:after="0"/>
              <w:rPr>
                <w:sz w:val="20"/>
                <w:szCs w:val="20"/>
                <w:color w:val="auto"/>
              </w:rPr>
            </w:pPr>
            <w:r>
              <w:rPr>
                <w:rFonts w:ascii="Times New Roman" w:cs="Times New Roman" w:eastAsia="Times New Roman" w:hAnsi="Times New Roman"/>
                <w:sz w:val="14"/>
                <w:szCs w:val="14"/>
                <w:color w:val="auto"/>
              </w:rPr>
              <w:t>, 2021.</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8" w:right="239"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on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tabs>
          <w:tab w:leader="none" w:pos="6180" w:val="left"/>
        </w:tabs>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w:t>
      </w:r>
      <w:r>
        <w:rPr>
          <w:sz w:val="20"/>
          <w:szCs w:val="20"/>
          <w:color w:val="auto"/>
        </w:rPr>
        <w:tab/>
      </w:r>
      <w:r>
        <w:rPr>
          <w:rFonts w:ascii="Times New Roman" w:cs="Times New Roman" w:eastAsia="Times New Roman" w:hAnsi="Times New Roman"/>
          <w:sz w:val="16"/>
          <w:szCs w:val="16"/>
          <w:color w:val="auto"/>
        </w:rPr>
        <w:t>shares, all with a par value of $0.0001 per share, of which:</w:t>
      </w:r>
    </w:p>
    <w:p>
      <w:pPr>
        <w:spacing w:after="0" w:line="121" w:lineRule="exact"/>
        <w:rPr>
          <w:sz w:val="20"/>
          <w:szCs w:val="20"/>
          <w:color w:val="auto"/>
        </w:rPr>
      </w:pPr>
    </w:p>
    <w:p>
      <w:pPr>
        <w:ind w:left="1360" w:hanging="909"/>
        <w:spacing w:after="0"/>
        <w:tabs>
          <w:tab w:leader="none" w:pos="1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Class A common stock;</w:t>
      </w:r>
    </w:p>
    <w:p>
      <w:pPr>
        <w:spacing w:after="0" w:line="121" w:lineRule="exact"/>
        <w:rPr>
          <w:rFonts w:ascii="Times New Roman" w:cs="Times New Roman" w:eastAsia="Times New Roman" w:hAnsi="Times New Roman"/>
          <w:sz w:val="18"/>
          <w:szCs w:val="18"/>
          <w:color w:val="auto"/>
        </w:rPr>
      </w:pPr>
    </w:p>
    <w:p>
      <w:pPr>
        <w:ind w:left="1360" w:hanging="909"/>
        <w:spacing w:after="0"/>
        <w:tabs>
          <w:tab w:leader="none" w:pos="1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Class B common stock; and</w:t>
      </w:r>
    </w:p>
    <w:p>
      <w:pPr>
        <w:spacing w:after="0" w:line="121" w:lineRule="exact"/>
        <w:rPr>
          <w:rFonts w:ascii="Times New Roman" w:cs="Times New Roman" w:eastAsia="Times New Roman" w:hAnsi="Times New Roman"/>
          <w:sz w:val="18"/>
          <w:szCs w:val="18"/>
          <w:color w:val="auto"/>
        </w:rPr>
      </w:pPr>
    </w:p>
    <w:p>
      <w:pPr>
        <w:ind w:left="1360" w:hanging="909"/>
        <w:spacing w:after="0"/>
        <w:tabs>
          <w:tab w:leader="none" w:pos="1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preferred stock.</w:t>
      </w:r>
    </w:p>
    <w:p>
      <w:pPr>
        <w:spacing w:after="0" w:line="213" w:lineRule="exact"/>
        <w:rPr>
          <w:sz w:val="20"/>
          <w:szCs w:val="20"/>
          <w:color w:val="auto"/>
        </w:rPr>
      </w:pPr>
    </w:p>
    <w:p>
      <w:pPr>
        <w:ind w:left="460"/>
        <w:spacing w:after="0"/>
        <w:tabs>
          <w:tab w:leader="none" w:pos="1560" w:val="left"/>
        </w:tabs>
        <w:rPr>
          <w:sz w:val="20"/>
          <w:szCs w:val="20"/>
          <w:color w:val="auto"/>
        </w:rPr>
      </w:pP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6"/>
          <w:szCs w:val="16"/>
          <w:color w:val="auto"/>
        </w:rPr>
        <w:t>, we had outstanding:</w:t>
      </w:r>
    </w:p>
    <w:p>
      <w:pPr>
        <w:spacing w:after="0" w:line="121" w:lineRule="exact"/>
        <w:rPr>
          <w:sz w:val="20"/>
          <w:szCs w:val="20"/>
          <w:color w:val="auto"/>
        </w:rPr>
      </w:pPr>
    </w:p>
    <w:p>
      <w:pPr>
        <w:ind w:left="1680" w:hanging="1229"/>
        <w:spacing w:after="0"/>
        <w:tabs>
          <w:tab w:leader="none" w:pos="16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which assumes (1) the conversion of all outstanding shares of convertible preferred stock, other than</w:t>
      </w:r>
    </w:p>
    <w:p>
      <w:pPr>
        <w:spacing w:after="0" w:line="44" w:lineRule="exact"/>
        <w:rPr>
          <w:sz w:val="20"/>
          <w:szCs w:val="20"/>
          <w:color w:val="auto"/>
        </w:rPr>
      </w:pPr>
    </w:p>
    <w:p>
      <w:pPr>
        <w:ind w:left="1000"/>
        <w:spacing w:after="0"/>
        <w:tabs>
          <w:tab w:leader="none" w:pos="3980" w:val="left"/>
        </w:tabs>
        <w:rPr>
          <w:sz w:val="20"/>
          <w:szCs w:val="20"/>
          <w:color w:val="auto"/>
        </w:rPr>
      </w:pPr>
      <w:r>
        <w:rPr>
          <w:rFonts w:ascii="Times New Roman" w:cs="Times New Roman" w:eastAsia="Times New Roman" w:hAnsi="Times New Roman"/>
          <w:sz w:val="18"/>
          <w:szCs w:val="18"/>
          <w:color w:val="auto"/>
        </w:rPr>
        <w:t>Series B preferred stock, into</w:t>
      </w:r>
      <w:r>
        <w:rPr>
          <w:sz w:val="20"/>
          <w:szCs w:val="20"/>
          <w:color w:val="auto"/>
        </w:rPr>
        <w:tab/>
      </w:r>
      <w:r>
        <w:rPr>
          <w:rFonts w:ascii="Times New Roman" w:cs="Times New Roman" w:eastAsia="Times New Roman" w:hAnsi="Times New Roman"/>
          <w:sz w:val="16"/>
          <w:szCs w:val="16"/>
          <w:color w:val="auto"/>
        </w:rPr>
        <w:t>shares of Class A common stock, including the issuance of the Additional Class A Conversion Shares,</w:t>
      </w:r>
    </w:p>
    <w:p>
      <w:pPr>
        <w:spacing w:after="0" w:line="3" w:lineRule="exact"/>
        <w:rPr>
          <w:sz w:val="20"/>
          <w:szCs w:val="20"/>
          <w:color w:val="auto"/>
        </w:rPr>
      </w:pPr>
    </w:p>
    <w:p>
      <w:pPr>
        <w:ind w:left="1000"/>
        <w:spacing w:after="0"/>
        <w:tabs>
          <w:tab w:leader="none" w:pos="7420" w:val="left"/>
        </w:tabs>
        <w:rPr>
          <w:sz w:val="20"/>
          <w:szCs w:val="20"/>
          <w:color w:val="auto"/>
        </w:rPr>
      </w:pPr>
      <w:r>
        <w:rPr>
          <w:rFonts w:ascii="Times New Roman" w:cs="Times New Roman" w:eastAsia="Times New Roman" w:hAnsi="Times New Roman"/>
          <w:sz w:val="18"/>
          <w:szCs w:val="18"/>
          <w:color w:val="auto"/>
        </w:rPr>
        <w:t>(2) the conversion of all outstanding shares of nonvoting common stock into</w:t>
      </w:r>
      <w:r>
        <w:rPr>
          <w:sz w:val="20"/>
          <w:szCs w:val="20"/>
          <w:color w:val="auto"/>
        </w:rPr>
        <w:tab/>
      </w:r>
      <w:r>
        <w:rPr>
          <w:rFonts w:ascii="Times New Roman" w:cs="Times New Roman" w:eastAsia="Times New Roman" w:hAnsi="Times New Roman"/>
          <w:sz w:val="18"/>
          <w:szCs w:val="18"/>
          <w:color w:val="auto"/>
        </w:rPr>
        <w:t>shares of Class A common stock, and (3) the issuance</w:t>
      </w:r>
    </w:p>
    <w:p>
      <w:pPr>
        <w:spacing w:after="0" w:line="3" w:lineRule="exact"/>
        <w:rPr>
          <w:sz w:val="20"/>
          <w:szCs w:val="20"/>
          <w:color w:val="auto"/>
        </w:rPr>
      </w:pPr>
    </w:p>
    <w:p>
      <w:pPr>
        <w:ind w:left="1000"/>
        <w:spacing w:after="0"/>
        <w:tabs>
          <w:tab w:leader="none" w:pos="1860" w:val="left"/>
        </w:tabs>
        <w:rPr>
          <w:sz w:val="20"/>
          <w:szCs w:val="20"/>
          <w:color w:val="auto"/>
        </w:rPr>
      </w:pPr>
      <w:r>
        <w:rPr>
          <w:rFonts w:ascii="Times New Roman" w:cs="Times New Roman" w:eastAsia="Times New Roman" w:hAnsi="Times New Roman"/>
          <w:sz w:val="16"/>
          <w:szCs w:val="16"/>
          <w:color w:val="auto"/>
        </w:rPr>
        <w:t>of</w:t>
      </w:r>
      <w:r>
        <w:rPr>
          <w:sz w:val="20"/>
          <w:szCs w:val="20"/>
          <w:color w:val="auto"/>
        </w:rPr>
        <w:tab/>
      </w:r>
      <w:r>
        <w:rPr>
          <w:rFonts w:ascii="Times New Roman" w:cs="Times New Roman" w:eastAsia="Times New Roman" w:hAnsi="Times New Roman"/>
          <w:sz w:val="16"/>
          <w:szCs w:val="16"/>
          <w:color w:val="auto"/>
        </w:rPr>
        <w:t>shares of Class A common stock upon settlement of RSUs for which the service-based vesting condition was satisfied on or before the</w:t>
      </w:r>
    </w:p>
    <w:p>
      <w:pPr>
        <w:spacing w:after="0" w:line="26" w:lineRule="exact"/>
        <w:rPr>
          <w:sz w:val="20"/>
          <w:szCs w:val="20"/>
          <w:color w:val="auto"/>
        </w:rPr>
      </w:pPr>
    </w:p>
    <w:p>
      <w:pPr>
        <w:ind w:left="1000"/>
        <w:spacing w:after="0" w:line="247" w:lineRule="auto"/>
        <w:rPr>
          <w:sz w:val="20"/>
          <w:szCs w:val="20"/>
          <w:color w:val="auto"/>
        </w:rPr>
      </w:pPr>
      <w:r>
        <w:rPr>
          <w:rFonts w:ascii="Times New Roman" w:cs="Times New Roman" w:eastAsia="Times New Roman" w:hAnsi="Times New Roman"/>
          <w:sz w:val="18"/>
          <w:szCs w:val="18"/>
          <w:color w:val="auto"/>
        </w:rPr>
        <w:t>date of the offering and for which the performance-based vesting condition will be satisfied in connection with this offering, which settlement will occur upon the later of (i) the expiration of the lock-up period in connection with this offering and (ii) March 15, 2022;</w:t>
      </w:r>
    </w:p>
    <w:p>
      <w:pPr>
        <w:spacing w:after="0" w:line="94" w:lineRule="exact"/>
        <w:rPr>
          <w:sz w:val="20"/>
          <w:szCs w:val="20"/>
          <w:color w:val="auto"/>
        </w:rPr>
      </w:pPr>
    </w:p>
    <w:p>
      <w:pPr>
        <w:ind w:left="1640" w:hanging="1189"/>
        <w:spacing w:after="0"/>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which assumes the conversion of all outstanding shares of convertible Series B preferred stock</w:t>
      </w:r>
    </w:p>
    <w:p>
      <w:pPr>
        <w:spacing w:after="0" w:line="21" w:lineRule="exact"/>
        <w:rPr>
          <w:sz w:val="20"/>
          <w:szCs w:val="20"/>
          <w:color w:val="auto"/>
        </w:rPr>
      </w:pPr>
    </w:p>
    <w:p>
      <w:pPr>
        <w:ind w:left="1000"/>
        <w:spacing w:after="0"/>
        <w:tabs>
          <w:tab w:leader="none" w:pos="1960" w:val="left"/>
        </w:tabs>
        <w:rPr>
          <w:sz w:val="20"/>
          <w:szCs w:val="20"/>
          <w:color w:val="auto"/>
        </w:rPr>
      </w:pPr>
      <w:r>
        <w:rPr>
          <w:rFonts w:ascii="Times New Roman" w:cs="Times New Roman" w:eastAsia="Times New Roman" w:hAnsi="Times New Roman"/>
          <w:sz w:val="18"/>
          <w:szCs w:val="18"/>
          <w:color w:val="auto"/>
        </w:rPr>
        <w:t>into</w:t>
      </w:r>
      <w:r>
        <w:rPr>
          <w:sz w:val="20"/>
          <w:szCs w:val="20"/>
          <w:color w:val="auto"/>
        </w:rPr>
        <w:tab/>
      </w:r>
      <w:r>
        <w:rPr>
          <w:rFonts w:ascii="Times New Roman" w:cs="Times New Roman" w:eastAsia="Times New Roman" w:hAnsi="Times New Roman"/>
          <w:sz w:val="18"/>
          <w:szCs w:val="18"/>
          <w:color w:val="auto"/>
        </w:rPr>
        <w:t>shares of Class B common stock.</w:t>
      </w:r>
    </w:p>
    <w:p>
      <w:pPr>
        <w:spacing w:after="0" w:line="19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ectPr>
          <w:pgSz w:w="11900" w:h="16838" w:orient="portrait"/>
          <w:cols w:equalWidth="0" w:num="1">
            <w:col w:w="11340"/>
          </w:cols>
          <w:pgMar w:left="320" w:top="448" w:right="239" w:bottom="1440" w:gutter="0" w:footer="0" w:header="0"/>
        </w:sectPr>
      </w:pPr>
    </w:p>
    <w:p>
      <w:pPr>
        <w:spacing w:after="0" w:line="17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Our outstanding capital stock was held by approval except as required by the listing standards of</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hanging="181"/>
        <w:spacing w:after="0" w:line="267" w:lineRule="auto"/>
        <w:rPr>
          <w:sz w:val="20"/>
          <w:szCs w:val="20"/>
          <w:color w:val="auto"/>
        </w:rPr>
      </w:pPr>
      <w:r>
        <w:rPr>
          <w:rFonts w:ascii="Times New Roman" w:cs="Times New Roman" w:eastAsia="Times New Roman" w:hAnsi="Times New Roman"/>
          <w:sz w:val="18"/>
          <w:szCs w:val="18"/>
          <w:color w:val="auto"/>
        </w:rPr>
        <w:t>stockholders of record as of</w:t>
      </w:r>
      <w:r>
        <w:rPr>
          <w:sz w:val="20"/>
          <w:szCs w:val="20"/>
          <w:color w:val="auto"/>
        </w:rPr>
        <w:t xml:space="preserve"> </w:t>
      </w:r>
      <w:r>
        <w:rPr>
          <w:rFonts w:ascii="Times New Roman" w:cs="Times New Roman" w:eastAsia="Times New Roman" w:hAnsi="Times New Roman"/>
          <w:sz w:val="18"/>
          <w:szCs w:val="18"/>
          <w:color w:val="auto"/>
        </w:rPr>
        <w:t>. Our board of directors is authorized, without stockholder , to issue additional shares of our capital stock.</w:t>
      </w:r>
    </w:p>
    <w:p>
      <w:pPr>
        <w:spacing w:after="0" w:line="246" w:lineRule="exact"/>
        <w:rPr>
          <w:sz w:val="20"/>
          <w:szCs w:val="20"/>
          <w:color w:val="auto"/>
        </w:rPr>
      </w:pPr>
    </w:p>
    <w:p>
      <w:pPr>
        <w:sectPr>
          <w:pgSz w:w="11900" w:h="16838" w:orient="portrait"/>
          <w:cols w:equalWidth="0" w:num="2">
            <w:col w:w="3780" w:space="700"/>
            <w:col w:w="6860"/>
          </w:cols>
          <w:pgMar w:left="320" w:top="448" w:right="2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Class A common stock is entitled to one vote per share on any matter that is submitted to a vote of our stockholders. Holders of our Class B common</w:t>
      </w:r>
    </w:p>
    <w:p>
      <w:pPr>
        <w:spacing w:after="0" w:line="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stock are entitled to votes per share on any matter submitted to 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Change of Control Transactions</w:t>
      </w:r>
      <w:r>
        <w:rPr>
          <w:rFonts w:ascii="Times New Roman" w:cs="Times New Roman" w:eastAsia="Times New Roman" w:hAnsi="Times New Roman"/>
          <w:sz w:val="16"/>
          <w:szCs w:val="16"/>
          <w:color w:val="auto"/>
        </w:rPr>
        <w:t>. The holders of Class A common stock and Class B common stock will be treated equally and identically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on the closing of this offering.</w:t>
      </w:r>
    </w:p>
    <w:p>
      <w:pPr>
        <w:spacing w:after="0" w:line="184"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twenty-year anniversary of the filing of the certificate of amendment to our ninth amended and restated certificate of incorporation, which is March 15, 2041; (3) the termination of Mr. Lefkofsky’s employment or service with us as an executive officer and member of our board of directors; and (4) the date that Mr. Lefkofsky and his controlled entities hold,</w:t>
      </w:r>
    </w:p>
    <w:p>
      <w:pPr>
        <w:spacing w:after="0" w:line="3"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in the aggregate, fewer than</w:t>
      </w:r>
      <w:r>
        <w:rPr>
          <w:sz w:val="20"/>
          <w:szCs w:val="20"/>
          <w:color w:val="auto"/>
        </w:rPr>
        <w:tab/>
      </w:r>
      <w:r>
        <w:rPr>
          <w:rFonts w:ascii="Times New Roman" w:cs="Times New Roman" w:eastAsia="Times New Roman" w:hAnsi="Times New Roman"/>
          <w:sz w:val="16"/>
          <w:szCs w:val="16"/>
          <w:color w:val="auto"/>
        </w:rPr>
        <w:t>shares of our capital stock (as adjusted for stock splits, stock dividends, combinations, subdivisions and recapitalizations).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Google Cloud Platform services used by us. As of , 2021, the total amount outstanding under the Amended Note was $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ind w:left="460"/>
        <w:spacing w:after="0"/>
        <w:tabs>
          <w:tab w:leader="none" w:pos="1780" w:val="left"/>
          <w:tab w:leader="none" w:pos="3560" w:val="left"/>
        </w:tabs>
        <w:rPr>
          <w:sz w:val="20"/>
          <w:szCs w:val="20"/>
          <w:color w:val="auto"/>
        </w:rPr>
      </w:pP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there were</w:t>
      </w:r>
      <w:r>
        <w:rPr>
          <w:sz w:val="20"/>
          <w:szCs w:val="20"/>
          <w:color w:val="auto"/>
        </w:rPr>
        <w:tab/>
      </w:r>
      <w:r>
        <w:rPr>
          <w:rFonts w:ascii="Times New Roman" w:cs="Times New Roman" w:eastAsia="Times New Roman" w:hAnsi="Times New Roman"/>
          <w:sz w:val="18"/>
          <w:szCs w:val="18"/>
          <w:color w:val="auto"/>
        </w:rPr>
        <w:t>shares of our convertible preferred stock outstanding. Immediately prior to the closing of this offering, each</w:t>
      </w:r>
    </w:p>
    <w:p>
      <w:pPr>
        <w:spacing w:after="0" w:line="21" w:lineRule="exact"/>
        <w:rPr>
          <w:sz w:val="20"/>
          <w:szCs w:val="20"/>
          <w:color w:val="auto"/>
        </w:rPr>
      </w:pPr>
    </w:p>
    <w:p>
      <w:pPr>
        <w:jc w:val="both"/>
        <w:spacing w:after="0" w:line="180" w:lineRule="auto"/>
        <w:rPr>
          <w:sz w:val="20"/>
          <w:szCs w:val="20"/>
          <w:color w:val="auto"/>
        </w:rPr>
      </w:pPr>
      <w:r>
        <w:rPr>
          <w:rFonts w:ascii="Times New Roman" w:cs="Times New Roman" w:eastAsia="Times New Roman" w:hAnsi="Times New Roman"/>
          <w:sz w:val="12"/>
          <w:szCs w:val="12"/>
          <w:color w:val="auto"/>
        </w:rPr>
        <w:t>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closing of this 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midpoint of the estimated price range set forth on the cover page of this prospectus, which we refer to as the Additional Class A Conversion Shares. See “Prospectus Summary—The Offering” for additional information.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Under our amended and restated certificate of incorporation that will be in effect on the closing of this offering, our board of directors may, without further</w:t>
      </w:r>
    </w:p>
    <w:p>
      <w:pPr>
        <w:spacing w:after="0" w:line="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action by our stockholders (except as noted below), fix the rights, preferences, privileges, and restrictions of up to an aggregate of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 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tabs>
          <w:tab w:leader="none" w:pos="1520" w:val="left"/>
          <w:tab w:leader="none" w:pos="3760" w:val="left"/>
        </w:tabs>
        <w:rPr>
          <w:sz w:val="20"/>
          <w:szCs w:val="20"/>
          <w:color w:val="auto"/>
        </w:rPr>
      </w:pP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we had outstanding</w:t>
      </w:r>
      <w:r>
        <w:rPr>
          <w:sz w:val="20"/>
          <w:szCs w:val="20"/>
          <w:color w:val="auto"/>
        </w:rPr>
        <w:tab/>
      </w:r>
      <w:r>
        <w:rPr>
          <w:rFonts w:ascii="Times New Roman" w:cs="Times New Roman" w:eastAsia="Times New Roman" w:hAnsi="Times New Roman"/>
          <w:sz w:val="16"/>
          <w:szCs w:val="16"/>
          <w:color w:val="auto"/>
        </w:rPr>
        <w:t>options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tabs>
          <w:tab w:leader="none" w:pos="1520" w:val="left"/>
          <w:tab w:leader="none" w:pos="3760" w:val="left"/>
        </w:tabs>
        <w:rPr>
          <w:sz w:val="20"/>
          <w:szCs w:val="20"/>
          <w:color w:val="auto"/>
        </w:rPr>
      </w:pP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we had outstanding</w:t>
      </w:r>
      <w:r>
        <w:rPr>
          <w:sz w:val="20"/>
          <w:szCs w:val="20"/>
          <w:color w:val="auto"/>
        </w:rPr>
        <w:tab/>
      </w:r>
      <w:r>
        <w:rPr>
          <w:rFonts w:ascii="Times New Roman" w:cs="Times New Roman" w:eastAsia="Times New Roman" w:hAnsi="Times New Roman"/>
          <w:sz w:val="16"/>
          <w:szCs w:val="16"/>
          <w:color w:val="auto"/>
        </w:rPr>
        <w:t>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 exercise of the underwriters’ option</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8"/>
          <w:szCs w:val="18"/>
          <w:color w:val="auto"/>
        </w:rPr>
        <w:t>In connection with this offering, 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 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ectPr>
          <w:pgSz w:w="11900" w:h="16838" w:orient="portrait"/>
          <w:cols w:equalWidth="0" w:num="1">
            <w:col w:w="11340"/>
          </w:cols>
          <w:pgMar w:left="320" w:top="448" w:right="23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hanging="508"/>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We intend to apply to have our Class A common stock approved for listing under the symbol “TIME.”</w:t>
      </w:r>
    </w:p>
    <w:p>
      <w:pPr>
        <w:spacing w:after="0" w:line="200" w:lineRule="exact"/>
        <w:rPr>
          <w:sz w:val="20"/>
          <w:szCs w:val="20"/>
          <w:color w:val="auto"/>
        </w:rPr>
      </w:pPr>
    </w:p>
    <w:p>
      <w:pPr>
        <w:sectPr>
          <w:pgSz w:w="11900" w:h="16838" w:orient="portrait"/>
          <w:cols w:equalWidth="0" w:num="2">
            <w:col w:w="240" w:space="720"/>
            <w:col w:w="10380"/>
          </w:cols>
          <w:pgMar w:left="320" w:top="448" w:right="2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ectPr>
          <w:pgSz w:w="11900" w:h="16838" w:orient="portrait"/>
          <w:cols w:equalWidth="0" w:num="1">
            <w:col w:w="11340"/>
          </w:cols>
          <w:pgMar w:left="320" w:top="448" w:right="239" w:bottom="1440" w:gutter="0" w:footer="0" w:header="0"/>
          <w:type w:val="continuous"/>
        </w:sectPr>
      </w:pPr>
    </w:p>
    <w:p>
      <w:pPr>
        <w:spacing w:after="0" w:line="133" w:lineRule="exact"/>
        <w:rPr>
          <w:sz w:val="20"/>
          <w:szCs w:val="20"/>
          <w:color w:val="auto"/>
        </w:rPr>
      </w:pPr>
    </w:p>
    <w:p>
      <w:pPr>
        <w:ind w:right="100"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the transfer agent and registrar for our Class A common stock and Class B common stock will be agent’s address is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transfer</w:t>
      </w:r>
    </w:p>
    <w:p>
      <w:pPr>
        <w:spacing w:after="0" w:line="380" w:lineRule="exact"/>
        <w:rPr>
          <w:sz w:val="20"/>
          <w:szCs w:val="20"/>
          <w:color w:val="auto"/>
        </w:rPr>
      </w:pPr>
    </w:p>
    <w:p>
      <w:pPr>
        <w:sectPr>
          <w:pgSz w:w="11900" w:h="16838" w:orient="portrait"/>
          <w:cols w:equalWidth="0" w:num="2">
            <w:col w:w="9660" w:space="720"/>
            <w:col w:w="960"/>
          </w:cols>
          <w:pgMar w:left="320" w:top="44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220</w:t>
      </w:r>
    </w:p>
    <w:p>
      <w:pPr>
        <w:sectPr>
          <w:pgSz w:w="11900" w:h="16838" w:orient="portrait"/>
          <w:cols w:equalWidth="0" w:num="1">
            <w:col w:w="11340"/>
          </w:cols>
          <w:pgMar w:left="320" w:top="448" w:right="23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Based on our shares outstanding as of , on the closing of this offering, a total of shares of Class A common stock and shares of Class B common stock will be outstanding, assuming the automatic conversion of (1) all of our outstanding shares of convertible preferred stock, other than</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our Series B convertible preferred stock, into an aggregate of shares of Class A common stock, including the Additional Class A Conversion Shares, (2) all of our outstanding shares of Series B convertible preferred stock into an aggregate of shares of Class B common stock and (3) all of our outstanding shares of nonvoting common stock into shares of Class A common stock. Of these shares, all of the Class A common stock sold in this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a result of the lock-up agreements and market standoff agreements described below and subject to the provisions of Rules 144 or 701, these restricted securities will be available for sale in the public market as follows:</w:t>
      </w:r>
    </w:p>
    <w:p>
      <w:pPr>
        <w:spacing w:after="0" w:line="190" w:lineRule="exact"/>
        <w:rPr>
          <w:sz w:val="20"/>
          <w:szCs w:val="20"/>
          <w:color w:val="auto"/>
        </w:rPr>
      </w:pPr>
    </w:p>
    <w:p>
      <w:pPr>
        <w:ind w:left="1320"/>
        <w:spacing w:after="0"/>
        <w:tabs>
          <w:tab w:leader="none" w:pos="7320" w:val="left"/>
        </w:tabs>
        <w:rPr>
          <w:sz w:val="20"/>
          <w:szCs w:val="20"/>
          <w:color w:val="auto"/>
        </w:rPr>
      </w:pPr>
      <w:r>
        <w:rPr>
          <w:rFonts w:ascii="Times New Roman" w:cs="Times New Roman" w:eastAsia="Times New Roman" w:hAnsi="Times New Roman"/>
          <w:sz w:val="14"/>
          <w:szCs w:val="14"/>
          <w:b w:val="1"/>
          <w:bCs w:val="1"/>
          <w:color w:val="auto"/>
        </w:rPr>
        <w:t>Earliest Date Available for Sale in the Public Market</w:t>
      </w:r>
      <w:r>
        <w:rPr>
          <w:sz w:val="20"/>
          <w:szCs w:val="20"/>
          <w:color w:val="auto"/>
        </w:rPr>
        <w:tab/>
      </w:r>
      <w:r>
        <w:rPr>
          <w:rFonts w:ascii="Times New Roman" w:cs="Times New Roman" w:eastAsia="Times New Roman" w:hAnsi="Times New Roman"/>
          <w:sz w:val="13"/>
          <w:szCs w:val="13"/>
          <w:b w:val="1"/>
          <w:bCs w:val="1"/>
          <w:color w:val="auto"/>
        </w:rPr>
        <w:t>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977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71977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ectPr>
          <w:pgSz w:w="11900" w:h="16838" w:orient="portrait"/>
          <w:cols w:equalWidth="0" w:num="1">
            <w:col w:w="11340"/>
          </w:cols>
          <w:pgMar w:left="320" w:top="448" w:right="239" w:bottom="1440" w:gutter="0" w:footer="0" w:header="0"/>
        </w:sectPr>
      </w:pPr>
    </w:p>
    <w:p>
      <w:pPr>
        <w:spacing w:after="0" w:line="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1% of the number of shares of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immediately after this</w:t>
      </w:r>
    </w:p>
    <w:p>
      <w:pPr>
        <w:spacing w:after="0" w:line="354" w:lineRule="exact"/>
        <w:rPr>
          <w:sz w:val="20"/>
          <w:szCs w:val="20"/>
          <w:color w:val="auto"/>
        </w:rPr>
      </w:pPr>
    </w:p>
    <w:p>
      <w:pPr>
        <w:sectPr>
          <w:pgSz w:w="11900" w:h="16838" w:orient="portrait"/>
          <w:cols w:equalWidth="0" w:num="3">
            <w:col w:w="520" w:space="480"/>
            <w:col w:w="7580" w:space="720"/>
            <w:col w:w="2040"/>
          </w:cols>
          <w:pgMar w:left="320" w:top="448" w:right="239" w:bottom="1440" w:gutter="0" w:footer="0" w:header="0"/>
          <w:type w:val="continuous"/>
        </w:sect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8"/>
          <w:szCs w:val="18"/>
          <w:color w:val="auto"/>
        </w:rPr>
        <w:t>the average weekly trading volume of our Class A common stock on the Form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during the four calendar weeks preceding the filing of a notice on</w:t>
      </w:r>
    </w:p>
    <w:p>
      <w:pPr>
        <w:spacing w:after="0" w:line="446" w:lineRule="exact"/>
        <w:rPr>
          <w:sz w:val="20"/>
          <w:szCs w:val="20"/>
          <w:color w:val="auto"/>
        </w:rPr>
      </w:pPr>
    </w:p>
    <w:p>
      <w:pPr>
        <w:sectPr>
          <w:pgSz w:w="11900" w:h="16838" w:orient="portrait"/>
          <w:cols w:equalWidth="0" w:num="3">
            <w:col w:w="520" w:space="480"/>
            <w:col w:w="5060" w:space="700"/>
            <w:col w:w="4580"/>
          </w:cols>
          <w:pgMar w:left="320" w:top="448" w:right="239" w:bottom="1440" w:gutter="0" w:footer="0" w:header="0"/>
          <w:type w:val="continuous"/>
        </w:sect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and the 2021 Plan.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until days after the date of this prospectus, or the restricted period, subject to certain exceptions, we and they will not, without the prior written consent of , offer, sell, contract to sell, pledge, grant any option to purchase, make any short sale or otherwise dispose of any of our shares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options or warrants to purchase any of our shares of common stock or any securities convertible into or exchangeable for or that represent the right to receive</w:t>
      </w:r>
    </w:p>
    <w:p>
      <w:pPr>
        <w:spacing w:after="0" w:line="37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shares of our common stock; provided that . These agreements are described in the section titled “Underwriting.” may release any of the securities subject to these lock-up agreements at any time, subject to applicable notice requirements.</w:t>
      </w:r>
    </w:p>
    <w:p>
      <w:pPr>
        <w:spacing w:after="0" w:line="170" w:lineRule="exact"/>
        <w:rPr>
          <w:sz w:val="20"/>
          <w:szCs w:val="20"/>
          <w:color w:val="auto"/>
        </w:rPr>
      </w:pPr>
    </w:p>
    <w:p>
      <w:pPr>
        <w:ind w:firstLine="454"/>
        <w:spacing w:after="0" w:line="285" w:lineRule="auto"/>
        <w:rPr>
          <w:sz w:val="20"/>
          <w:szCs w:val="20"/>
          <w:color w:val="auto"/>
        </w:rPr>
      </w:pPr>
      <w:r>
        <w:rPr>
          <w:rFonts w:ascii="Times New Roman" w:cs="Times New Roman" w:eastAsia="Times New Roman" w:hAnsi="Times New Roman"/>
          <w:sz w:val="16"/>
          <w:szCs w:val="16"/>
          <w:color w:val="auto"/>
        </w:rPr>
        <w:t>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w:t>
      </w:r>
    </w:p>
    <w:p>
      <w:pPr>
        <w:spacing w:after="0" w:line="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period of</w:t>
      </w:r>
      <w:r>
        <w:rPr>
          <w:sz w:val="20"/>
          <w:szCs w:val="20"/>
          <w:color w:val="auto"/>
        </w:rPr>
        <w:tab/>
      </w:r>
      <w:r>
        <w:rPr>
          <w:rFonts w:ascii="Times New Roman" w:cs="Times New Roman" w:eastAsia="Times New Roman" w:hAnsi="Times New Roman"/>
          <w:sz w:val="16"/>
          <w:szCs w:val="16"/>
          <w:color w:val="auto"/>
        </w:rPr>
        <w:t>days following the date of this prospectus.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Upon the closing of this offering, the holders of</w:t>
      </w:r>
      <w:r>
        <w:rPr>
          <w:sz w:val="20"/>
          <w:szCs w:val="20"/>
          <w:color w:val="auto"/>
        </w:rPr>
        <w:tab/>
      </w:r>
      <w:r>
        <w:rPr>
          <w:rFonts w:ascii="Times New Roman" w:cs="Times New Roman" w:eastAsia="Times New Roman" w:hAnsi="Times New Roman"/>
          <w:sz w:val="16"/>
          <w:szCs w:val="16"/>
          <w:color w:val="auto"/>
        </w:rPr>
        <w:t>shares of our Class A common stock and of all shares of our Class B common stock, or their</w:t>
      </w:r>
    </w:p>
    <w:p>
      <w:pPr>
        <w:spacing w:after="0" w:line="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transferees,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of the acquisition, ownership, and disposition of our Class A common stock acquired in this offering by Non-U.S. Holders (as defined below).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and J.P. Morgan Securities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p>
      <w:pPr>
        <w:ind w:left="86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13335</wp:posOffset>
            </wp:positionV>
            <wp:extent cx="6118860" cy="133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2540</wp:posOffset>
            </wp:positionV>
            <wp:extent cx="8255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selling stockholders identified in this prospectus have granted to the underwriters an option, exercisable for 30 days from the date of this prospectus, to</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w:t>
      </w:r>
    </w:p>
    <w:p>
      <w:pPr>
        <w:spacing w:after="0" w:line="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additional</w:t>
      </w:r>
      <w:r>
        <w:rPr>
          <w:sz w:val="20"/>
          <w:szCs w:val="20"/>
          <w:color w:val="auto"/>
        </w:rPr>
        <w:tab/>
      </w:r>
      <w:r>
        <w:rPr>
          <w:rFonts w:ascii="Times New Roman" w:cs="Times New Roman" w:eastAsia="Times New Roman" w:hAnsi="Times New Roman"/>
          <w:sz w:val="18"/>
          <w:szCs w:val="18"/>
          <w:color w:val="auto"/>
        </w:rPr>
        <w:t>shares of Class A common stock.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340"/>
          </w:cols>
          <w:pgMar w:left="320" w:top="448"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3"/>
        </w:trPr>
        <w:tc>
          <w:tcPr>
            <w:tcW w:w="64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tcBorders>
              <w:top w:val="single" w:sz="8" w:color="auto"/>
            </w:tcBorders>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3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2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99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4"/>
              </w:rPr>
              <w:t>million. We have</w:t>
            </w:r>
          </w:p>
        </w:tc>
        <w:tc>
          <w:tcPr>
            <w:tcW w:w="0" w:type="dxa"/>
            <w:vAlign w:val="bottom"/>
          </w:tcPr>
          <w:p>
            <w:pPr>
              <w:spacing w:after="0"/>
              <w:rPr>
                <w:sz w:val="1"/>
                <w:szCs w:val="1"/>
                <w:color w:val="auto"/>
              </w:rPr>
            </w:pPr>
          </w:p>
        </w:tc>
      </w:tr>
      <w:tr>
        <w:trPr>
          <w:trHeight w:val="228"/>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up to $</w:t>
            </w:r>
          </w:p>
        </w:tc>
        <w:tc>
          <w:tcPr>
            <w:tcW w:w="900" w:type="dxa"/>
            <w:vAlign w:val="bottom"/>
            <w:gridSpan w:val="2"/>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have informed us that they do not intend sales to discretionary accounts to exceed 5% of the total number of shares of Class A common</w:t>
      </w:r>
    </w:p>
    <w:p>
      <w:pPr>
        <w:spacing w:after="0" w:line="44"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stock offered by them. We intend to apply to list our Class A common stock on the</w:t>
      </w:r>
      <w:r>
        <w:rPr>
          <w:sz w:val="20"/>
          <w:szCs w:val="20"/>
          <w:color w:val="auto"/>
        </w:rPr>
        <w:tab/>
      </w:r>
      <w:r>
        <w:rPr>
          <w:rFonts w:ascii="Times New Roman" w:cs="Times New Roman" w:eastAsia="Times New Roman" w:hAnsi="Times New Roman"/>
          <w:sz w:val="16"/>
          <w:szCs w:val="16"/>
          <w:color w:val="auto"/>
        </w:rPr>
        <w:t>under the trading symbol “TIME.”</w:t>
      </w:r>
    </w:p>
    <w:p>
      <w:pPr>
        <w:spacing w:after="0" w:line="19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and all directors and officers and the holders of substantially all of our outstanding stock and stock options will agree that, subject to certain conditions, without the prior written consent of the representatives on behalf of the underwriters, we and they will not, and will not publicly disclose an intention to, during</w:t>
      </w:r>
    </w:p>
    <w:p>
      <w:pPr>
        <w:spacing w:after="0" w:line="1"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the period ending on and including the</w:t>
      </w:r>
      <w:r>
        <w:rPr>
          <w:sz w:val="20"/>
          <w:szCs w:val="20"/>
          <w:color w:val="auto"/>
        </w:rPr>
        <w:tab/>
      </w:r>
      <w:r>
        <w:rPr>
          <w:rFonts w:ascii="Times New Roman" w:cs="Times New Roman" w:eastAsia="Times New Roman" w:hAnsi="Times New Roman"/>
          <w:sz w:val="16"/>
          <w:szCs w:val="16"/>
          <w:color w:val="auto"/>
        </w:rPr>
        <w:t>th day after the date of this prospectus, referred to as the restricted period:</w:t>
      </w:r>
    </w:p>
    <w:p>
      <w:pPr>
        <w:spacing w:after="0" w:line="103" w:lineRule="exact"/>
        <w:rPr>
          <w:sz w:val="20"/>
          <w:szCs w:val="20"/>
          <w:color w:val="auto"/>
        </w:rPr>
      </w:pPr>
    </w:p>
    <w:p>
      <w:pPr>
        <w:jc w:val="both"/>
        <w:ind w:left="1000" w:hanging="549"/>
        <w:spacing w:after="0" w:line="255"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or the SEC, relating to the offering of any shares of common stock or any securities convertible into or exercisable or exchangeable for common stock;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will agree that, without the prior written consent of the representatives on behalf of the underwriters, we or such other person will not, during the restricted period, make any demand for, or exercise any right with respect to, the registration of any shares of our common stock or any security convertible into or exercisable or exchangeable for common stock.</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shares of common stock upon the exercise of an option or a warrant or the conversion of a security outstanding on the date of this prospectus of which the underwriters have been advised in writing;</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 or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shareholder, officer or director of the company pursuant to Rule 10b5-1 under the Exchange Act for the transfer of shares of common stock, provided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40"/>
          </w:cols>
          <w:pgMar w:left="320" w:top="448"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51" w:lineRule="auto"/>
        <w:rPr>
          <w:sz w:val="20"/>
          <w:szCs w:val="20"/>
          <w:color w:val="auto"/>
        </w:rPr>
      </w:pPr>
      <w:r>
        <w:rPr>
          <w:rFonts w:ascii="Times New Roman" w:cs="Times New Roman" w:eastAsia="Times New Roman" w:hAnsi="Times New Roman"/>
          <w:sz w:val="18"/>
          <w:szCs w:val="18"/>
          <w:color w:val="auto"/>
        </w:rPr>
        <w:t>that (i) such plan does not provide for the transfer of common stock during the restricted period and (ii) to the extent a public announcement or filing under the Exchange Act, if any, is required of or voluntarily made by or on behalf of the company regarding the establishment of such plan, such announcement or filing shall include a statement to the effect that no transfer of common stock may be made under such plan during the restricted period.</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common stock and other securities subject to the lock-up agreements described above in whole or in part at any time, subject to applicable notice requirements.</w:t>
      </w:r>
    </w:p>
    <w:p>
      <w:pPr>
        <w:spacing w:after="0" w:line="17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the selling stockholders and the underwriters have agreed to indemnify each other against certain liabilities, including liabilities under the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5" w:lineRule="exact"/>
        <w:rPr>
          <w:sz w:val="20"/>
          <w:szCs w:val="20"/>
          <w:color w:val="auto"/>
        </w:rPr>
      </w:pPr>
    </w:p>
    <w:p>
      <w:pPr>
        <w:ind w:left="1000" w:hanging="414"/>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340"/>
          </w:cols>
          <w:pgMar w:left="320" w:top="448" w:right="2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89" w:lineRule="exact"/>
        <w:rPr>
          <w:sz w:val="20"/>
          <w:szCs w:val="20"/>
          <w:color w:val="auto"/>
        </w:rPr>
      </w:pPr>
    </w:p>
    <w:p>
      <w:pPr>
        <w:ind w:left="1000" w:hanging="414"/>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FMSA,</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1" w:lineRule="exact"/>
        <w:rPr>
          <w:sz w:val="20"/>
          <w:szCs w:val="20"/>
          <w:color w:val="auto"/>
        </w:rPr>
      </w:pPr>
    </w:p>
    <w:p>
      <w:pPr>
        <w:jc w:val="both"/>
        <w:ind w:left="1000" w:hanging="414"/>
        <w:spacing w:after="0" w:line="251"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w:t>
      </w:r>
    </w:p>
    <w:p>
      <w:pPr>
        <w:spacing w:after="0" w:line="92"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shares of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underwriters are not required to comply with the disclosure requirements of NI 33-105 regarding underwriter conflicts of interest in connection with this offering.</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Shares of our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Securities and Futures Act, Chapter 289 of Singapore, the shares of our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2020 and 2019,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95"/>
        </w:trPr>
        <w:tc>
          <w:tcPr>
            <w:tcW w:w="920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8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6"/>
              </w:rPr>
              <w:t>Tempus Labs, Inc.</w:t>
            </w:r>
          </w:p>
        </w:tc>
        <w:tc>
          <w:tcPr>
            <w:tcW w:w="208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8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80" w:type="dxa"/>
            <w:vAlign w:val="bottom"/>
          </w:tcPr>
          <w:p>
            <w:pPr>
              <w:spacing w:after="0"/>
              <w:rPr>
                <w:sz w:val="19"/>
                <w:szCs w:val="19"/>
                <w:color w:val="auto"/>
              </w:rPr>
            </w:pPr>
          </w:p>
        </w:tc>
      </w:tr>
      <w:tr>
        <w:trPr>
          <w:trHeight w:val="407"/>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1"/>
        </w:trPr>
        <w:tc>
          <w:tcPr>
            <w:tcW w:w="41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100" w:type="dxa"/>
            <w:vAlign w:val="bottom"/>
            <w:gridSpan w:val="3"/>
          </w:tcPr>
          <w:p>
            <w:pPr>
              <w:spacing w:after="0"/>
              <w:rPr>
                <w:sz w:val="18"/>
                <w:szCs w:val="18"/>
                <w:color w:val="auto"/>
              </w:rPr>
            </w:pPr>
          </w:p>
        </w:tc>
        <w:tc>
          <w:tcPr>
            <w:tcW w:w="2080" w:type="dxa"/>
            <w:vAlign w:val="bottom"/>
          </w:tcPr>
          <w:p>
            <w:pPr>
              <w:spacing w:after="0"/>
              <w:rPr>
                <w:sz w:val="18"/>
                <w:szCs w:val="18"/>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160" w:type="dxa"/>
            <w:vAlign w:val="bottom"/>
            <w:gridSpan w:val="6"/>
          </w:tcPr>
          <w:p>
            <w:pPr>
              <w:spacing w:after="0"/>
              <w:rPr>
                <w:sz w:val="16"/>
                <w:szCs w:val="16"/>
                <w:color w:val="auto"/>
              </w:rPr>
            </w:pPr>
          </w:p>
        </w:tc>
        <w:tc>
          <w:tcPr>
            <w:tcW w:w="2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640" w:type="dxa"/>
            <w:vAlign w:val="bottom"/>
            <w:gridSpan w:val="2"/>
          </w:tcPr>
          <w:p>
            <w:pPr>
              <w:spacing w:after="0"/>
              <w:rPr>
                <w:sz w:val="16"/>
                <w:szCs w:val="16"/>
                <w:color w:val="auto"/>
              </w:rPr>
            </w:pPr>
          </w:p>
        </w:tc>
        <w:tc>
          <w:tcPr>
            <w:tcW w:w="2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00" w:type="dxa"/>
            <w:vAlign w:val="bottom"/>
            <w:gridSpan w:val="5"/>
          </w:tcPr>
          <w:p>
            <w:pPr>
              <w:spacing w:after="0"/>
              <w:rPr>
                <w:sz w:val="16"/>
                <w:szCs w:val="16"/>
                <w:color w:val="auto"/>
              </w:rPr>
            </w:pPr>
          </w:p>
        </w:tc>
        <w:tc>
          <w:tcPr>
            <w:tcW w:w="2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40" w:type="dxa"/>
            <w:vAlign w:val="bottom"/>
          </w:tcPr>
          <w:p>
            <w:pPr>
              <w:spacing w:after="0"/>
              <w:rPr>
                <w:sz w:val="16"/>
                <w:szCs w:val="16"/>
                <w:color w:val="auto"/>
              </w:rPr>
            </w:pPr>
          </w:p>
        </w:tc>
        <w:tc>
          <w:tcPr>
            <w:tcW w:w="2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F-10–F-42</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color w:val="auto"/>
                <w:w w:val="95"/>
              </w:rPr>
              <w:t>F-1</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80"/>
          </w:cols>
          <w:pgMar w:left="320" w:top="443" w:right="2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Labs,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Labs, Inc. and its subsidiaries (the “Company”) as of December 31, 2020 and 2019,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1, 2021, except for the effects of the revision discussed in Note 1 to the consolidated financial statements, as to which the date is October 28, 2021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227,599</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513,436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$344,945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6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Accounts receivable, net of allowances of $0, $478 and $478 at December 31, 2019 and 2020 and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September 30, 2021, respectively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87,259</w:t>
            </w:r>
          </w:p>
        </w:tc>
        <w:tc>
          <w:tcPr>
            <w:tcW w:w="2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37,557</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649,730</w:t>
            </w:r>
          </w:p>
        </w:tc>
        <w:tc>
          <w:tcPr>
            <w:tcW w:w="50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454,605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38,435</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15,992</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44,459</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2,522</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751,918</w:t>
            </w:r>
          </w:p>
        </w:tc>
        <w:tc>
          <w:tcPr>
            <w:tcW w:w="5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551,347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53,571</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20,178</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6,965</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accrued data licensing fees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9,000</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1,320</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accrued dividends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5,625</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101,382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102,984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lease obligations, less current maturities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10,271</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Minimum accrued data licensing fees, less current maturities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19,554</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243,420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 less current portion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13,594</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10,221</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21,428</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405,746</w:t>
            </w:r>
          </w:p>
        </w:tc>
        <w:tc>
          <w:tcPr>
            <w:tcW w:w="5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400,134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6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Convertible redeemable preferred stock, $0.001 par value, 55,088,384, 64,760,746 and 64,760,746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authorized at December 31, 2019 and 2020 and September 30, 2021, respectively;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55,088,384, 60,921,767 and 61,078,813 shares issued and outstanding at December 31, 2019 and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2020 and September 30, 2021, respectively; aggregate liquidation preference of $554,286,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$871,530 and $903,786 at December 31, 2019 and 2020 and September 30, 2021 respectively.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859,156</w:t>
            </w:r>
          </w:p>
        </w:tc>
        <w:tc>
          <w:tcPr>
            <w:tcW w:w="2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890,535</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7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Voting Common Stock, $0.001 par value, 167,035,011, 187,075,184 and 187,075,184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at December 31, 2019 and 2020 and September 30, 2021, respectively; 58,558,600,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58,367,961 and 58,367,961 shares issued and outstanding at December 31, 2019 and 2020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September 30, 2021.</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Non-voting Common Stock, $0.001 par value, 54,446,627 and 63,946,620 and 63,946,620 shares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at December 31, 2019 and 2020 and September 30, 2021, respectively; 4,595,000,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4,595,000 and 4,612,450 shares issued and outstanding at December 31, 2019 and 2020 and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September 30, 2021, respectively.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9"/>
              </w:rPr>
              <w:t>(257,853)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(512,989)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(739,342)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(254,415)</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(512,984)</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(739,322)</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370,171</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ind w:left="434"/>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27,890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151,911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$73,224</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154,514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13,928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30,029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152,198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80,416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129,283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5,028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32,800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49,543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31,253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45,415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32,308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78,962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130,892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88,006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144,158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181,838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381,458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238,558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(119,781)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(193,454)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(151,406</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(5,528)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(114,951)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(211,354)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(155,712)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(199,757)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(losses) from equity method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(114,951)</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(209,854)</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(155,712)</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(7,303)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(7,381)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(3,203)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on Series A, B, B-1, B-2, C, D, E, F and G preferred shares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(25,523)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(148,144)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(253,905)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(186,331)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61,347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62,706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62,697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62,973</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3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(114,951)</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(209,854)</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(155,712)</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(114,950)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(209,856)</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(155,704)</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980"/>
        <w:spacing w:after="0" w:line="227" w:lineRule="auto"/>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3"/>
        </w:trPr>
        <w:tc>
          <w:tcPr>
            <w:tcW w:w="5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9"/>
                <w:szCs w:val="9"/>
                <w:color w:val="auto"/>
              </w:rPr>
            </w:pPr>
          </w:p>
        </w:tc>
        <w:tc>
          <w:tcPr>
            <w:tcW w:w="130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3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3"/>
              </w:rPr>
              <w:t>(114,951)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(209,854)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(155,712)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(200,211)</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15,020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23,052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17,039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18,151</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equity-method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convertible promissory notes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8,889</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(13,367)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(55,844)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(20,437)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12,871</w:t>
            </w:r>
          </w:p>
        </w:tc>
        <w:tc>
          <w:tcPr>
            <w:tcW w:w="0" w:type="dxa"/>
            <w:vAlign w:val="bottom"/>
          </w:tcPr>
          <w:p>
            <w:pPr>
              <w:spacing w:after="0"/>
              <w:rPr>
                <w:sz w:val="1"/>
                <w:szCs w:val="1"/>
                <w:color w:val="auto"/>
              </w:rPr>
            </w:pPr>
          </w:p>
        </w:tc>
      </w:tr>
      <w:tr>
        <w:trPr>
          <w:trHeight w:val="210"/>
        </w:trPr>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Inventory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(29,278)</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(24,322)</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15,559</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(3,012)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(2,977)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0"/>
        </w:trPr>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(14,077)</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(14,521)</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38,132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18,035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(21,263)</w:t>
            </w:r>
          </w:p>
        </w:tc>
        <w:tc>
          <w:tcPr>
            <w:tcW w:w="0" w:type="dxa"/>
            <w:vAlign w:val="bottom"/>
          </w:tcPr>
          <w:p>
            <w:pPr>
              <w:spacing w:after="0"/>
              <w:rPr>
                <w:sz w:val="1"/>
                <w:szCs w:val="1"/>
                <w:color w:val="auto"/>
              </w:rPr>
            </w:pPr>
          </w:p>
        </w:tc>
      </w:tr>
      <w:tr>
        <w:trPr>
          <w:trHeight w:val="210"/>
        </w:trPr>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8,451</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4,103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4,164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(8,999)</w:t>
            </w:r>
          </w:p>
        </w:tc>
        <w:tc>
          <w:tcPr>
            <w:tcW w:w="0" w:type="dxa"/>
            <w:vAlign w:val="bottom"/>
          </w:tcPr>
          <w:p>
            <w:pPr>
              <w:spacing w:after="0"/>
              <w:rPr>
                <w:sz w:val="1"/>
                <w:szCs w:val="1"/>
                <w:color w:val="auto"/>
              </w:rPr>
            </w:pPr>
          </w:p>
        </w:tc>
      </w:tr>
      <w:tr>
        <w:trPr>
          <w:trHeight w:val="210"/>
        </w:trPr>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30,021</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17,539</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24,503</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3"/>
              </w:rPr>
              <w:t>(117,111)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(206,562)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(161,572)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(148,229)</w:t>
            </w:r>
          </w:p>
        </w:tc>
        <w:tc>
          <w:tcPr>
            <w:tcW w:w="0" w:type="dxa"/>
            <w:vAlign w:val="bottom"/>
          </w:tcPr>
          <w:p>
            <w:pPr>
              <w:spacing w:after="0"/>
              <w:rPr>
                <w:sz w:val="1"/>
                <w:szCs w:val="1"/>
                <w:color w:val="auto"/>
              </w:rPr>
            </w:pPr>
          </w:p>
        </w:tc>
      </w:tr>
      <w:tr>
        <w:trPr>
          <w:trHeight w:val="321"/>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(17,035)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(13,416)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(9,445)</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subsidiary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a business, net of cash (Note 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escrow related to AKESOgen purchase (Note 3)</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(43,029)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(13,416)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(19,402)</w:t>
            </w:r>
          </w:p>
        </w:tc>
        <w:tc>
          <w:tcPr>
            <w:tcW w:w="0" w:type="dxa"/>
            <w:vAlign w:val="bottom"/>
          </w:tcPr>
          <w:p>
            <w:pPr>
              <w:spacing w:after="0"/>
              <w:rPr>
                <w:sz w:val="1"/>
                <w:szCs w:val="1"/>
                <w:color w:val="auto"/>
              </w:rPr>
            </w:pPr>
          </w:p>
        </w:tc>
      </w:tr>
      <w:tr>
        <w:trPr>
          <w:trHeight w:val="321"/>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F Preferred Stock, net of offering costs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192,697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 net of offering costs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94,108</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94,108</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G-2 Preferred Stock, net of offering costs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95,823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8,894</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Issuance (Redemption) of Common Shares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(7,311)</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(7,311)</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(5,625)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(5,625)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330,000</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330,000</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capital lease obligation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196,692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506,107</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410,423</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5300" w:type="dxa"/>
            <w:vAlign w:val="bottom"/>
          </w:tcPr>
          <w:p>
            <w:pPr>
              <w:spacing w:after="0"/>
              <w:rPr>
                <w:sz w:val="24"/>
                <w:szCs w:val="24"/>
                <w:color w:val="auto"/>
              </w:rPr>
            </w:pPr>
          </w:p>
        </w:tc>
        <w:tc>
          <w:tcPr>
            <w:tcW w:w="1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F-6</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920"/>
        <w:spacing w:after="0" w:line="227" w:lineRule="auto"/>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top w:val="single" w:sz="8" w:color="auto"/>
            </w:tcBorders>
            <w:gridSpan w:val="3"/>
          </w:tcPr>
          <w:p>
            <w:pPr>
              <w:ind w:left="40"/>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36,544</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286,116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237,404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(168,491)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191,556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228,100</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228,100</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514,216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228,100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514,216</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465,504</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345,725</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227,599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513,436</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464,725</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228,100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514,216</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465,504</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345,725</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2,053</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7,303</w:t>
            </w:r>
          </w:p>
        </w:tc>
        <w:tc>
          <w:tcPr>
            <w:tcW w:w="5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7,381</w:t>
            </w:r>
          </w:p>
        </w:tc>
        <w:tc>
          <w:tcPr>
            <w:tcW w:w="400" w:type="dxa"/>
            <w:vAlign w:val="bottom"/>
            <w:gridSpan w:val="2"/>
            <w:shd w:val="clear" w:color="auto" w:fill="CCEEFF"/>
          </w:tcPr>
          <w:p>
            <w:pPr>
              <w:jc w:val="right"/>
              <w:ind w:right="42"/>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3,203</w:t>
            </w:r>
          </w:p>
        </w:tc>
        <w:tc>
          <w:tcPr>
            <w:tcW w:w="400" w:type="dxa"/>
            <w:vAlign w:val="bottom"/>
            <w:gridSpan w:val="2"/>
            <w:shd w:val="clear" w:color="auto" w:fill="CCEEFF"/>
          </w:tcPr>
          <w:p>
            <w:pPr>
              <w:jc w:val="right"/>
              <w:ind w:right="42"/>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4,219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4,219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3,014</w:t>
            </w:r>
          </w:p>
        </w:tc>
        <w:tc>
          <w:tcPr>
            <w:tcW w:w="5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2,032</w:t>
            </w:r>
          </w:p>
        </w:tc>
        <w:tc>
          <w:tcPr>
            <w:tcW w:w="400" w:type="dxa"/>
            <w:vAlign w:val="bottom"/>
            <w:gridSpan w:val="2"/>
            <w:shd w:val="clear" w:color="auto" w:fill="CCEEFF"/>
          </w:tcPr>
          <w:p>
            <w:pPr>
              <w:jc w:val="right"/>
              <w:ind w:right="42"/>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1,907</w:t>
            </w:r>
          </w:p>
        </w:tc>
        <w:tc>
          <w:tcPr>
            <w:tcW w:w="400" w:type="dxa"/>
            <w:vAlign w:val="bottom"/>
            <w:gridSpan w:val="2"/>
            <w:shd w:val="clear" w:color="auto" w:fill="CCEEFF"/>
          </w:tcPr>
          <w:p>
            <w:pPr>
              <w:jc w:val="right"/>
              <w:ind w:right="42"/>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Series G-2 issuance cost included in accounts payable</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4,000</w:t>
            </w:r>
          </w:p>
        </w:tc>
        <w:tc>
          <w:tcPr>
            <w:tcW w:w="400" w:type="dxa"/>
            <w:vAlign w:val="bottom"/>
            <w:gridSpan w:val="2"/>
            <w:shd w:val="clear" w:color="auto" w:fill="CCEEFF"/>
          </w:tcPr>
          <w:p>
            <w:pPr>
              <w:jc w:val="right"/>
              <w:ind w:right="42"/>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2"/>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Extinguishment of debt through conversion of convertible promissory note to Series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G-2 preferred stock</w:t>
            </w: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5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560" w:type="dxa"/>
            <w:vAlign w:val="bottom"/>
            <w:gridSpan w:val="4"/>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3"/>
            <w:vMerge w:val="restart"/>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vMerge w:val="restart"/>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8"/>
              </w:rPr>
              <w:t>Non-voting</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60" w:type="dxa"/>
            <w:vAlign w:val="bottom"/>
            <w:gridSpan w:val="4"/>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560" w:type="dxa"/>
            <w:vAlign w:val="bottom"/>
            <w:gridSpan w:val="4"/>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3"/>
          </w:tcPr>
          <w:p>
            <w:pPr>
              <w:jc w:val="center"/>
              <w:ind w:left="9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left="9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1"/>
                <w:szCs w:val="11"/>
                <w:color w:val="auto"/>
              </w:rPr>
            </w:pPr>
          </w:p>
        </w:tc>
        <w:tc>
          <w:tcPr>
            <w:tcW w:w="760" w:type="dxa"/>
            <w:vAlign w:val="bottom"/>
            <w:gridSpan w:val="2"/>
          </w:tcPr>
          <w:p>
            <w:pPr>
              <w:jc w:val="right"/>
              <w:ind w:right="25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1"/>
                <w:szCs w:val="11"/>
                <w:color w:val="auto"/>
              </w:rPr>
            </w:pPr>
          </w:p>
        </w:tc>
        <w:tc>
          <w:tcPr>
            <w:tcW w:w="104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January 1, 2019</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47,010,710</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$326,146</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57,500,000</w:t>
            </w: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(119,613)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(119,601)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F Preferred Stock, net of stock</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8,077,674</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192,697</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0"/>
                <w:szCs w:val="10"/>
                <w:color w:val="auto"/>
              </w:rPr>
            </w:pPr>
          </w:p>
        </w:tc>
        <w:tc>
          <w:tcPr>
            <w:tcW w:w="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of $7,303</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3,421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3,421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Common stock issued</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1,058,600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2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10,200</w:t>
            </w:r>
          </w:p>
        </w:tc>
        <w:tc>
          <w:tcPr>
            <w:tcW w:w="140" w:type="dxa"/>
            <w:vAlign w:val="bottom"/>
          </w:tcPr>
          <w:p>
            <w:pPr>
              <w:spacing w:after="0"/>
              <w:rPr>
                <w:sz w:val="12"/>
                <w:szCs w:val="12"/>
                <w:color w:val="auto"/>
              </w:rPr>
            </w:pPr>
          </w:p>
        </w:tc>
        <w:tc>
          <w:tcPr>
            <w:tcW w:w="760" w:type="dxa"/>
            <w:vAlign w:val="bottom"/>
            <w:gridSpan w:val="2"/>
          </w:tcPr>
          <w:p>
            <w:pPr>
              <w:jc w:val="right"/>
              <w:ind w:right="5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10,200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7,303</w:t>
            </w:r>
          </w:p>
        </w:tc>
        <w:tc>
          <w:tcPr>
            <w:tcW w:w="20" w:type="dxa"/>
            <w:vAlign w:val="bottom"/>
            <w:shd w:val="clear" w:color="auto" w:fill="000000"/>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(7,303)</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Reclassification of Cash Settled RSUs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2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(2,892)</w:t>
            </w:r>
          </w:p>
        </w:tc>
        <w:tc>
          <w:tcPr>
            <w:tcW w:w="140" w:type="dxa"/>
            <w:vAlign w:val="bottom"/>
          </w:tcPr>
          <w:p>
            <w:pPr>
              <w:spacing w:after="0"/>
              <w:rPr>
                <w:sz w:val="12"/>
                <w:szCs w:val="12"/>
                <w:color w:val="auto"/>
              </w:rPr>
            </w:pPr>
          </w:p>
        </w:tc>
        <w:tc>
          <w:tcPr>
            <w:tcW w:w="760" w:type="dxa"/>
            <w:vAlign w:val="bottom"/>
            <w:gridSpan w:val="2"/>
          </w:tcPr>
          <w:p>
            <w:pPr>
              <w:jc w:val="right"/>
              <w:ind w:right="5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(2,892)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18,015</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2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(23,640)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(23,640)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(114,600)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(114,600)</w:t>
            </w:r>
          </w:p>
        </w:tc>
        <w:tc>
          <w:tcPr>
            <w:tcW w:w="0" w:type="dxa"/>
            <w:vAlign w:val="bottom"/>
          </w:tcPr>
          <w:p>
            <w:pPr>
              <w:spacing w:after="0"/>
              <w:rPr>
                <w:sz w:val="1"/>
                <w:szCs w:val="1"/>
                <w:color w:val="auto"/>
              </w:rPr>
            </w:pPr>
          </w:p>
        </w:tc>
      </w:tr>
      <w:tr>
        <w:trPr>
          <w:trHeight w:val="151"/>
        </w:trPr>
        <w:tc>
          <w:tcPr>
            <w:tcW w:w="30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55,088,384</w:t>
            </w: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544,161</w:t>
            </w:r>
          </w:p>
        </w:tc>
        <w:tc>
          <w:tcPr>
            <w:tcW w:w="24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58,558,600</w:t>
            </w: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3,431</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(257,853</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(254,415)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Issuance of Series G Preferred Stock, net of stock</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2,537,290</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94,108</w:t>
            </w:r>
          </w:p>
        </w:tc>
        <w:tc>
          <w:tcPr>
            <w:tcW w:w="20" w:type="dxa"/>
            <w:vAlign w:val="bottom"/>
            <w:shd w:val="clear" w:color="auto" w:fill="000000"/>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costs of $3,203</w:t>
            </w: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 net of stock</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3,296,093</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184,711</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0"/>
                <w:szCs w:val="10"/>
                <w:color w:val="auto"/>
              </w:rPr>
            </w:pPr>
          </w:p>
        </w:tc>
        <w:tc>
          <w:tcPr>
            <w:tcW w:w="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of $4,177</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399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7,381</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0"/>
                <w:szCs w:val="10"/>
                <w:color w:val="auto"/>
              </w:rPr>
            </w:pPr>
          </w:p>
        </w:tc>
        <w:tc>
          <w:tcPr>
            <w:tcW w:w="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(3,830)</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(3,551)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(7,381)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Redemption of Common Shares</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(190,639)</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(7,311)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(7,311)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2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59"/>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28,795</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(34,420)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(34,420)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2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(209,854)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(209,854)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60,921,767</w:t>
            </w:r>
          </w:p>
        </w:tc>
        <w:tc>
          <w:tcPr>
            <w:tcW w:w="7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859,156</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58,367,961</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6</w:t>
            </w: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4,595,000</w:t>
            </w:r>
          </w:p>
        </w:tc>
        <w:tc>
          <w:tcPr>
            <w:tcW w:w="3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rPr>
              <w:t>(512,989)</w:t>
            </w:r>
          </w:p>
        </w:tc>
        <w:tc>
          <w:tcPr>
            <w:tcW w:w="14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(512,984)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30"/>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5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140" w:type="dxa"/>
            <w:vAlign w:val="bottom"/>
            <w:gridSpan w:val="5"/>
            <w:vMerge w:val="restart"/>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3"/>
              </w:rPr>
              <w:t>Voting</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4"/>
            <w:vMerge w:val="restart"/>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8"/>
              </w:rPr>
              <w:t>Non-voting</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54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14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40" w:type="dxa"/>
            <w:vAlign w:val="bottom"/>
            <w:gridSpan w:val="5"/>
          </w:tcPr>
          <w:p>
            <w:pPr>
              <w:ind w:left="280"/>
              <w:spacing w:after="0" w:line="145"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540" w:type="dxa"/>
            <w:vAlign w:val="bottom"/>
            <w:gridSpan w:val="5"/>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5"/>
          </w:tcPr>
          <w:p>
            <w:pPr>
              <w:jc w:val="center"/>
              <w:ind w:left="11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7"/>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4"/>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ind w:left="18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Borders>
              <w:top w:val="single" w:sz="8" w:color="CCEEFF"/>
              <w:right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55,088,384</w:t>
            </w:r>
          </w:p>
        </w:tc>
        <w:tc>
          <w:tcPr>
            <w:tcW w:w="1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5"/>
              </w:rPr>
              <w:t>$544,161</w:t>
            </w: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58,558,600</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3,431</w:t>
            </w: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(257,853)</w:t>
            </w: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(254,415)</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 Preferred Stock, net of issuance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2,537,290</w:t>
            </w: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94,108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 of $3,203</w:t>
            </w: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7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gridSpan w:val="3"/>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299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(3,203)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(3,203)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78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Redemption of Common Shares</w:t>
            </w:r>
          </w:p>
        </w:tc>
        <w:tc>
          <w:tcPr>
            <w:tcW w:w="7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gridSpan w:val="3"/>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(190,639)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(427)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(6,884)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(7,311)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3"/>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21,203</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(25,423)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(25,523)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3"/>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(155,712)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(155,712)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September 30, 2020 (Unaudited)</w:t>
            </w: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98"/>
              </w:rPr>
              <w:t>57,625,674</w:t>
            </w: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662,675</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58,367,961</w:t>
            </w:r>
          </w:p>
        </w:tc>
        <w:tc>
          <w:tcPr>
            <w:tcW w:w="8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w:t>
            </w:r>
          </w:p>
        </w:tc>
        <w:tc>
          <w:tcPr>
            <w:tcW w:w="6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4,595,000</w:t>
            </w:r>
          </w:p>
        </w:tc>
        <w:tc>
          <w:tcPr>
            <w:tcW w:w="120" w:type="dxa"/>
            <w:vAlign w:val="bottom"/>
            <w:tcBorders>
              <w:lef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(445,872)</w:t>
            </w:r>
          </w:p>
        </w:tc>
        <w:tc>
          <w:tcPr>
            <w:tcW w:w="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(445,857)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6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11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vMerge w:val="restart"/>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Non-voting</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56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 w:type="dxa"/>
            <w:vAlign w:val="bottom"/>
            <w:vMerge w:val="continue"/>
          </w:tcPr>
          <w:p>
            <w:pPr>
              <w:spacing w:after="0"/>
              <w:rPr>
                <w:sz w:val="11"/>
                <w:szCs w:val="11"/>
                <w:color w:val="auto"/>
              </w:rPr>
            </w:pPr>
          </w:p>
        </w:tc>
        <w:tc>
          <w:tcPr>
            <w:tcW w:w="114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gridSpan w:val="6"/>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560" w:type="dxa"/>
            <w:vAlign w:val="bottom"/>
            <w:gridSpan w:val="6"/>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5"/>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tcPr>
          <w:p>
            <w:pPr>
              <w:jc w:val="center"/>
              <w:ind w:left="3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ind w:left="18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ind w:left="18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7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Borders>
              <w:bottom w:val="single" w:sz="8" w:color="CCEEFF"/>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30"/>
              <w:spacing w:after="0" w:line="13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Borders>
              <w:bottom w:val="single" w:sz="8" w:color="CCEEFF"/>
            </w:tcBorders>
            <w:gridSpan w:val="2"/>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9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Borders>
              <w:right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60,921,767</w:t>
            </w:r>
          </w:p>
        </w:tc>
        <w:tc>
          <w:tcPr>
            <w:tcW w:w="140" w:type="dxa"/>
            <w:vAlign w:val="bottom"/>
            <w:tcBorders>
              <w:left w:val="single" w:sz="8" w:color="CCEEFF"/>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$859,156</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58,367,961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2"/>
              </w:rPr>
              <w:t>4,595,000</w:t>
            </w:r>
          </w:p>
        </w:tc>
        <w:tc>
          <w:tcPr>
            <w:tcW w:w="120" w:type="dxa"/>
            <w:vAlign w:val="bottom"/>
            <w:tcBorders>
              <w:left w:val="single" w:sz="8" w:color="CCEEFF"/>
            </w:tcBorders>
            <w:shd w:val="clear" w:color="auto" w:fill="CCEEFF"/>
          </w:tcPr>
          <w:p>
            <w:pPr>
              <w:spacing w:after="0"/>
              <w:rPr>
                <w:sz w:val="11"/>
                <w:szCs w:val="11"/>
                <w:color w:val="auto"/>
              </w:rPr>
            </w:pPr>
          </w:p>
        </w:tc>
        <w:tc>
          <w:tcPr>
            <w:tcW w:w="3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spacing w:after="0"/>
              <w:rPr>
                <w:sz w:val="11"/>
                <w:szCs w:val="11"/>
                <w:color w:val="auto"/>
              </w:rPr>
            </w:pPr>
          </w:p>
        </w:tc>
        <w:tc>
          <w:tcPr>
            <w:tcW w:w="1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(512,989)</w:t>
            </w:r>
          </w:p>
        </w:tc>
        <w:tc>
          <w:tcPr>
            <w:tcW w:w="1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
              <w:spacing w:after="0" w:line="138"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(512,984)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 net of</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157,046</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8,894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of $106</w:t>
            </w:r>
          </w:p>
        </w:tc>
        <w:tc>
          <w:tcPr>
            <w:tcW w:w="7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780" w:type="dxa"/>
            <w:vAlign w:val="bottom"/>
            <w:tcBorders>
              <w:right w:val="single" w:sz="8" w:color="CCEEFF"/>
            </w:tcBorders>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4"/>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18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 redemption</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78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780" w:type="dxa"/>
            <w:vAlign w:val="bottom"/>
            <w:tcBorders>
              <w:right w:val="single" w:sz="8" w:color="CCEEFF"/>
            </w:tcBorders>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4"/>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17,450</w:t>
            </w:r>
          </w:p>
        </w:tc>
        <w:tc>
          <w:tcPr>
            <w:tcW w:w="1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4"/>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3"/>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tcBorders>
              <w:right w:val="single" w:sz="8" w:color="CCEEFF"/>
            </w:tcBorders>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22,379</w:t>
            </w: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(453)</w:t>
            </w:r>
          </w:p>
        </w:tc>
        <w:tc>
          <w:tcPr>
            <w:tcW w:w="18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(26,142)</w:t>
            </w:r>
          </w:p>
        </w:tc>
        <w:tc>
          <w:tcPr>
            <w:tcW w:w="14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(26,595)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4"/>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3"/>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(200,211)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(200,211)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September 30, 2021 (Unaudited)</w:t>
            </w: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61,078,813</w:t>
            </w: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890,535</w:t>
            </w: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58,367,961</w:t>
            </w:r>
          </w:p>
        </w:tc>
        <w:tc>
          <w:tcPr>
            <w:tcW w:w="8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6</w:t>
            </w:r>
          </w:p>
        </w:tc>
        <w:tc>
          <w:tcPr>
            <w:tcW w:w="6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4,612,450</w:t>
            </w:r>
          </w:p>
        </w:tc>
        <w:tc>
          <w:tcPr>
            <w:tcW w:w="120" w:type="dxa"/>
            <w:vAlign w:val="bottom"/>
            <w:tcBorders>
              <w:lef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0</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(739,342)</w:t>
            </w:r>
          </w:p>
        </w:tc>
        <w:tc>
          <w:tcPr>
            <w:tcW w:w="140" w:type="dxa"/>
            <w:vAlign w:val="bottom"/>
            <w:tcBorders>
              <w:left w:val="single" w:sz="8" w:color="CCEEFF"/>
            </w:tcBorders>
            <w:shd w:val="clear" w:color="auto" w:fill="CCEEFF"/>
          </w:tcPr>
          <w:p>
            <w:pPr>
              <w:spacing w:after="0"/>
              <w:rPr>
                <w:sz w:val="12"/>
                <w:szCs w:val="12"/>
                <w:color w:val="auto"/>
              </w:rPr>
            </w:pPr>
          </w:p>
        </w:tc>
        <w:tc>
          <w:tcPr>
            <w:tcW w:w="14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14</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(739,322)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Labs,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derives revenue from selling comprehensive genetic testing to physicians and large academic research institutions, licensing data to third parties, and matching patients to clinical trials.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and, ultimately, to Tempus Labs, Inc. in October 2016.</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Revision of Previously Issued Financial Statements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As of December 31, 2020, the Company identified an error related to the classification of interest payable on its Convertible Promissory Note. The Company had previously classified the interest payable as current within accrued liabilities, however, the Company has concluded that proper presentation of the interest payable is in non-current liabilities as the interest is due upon maturity of the Note on March 22, 2026. As such, $7,987 of interest payable as of December 31, 2020 was corrected to present these amounts in other non-current liabilities. Accrued expenses decreased to $20,178 from $28,165 as of December 31, 2020. Other long-term liabilities increased to $10,221 from $2,234 as of December 31, 2020. The Company evaluated the errors and concluded the revision was not material to the prior period financial statements and had no impact on the Company’s consolidated statements of operations and comprehensive loss, or the consolidated statements of cash flows or the consolidated statements of redeemable convertible preferred stock, common stock and stockholders’ deficit.</w:t>
      </w:r>
    </w:p>
    <w:p>
      <w:pPr>
        <w:spacing w:after="0" w:line="304" w:lineRule="exact"/>
        <w:rPr>
          <w:sz w:val="20"/>
          <w:szCs w:val="20"/>
          <w:color w:val="auto"/>
        </w:rPr>
      </w:pPr>
    </w:p>
    <w:p>
      <w:pPr>
        <w:ind w:left="460" w:right="6320" w:hanging="455"/>
        <w:spacing w:after="0" w:line="412" w:lineRule="auto"/>
        <w:tabs>
          <w:tab w:leader="none" w:pos="453"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Labs,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Consolidated Financial Information</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accompanying interim consolidated balance sheet as of September 30, 2021, the consolidated statements of operations, comprehensive income (loss), redeemable convertible preferred stock, common stock and stockholders’ deficit, and cash flows for the nine months ended September 30, 2020 and 2021, and the related footnote disclosures are unaudited. These unaudited interim consolidated financial statements have been prepared in accordance with GAAP. In management’s opinion, the unaudited interim consolidated financial statements include all adjustments necessary to state fairly the Company’s financial position as of September 30, 2021 and its results of operations and cash flows for the nine months ended September 30, 2020 and 2021. The financial data and the other information disclosed in the notes to these consolidated financial statements related to the nine month periods are unaudited. The results of operations for the nine months ended September 30, 2021 are not necessarily indicative of the results expected for the year ending December 31, 2021 or any other future period.</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contingent liabilities and the useful lives of property, equipment and intangible assets. Actual results could differ from those estimates.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COVID-19 global pandemic continues to impact daily life in the United States and abroad. While the negative impacts of the business in 2020 and for the nine months ended September 30, 2021 were minimal, if there are additional disruptions for an extended period, it could have a material impact on the Company’s results. In addition, our agreement with CVS, which accounted for 24.0% and 34.8% of our revenue for the year ended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December 31, 2020 and the nine months ended September 30, 2021, respectively, expired in July 2021 and was renegotiated in November 2021. As a result, we will continue to process samples under the renegotiated agreement. Revenue from COVID-19 testing accounted for $89.5 million, or 47.6%, of total revenue in the year ended December 31, 2020, and $84.9 million, or 46.0%, of total revenue in the nine months ended September 30, 2021.</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from the date of purchase to be cash equivalents. Cash equivalents are stated at fair value. Restricted cash primarily represents amounts that the Company is unable to access for operational purposes pursuant to a letter of credit with a financial institution in connection with an equipment lease. The Company had $0.5 million and $0.8 million of restricted cash as of December 31, 2019 and 2020, respectively. The Company had $0.8 million of restricted cash as of September 30,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The allowance for doubtful accounts is based on historical loss experience and any specific risks identified in collection matters. An allowance for doubtful accounts was not material as of December 31, 2019 and 2020, and as of September 30, 2021.</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 As of December 31, 2019, two customers accounted for approximately 14.8% and 17.7% of the Company’s total revenue and 19.4% and 12.6% of the Company’s accounts receivable, respectively. One additional customer did not account for more than 10% of the Company’s total revenue; however, accounted for 12.5% of accounts receivable.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Revenue from one customer accounted for approximately 16.6% of the Company’s total revenues for the year ended December 31, 2020. The amount due from this customer is approximately $14.8 million or 17.0% of accounts receivable as of December 31, 2020.</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Revenue from two customers accounted for approximately 15.6% and 12.6% of the Company’s total revenues for the nine months ended September 30, 2020, respectively. Revenue from one contract accounted for approximately 34.8% of the Company’s revenues for the nine months ended September 30, 2021. The amount due from this customer is approximately $12.5 million or 16.8% of accounts receivable as of September 30, 2021.</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also has concentration risk around revenue generated from COVID-19 testing. Revenue from COVID-19 testing was $89.5 million and $84.9 million or 47.6% and 46.0% of the Company’s total revenues for the year ended December 31, 2020 and the nine months ended September 30, 2021, respectively.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As of December 31, 2019, the Company had approximately $7.9 million of inventory and $0.4 million of inventory in process in the labs. As of December 31, 2020, the Company had approximately $37.0 million of inventory and $0.6 million of inventory in process in the labs. As of September 30, 2021, the Company had approximately $21.2 million of inventory and $0.8 million of inventory in process in the labs.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14% and 23% of total vendor payments for the year ended December 31, 2019 and 2020, respectively, and approximately 21% and 24% of total vendor payments for the nine months ended September 30, 2020 and 2021, respectively. Amounts due to this vendor approximated $4.1 million and $5.3 million at December 31, 2019 and 2020 respectively, and approximated $1.0 million at September 30,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Prepaid assets are recorded when paid and consistent primarily of prepayments for insurance, medical, software subscriptions, cloud storage service, and other receivables. Prepaid expenses are amortized into expense over the related service period. The Company had $8.5 million, $11.5 million and $11.2 million at December 31, 2019 and 2020, and September 30, 2021, respectively.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capital leases are stated at the lesser of the present value of minimum lease payments or their fair market value. Depreciation is recognized using the 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There were no impairment charges recognized related to long-lived assets during the years ended December 31, 2019, and 2020, nor during the nine months ended during September 30, 2020 and 2021.</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Goodwill of $15.6 million was recorded in connection with the acquisition of AKESOgen in December 2019 and the Company recorded no impairment loss during the year ended December 31, 2020, or the nine months ended September 30, 2021.</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Company’s outstanding promissory note (see Note10) is accounted for in accordance with ASC 470-20.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other”) through the licensing of de-identified datasets to third parties and from matching patients to clinical trials enrolled in its clinical trial network. The majority of the Company’s revenue is generated in North America.</w:t>
      </w:r>
    </w:p>
    <w:p>
      <w:pPr>
        <w:spacing w:after="0" w:line="178"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commences revenue recognition when control of these products is transferred to customers in an amount that reflects the consideration the Company expects to be entitled to in exchange for such products. This principle is achieved by applying the five-step approach.</w:t>
      </w:r>
    </w:p>
    <w:p>
      <w:pPr>
        <w:spacing w:after="0" w:line="180" w:lineRule="exact"/>
        <w:rPr>
          <w:sz w:val="20"/>
          <w:szCs w:val="20"/>
          <w:color w:val="auto"/>
        </w:rPr>
      </w:pPr>
    </w:p>
    <w:p>
      <w:pPr>
        <w:jc w:val="both"/>
        <w:ind w:firstLine="459"/>
        <w:spacing w:after="0" w:line="255" w:lineRule="auto"/>
        <w:tabs>
          <w:tab w:leader="none" w:pos="6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provides disaggregation of revenue based on Genomics and Data on the consolidated statements of operations and comprehensive loss, as it believes these best depict how the nature, amount, timing and uncertainty of revenue and cash flows are affected by economic factors.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$27.9 million and $151.9 million for the years ended December 31, 2019 and 2020, respectively. The Company recognized Genomics revenue of $73.2 million and $154.5 million for the nine months ended September 30, 2020 and 2021, respectively.</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The Company monitors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$25.4 million and $104.1 million for the years ended December 31, 2019 and 2020, respectively. The Company recognized revenue for clinical orders of $54.3 million and $123.1 million for the nine months ended September 30, 2020 and 2021, respectively.</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$2.5 million and $48.0 million for the years ended December 31, 2019 and 2020, respectively. The Company recognized Genomics revenue for direct bill orders of $19.0 million and $31.4 million for the nine months ended September 30, 2020 and 2021,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Data and other revenue primarily represents data licensing and clinical trial matching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other product offering when it has met its performance obligation under the terms of the agreement with the customer. A description of the Company’s two product offerings are as follows: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price is allocated to the distinct performance obligations and revenue is recognized once the performance obligation has been fulfilled.</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our enhanced Lens application are separate and distinct performance obligations. For data deliveries, revenue is recognized upon delivery of the data to the customer, and the Company accounts for individual licensed data records as a right to use license. Analytical services typically involve data analysis and research performed on behalf of the customer by the Company. The resulting delivery of data, or a report addressing a series of questions and analytical results, is considered a separate performance obligation. For analytical services or access to Lens, revenue is recognized as the services are provided or over the period to which access is granted. For the periods presented, revenue from analytical services and access to Lens are not material.</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Therapies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Company’s Therapies product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Insights and Therapies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other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$34.2 million and $36.1 million for the years ended December 31, 2019 and 2020, respectively, and $13.9 million and $30.0 million for the nine months ended September 30, 2020 and 2021, respectively.</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2019 and 2020 and September 30, 2021 included contract assets of $5.5 million, $39.6 million, and $21.9 million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balance is influenced primarily by upfront contractual payments from our Data product offering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As of December 31, 2020 and September 30, 2021, all deferred revenue recorded is expected to be recognized in the next twelve months.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Cost of revenues for Genomics consists of personnel lab expenses, including salaries, bonuses, employee benefits, amortization of intangible assets, cost of laboratory supplies and consumables,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other includes data acquisition and royalty fees, and personnel costs related to our delivery of our data services and platform,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2019 and 2020 and the nine months ended September 30, 2020 and 2021, the Company did not match any employee contributions.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2020, the Company had federal and state net operating loss (“NOL”) carry forwards of approximately $380.9 and $262.4 million, respectively, which may be available to offset future taxable income. The NOLs will begin to expire in 2037.</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2019 and 2020, and September 30, 2021, there are no uncertain positions taken or expected to be taken that would require recognition of a liability in the financial statements.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2020, the Company was not under audit in any jurisdiction. As of September 30, 2021, the Company was not under audit in any jurisdiction.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IPO. The deferred offering costs will be recorded against IPO proceeds upon the consummation of the IPO. If the IPO is abandoned, deferred offering costs will be expensed in the period the IPO is abandoned. There were no deferred offering costs as of December 31, 2019 or 2020. The Company had $2.0 million of deferred offering costs as of September 30,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9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market-based measurement that is determined based on assumptions that market participants would use in pricing an asset or a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13.</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adjustments in certain circumstances (such as evidence of impairment) which, if material, are disclosed in the accompanying notes to these consolidated financial statements.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Company’s Series A, B, B-1, B-2, C, D, E, F, G and G-2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Company adopted the guidance in ASC Topic 606,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on January 1, 2019. Topic 606 is a comprehensive new revenue recognition model that requires a company to recognize revenue to depict the transfer of goods or services to a customer at an amount that reflects the consideration it expects to receive in exchange for those goods or services. The Company adopted Topic 606 using the modified retrospective method and applied Topic 606 to all contracts on the date of adoption. Beginning on January 1, 2019, results are presented in accordance with the revised policies, while prior period amounts are not adjusted and continue to be reported in accordance with our historical policies. The adoption of Topic 606 did not impact our presentation of revenue on a gross or net basis. As such, no adjustments were made to the Company’s opening accumulated deficit due to the cumulative impact of adopting Topic 606.</w:t>
      </w:r>
    </w:p>
    <w:p>
      <w:pPr>
        <w:spacing w:after="0" w:line="189"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 xml:space="preserve">In January 2017, the FASB issued ASU No. 2017-04, </w:t>
      </w:r>
      <w:r>
        <w:rPr>
          <w:rFonts w:ascii="Times New Roman" w:cs="Times New Roman" w:eastAsia="Times New Roman" w:hAnsi="Times New Roman"/>
          <w:sz w:val="16"/>
          <w:szCs w:val="16"/>
          <w:i w:val="1"/>
          <w:iCs w:val="1"/>
          <w:color w:val="auto"/>
        </w:rPr>
        <w:t>Intangibles—Goodwill and Other (Topic 350): Simplifying the Test for Goodwill Impairment.</w:t>
      </w:r>
      <w:r>
        <w:rPr>
          <w:rFonts w:ascii="Times New Roman" w:cs="Times New Roman" w:eastAsia="Times New Roman" w:hAnsi="Times New Roman"/>
          <w:sz w:val="16"/>
          <w:szCs w:val="16"/>
          <w:color w:val="auto"/>
        </w:rPr>
        <w:t xml:space="preserve"> ASU 2018-04 simplifies how an entity is required to test goodwill for impairment by eliminating Step 2 from the goodwill impairment test. The guidance is effective for the fiscal year beginning May 1, 2023 with early adoption permitted. The Company early adopted the guidance as of January 1, 2020 using a prospective transition method. Adoption of this guidance did not have a material impact to the Company’s consolidated financial statements and related disclosures.</w:t>
      </w:r>
    </w:p>
    <w:p>
      <w:pPr>
        <w:spacing w:after="0" w:line="15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In July 2017, the FASB issued ASU 2017-11, Earnings Per Share (Topic 260), </w:t>
      </w:r>
      <w:r>
        <w:rPr>
          <w:rFonts w:ascii="Times New Roman" w:cs="Times New Roman" w:eastAsia="Times New Roman" w:hAnsi="Times New Roman"/>
          <w:sz w:val="18"/>
          <w:szCs w:val="18"/>
          <w:i w:val="1"/>
          <w:iCs w:val="1"/>
          <w:color w:val="auto"/>
        </w:rPr>
        <w:t>Distinguishing Liabilities from Equity (Topic 480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(Topic 815)</w:t>
      </w:r>
      <w:r>
        <w:rPr>
          <w:rFonts w:ascii="Times New Roman" w:cs="Times New Roman" w:eastAsia="Times New Roman" w:hAnsi="Times New Roman"/>
          <w:sz w:val="18"/>
          <w:szCs w:val="18"/>
          <w:color w:val="auto"/>
        </w:rPr>
        <w:t>. The amendments in Part I of the Update change the reclassification analysis of certain equity-linked financial instruments (or embedded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with down-round features. The amendments in Part II of the update re-characterize the indefinite deferral of certain provisions of Topic 480 that now are presented as pending content in the ASC, to a scope exception. The amendments in Part I of this update was effective for the Company on January 1, 2020 (the date it was effective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private companies). The amendments in Part II of the update did not require any transition guidance because those amendments did not have an accounting effect. The adoption did not have a material effect on the Company’s consolidated financial statements as of the date of adoption.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an emerging growth company, the Company is provided the option to adopt new or revised accounting guidance either (1) within the same periods as those otherwise applicable to public business entities or (2) within the same time periods as private companies, including early adoption when permissible.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as indicated below.</w:t>
      </w:r>
    </w:p>
    <w:p>
      <w:pPr>
        <w:spacing w:after="0" w:line="211"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 xml:space="preserve">The FASB issued ASU 2016-02,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(Topic 842) (ASU 2016-02), in February 2016. ASU 2016-02 will require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ASU 2016-02 is effective for annual financial statements of private companies issued for fiscal years beginning after December 15, 2020, and should be applied using a modified retrospective approach, as specified in ASU 2019-10. As long as the Company is an emerging growth company, the current effective date of adoption is 2022 for calendar year-end private companies. Early adoption is permitted. While the Company continues to assess the effects of adoption, it currently believes the most significant effects relate to the recognition, on the consolidated balance sheet, of right-of-use assets and lease liabilities related to operating leases. The Company is evaluating the full effects that adoption of ASU 2016-02 will have on its financial position, results of operations, and disclosures.</w:t>
      </w:r>
    </w:p>
    <w:p>
      <w:pPr>
        <w:spacing w:after="0" w:line="161"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 Service Contract</w:t>
      </w:r>
      <w:r>
        <w:rPr>
          <w:rFonts w:ascii="Times New Roman" w:cs="Times New Roman" w:eastAsia="Times New Roman" w:hAnsi="Times New Roman"/>
          <w:sz w:val="18"/>
          <w:szCs w:val="18"/>
          <w:color w:val="auto"/>
        </w:rPr>
        <w:t>, In August 2018. ASU 2018-15 requires a customer in a cloud computing arrangement that is a service contract to follow the internal-use software guidance in ASC 350-40 to determine which implementation costs to defer and recognize as an asset. The guidance is effective for the fiscal year beginning January 1, 2021, and interim periods within annual periods beginning after December 15, 2021. Early adoption is permitted. The Company is currently evaluating the effect that this guidance will have on the consolidated financial statements and related disclosures.</w:t>
      </w:r>
    </w:p>
    <w:p>
      <w:pPr>
        <w:spacing w:after="0" w:line="18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No. 2016-13”). ASU No. 2016-13 requires the measurement and recognition of expected credit losses for financial assets that are held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including trade receivables. ASU No. 2016-13 replaces the previous incurred loss impairment model with an expected loss model which requires the use of forward-looking information to calculate credit loss estimates. The guidance is effective for the Company beginning January 1, 2023, with early adoption permitted. The Company is currently evaluating the effect that this guidance will have on the consolidated financial statements and related disclosures. The adoption of the standard is not expected to materially impact the Company’s financial statements.</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In November 2018, the FASB issued ASU 2018-18, Collaborative Arrangements (Topic 808</w:t>
      </w:r>
      <w:r>
        <w:rPr>
          <w:rFonts w:ascii="Times New Roman" w:cs="Times New Roman" w:eastAsia="Times New Roman" w:hAnsi="Times New Roman"/>
          <w:sz w:val="18"/>
          <w:szCs w:val="18"/>
          <w:i w:val="1"/>
          <w:iCs w:val="1"/>
          <w:color w:val="auto"/>
        </w:rPr>
        <w:t>): Clarifying the Interaction between Topic 808 and Topic 606</w:t>
      </w:r>
      <w:r>
        <w:rPr>
          <w:rFonts w:ascii="Times New Roman" w:cs="Times New Roman" w:eastAsia="Times New Roman" w:hAnsi="Times New Roman"/>
          <w:sz w:val="18"/>
          <w:szCs w:val="18"/>
          <w:color w:val="auto"/>
        </w:rPr>
        <w:t>. This ASU provides guidance that clarifies when certain transactions between participants in a collaborative arrangement should be accounted for under ASC 606 when the counterparty is a customer, and amends ASC 808 to refer to the unit-of-account guidance in ASC 606.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guidance specifically precludes an entity from presenting consideration from a transaction in a collaborative arrangement as revenue from contracts with customers if the counterparty is not a customer for that transaction. January 1, 2021, and interim periods within annual periods beginning after December 15, 2021. Early adoption is permitted. The Company is currently evaluating the effect that this guidance will have on the consolidated financial statements and related disclosures.</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guidance is effective for the Company beginning January 1, 2022. Early adoption is permitted. The Company is currently evaluating the effect that this guidance will have on the consolidated financial statements and related disclosures.</w:t>
      </w:r>
    </w:p>
    <w:p>
      <w:pPr>
        <w:spacing w:after="0" w:line="331" w:lineRule="exact"/>
        <w:rPr>
          <w:sz w:val="20"/>
          <w:szCs w:val="20"/>
          <w:color w:val="auto"/>
        </w:rPr>
      </w:pPr>
    </w:p>
    <w:p>
      <w:pPr>
        <w:ind w:left="460" w:hanging="455"/>
        <w:spacing w:after="0"/>
        <w:tabs>
          <w:tab w:leader="none" w:pos="4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On December 9, 2019, in accordance with a stock purchase agreement, Tempus Labs Inc. purchased 100% of the issued and outstanding shares of capital stock of AKESOgen for $30.3 million, with an adjustment for working capital. In accordance with the terms of the agreement, $4.0 million of the consideration was held back and is payable 18 months after the acquisition date, which was subsequently paid in July 2021. The purpose of the acquisition was to expand the Company’s testing capabilities (inherited risk of cancer testing, microbiome profiling, whole-genome genotyping, and epigenomic methylation profiling) and leverage AKESOgen’s customer relationships to drive growth. Goodwill of $15.6 million represents the excess of the purchase price over the estimated fair value assigned to tangible and identifiable intangible assets acquired and liabilities assumed and represents the future economic benefits expected to arise from other intangible assets acquired that do not qualify for separate recognition, including expected future market opportunities from expanded testing capabilities and assembled workforce. The transaction also included a contingent consideration arrangement to transfer shares of non-voting common stock to the former owners with an acquisition date fair value of $3.4 million, which the company recognized under long-term liabilities. The consideration will be paid out based on AKESOgen’s 2020 revenue, with a maximum payout of 726,979 shares of non-voting common stock. Because the value of the Company’s stock at the date of issuance is unknown, the Company cannot disclose the value of the shares. The contingent consideration is classified as a Level 3 measurement for which fair value is derived from inputs that are unobservable and significant to the overall fair value measurement. On May 19, 2021, the Company entered into a settlement agreement with the former owners of AKESOgen related to the contingent consideration, whereby $7.5 million was paid in cash and 145,466 shares of non-voting common stock will be paid out on the third anniversary of the Closing date. See Note 13 for more information on fair value measurements.</w:t>
      </w:r>
    </w:p>
    <w:p>
      <w:pPr>
        <w:spacing w:after="0" w:line="3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acquisition, which were recorded as operating expenses in the consolidated statement of operations.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aggregate acquisition-date fair value of the consideration for the AKESOgen acquisition totaled $33.7 million, which consisted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acquisition price of the AKESOgen acquisition (in thousands):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Net Working Capital</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PP&amp;E</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Other net assets</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(2,280)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Goodwill &amp; Intangible Assets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17,300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15,641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Intangible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32,941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Acquisition Price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33,669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the acquisition of AKESOgen was a stock purchase, the related goodwill created as a result of the acquisition is not deductible for tax purposes. The Customer relationships were established with a seven year remaining useful life, and the property, plant and equipment has a two year average remaining useful life.</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unaudited pro forma information shows the results of the AKESOgen’s operations as though the acquisition had occurred as of the beginning of the comparable period, January 1, 2018,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44"/>
        </w:trPr>
        <w:tc>
          <w:tcPr>
            <w:tcW w:w="65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Year Ended</w:t>
            </w:r>
          </w:p>
        </w:tc>
      </w:tr>
      <w:tr>
        <w:trPr>
          <w:trHeight w:val="169"/>
        </w:trPr>
        <w:tc>
          <w:tcPr>
            <w:tcW w:w="65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8"/>
        </w:trPr>
        <w:tc>
          <w:tcPr>
            <w:tcW w:w="6540" w:type="dxa"/>
            <w:vAlign w:val="bottom"/>
            <w:tcBorders>
              <w:bottom w:val="single" w:sz="8" w:color="CCEEFF"/>
            </w:tcBorders>
          </w:tcPr>
          <w:p>
            <w:pPr>
              <w:spacing w:after="0"/>
              <w:rPr>
                <w:sz w:val="11"/>
                <w:szCs w:val="11"/>
                <w:color w:val="auto"/>
              </w:rPr>
            </w:pPr>
          </w:p>
        </w:tc>
        <w:tc>
          <w:tcPr>
            <w:tcW w:w="388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1"/>
                <w:szCs w:val="11"/>
                <w:color w:val="auto"/>
              </w:rPr>
            </w:pPr>
          </w:p>
        </w:tc>
      </w:tr>
      <w:tr>
        <w:trPr>
          <w:trHeight w:val="203"/>
        </w:trPr>
        <w:tc>
          <w:tcPr>
            <w:tcW w:w="6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8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10,909</w:t>
            </w:r>
          </w:p>
        </w:tc>
        <w:tc>
          <w:tcPr>
            <w:tcW w:w="100" w:type="dxa"/>
            <w:vAlign w:val="bottom"/>
            <w:shd w:val="clear" w:color="auto" w:fill="CCEEFF"/>
          </w:tcPr>
          <w:p>
            <w:pPr>
              <w:spacing w:after="0"/>
              <w:rPr>
                <w:sz w:val="17"/>
                <w:szCs w:val="17"/>
                <w:color w:val="auto"/>
              </w:rPr>
            </w:pP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4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(1,394)</w:t>
            </w:r>
          </w:p>
        </w:tc>
      </w:tr>
    </w:tbl>
    <w:p>
      <w:pPr>
        <w:spacing w:after="0" w:line="17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pro forma results have been prepared for comparative purposes only and are not necessarily indicative of the actual results of operations had the acquisition taken place as of the beginning of the periods presented, or the results that may occur in the future. The results were prepared utilizing the actual results of the business and there were no pro forma adjustments.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2019, AKESOgen contributed $0.7 million in net revenue and $1.0 million of net loss to the consolidated Tempus results for the year ended December 31, 2019.</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right="8100" w:firstLine="5"/>
        <w:spacing w:after="0" w:line="412" w:lineRule="auto"/>
        <w:tabs>
          <w:tab w:leader="none" w:pos="446"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 and Equipment, net</w:t>
      </w: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2019 and 2020 and September 30,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40" w:type="dxa"/>
            <w:vAlign w:val="bottom"/>
          </w:tcPr>
          <w:p>
            <w:pPr>
              <w:spacing w:after="0"/>
              <w:rPr>
                <w:sz w:val="14"/>
                <w:szCs w:val="14"/>
                <w:color w:val="auto"/>
              </w:rPr>
            </w:pPr>
          </w:p>
        </w:tc>
        <w:tc>
          <w:tcPr>
            <w:tcW w:w="19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38"/>
        </w:trPr>
        <w:tc>
          <w:tcPr>
            <w:tcW w:w="8240" w:type="dxa"/>
            <w:vAlign w:val="bottom"/>
          </w:tcPr>
          <w:p>
            <w:pPr>
              <w:spacing w:after="0"/>
              <w:rPr>
                <w:sz w:val="11"/>
                <w:szCs w:val="11"/>
                <w:color w:val="auto"/>
              </w:rPr>
            </w:pPr>
          </w:p>
        </w:tc>
        <w:tc>
          <w:tcPr>
            <w:tcW w:w="640" w:type="dxa"/>
            <w:vAlign w:val="bottom"/>
            <w:tcBorders>
              <w:top w:val="single" w:sz="8" w:color="auto"/>
            </w:tcBorders>
          </w:tcPr>
          <w:p>
            <w:pPr>
              <w:jc w:val="right"/>
              <w:ind w:right="97"/>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92"/>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r>
      <w:tr>
        <w:trPr>
          <w:trHeight w:val="203"/>
        </w:trPr>
        <w:tc>
          <w:tcPr>
            <w:tcW w:w="8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$ 26,056</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$ 38,217</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44,748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20,272</w:t>
            </w:r>
          </w:p>
        </w:tc>
        <w:tc>
          <w:tcPr>
            <w:tcW w:w="22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23,352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24,314</w:t>
            </w: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5,543</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6,492</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75,554</w:t>
            </w:r>
          </w:p>
        </w:tc>
        <w:tc>
          <w:tcPr>
            <w:tcW w:w="100" w:type="dxa"/>
            <w:vAlign w:val="bottom"/>
          </w:tcPr>
          <w:p>
            <w:pPr>
              <w:spacing w:after="0"/>
              <w:rPr>
                <w:sz w:val="18"/>
                <w:szCs w:val="18"/>
                <w:color w:val="auto"/>
              </w:rPr>
            </w:pP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(15,806)</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(39,555)</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$ 36,065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$ 38,435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35,999</w:t>
            </w:r>
          </w:p>
        </w:tc>
        <w:tc>
          <w:tcPr>
            <w:tcW w:w="10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Previously disclosed amounts of $10,876 and $11,532 related to Leasehold improvements obtained through tenant improvement allowance, and the related deferred rent liability, presented in the supplemental disclosure of noncash investing and financing activities within the Statement of Cash Flows for the years ended December 31, 2019 and 2020, respectively, have been omitted as the amounts are not noncash items and were appropriately reflected in the Statement of Cash Flows.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and 2020 and the nine months ended September 30, 2020 and 2021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42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14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ind w:right="50"/>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7"/>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500" w:type="dxa"/>
            <w:vAlign w:val="bottom"/>
            <w:tcBorders>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5"/>
              </w:rPr>
              <w:t>$ 3,553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7,206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$ 5,253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5,854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3"/>
              </w:rPr>
              <w:t>4,543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5,885</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4,317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w:t>
            </w:r>
          </w:p>
        </w:tc>
        <w:tc>
          <w:tcPr>
            <w:tcW w:w="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$ 8,096</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$ 13,091</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$ 9,570</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$ 10,670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81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8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14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jc w:val="right"/>
              <w:ind w:right="12"/>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2"/>
          </w:tcPr>
          <w:p>
            <w:pPr>
              <w:jc w:val="right"/>
              <w:ind w:right="61"/>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7"/>
              <w:spacing w:after="0" w:line="138"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500" w:type="dxa"/>
            <w:vAlign w:val="bottom"/>
            <w:tcBorders>
              <w:right w:val="single" w:sz="8" w:color="CCEEFF"/>
            </w:tcBorders>
            <w:gridSpan w:val="2"/>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4"/>
              </w:rPr>
              <w:t>$4,457</w:t>
            </w:r>
          </w:p>
        </w:tc>
        <w:tc>
          <w:tcPr>
            <w:tcW w:w="3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8,690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3,001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11,318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4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84"/>
              </w:rPr>
              <w:t>$</w:t>
            </w:r>
            <w:r>
              <w:rPr>
                <w:rFonts w:ascii="Times New Roman" w:cs="Times New Roman" w:eastAsia="Times New Roman" w:hAnsi="Times New Roman"/>
                <w:sz w:val="18"/>
                <w:szCs w:val="18"/>
                <w:color w:val="auto"/>
                <w:w w:val="84"/>
              </w:rPr>
              <w:t>7,704</w:t>
            </w:r>
          </w:p>
        </w:tc>
        <w:tc>
          <w:tcPr>
            <w:tcW w:w="380" w:type="dxa"/>
            <w:vAlign w:val="bottom"/>
          </w:tcPr>
          <w:p>
            <w:pPr>
              <w:spacing w:after="0"/>
              <w:rPr>
                <w:sz w:val="18"/>
                <w:szCs w:val="18"/>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20,178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Other Assets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and other assets include amounts due from related parties (Note 14), and an equity method investment.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June 21, 2021, the Company contributed $5.9 million in cash for a minority interest in a research platform in service of advancing data-driven medicine in psychiatry. The Company concurrently entered a Commercial partnership agreement with the investee for the purpose of furthering the commercialization efforts of the associated research platform.</w:t>
      </w:r>
    </w:p>
    <w:p>
      <w:pPr>
        <w:spacing w:after="0" w:line="178"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Consistent with purchase obligations disclosed in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the commercial partnership agreement includes committed payments for access to the data and additional payments contingent on the commercialization of such data. The annual license fee commitment is not materially significant.</w:t>
      </w:r>
    </w:p>
    <w:p>
      <w:pPr>
        <w:spacing w:after="0" w:line="322" w:lineRule="exact"/>
        <w:rPr>
          <w:sz w:val="20"/>
          <w:szCs w:val="20"/>
          <w:color w:val="auto"/>
        </w:rPr>
      </w:pPr>
    </w:p>
    <w:p>
      <w:pPr>
        <w:ind w:left="460" w:hanging="455"/>
        <w:spacing w:after="0"/>
        <w:tabs>
          <w:tab w:leader="none" w:pos="4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1st. The changes in the carrying amount of goodwill for the years ended December 31, 2019 and 2020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340</w:t>
            </w:r>
          </w:p>
        </w:tc>
        <w:tc>
          <w:tcPr>
            <w:tcW w:w="40" w:type="dxa"/>
            <w:vAlign w:val="bottom"/>
            <w:shd w:val="clear" w:color="auto" w:fill="CCEEFF"/>
          </w:tcPr>
          <w:p>
            <w:pPr>
              <w:spacing w:after="0"/>
              <w:rPr>
                <w:sz w:val="18"/>
                <w:szCs w:val="18"/>
                <w:color w:val="auto"/>
              </w:rPr>
            </w:pPr>
          </w:p>
        </w:tc>
      </w:tr>
      <w:tr>
        <w:trPr>
          <w:trHeight w:val="210"/>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AKESOgen</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15,641</w:t>
            </w:r>
          </w:p>
        </w:tc>
        <w:tc>
          <w:tcPr>
            <w:tcW w:w="40" w:type="dxa"/>
            <w:vAlign w:val="bottom"/>
          </w:tcPr>
          <w:p>
            <w:pPr>
              <w:spacing w:after="0"/>
              <w:rPr>
                <w:sz w:val="18"/>
                <w:szCs w:val="18"/>
                <w:color w:val="auto"/>
              </w:rPr>
            </w:pPr>
          </w:p>
        </w:tc>
      </w:tr>
      <w:tr>
        <w:trPr>
          <w:trHeight w:val="210"/>
        </w:trPr>
        <w:tc>
          <w:tcPr>
            <w:tcW w:w="10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8"/>
                <w:szCs w:val="18"/>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15,986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0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15,992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0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2019 and 2020, and for the nine months ended September 30, 2020 and 2021.</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Intangible assets are initially recorded at their acquisition cost, or fair value if acquired as part of a business combination and amortized over their estimated useful lives. Intangible assets consist of a website domain, customer relationships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 During 2020, the gross amount of intangible assets increased $13.1 million resulting from the extension of a research collaboration agreement. The amendment extended the minimum length of the contract from five years to seven years.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2019 and 2020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5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20" w:type="dxa"/>
            <w:vAlign w:val="bottom"/>
            <w:gridSpan w:val="2"/>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180" w:type="dxa"/>
            <w:vAlign w:val="bottom"/>
            <w:gridSpan w:val="3"/>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40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0" w:type="dxa"/>
            <w:vAlign w:val="bottom"/>
            <w:gridSpan w:val="3"/>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$ 17,300</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2"/>
              </w:rPr>
              <w:t>17,300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2,471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14,829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2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37,483</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13,472</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50,586</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20,975</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29,611</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2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$ 54,802</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2"/>
              </w:rPr>
              <w:t>67,905</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F-25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September 30, 2020 and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3"/>
          </w:tcPr>
          <w:p>
            <w:pPr>
              <w:jc w:val="center"/>
              <w:ind w:right="30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180" w:type="dxa"/>
            <w:vAlign w:val="bottom"/>
            <w:gridSpan w:val="3"/>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40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0" w:type="dxa"/>
            <w:vAlign w:val="bottom"/>
            <w:gridSpan w:val="3"/>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$ 17,300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1,854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15,446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2"/>
              </w:rPr>
              <w:t>17,300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4,325</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50,586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19,099</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50,586</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26,602</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23,984</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$ 67,905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2"/>
              </w:rPr>
              <w:t>67,905</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30,927</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five to seven years. Amortization expense was $6.9 million and $9.9 million for the years ended December 31, 2019 and 2020, respectively, and $7.5 million and $7.5 million for the nine months ended September 30, 2020 and 2021, and is recorded in cost of revenues, technology research and development or research and development, depending on use of the asset. The weighted average life of our intangibles is approximately seven years. As of December 31, 2020, the estimated future amortization expense related to intangible assets is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44,440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460" w:right="7540" w:hanging="455"/>
        <w:spacing w:after="0" w:line="391" w:lineRule="auto"/>
        <w:tabs>
          <w:tab w:leader="none" w:pos="453"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spacing w:after="0" w:line="6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with lease expirations between 2021 and 2029. Rent expenses under operating leases was $3.3 million and $6.2 million for the years ended December 31, 2019 and 2020, respectively.</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leases its headquarters located in Chicago, Illinois (“600 West Chicago”). Our lease agreement for 600 West Chicago extends through May 2029 and includes rent escalations of 2.5% per year. The 600 West Chicago lease represents $37.0 million of the estimated future payments under operating leases shown in the table below. The Company accounts for the 600 West Chicago lease as an operating lease and recognizes rent expense on a straight-line basis, taking into account rent escalations and lease incentives.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also acquired portions of its equipment under capital lease agreements, with expirations between 2021 and 2023.</w:t>
      </w:r>
    </w:p>
    <w:p>
      <w:pPr>
        <w:spacing w:after="0" w:line="1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2020, the future payments under operating and capital leases for each of the next five years and thereafter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2021</w:t>
            </w:r>
          </w:p>
        </w:tc>
        <w:tc>
          <w:tcPr>
            <w:tcW w:w="3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1,561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1,447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capital lease obligations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capital lease obligations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2019 and 2020, the Company recognized data licensing and cloud computing expenses of $15.2 million and $27.1 million, respectively, related to non-cancelable arrangements. For the nine months ended September 30, 2021, the Company recognized $23.3 million, related to non-cancelable arrangements.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2020, future payments under these contractual obligations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134,417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133,001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120" w:type="dxa"/>
            <w:vAlign w:val="bottom"/>
            <w:gridSpan w:val="2"/>
          </w:tcPr>
          <w:p>
            <w:pPr>
              <w:jc w:val="right"/>
              <w:ind w:right="4752"/>
              <w:spacing w:after="0"/>
              <w:rPr>
                <w:sz w:val="20"/>
                <w:szCs w:val="20"/>
                <w:color w:val="auto"/>
              </w:rPr>
            </w:pPr>
            <w:r>
              <w:rPr>
                <w:rFonts w:ascii="Times New Roman" w:cs="Times New Roman" w:eastAsia="Times New Roman" w:hAnsi="Times New Roman"/>
                <w:sz w:val="18"/>
                <w:szCs w:val="18"/>
                <w:color w:val="auto"/>
              </w:rPr>
              <w:t>F-27</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66" w:name="page267"/>
    <w:bookmarkEnd w:id="2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0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922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6"/>
              </w:rPr>
              <w:t>Tempus Labs, Inc.</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2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6"/>
              </w:rPr>
              <w:t>NOTES TO CONSOLIDATED FINANCIAL STATEMENTS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September 30, 2021, future payments under these contractual obligations were as follows (in thousands):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9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19,710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160,079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158,470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129,210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As of December 31, 2019, the Company was involved in litigation regarding the Company’s hiring of an employee with a non-compete agreement with their former employer. This matter was resolved without any financial impact to the Company. The Company had no outstanding litigation as of December 31, 2020, or for the nine months ended September 30, 2021.</w:t>
      </w:r>
    </w:p>
    <w:p>
      <w:pPr>
        <w:spacing w:after="0" w:line="327" w:lineRule="exact"/>
        <w:rPr>
          <w:sz w:val="20"/>
          <w:szCs w:val="20"/>
          <w:color w:val="auto"/>
        </w:rPr>
      </w:pPr>
    </w:p>
    <w:p>
      <w:pPr>
        <w:ind w:left="460" w:right="8640" w:hanging="455"/>
        <w:spacing w:after="0" w:line="366" w:lineRule="auto"/>
        <w:tabs>
          <w:tab w:leader="none" w:pos="453"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Company has authorized two classes of common stock, voting and non-voting. In March 2021, the Company amended its certificate of incorporation to bifurcate the voting common stock into two classes, Class A common stock and Class B common stock. Following the amendment, the Company has authorized 181,700,285 shares of Class A common stock, 5,374,899 shares of Class B common stock, and 63,946,620 shares of non-voting common stock.</w:t>
      </w:r>
    </w:p>
    <w:p>
      <w:pPr>
        <w:spacing w:after="0" w:line="146"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As of December 31, 2020, the rights of the holders of voting and non-voting common stock are identical, except with respect to voting. Each share of voting common stock is entitled to one vote per share and the non-voting common stock has no voting rights, except as required by law. Shares of non-voting common stock automatically convert into shares of voting common stock immediately upon the closing of an initial public offering (“IPO”). Voting and non-voting common stock are collectively referred to as “Common Stock” throughout the notes to these consolidated financial statements unless otherwise noted.</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Following the amended certificate of incorporation in March 2021, the rights of the holders of Class A common stock, Class B common stock and non-voting common stock remain identical, except with respect to voting. Each share of Class A common stock is entitled to one vote per share and each share of Class B common stock is entitled to fifteen votes per share. Non-voting shares of common stock do not have voting rights.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initial public offering,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on the closing of this offering.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3"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twenty-year anniversary of the filing of the certificate of amendment to the Company’s ninth amended and restated certificate of incorporation, which is March 15, 2041; (3) the termination of Mr. Lefkofsky’s employment or service with the Company as an executive officer and member of the board of directors; and (4) the date that Mr. Lefkofsky and his</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controlled entities hold, in the aggregate, fewer than shares of the Company’s capital stock (as adjusted for stock splits, stock dividends, combinations, subdivisions and recapitalizations).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9, Stock-Based Compensation).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329" w:lineRule="exact"/>
        <w:rPr>
          <w:sz w:val="20"/>
          <w:szCs w:val="20"/>
          <w:color w:val="auto"/>
        </w:rPr>
      </w:pPr>
    </w:p>
    <w:p>
      <w:pPr>
        <w:ind w:left="460" w:hanging="455"/>
        <w:spacing w:after="0"/>
        <w:tabs>
          <w:tab w:leader="none" w:pos="4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2020, the Company authorized and issued 2,537,290 shares of Series G Preferred Stock (“Series G Preferred”). 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$.0001. The Company used the proceeds from such issuances for working capital and general corporate purposes.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Redeemable convertible preferred stock outstanding as of December 31, 2019 and 2020, and as of September 30, 2020 and 2021, consisted of the following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22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0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340" w:type="dxa"/>
            <w:vAlign w:val="bottom"/>
            <w:tcBorders>
              <w:bottom w:val="single" w:sz="8" w:color="auto"/>
            </w:tcBorders>
            <w:gridSpan w:val="3"/>
          </w:tcPr>
          <w:p>
            <w:pPr>
              <w:ind w:left="900"/>
              <w:spacing w:after="0" w:line="12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Liquidation</w:t>
            </w:r>
          </w:p>
        </w:tc>
        <w:tc>
          <w:tcPr>
            <w:tcW w:w="120" w:type="dxa"/>
            <w:vAlign w:val="bottom"/>
          </w:tcPr>
          <w:p>
            <w:pPr>
              <w:spacing w:after="0"/>
              <w:rPr>
                <w:sz w:val="11"/>
                <w:szCs w:val="11"/>
                <w:color w:val="auto"/>
              </w:rPr>
            </w:pPr>
          </w:p>
        </w:tc>
        <w:tc>
          <w:tcPr>
            <w:tcW w:w="700" w:type="dxa"/>
            <w:vAlign w:val="bottom"/>
          </w:tcPr>
          <w:p>
            <w:pPr>
              <w:jc w:val="right"/>
              <w:ind w:right="36"/>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90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220" w:type="dxa"/>
            <w:vAlign w:val="bottom"/>
          </w:tcPr>
          <w:p>
            <w:pPr>
              <w:spacing w:after="0"/>
              <w:rPr>
                <w:sz w:val="11"/>
                <w:szCs w:val="11"/>
                <w:color w:val="auto"/>
              </w:rPr>
            </w:pPr>
          </w:p>
        </w:tc>
        <w:tc>
          <w:tcPr>
            <w:tcW w:w="7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Issued</w:t>
            </w:r>
          </w:p>
        </w:tc>
        <w:tc>
          <w:tcPr>
            <w:tcW w:w="1340" w:type="dxa"/>
            <w:vAlign w:val="bottom"/>
            <w:gridSpan w:val="3"/>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880" w:type="dxa"/>
            <w:vAlign w:val="bottom"/>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76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2220" w:type="dxa"/>
            <w:vAlign w:val="bottom"/>
            <w:shd w:val="clear" w:color="auto" w:fill="CCEEFF"/>
          </w:tcPr>
          <w:p>
            <w:pPr>
              <w:spacing w:after="0"/>
              <w:rPr>
                <w:sz w:val="17"/>
                <w:szCs w:val="17"/>
                <w:color w:val="auto"/>
              </w:rPr>
            </w:pPr>
          </w:p>
        </w:tc>
        <w:tc>
          <w:tcPr>
            <w:tcW w:w="46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2015</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296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2016</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5,374,899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2960" w:type="dxa"/>
            <w:vAlign w:val="bottom"/>
            <w:gridSpan w:val="3"/>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2016</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296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2017</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4,191,173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2960" w:type="dxa"/>
            <w:vAlign w:val="bottom"/>
            <w:gridSpan w:val="3"/>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2017</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9,779,403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76,249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296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2018</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8,534,330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87,626</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2960" w:type="dxa"/>
            <w:vAlign w:val="bottom"/>
            <w:gridSpan w:val="3"/>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2018</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6,630,905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120,100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296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2019</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8,077,674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207,311</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207,311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2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55,088,384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55,088,384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554,286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960" w:type="dxa"/>
            <w:vAlign w:val="bottom"/>
            <w:gridSpan w:val="3"/>
            <w:vMerge w:val="restart"/>
          </w:tcPr>
          <w:p>
            <w:pPr>
              <w:ind w:left="1620"/>
              <w:spacing w:after="0"/>
              <w:rPr>
                <w:sz w:val="20"/>
                <w:szCs w:val="20"/>
                <w:color w:val="auto"/>
              </w:rPr>
            </w:pPr>
            <w:r>
              <w:rPr>
                <w:rFonts w:ascii="Times New Roman" w:cs="Times New Roman" w:eastAsia="Times New Roman" w:hAnsi="Times New Roman"/>
                <w:sz w:val="18"/>
                <w:szCs w:val="18"/>
                <w:color w:val="auto"/>
              </w:rPr>
              <w:t>F-29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96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120" w:type="dxa"/>
            <w:vAlign w:val="bottom"/>
            <w:gridSpan w:val="5"/>
            <w:vMerge w:val="continue"/>
          </w:tcPr>
          <w:p>
            <w:pPr>
              <w:spacing w:after="0"/>
              <w:rPr>
                <w:sz w:val="11"/>
                <w:szCs w:val="11"/>
                <w:color w:val="auto"/>
              </w:rPr>
            </w:pPr>
          </w:p>
        </w:tc>
        <w:tc>
          <w:tcPr>
            <w:tcW w:w="740" w:type="dxa"/>
            <w:vAlign w:val="bottom"/>
            <w:gridSpan w:val="3"/>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5"/>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Liquidation</w:t>
            </w:r>
          </w:p>
        </w:tc>
        <w:tc>
          <w:tcPr>
            <w:tcW w:w="100" w:type="dxa"/>
            <w:vAlign w:val="bottom"/>
          </w:tcPr>
          <w:p>
            <w:pPr>
              <w:spacing w:after="0"/>
              <w:rPr>
                <w:sz w:val="11"/>
                <w:szCs w:val="11"/>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120" w:type="dxa"/>
            <w:vAlign w:val="bottom"/>
            <w:gridSpan w:val="5"/>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7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Pr>
          <w:p>
            <w:pPr>
              <w:spacing w:after="0"/>
              <w:rPr>
                <w:sz w:val="11"/>
                <w:szCs w:val="11"/>
                <w:color w:val="auto"/>
              </w:rPr>
            </w:pPr>
          </w:p>
        </w:tc>
        <w:tc>
          <w:tcPr>
            <w:tcW w:w="1160" w:type="dxa"/>
            <w:vAlign w:val="bottom"/>
            <w:gridSpan w:val="4"/>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60" w:type="dxa"/>
            <w:vAlign w:val="bottom"/>
            <w:gridSpan w:val="2"/>
          </w:tcPr>
          <w:p>
            <w:pPr>
              <w:jc w:val="right"/>
              <w:ind w:right="43"/>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1"/>
                <w:szCs w:val="11"/>
                <w:color w:val="auto"/>
              </w:rPr>
            </w:pPr>
          </w:p>
        </w:tc>
        <w:tc>
          <w:tcPr>
            <w:tcW w:w="7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46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2015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960" w:type="dxa"/>
            <w:vAlign w:val="bottom"/>
            <w:tcBorders>
              <w:lef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B</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5,374,899</w:t>
            </w: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5,374,899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2,500,000</w:t>
            </w:r>
          </w:p>
        </w:tc>
        <w:tc>
          <w:tcPr>
            <w:tcW w:w="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10,500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B-2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4,191,173</w:t>
            </w: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4,191,173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9,779,403</w:t>
            </w:r>
          </w:p>
        </w:tc>
        <w:tc>
          <w:tcPr>
            <w:tcW w:w="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9,779,403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78,777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D</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8,534,330</w:t>
            </w: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8,534,330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91,623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6,630,905</w:t>
            </w:r>
          </w:p>
        </w:tc>
        <w:tc>
          <w:tcPr>
            <w:tcW w:w="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6,630,905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127,306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F</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8,077,674</w:t>
            </w: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8,077,674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219,749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2,537,290</w:t>
            </w:r>
          </w:p>
        </w:tc>
        <w:tc>
          <w:tcPr>
            <w:tcW w:w="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2,537,290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102,186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G-2*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7,135,072</w:t>
            </w: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3,296,093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188,889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188,889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64,760,746</w:t>
            </w:r>
          </w:p>
        </w:tc>
        <w:tc>
          <w:tcPr>
            <w:tcW w:w="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60,921,767</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871,530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859,156</w:t>
            </w: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1240" w:type="dxa"/>
            <w:vAlign w:val="bottom"/>
            <w:tcBorders>
              <w:bottom w:val="single" w:sz="8" w:color="auto"/>
            </w:tcBorders>
            <w:gridSpan w:val="2"/>
          </w:tcPr>
          <w:p>
            <w:pPr>
              <w:spacing w:after="0"/>
              <w:rPr>
                <w:sz w:val="11"/>
                <w:szCs w:val="11"/>
                <w:color w:val="auto"/>
              </w:rPr>
            </w:pPr>
          </w:p>
        </w:tc>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Excludes amounts related to the conversion of convertible note</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1"/>
        </w:trPr>
        <w:tc>
          <w:tcPr>
            <w:tcW w:w="61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9"/>
              </w:rPr>
              <w:t>As of September 30, 2020</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120" w:type="dxa"/>
            <w:vAlign w:val="bottom"/>
            <w:gridSpan w:val="5"/>
            <w:vMerge w:val="continue"/>
          </w:tcPr>
          <w:p>
            <w:pPr>
              <w:spacing w:after="0"/>
              <w:rPr>
                <w:sz w:val="11"/>
                <w:szCs w:val="11"/>
                <w:color w:val="auto"/>
              </w:rPr>
            </w:pPr>
          </w:p>
        </w:tc>
        <w:tc>
          <w:tcPr>
            <w:tcW w:w="68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Borders>
              <w:bottom w:val="single" w:sz="8" w:color="auto"/>
            </w:tcBorders>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5"/>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00" w:type="dxa"/>
            <w:vAlign w:val="bottom"/>
          </w:tcPr>
          <w:p>
            <w:pPr>
              <w:spacing w:after="0"/>
              <w:rPr>
                <w:sz w:val="11"/>
                <w:szCs w:val="11"/>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120" w:type="dxa"/>
            <w:vAlign w:val="bottom"/>
            <w:gridSpan w:val="5"/>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Issued</w:t>
            </w:r>
          </w:p>
        </w:tc>
        <w:tc>
          <w:tcPr>
            <w:tcW w:w="160" w:type="dxa"/>
            <w:vAlign w:val="bottom"/>
            <w:gridSpan w:val="2"/>
          </w:tcPr>
          <w:p>
            <w:pPr>
              <w:spacing w:after="0"/>
              <w:rPr>
                <w:sz w:val="11"/>
                <w:szCs w:val="11"/>
                <w:color w:val="auto"/>
              </w:rPr>
            </w:pPr>
          </w:p>
        </w:tc>
        <w:tc>
          <w:tcPr>
            <w:tcW w:w="1160" w:type="dxa"/>
            <w:vAlign w:val="bottom"/>
            <w:gridSpan w:val="4"/>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w w:val="97"/>
              </w:rPr>
              <w:t>Authorized</w:t>
            </w:r>
          </w:p>
        </w:tc>
        <w:tc>
          <w:tcPr>
            <w:tcW w:w="960" w:type="dxa"/>
            <w:vAlign w:val="bottom"/>
            <w:gridSpan w:val="2"/>
          </w:tcPr>
          <w:p>
            <w:pPr>
              <w:jc w:val="right"/>
              <w:ind w:right="43"/>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4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960" w:type="dxa"/>
            <w:vAlign w:val="bottom"/>
            <w:tcBorders>
              <w:lef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right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10,374</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B</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5,374,899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10,374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B-2</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4,191,173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9,779,403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77,744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D</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8,534,330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90,362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6,630,905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125,490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F</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8,077,674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216,623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2,537,290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100,718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100,718</w:t>
            </w:r>
          </w:p>
        </w:tc>
        <w:tc>
          <w:tcPr>
            <w:tcW w:w="0" w:type="dxa"/>
            <w:vAlign w:val="bottom"/>
          </w:tcPr>
          <w:p>
            <w:pPr>
              <w:spacing w:after="0"/>
              <w:rPr>
                <w:sz w:val="1"/>
                <w:szCs w:val="1"/>
                <w:color w:val="auto"/>
              </w:rPr>
            </w:pPr>
          </w:p>
        </w:tc>
      </w:tr>
      <w:tr>
        <w:trPr>
          <w:trHeight w:val="216"/>
        </w:trPr>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57,625,674</w:t>
            </w:r>
          </w:p>
        </w:tc>
        <w:tc>
          <w:tcPr>
            <w:tcW w:w="2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57,625,674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673,182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1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8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120" w:type="dxa"/>
            <w:vAlign w:val="bottom"/>
            <w:gridSpan w:val="5"/>
            <w:vMerge w:val="continue"/>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0" w:type="dxa"/>
            <w:vAlign w:val="bottom"/>
            <w:gridSpan w:val="6"/>
          </w:tcPr>
          <w:p>
            <w:pPr>
              <w:ind w:left="180"/>
              <w:spacing w:after="0" w:line="125"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4"/>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00" w:type="dxa"/>
            <w:vAlign w:val="bottom"/>
          </w:tcPr>
          <w:p>
            <w:pPr>
              <w:spacing w:after="0"/>
              <w:rPr>
                <w:sz w:val="11"/>
                <w:szCs w:val="11"/>
                <w:color w:val="auto"/>
              </w:rPr>
            </w:pPr>
          </w:p>
        </w:tc>
        <w:tc>
          <w:tcPr>
            <w:tcW w:w="700" w:type="dxa"/>
            <w:vAlign w:val="bottom"/>
          </w:tcPr>
          <w:p>
            <w:pPr>
              <w:jc w:val="center"/>
              <w:ind w:right="15"/>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120" w:type="dxa"/>
            <w:vAlign w:val="bottom"/>
            <w:gridSpan w:val="5"/>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840" w:type="dxa"/>
            <w:vAlign w:val="bottom"/>
            <w:gridSpan w:val="4"/>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Issued</w:t>
            </w:r>
          </w:p>
        </w:tc>
        <w:tc>
          <w:tcPr>
            <w:tcW w:w="160" w:type="dxa"/>
            <w:vAlign w:val="bottom"/>
          </w:tcPr>
          <w:p>
            <w:pPr>
              <w:spacing w:after="0"/>
              <w:rPr>
                <w:sz w:val="11"/>
                <w:szCs w:val="11"/>
                <w:color w:val="auto"/>
              </w:rPr>
            </w:pPr>
          </w:p>
        </w:tc>
        <w:tc>
          <w:tcPr>
            <w:tcW w:w="1000" w:type="dxa"/>
            <w:vAlign w:val="bottom"/>
            <w:tcBorders>
              <w:top w:val="single" w:sz="8" w:color="auto"/>
            </w:tcBorders>
            <w:gridSpan w:val="3"/>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left="16"/>
              <w:spacing w:after="0" w:line="196" w:lineRule="exact"/>
              <w:rPr>
                <w:sz w:val="20"/>
                <w:szCs w:val="20"/>
                <w:color w:val="auto"/>
              </w:rPr>
            </w:pPr>
            <w:r>
              <w:rPr>
                <w:rFonts w:ascii="Times New Roman" w:cs="Times New Roman" w:eastAsia="Times New Roman" w:hAnsi="Times New Roman"/>
                <w:sz w:val="18"/>
                <w:szCs w:val="18"/>
                <w:color w:val="auto"/>
                <w:w w:val="94"/>
              </w:rPr>
              <w:t>2015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10,374</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B</w:t>
            </w:r>
          </w:p>
        </w:tc>
        <w:tc>
          <w:tcPr>
            <w:tcW w:w="68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4"/>
              </w:rPr>
              <w:t>2016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5,374,899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6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4"/>
              </w:rPr>
              <w:t>2016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B-2</w:t>
            </w:r>
          </w:p>
        </w:tc>
        <w:tc>
          <w:tcPr>
            <w:tcW w:w="68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4"/>
              </w:rPr>
              <w:t>2017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4,191,173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31,122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6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4"/>
              </w:rPr>
              <w:t>2017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20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9,779,403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80,383</w:t>
            </w: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D</w:t>
            </w:r>
          </w:p>
        </w:tc>
        <w:tc>
          <w:tcPr>
            <w:tcW w:w="68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4"/>
              </w:rPr>
              <w:t>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8,534,330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94,535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6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4"/>
              </w:rPr>
              <w:t>2018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20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6,630,905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133,014</w:t>
            </w: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F</w:t>
            </w:r>
          </w:p>
        </w:tc>
        <w:tc>
          <w:tcPr>
            <w:tcW w:w="68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4"/>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8,077,674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229,611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6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4"/>
              </w:rPr>
              <w:t>2020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20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2,537,290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106,110</w:t>
            </w: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G-2*</w:t>
            </w: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6"/>
              </w:rPr>
              <w:t>2020/2021</w:t>
            </w: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16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61,078,813</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903,786</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890,535</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Excludes amounts related to the conversion of convertible note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2019 and 2020, and as of September 30, 2021,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and Series G-2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for the holders of Series G-2 Preferred, the holders of Series Preferred are entitled to dividends at a rate of 5% or 6% of the original issue price (subject to adjustment in the event of any stock dividend, stock split, combination or other similar recapitalization with respect to such class or series), depending on the series each holder participated in and/or the holders’ election to receive cash dividends annually or to accrue.</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With the exception of the Series B Preferred stockholders, Preferred stockholders are entitled to the number of votes equal to the product obtained by multiplying the number of shares of voting common stock into which their shares could be converted. Series B Preferred stockholders are entitled to the number of votes equal to the product obtained by multiplying the number of shares of voting common stock into which their shares could be converted by ten.</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Following the amendment of the certificate of incorporation in March 2021, 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G-2, Series G, Series F, Series E, Series D, Series C, Series B-2, Series B-1, Series B, Series A.</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Each outstanding share of Series G-2 Preferred, Series G Preferred ,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G-2 Preferred shares and ending sixty days thereafter, of written notice from the holders of each preferred series, voting as separate class, requesting redemption of all shares of the preferred series. Upon receipt of a redemption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request, the Company shall apply all of its assets to such redemption, and to no other corporate purpose, except to the extent prohibited by Delaware law governing distributions to stockholders.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at an offering price of $68.7683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2020 and September 30, 2021.</w:t>
      </w:r>
    </w:p>
    <w:p>
      <w:pPr>
        <w:spacing w:after="0" w:line="329" w:lineRule="exact"/>
        <w:rPr>
          <w:sz w:val="20"/>
          <w:szCs w:val="20"/>
          <w:color w:val="auto"/>
        </w:rPr>
      </w:pPr>
    </w:p>
    <w:p>
      <w:pPr>
        <w:ind w:left="460" w:right="8160" w:hanging="455"/>
        <w:spacing w:after="0" w:line="366" w:lineRule="auto"/>
        <w:tabs>
          <w:tab w:leader="none" w:pos="453"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2015, the Company adopted the Tempus Labs, Inc. 2015 Stock Plan as amended and restated on March 16, 2018 (the Plan), under which up to 12,615,570 shares of common stock were authorized to be issued to employees, consultants, and directors of the Company. The Plan was subsequently amended and restated to increase the shares authorized to be issued to 14,115,750 on October 15, 2019. The Plan was again amended and restated on June 24, 2020 and November 16, 2020 to increase the shares authorized to be issued to 20,115,750 and 22,115,750, respectively.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2019 and 2020, 2,346,229 and 8,572,503 shares, respectively, were available for future issuance under the Plan.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of $3.4 million, $0.4 million, and $0.6 million in the years ended December 31, 2019 and 2020, and for the nine months ended September 30, 2021, respectively, within Selling, general and administrative expense. The Company accounts for forfeitures as they occur.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25%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40" w:type="dxa"/>
            <w:vAlign w:val="bottom"/>
          </w:tcPr>
          <w:p>
            <w:pPr>
              <w:spacing w:after="0"/>
              <w:rPr>
                <w:sz w:val="13"/>
                <w:szCs w:val="13"/>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Weighted - 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2019</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6,964,521</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2,388,676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(614,950)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Redeemed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8,738,247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restricted stock units that vested during the years ended December 31, 2019 and 2020. As of December 31, 2020, there was $36.5 million of unrecognized stock compensation expense relating to RSUs. Because of the liquidity event requirement, the Company cannot estimate the weighted-average period over which this expense will be recognized.</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granted 1,923,925 of Restricted Stock Units. As of September 30, 2021, there was $100.9 million of unrecognized stock compensation expense relating to RSUs.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performance stock units (“PSUs”) granted under the Plan are subject to two vesting conditions. The first is the achievement of a revenue target before December 31, 2021 while remaining employed. The second vesting condition is the occurrence of a liquidity event, as defined in the grant agreement. The fair value of each PSU is estimated on the date of grant using the 409a value of a non-voting share of common stock on such date. The table below summarizes performance stock unit activity under the Plan for the year ended December 31,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8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86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0" w:type="dxa"/>
            <w:vAlign w:val="bottom"/>
          </w:tcPr>
          <w:p>
            <w:pPr>
              <w:spacing w:after="0"/>
              <w:rPr>
                <w:sz w:val="1"/>
                <w:szCs w:val="1"/>
                <w:color w:val="auto"/>
              </w:rPr>
            </w:pPr>
          </w:p>
        </w:tc>
      </w:tr>
      <w:tr>
        <w:trPr>
          <w:trHeight w:val="144"/>
        </w:trPr>
        <w:tc>
          <w:tcPr>
            <w:tcW w:w="84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Stock Units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8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2019</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PSUs that vested during the years ended December 31, 2019 and 2020. As of December 31, 2020, there was $1.7 million of unrecognized stock compensation expense relating to PSUs. Because of the liquidity event requirement, the Company cannot estimate the weighted-average period over which this expense will be recognized should the performance condition be met.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granted 6,000,000 of Performance Stock Units. As of September 30, 2021, there was $247.4 million of unrecognized stock compensation expense relating to PSUs.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4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6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Outstanding—December 31, 2019</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2020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exercisable—December 31, 2020</w:t>
            </w: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20" w:type="dxa"/>
            <w:vAlign w:val="bottom"/>
            <w:gridSpan w:val="2"/>
            <w:vMerge w:val="continue"/>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2019. As such, no stock compensation expense relating to stock options was recorded in the year ended December 31, 2019 or December 31, 2020 and there is no unrecognized expense relating to stock options.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Weighted - 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2019</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550,000</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3,700,000</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(550,000)</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550,000</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4,250,000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Total compensation expense for vesting of restricted stock into unrestricted stock was approximately $0.5 million and $0.4 million for the years ended December 31, 2019 and 2020, respectively. As of December 31, 2020, there was no unrecognized compensation cost related to non-vested restricted stock awards.</w:t>
      </w:r>
    </w:p>
    <w:p>
      <w:pPr>
        <w:spacing w:after="0" w:line="323" w:lineRule="exact"/>
        <w:rPr>
          <w:sz w:val="20"/>
          <w:szCs w:val="20"/>
          <w:color w:val="auto"/>
        </w:rPr>
      </w:pPr>
    </w:p>
    <w:p>
      <w:pPr>
        <w:ind w:left="460" w:hanging="455"/>
        <w:spacing w:after="0"/>
        <w:tabs>
          <w:tab w:leader="none" w:pos="4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PROMISSORY NOTES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40"/>
          </w:cols>
          <w:pgMar w:left="320" w:top="448"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As of September 30, 2021, the value of the note was $234.4 million, which consisted of $246.6 million gross principal, net of $3.2 million aggregate unapplied principal reduction. The Company accounts for the principal reductions as an offset to our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$10.0 million and $11.4 million during the year ended December 31, 2020, and nine months ended September 30, 2021, respectively.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accounted for the conversion of the $80.0 million as a debt extinguishment and recognized a loss on extinguishment of debt of $8.9 million within Interest Expense in the consolidated statement of operations and comprehensive loss during the year ended December 31, 2020. The loss on extinguishment of debt was calculated as the difference between (i) the fair value of shares of Series G-2 issued and (ii) the carrying value of the Notes that were converted.</w:t>
      </w:r>
    </w:p>
    <w:p>
      <w:pPr>
        <w:spacing w:after="0" w:line="327" w:lineRule="exact"/>
        <w:rPr>
          <w:sz w:val="20"/>
          <w:szCs w:val="20"/>
          <w:color w:val="auto"/>
        </w:rPr>
      </w:pPr>
    </w:p>
    <w:p>
      <w:pPr>
        <w:ind w:left="460" w:hanging="455"/>
        <w:spacing w:after="0"/>
        <w:tabs>
          <w:tab w:leader="none" w:pos="4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6"/>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3"/>
                <w:szCs w:val="13"/>
                <w:color w:val="auto"/>
              </w:rPr>
            </w:pPr>
          </w:p>
        </w:tc>
        <w:tc>
          <w:tcPr>
            <w:tcW w:w="1920" w:type="dxa"/>
            <w:vAlign w:val="bottom"/>
            <w:gridSpan w:val="5"/>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4"/>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93"/>
              </w:rPr>
              <w:t>(114,951)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w w:val="93"/>
              </w:rPr>
              <w:t>(209,854)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(155,712)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(200,211)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(7,303)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(7,381)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on Series A, B, B-1, B-2, C, D, E, F and G preferred shares</w:t>
            </w:r>
          </w:p>
        </w:tc>
        <w:tc>
          <w:tcPr>
            <w:tcW w:w="10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(23,640)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(34,420)</w:t>
            </w: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(25,523)</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(148,144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(253,905</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(186,331)</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(228,916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61,347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62,706</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62,697</w:t>
            </w: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62,973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9, the Company’s RSUs include a triggering liquidation performance condition prior to vesting. As disclosed in Note 10,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38"/>
        </w:trPr>
        <w:tc>
          <w:tcPr>
            <w:tcW w:w="4440" w:type="dxa"/>
            <w:vAlign w:val="bottom"/>
            <w:tcBorders>
              <w:bottom w:val="single" w:sz="8" w:color="CCEEFF"/>
            </w:tcBorders>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21"/>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16"/>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18"/>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296"/>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1"/>
                <w:szCs w:val="11"/>
                <w:color w:val="auto"/>
              </w:rPr>
            </w:pPr>
          </w:p>
        </w:tc>
      </w:tr>
      <w:tr>
        <w:trPr>
          <w:trHeight w:val="203"/>
        </w:trPr>
        <w:tc>
          <w:tcPr>
            <w:tcW w:w="4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Shares associated with contingent consideration</w:t>
            </w:r>
          </w:p>
        </w:tc>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80" w:type="dxa"/>
            <w:vAlign w:val="bottom"/>
            <w:shd w:val="clear" w:color="auto" w:fill="CCEEFF"/>
          </w:tcPr>
          <w:p>
            <w:pPr>
              <w:spacing w:after="0"/>
              <w:rPr>
                <w:sz w:val="17"/>
                <w:szCs w:val="17"/>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55,088,384</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60,921,767</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57,625,674</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61,078,813</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20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55,298,384</w:t>
            </w: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61,131,767</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57,835,674</w:t>
            </w:r>
          </w:p>
        </w:tc>
        <w:tc>
          <w:tcPr>
            <w:tcW w:w="1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61,434,279</w:t>
            </w:r>
          </w:p>
        </w:tc>
        <w:tc>
          <w:tcPr>
            <w:tcW w:w="8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6"/>
        </w:trPr>
        <w:tc>
          <w:tcPr>
            <w:tcW w:w="4440" w:type="dxa"/>
            <w:vAlign w:val="bottom"/>
          </w:tcPr>
          <w:p>
            <w:pPr>
              <w:spacing w:after="0"/>
              <w:rPr>
                <w:sz w:val="24"/>
                <w:szCs w:val="24"/>
                <w:color w:val="auto"/>
              </w:rPr>
            </w:pPr>
          </w:p>
        </w:tc>
        <w:tc>
          <w:tcPr>
            <w:tcW w:w="3260" w:type="dxa"/>
            <w:vAlign w:val="bottom"/>
            <w:gridSpan w:val="3"/>
          </w:tcPr>
          <w:p>
            <w:pPr>
              <w:jc w:val="right"/>
              <w:ind w:right="1860"/>
              <w:spacing w:after="0"/>
              <w:rPr>
                <w:sz w:val="20"/>
                <w:szCs w:val="20"/>
                <w:color w:val="auto"/>
              </w:rPr>
            </w:pPr>
            <w:r>
              <w:rPr>
                <w:rFonts w:ascii="Times New Roman" w:cs="Times New Roman" w:eastAsia="Times New Roman" w:hAnsi="Times New Roman"/>
                <w:sz w:val="18"/>
                <w:szCs w:val="18"/>
                <w:color w:val="auto"/>
              </w:rPr>
              <w:t>F-36</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2019 and 2020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9"/>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92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jc w:val="right"/>
              <w:ind w:right="117"/>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4"/>
              <w:spacing w:after="0" w:line="138"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Deferred Income Tax Assets: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Charitable Contribution Carryforwards</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53,619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Payroll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57,884</w:t>
            </w:r>
          </w:p>
        </w:tc>
        <w:tc>
          <w:tcPr>
            <w:tcW w:w="9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108,015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(51,237)</w:t>
            </w:r>
          </w:p>
        </w:tc>
        <w:tc>
          <w:tcPr>
            <w:tcW w:w="106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(102,981)</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6,647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0"/>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Book Basis over Tax Basis Intangibles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2019 and 2020 (in thousands):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4"/>
          </w:tcPr>
          <w:p>
            <w:pPr>
              <w:ind w:left="180"/>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gridSpan w:val="5"/>
          </w:tcPr>
          <w:p>
            <w:pPr>
              <w:jc w:val="right"/>
              <w:ind w:right="77"/>
              <w:spacing w:after="0"/>
              <w:rPr>
                <w:sz w:val="20"/>
                <w:szCs w:val="20"/>
                <w:color w:val="auto"/>
              </w:rPr>
            </w:pPr>
            <w:r>
              <w:rPr>
                <w:rFonts w:ascii="Times New Roman" w:cs="Times New Roman" w:eastAsia="Times New Roman" w:hAnsi="Times New Roman"/>
                <w:sz w:val="18"/>
                <w:szCs w:val="18"/>
                <w:color w:val="auto"/>
              </w:rPr>
              <w:t>(24,062)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(40,710)</w:t>
            </w: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tcBorders>
              <w:right w:val="single" w:sz="8" w:color="CCEEFF"/>
            </w:tcBorders>
            <w:gridSpan w:val="5"/>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(4,537)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(10,520)</w:t>
            </w:r>
          </w:p>
        </w:tc>
        <w:tc>
          <w:tcPr>
            <w:tcW w:w="0" w:type="dxa"/>
            <w:vAlign w:val="bottom"/>
          </w:tcPr>
          <w:p>
            <w:pPr>
              <w:spacing w:after="0"/>
              <w:rPr>
                <w:sz w:val="1"/>
                <w:szCs w:val="1"/>
                <w:color w:val="auto"/>
              </w:rPr>
            </w:pPr>
          </w:p>
        </w:tc>
      </w:tr>
      <w:tr>
        <w:trPr>
          <w:trHeight w:val="216"/>
        </w:trPr>
        <w:tc>
          <w:tcPr>
            <w:tcW w:w="9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(28,599)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7"/>
              </w:rPr>
              <w:t>(51,230)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tcBorders>
              <w:right w:val="single" w:sz="8" w:color="CCEEFF"/>
            </w:tcBorders>
            <w:gridSpan w:val="5"/>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28,599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51,230</w:t>
            </w: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5"/>
          </w:tcPr>
          <w:p>
            <w:pPr>
              <w:jc w:val="right"/>
              <w:ind w:right="194"/>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(114,816)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(209,891)</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924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F-37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2019 and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952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ind w:right="41"/>
              <w:spacing w:after="0" w:line="138"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6"/>
              <w:spacing w:after="0" w:line="138"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720" w:type="dxa"/>
            <w:vAlign w:val="bottom"/>
            <w:gridSpan w:val="3"/>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97"/>
              </w:rPr>
              <w:t>21.00%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72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94"/>
              </w:rPr>
              <w:t>5.14%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720" w:type="dxa"/>
            <w:vAlign w:val="bottom"/>
            <w:gridSpan w:val="3"/>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5"/>
              </w:rPr>
              <w:t>(0.21%)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0"/>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95"/>
              </w:rPr>
              <w:t>(1.04%)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0"/>
        </w:trPr>
        <w:tc>
          <w:tcPr>
            <w:tcW w:w="9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vMerge w:val="continue"/>
          </w:tcPr>
          <w:p>
            <w:pPr>
              <w:spacing w:after="0"/>
              <w:rPr>
                <w:sz w:val="19"/>
                <w:szCs w:val="19"/>
                <w:color w:val="auto"/>
              </w:rPr>
            </w:pPr>
          </w:p>
        </w:tc>
        <w:tc>
          <w:tcPr>
            <w:tcW w:w="72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94"/>
              </w:rPr>
              <w:t>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9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95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$ 27,386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28,599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51,230</w:t>
            </w:r>
          </w:p>
        </w:tc>
        <w:tc>
          <w:tcPr>
            <w:tcW w:w="0" w:type="dxa"/>
            <w:vAlign w:val="bottom"/>
          </w:tcPr>
          <w:p>
            <w:pPr>
              <w:spacing w:after="0"/>
              <w:rPr>
                <w:sz w:val="1"/>
                <w:szCs w:val="1"/>
                <w:color w:val="auto"/>
              </w:rPr>
            </w:pP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1"/>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120" w:type="dxa"/>
            <w:vAlign w:val="bottom"/>
          </w:tcPr>
          <w:p>
            <w:pPr>
              <w:spacing w:after="0"/>
              <w:rPr>
                <w:sz w:val="19"/>
                <w:szCs w:val="19"/>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$ 51,237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102,981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2019 or 2020.</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2020, the Company had federal net operating loss (“NOL”) carry forwards of $380.9 million and state NOL carry forwards of approximately $262.4 million,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2020, and 2019,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2020 and 2019.</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2020 and 2019,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2019 and 2020.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2020 and 2021</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current income tax expense (benefit) for the nine months ended September 30, 2020 and 2021.</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312" w:lineRule="exact"/>
        <w:rPr>
          <w:sz w:val="20"/>
          <w:szCs w:val="20"/>
          <w:color w:val="auto"/>
        </w:rPr>
      </w:pPr>
    </w:p>
    <w:p>
      <w:pPr>
        <w:ind w:left="460" w:hanging="455"/>
        <w:spacing w:after="0"/>
        <w:tabs>
          <w:tab w:leader="none" w:pos="4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accounts receivable, capital lease obligations, minimum royalties, accounts payable, and accrued expenses approximate fair value due to the short maturity of these instruments. The carrying amounts of the related party receivable, capital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is subject to a contingent consideration arrangement to transfer non-voting shares of common stock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owners of a business acquired in December 2019. See Note 3, Business Combinations, for further discussion of that acquisition.</w:t>
      </w:r>
    </w:p>
    <w:p>
      <w:pPr>
        <w:spacing w:after="0" w:line="6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summarizes liabilities that are measured at fair value on a recurring basis as of December 31, 2019 and 2020 and September 30, 2021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w w:val="98"/>
              </w:rPr>
              <w:t>Fair Value Measurement at Reporting Date Using</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5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0" w:type="dxa"/>
            <w:vAlign w:val="bottom"/>
          </w:tcPr>
          <w:p>
            <w:pPr>
              <w:spacing w:after="0"/>
              <w:rPr>
                <w:sz w:val="9"/>
                <w:szCs w:val="9"/>
                <w:color w:val="auto"/>
              </w:rPr>
            </w:pPr>
          </w:p>
        </w:tc>
        <w:tc>
          <w:tcPr>
            <w:tcW w:w="18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9"/>
                <w:szCs w:val="9"/>
                <w:color w:val="auto"/>
              </w:rPr>
            </w:pPr>
          </w:p>
        </w:tc>
        <w:tc>
          <w:tcPr>
            <w:tcW w:w="740" w:type="dxa"/>
            <w:vAlign w:val="bottom"/>
          </w:tcPr>
          <w:p>
            <w:pPr>
              <w:jc w:val="center"/>
              <w:ind w:right="26"/>
              <w:spacing w:after="0" w:line="113"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9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8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 Assets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9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5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3,380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337"/>
        </w:trPr>
        <w:tc>
          <w:tcPr>
            <w:tcW w:w="3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w w:val="98"/>
              </w:rPr>
              <w:t>Fair Value Measurement at Reporting Date Using</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5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0" w:type="dxa"/>
            <w:vAlign w:val="bottom"/>
          </w:tcPr>
          <w:p>
            <w:pPr>
              <w:spacing w:after="0"/>
              <w:rPr>
                <w:sz w:val="9"/>
                <w:szCs w:val="9"/>
                <w:color w:val="auto"/>
              </w:rPr>
            </w:pP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9"/>
                <w:szCs w:val="9"/>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8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9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8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9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5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10,271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337"/>
        </w:trPr>
        <w:tc>
          <w:tcPr>
            <w:tcW w:w="3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w w:val="98"/>
              </w:rPr>
              <w:t>Fair Value Measurement at Reporting Date Using</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5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0" w:type="dxa"/>
            <w:vAlign w:val="bottom"/>
          </w:tcPr>
          <w:p>
            <w:pPr>
              <w:spacing w:after="0"/>
              <w:rPr>
                <w:sz w:val="9"/>
                <w:szCs w:val="9"/>
                <w:color w:val="auto"/>
              </w:rPr>
            </w:pP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9"/>
                <w:szCs w:val="9"/>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8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9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8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9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56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7,365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7,365</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r>
      <w:tr>
        <w:trPr>
          <w:trHeight w:val="169"/>
        </w:trPr>
        <w:tc>
          <w:tcPr>
            <w:tcW w:w="20" w:type="dxa"/>
            <w:vAlign w:val="bottom"/>
          </w:tcPr>
          <w:p>
            <w:pPr>
              <w:spacing w:after="0"/>
              <w:rPr>
                <w:sz w:val="14"/>
                <w:szCs w:val="14"/>
                <w:color w:val="auto"/>
              </w:rPr>
            </w:pPr>
          </w:p>
        </w:tc>
        <w:tc>
          <w:tcPr>
            <w:tcW w:w="10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03"/>
        </w:trPr>
        <w:tc>
          <w:tcPr>
            <w:tcW w:w="20" w:type="dxa"/>
            <w:vAlign w:val="bottom"/>
          </w:tcPr>
          <w:p>
            <w:pPr>
              <w:spacing w:after="0"/>
              <w:rPr>
                <w:sz w:val="17"/>
                <w:szCs w:val="17"/>
                <w:color w:val="auto"/>
              </w:rPr>
            </w:pPr>
          </w:p>
        </w:tc>
        <w:tc>
          <w:tcPr>
            <w:tcW w:w="10360" w:type="dxa"/>
            <w:vAlign w:val="bottom"/>
            <w:tcBorders>
              <w:top w:val="single" w:sz="8" w:color="CCEEFF"/>
            </w:tcBorders>
            <w:shd w:val="clear" w:color="auto" w:fill="CCEEFF"/>
          </w:tcPr>
          <w:p>
            <w:pPr>
              <w:jc w:val="center"/>
              <w:ind w:right="8132"/>
              <w:spacing w:after="0" w:line="203" w:lineRule="exact"/>
              <w:rPr>
                <w:sz w:val="20"/>
                <w:szCs w:val="20"/>
                <w:color w:val="auto"/>
              </w:rPr>
            </w:pPr>
            <w:r>
              <w:rPr>
                <w:rFonts w:ascii="Times New Roman" w:cs="Times New Roman" w:eastAsia="Times New Roman" w:hAnsi="Times New Roman"/>
                <w:sz w:val="18"/>
                <w:szCs w:val="18"/>
                <w:color w:val="auto"/>
                <w:w w:val="96"/>
              </w:rPr>
              <w:t>Balance at December 31, 2019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360" w:type="dxa"/>
            <w:vAlign w:val="bottom"/>
          </w:tcPr>
          <w:p>
            <w:pPr>
              <w:jc w:val="center"/>
              <w:ind w:right="8172"/>
              <w:spacing w:after="0"/>
              <w:rPr>
                <w:sz w:val="20"/>
                <w:szCs w:val="20"/>
                <w:color w:val="auto"/>
              </w:rPr>
            </w:pPr>
            <w:r>
              <w:rPr>
                <w:rFonts w:ascii="Times New Roman" w:cs="Times New Roman" w:eastAsia="Times New Roman" w:hAnsi="Times New Roman"/>
                <w:sz w:val="18"/>
                <w:szCs w:val="18"/>
                <w:color w:val="auto"/>
                <w:w w:val="96"/>
              </w:rPr>
              <w:t>Change in fair value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360" w:type="dxa"/>
            <w:vAlign w:val="bottom"/>
            <w:shd w:val="clear" w:color="auto" w:fill="CCEEFF"/>
          </w:tcPr>
          <w:p>
            <w:pPr>
              <w:jc w:val="center"/>
              <w:ind w:right="8132"/>
              <w:spacing w:after="0"/>
              <w:rPr>
                <w:sz w:val="20"/>
                <w:szCs w:val="20"/>
                <w:color w:val="auto"/>
              </w:rPr>
            </w:pPr>
            <w:r>
              <w:rPr>
                <w:rFonts w:ascii="Times New Roman" w:cs="Times New Roman" w:eastAsia="Times New Roman" w:hAnsi="Times New Roman"/>
                <w:sz w:val="18"/>
                <w:szCs w:val="18"/>
                <w:color w:val="auto"/>
                <w:w w:val="96"/>
              </w:rPr>
              <w:t>Balance at December 31, 2020</w:t>
            </w:r>
          </w:p>
        </w:tc>
        <w:tc>
          <w:tcPr>
            <w:tcW w:w="6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10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Contingent</w:t>
            </w:r>
          </w:p>
        </w:tc>
      </w:tr>
      <w:tr>
        <w:trPr>
          <w:trHeight w:val="169"/>
        </w:trPr>
        <w:tc>
          <w:tcPr>
            <w:tcW w:w="20" w:type="dxa"/>
            <w:vAlign w:val="bottom"/>
          </w:tcPr>
          <w:p>
            <w:pPr>
              <w:spacing w:after="0"/>
              <w:rPr>
                <w:sz w:val="14"/>
                <w:szCs w:val="14"/>
                <w:color w:val="auto"/>
              </w:rPr>
            </w:pPr>
          </w:p>
        </w:tc>
        <w:tc>
          <w:tcPr>
            <w:tcW w:w="10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03"/>
        </w:trPr>
        <w:tc>
          <w:tcPr>
            <w:tcW w:w="20" w:type="dxa"/>
            <w:vAlign w:val="bottom"/>
          </w:tcPr>
          <w:p>
            <w:pPr>
              <w:spacing w:after="0"/>
              <w:rPr>
                <w:sz w:val="17"/>
                <w:szCs w:val="17"/>
                <w:color w:val="auto"/>
              </w:rPr>
            </w:pPr>
          </w:p>
        </w:tc>
        <w:tc>
          <w:tcPr>
            <w:tcW w:w="10360" w:type="dxa"/>
            <w:vAlign w:val="bottom"/>
            <w:tcBorders>
              <w:top w:val="single" w:sz="8" w:color="CCEEFF"/>
            </w:tcBorders>
            <w:shd w:val="clear" w:color="auto" w:fill="CCEEFF"/>
          </w:tcPr>
          <w:p>
            <w:pPr>
              <w:jc w:val="center"/>
              <w:ind w:right="8132"/>
              <w:spacing w:after="0" w:line="203" w:lineRule="exact"/>
              <w:rPr>
                <w:sz w:val="20"/>
                <w:szCs w:val="20"/>
                <w:color w:val="auto"/>
              </w:rPr>
            </w:pPr>
            <w:r>
              <w:rPr>
                <w:rFonts w:ascii="Times New Roman" w:cs="Times New Roman" w:eastAsia="Times New Roman" w:hAnsi="Times New Roman"/>
                <w:sz w:val="18"/>
                <w:szCs w:val="18"/>
                <w:color w:val="auto"/>
                <w:w w:val="96"/>
              </w:rPr>
              <w:t>Balance at December 31, 2020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10,271</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Cash</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20" w:type="dxa"/>
            <w:vAlign w:val="bottom"/>
          </w:tcPr>
          <w:p>
            <w:pPr>
              <w:spacing w:after="0"/>
              <w:rPr>
                <w:sz w:val="18"/>
                <w:szCs w:val="18"/>
                <w:color w:val="auto"/>
              </w:rPr>
            </w:pPr>
          </w:p>
        </w:tc>
        <w:tc>
          <w:tcPr>
            <w:tcW w:w="10360" w:type="dxa"/>
            <w:vAlign w:val="bottom"/>
            <w:shd w:val="clear" w:color="auto" w:fill="CCEEFF"/>
          </w:tcPr>
          <w:p>
            <w:pPr>
              <w:jc w:val="center"/>
              <w:ind w:right="8172"/>
              <w:spacing w:after="0"/>
              <w:rPr>
                <w:sz w:val="20"/>
                <w:szCs w:val="20"/>
                <w:color w:val="auto"/>
              </w:rPr>
            </w:pPr>
            <w:r>
              <w:rPr>
                <w:rFonts w:ascii="Times New Roman" w:cs="Times New Roman" w:eastAsia="Times New Roman" w:hAnsi="Times New Roman"/>
                <w:sz w:val="18"/>
                <w:szCs w:val="18"/>
                <w:color w:val="auto"/>
                <w:w w:val="96"/>
              </w:rPr>
              <w:t>Change in fair value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2020, the Company recognized expense of $6.9 million in selling, general and administrative expense due to the change in fair value determined by Level 3 valuation techniques. No such expense or benefit was recorded for the year ended December 31, 2019.</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nine months ended September 30, 2021, the Company recognized expense of $4.6 million in selling, general and administrative expense due to the change in the fair value determined by Level 3 valuation techniques.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Company is amortizing this amount over the course of its lease with the building. The Company had a remaining related liability of $1.3 million and $1.1 million for the years ended December 31, 2019 and 2020, respectively, and $1.0 million for the nine months ended September 30, 2021, respectively. The liability is included on the balance sheet in deferred rent, less current portion. See Note 6, Commitments and Contingencies, for additional information on the Company’s operating leases. The Company subleases a portion of office space to this related party on a month-to-month basis. Sublease income received from the related party was insignificant for the years ended December 31, 2019 and 2020.</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2020 the amount due to related parties was $1.3 million, and as of September 30, 2021 the amount due to was $0.1 million. As of December 31, 2020 the amount due from related parties was $0.1 million, and as of September 30, 2021 the amount due from was $0.1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During 2020, the Company reimbursed payroll related costs of $0.8 million to a related party for contracted engineers. As of December 31, 2020, there were no amounts due to this related party. For the nine months ended September 30, 2020 the Company reimbursed payroll related costs of $0.7 million to a related party for contracted engineers. As of September 30, 2021, there were no amounts due to this related party.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On August 19, 2021, the Company entered into a related party arrangement with Pathos, Inc.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initial public offering of Pathos’ securities. The Company also has an optional exercise election window during the last 10 days of the 20 year term of the warrant agreement. Pursuant to this master agreement, the Company granted Pathos a limited, non- 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master agreement provides for an initial term of five years, with a subsequent five-year renewal provision unless the agreement is terminated. Either party may terminate the agreement after the initial five-year term by prior written notice to the other party.</w:t>
      </w:r>
    </w:p>
    <w:p>
      <w:pPr>
        <w:spacing w:after="0" w:line="304" w:lineRule="exact"/>
        <w:rPr>
          <w:sz w:val="20"/>
          <w:szCs w:val="20"/>
          <w:color w:val="auto"/>
        </w:rPr>
      </w:pPr>
    </w:p>
    <w:p>
      <w:pPr>
        <w:ind w:left="460" w:hanging="455"/>
        <w:spacing w:after="0"/>
        <w:tabs>
          <w:tab w:leader="none" w:pos="4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subsequent events through December 3, 2021.</w:t>
      </w:r>
    </w:p>
    <w:p>
      <w:pPr>
        <w:spacing w:after="0" w:line="21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November 2021, the Company entered into a Master Services Agreement (the “MSA”) with, and issued a warrant to, AstraZeneca AB (“AstraZeneca”). Under the MSA, the Company agreed, on a non-exclusive basis, to provide AstraZeneca with certain of the Company’s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the Company’s common stock exceeds two times the offering price for any 30-day trading period following the one-year anniversary of such initial public offering. The term of the master services agreement will continue through December 31, 2026, unless terminated sooner.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warrant, AstraZeneca has the right to purchase up to $100 million shares of the Company’s Class A common stock at an exercise price equal to the price per share at which the Company’s common stock is valued in connection with the consummation of this initial public offering. The warrant may be exercised any time following the date that is 180 days following the pricing of the Company’s initial public offering. AstraZeneca will be entitled to substantially the same registration rights with respect to the shares under the warrant as those granted to holders of registrable securities pursuant to the Company’s Ninth Amended and Restated Investors’ Rights Agreement, dated November 19, 2020.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to $300 million.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931545</wp:posOffset>
            </wp:positionV>
            <wp:extent cx="2617470" cy="400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17470" cy="40005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ALLEN &amp; COMPANY LLC</w:t>
      </w:r>
    </w:p>
    <w:p>
      <w:pPr>
        <w:spacing w:after="0" w:line="115" w:lineRule="exact"/>
        <w:rPr>
          <w:sz w:val="20"/>
          <w:szCs w:val="20"/>
          <w:color w:val="auto"/>
        </w:rPr>
      </w:pPr>
    </w:p>
    <w:p>
      <w:pPr>
        <w:sectPr>
          <w:pgSz w:w="11900" w:h="16838" w:orient="portrait"/>
          <w:cols w:equalWidth="0" w:num="3">
            <w:col w:w="3920" w:space="720"/>
            <w:col w:w="2480" w:space="720"/>
            <w:col w:w="3500"/>
          </w:cols>
          <w:pgMar w:left="320" w:top="448" w:right="2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22"/>
          <w:szCs w:val="22"/>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i w:val="1"/>
          <w:iCs w:val="1"/>
          <w:color w:val="auto"/>
        </w:rPr>
        <w:t>COWEN</w:t>
      </w:r>
    </w:p>
    <w:p>
      <w:pPr>
        <w:spacing w:after="0" w:line="200" w:lineRule="exact"/>
        <w:rPr>
          <w:sz w:val="20"/>
          <w:szCs w:val="20"/>
          <w:color w:val="auto"/>
        </w:rPr>
      </w:pPr>
    </w:p>
    <w:p>
      <w:pPr>
        <w:sectPr>
          <w:pgSz w:w="11900" w:h="16838" w:orient="portrait"/>
          <w:cols w:equalWidth="0" w:num="2">
            <w:col w:w="7960" w:space="720"/>
            <w:col w:w="266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2021.</w:t>
      </w:r>
    </w:p>
    <w:p>
      <w:pPr>
        <w:sectPr>
          <w:pgSz w:w="11900" w:h="16838" w:orient="portrait"/>
          <w:cols w:equalWidth="0" w:num="1">
            <w:col w:w="11340"/>
          </w:cols>
          <w:pgMar w:left="320" w:top="448" w:right="239" w:bottom="1440" w:gutter="0" w:footer="0" w:header="0"/>
          <w:type w:val="continuous"/>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Unless otherwise indicated, all references to “Tempus,” the “company,” “we,” “our,” “us” or similar terms refer to Tempus Labs, Inc. and its subsidiaries.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340"/>
          </w:cols>
          <w:pgMar w:left="320" w:top="448" w:right="2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9184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*Tobe completed by amendment.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521" w:hanging="521"/>
        <w:spacing w:after="0"/>
        <w:tabs>
          <w:tab w:leader="none" w:pos="52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8"/>
          <w:szCs w:val="18"/>
          <w:color w:val="auto"/>
        </w:rPr>
      </w:pPr>
    </w:p>
    <w:p>
      <w:pPr>
        <w:ind w:left="6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917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91795" cy="8255"/>
                    </a:xfrm>
                    <a:prstGeom prst="rect">
                      <a:avLst/>
                    </a:prstGeom>
                    <a:noFill/>
                  </pic:spPr>
                </pic:pic>
              </a:graphicData>
            </a:graphic>
          </wp:anchor>
        </w:drawing>
      </w:r>
    </w:p>
    <w:p>
      <w:pPr>
        <w:ind w:left="521" w:hanging="521"/>
        <w:spacing w:after="0"/>
        <w:tabs>
          <w:tab w:leader="none" w:pos="52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917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917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3917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91795" cy="8255"/>
                    </a:xfrm>
                    <a:prstGeom prst="rect">
                      <a:avLst/>
                    </a:prstGeom>
                    <a:noFill/>
                  </pic:spPr>
                </pic:pic>
              </a:graphicData>
            </a:graphic>
          </wp:anchor>
        </w:drawing>
      </w:r>
    </w:p>
    <w:p>
      <w:pPr>
        <w:spacing w:after="0" w:line="1092" w:lineRule="exact"/>
        <w:rPr>
          <w:sz w:val="20"/>
          <w:szCs w:val="20"/>
          <w:color w:val="auto"/>
        </w:rPr>
      </w:pPr>
    </w:p>
    <w:p>
      <w:pPr>
        <w:sectPr>
          <w:pgSz w:w="11900" w:h="16838" w:orient="portrait"/>
          <w:cols w:equalWidth="0" w:num="2">
            <w:col w:w="9919" w:space="720"/>
            <w:col w:w="701"/>
          </w:cols>
          <w:pgMar w:left="320" w:top="448" w:right="239" w:bottom="1440" w:gutter="0" w:footer="0" w:header="0"/>
          <w:type w:val="continuous"/>
        </w:sect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Labs, Inc., provided that such director or executive officer acted in good faith and in a manner that the director or executive officer reasonably believed to be in, or not opposed to, the best interest of Tempus Labs, Inc. At present, there is no pending litigation or proceeding involving a director or executive officer of Tempus Labs,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8" w:right="239" w:bottom="1440" w:gutter="0" w:footer="0" w:header="0"/>
          <w:type w:val="continuous"/>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2018:</w:t>
      </w:r>
    </w:p>
    <w:p>
      <w:pPr>
        <w:sectPr>
          <w:pgSz w:w="11900" w:h="16838" w:orient="portrait"/>
          <w:cols w:equalWidth="0" w:num="1">
            <w:col w:w="11340"/>
          </w:cols>
          <w:pgMar w:left="320" w:top="448" w:right="239" w:bottom="1440" w:gutter="0" w:footer="0" w:header="0"/>
        </w:sectPr>
      </w:pPr>
    </w:p>
    <w:p>
      <w:pPr>
        <w:spacing w:after="0" w:line="121" w:lineRule="exact"/>
        <w:rPr>
          <w:sz w:val="20"/>
          <w:szCs w:val="20"/>
          <w:color w:val="auto"/>
        </w:rPr>
      </w:pPr>
    </w:p>
    <w:p>
      <w:pPr>
        <w:ind w:left="1460" w:hanging="444"/>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w:t>
      </w:r>
    </w:p>
    <w:p>
      <w:pPr>
        <w:spacing w:after="0" w:line="21" w:lineRule="exact"/>
        <w:rPr>
          <w:sz w:val="20"/>
          <w:szCs w:val="20"/>
          <w:color w:val="auto"/>
        </w:rPr>
      </w:pPr>
    </w:p>
    <w:p>
      <w:pPr>
        <w:ind w:left="1460"/>
        <w:spacing w:after="0"/>
        <w:tabs>
          <w:tab w:leader="none" w:pos="5780" w:val="left"/>
        </w:tabs>
        <w:rPr>
          <w:sz w:val="20"/>
          <w:szCs w:val="20"/>
          <w:color w:val="auto"/>
        </w:rPr>
      </w:pPr>
      <w:r>
        <w:rPr>
          <w:rFonts w:ascii="Times New Roman" w:cs="Times New Roman" w:eastAsia="Times New Roman" w:hAnsi="Times New Roman"/>
          <w:sz w:val="18"/>
          <w:szCs w:val="18"/>
          <w:color w:val="auto"/>
        </w:rPr>
        <w:t>directors, having a fair market value ranging from $</w:t>
      </w:r>
      <w:r>
        <w:rPr>
          <w:sz w:val="20"/>
          <w:szCs w:val="20"/>
          <w:color w:val="auto"/>
        </w:rPr>
        <w:tab/>
      </w:r>
      <w:r>
        <w:rPr>
          <w:rFonts w:ascii="Times New Roman" w:cs="Times New Roman" w:eastAsia="Times New Roman" w:hAnsi="Times New Roman"/>
          <w:sz w:val="16"/>
          <w:szCs w:val="16"/>
          <w:color w:val="auto"/>
        </w:rPr>
        <w:t>to $</w:t>
      </w:r>
    </w:p>
    <w:p>
      <w:pPr>
        <w:spacing w:after="0" w:line="103" w:lineRule="exact"/>
        <w:rPr>
          <w:sz w:val="20"/>
          <w:szCs w:val="20"/>
          <w:color w:val="auto"/>
        </w:rPr>
      </w:pPr>
    </w:p>
    <w:p>
      <w:pPr>
        <w:ind w:left="1460" w:hanging="444"/>
        <w:spacing w:after="0"/>
        <w:tabs>
          <w:tab w:leader="none" w:pos="14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w:t>
      </w:r>
    </w:p>
    <w:p>
      <w:pPr>
        <w:spacing w:after="0" w:line="21" w:lineRule="exact"/>
        <w:rPr>
          <w:sz w:val="20"/>
          <w:szCs w:val="20"/>
          <w:color w:val="auto"/>
        </w:rPr>
      </w:pPr>
    </w:p>
    <w:p>
      <w:pPr>
        <w:ind w:left="1460"/>
        <w:spacing w:after="0"/>
        <w:tabs>
          <w:tab w:leader="none" w:pos="5780" w:val="left"/>
        </w:tabs>
        <w:rPr>
          <w:sz w:val="20"/>
          <w:szCs w:val="20"/>
          <w:color w:val="auto"/>
        </w:rPr>
      </w:pPr>
      <w:r>
        <w:rPr>
          <w:rFonts w:ascii="Times New Roman" w:cs="Times New Roman" w:eastAsia="Times New Roman" w:hAnsi="Times New Roman"/>
          <w:sz w:val="18"/>
          <w:szCs w:val="18"/>
          <w:color w:val="auto"/>
        </w:rPr>
        <w:t>directors, having a fair market value ranging from $</w:t>
      </w:r>
      <w:r>
        <w:rPr>
          <w:sz w:val="20"/>
          <w:szCs w:val="20"/>
          <w:color w:val="auto"/>
        </w:rPr>
        <w:tab/>
      </w:r>
      <w:r>
        <w:rPr>
          <w:rFonts w:ascii="Times New Roman" w:cs="Times New Roman" w:eastAsia="Times New Roman" w:hAnsi="Times New Roman"/>
          <w:sz w:val="16"/>
          <w:szCs w:val="16"/>
          <w:color w:val="auto"/>
        </w:rPr>
        <w:t>to $</w:t>
      </w:r>
    </w:p>
    <w:p>
      <w:pPr>
        <w:spacing w:after="0" w:line="103" w:lineRule="exact"/>
        <w:rPr>
          <w:sz w:val="20"/>
          <w:szCs w:val="20"/>
          <w:color w:val="auto"/>
        </w:rPr>
      </w:pPr>
    </w:p>
    <w:p>
      <w:pPr>
        <w:ind w:left="1460" w:hanging="444"/>
        <w:spacing w:after="0"/>
        <w:tabs>
          <w:tab w:leader="none" w:pos="1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RSAs representing</w:t>
      </w:r>
    </w:p>
    <w:p>
      <w:pPr>
        <w:spacing w:after="0" w:line="21" w:lineRule="exact"/>
        <w:rPr>
          <w:sz w:val="20"/>
          <w:szCs w:val="20"/>
          <w:color w:val="auto"/>
        </w:rPr>
      </w:pPr>
    </w:p>
    <w:p>
      <w:pPr>
        <w:ind w:left="1460"/>
        <w:spacing w:after="0"/>
        <w:tabs>
          <w:tab w:leader="none" w:pos="5080" w:val="left"/>
        </w:tabs>
        <w:rPr>
          <w:sz w:val="20"/>
          <w:szCs w:val="20"/>
          <w:color w:val="auto"/>
        </w:rPr>
      </w:pPr>
      <w:r>
        <w:rPr>
          <w:rFonts w:ascii="Times New Roman" w:cs="Times New Roman" w:eastAsia="Times New Roman" w:hAnsi="Times New Roman"/>
          <w:sz w:val="18"/>
          <w:szCs w:val="18"/>
          <w:color w:val="auto"/>
        </w:rPr>
        <w:t>having a fair market value ranging from $</w:t>
      </w:r>
      <w:r>
        <w:rPr>
          <w:sz w:val="20"/>
          <w:szCs w:val="20"/>
          <w:color w:val="auto"/>
        </w:rPr>
        <w:tab/>
      </w:r>
      <w:r>
        <w:rPr>
          <w:rFonts w:ascii="Times New Roman" w:cs="Times New Roman" w:eastAsia="Times New Roman" w:hAnsi="Times New Roman"/>
          <w:sz w:val="16"/>
          <w:szCs w:val="16"/>
          <w:color w:val="auto"/>
        </w:rPr>
        <w:t>to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700" w:hanging="463"/>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to our employees, consultants, and per share.</w:t>
      </w:r>
    </w:p>
    <w:p>
      <w:pPr>
        <w:spacing w:after="0" w:line="78" w:lineRule="exact"/>
        <w:rPr>
          <w:sz w:val="20"/>
          <w:szCs w:val="20"/>
          <w:color w:val="auto"/>
        </w:rPr>
      </w:pPr>
    </w:p>
    <w:p>
      <w:pPr>
        <w:ind w:left="700" w:hanging="465"/>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to our employees, consultants, and per share.</w:t>
      </w:r>
    </w:p>
    <w:p>
      <w:pPr>
        <w:spacing w:after="0" w:line="78" w:lineRule="exact"/>
        <w:rPr>
          <w:sz w:val="20"/>
          <w:szCs w:val="20"/>
          <w:color w:val="auto"/>
        </w:rPr>
      </w:pPr>
    </w:p>
    <w:p>
      <w:pPr>
        <w:ind w:firstLine="271"/>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to our employees and consultants, per share.</w:t>
      </w:r>
    </w:p>
    <w:p>
      <w:pPr>
        <w:spacing w:after="0" w:line="78" w:lineRule="exact"/>
        <w:rPr>
          <w:sz w:val="20"/>
          <w:szCs w:val="20"/>
          <w:color w:val="auto"/>
        </w:rPr>
      </w:pPr>
    </w:p>
    <w:p>
      <w:pPr>
        <w:sectPr>
          <w:pgSz w:w="11900" w:h="16838" w:orient="portrait"/>
          <w:cols w:equalWidth="0" w:num="2">
            <w:col w:w="6060" w:space="0"/>
            <w:col w:w="5280"/>
          </w:cols>
          <w:pgMar w:left="320" w:top="448" w:right="239" w:bottom="1440" w:gutter="0" w:footer="0" w:header="0"/>
          <w:type w:val="continuous"/>
        </w:sectPr>
      </w:pPr>
    </w:p>
    <w:p>
      <w:pPr>
        <w:ind w:left="1460" w:hanging="444"/>
        <w:spacing w:after="0" w:line="267" w:lineRule="auto"/>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issued and sold an aggregate of 1,058,600 shares of our voting common stock at a price per share of $9.64, for an aggregate purchase price of approximately $10.2 million, in private placements to two accredited investors.</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we issued and sold an aggregate of 8,534,330 shares of our Series D convertible preferred stock at a price per share of $9.3739, for an aggregate purchase price of approximately $80.0 million, in private placements to 16 accredited investors.</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August 2018 through April 2019, we issued and sold an aggregate of 6,630,905 shares of our Series E convertible preferred stock at a price per share of $16.7428, for an aggregate purchase price of approximately $111.0 million, in private placements to 17 accredited investors, exclusive of the 886,304 shares repurchased by us in April 2019 at the original issue price per share, for an aggregate repurchase price of approximately $14.8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through July 2019, we issued and sold an aggregate of 8,077,674 shares of our Series F convertible preferred stock at a price per share of $24.7596, for an aggregate purchase price of approximately $200.0 million, in private placements to 22 accredited investors, exclusive of the 203,521 shares and the 395,811 shares repurchased by us in May and July 2019, respectively, at the original issue price per share, for an aggregate repurchase price of approximately $14.8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8" w:right="239" w:bottom="1440" w:gutter="0" w:footer="0" w:header="0"/>
          <w:type w:val="continuous"/>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460" w:hanging="444"/>
        <w:spacing w:after="0" w:line="249" w:lineRule="auto"/>
        <w:tabs>
          <w:tab w:leader="none" w:pos="1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jc w:val="both"/>
        <w:ind w:left="1460" w:hanging="444"/>
        <w:spacing w:after="0" w:line="255" w:lineRule="auto"/>
        <w:tabs>
          <w:tab w:leader="none" w:pos="1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we issued an aggregate of 95,000 shares of our nonvoting common stock to certain stockholders of HealthSeq Asia Pte Ltd., or HealthSeq, in exchange for an aggregate of 60,000,000 ordinary shares of HealthSeq held by such stockholders, pursuant to a stock purchase agreement.</w:t>
      </w:r>
    </w:p>
    <w:p>
      <w:pPr>
        <w:spacing w:after="0" w:line="88"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we expect to issue on or around December 9, 2022 of 145,466 shares of Class A common stock to former stockholders of AKESOgen, Inc.</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jc w:val="both"/>
        <w:ind w:left="1240" w:hanging="670"/>
        <w:spacing w:after="0" w:line="255" w:lineRule="auto"/>
        <w:tabs>
          <w:tab w:leader="none" w:pos="12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88" w:lineRule="exact"/>
        <w:rPr>
          <w:rFonts w:ascii="Times New Roman" w:cs="Times New Roman" w:eastAsia="Times New Roman" w:hAnsi="Times New Roman"/>
          <w:sz w:val="18"/>
          <w:szCs w:val="18"/>
          <w:color w:val="auto"/>
        </w:rPr>
      </w:pPr>
    </w:p>
    <w:p>
      <w:pPr>
        <w:jc w:val="both"/>
        <w:ind w:left="1240" w:hanging="670"/>
        <w:spacing w:after="0" w:line="255" w:lineRule="auto"/>
        <w:tabs>
          <w:tab w:leader="none" w:pos="12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80" w:type="dxa"/>
            <w:vAlign w:val="bottom"/>
          </w:tcPr>
          <w:p>
            <w:pPr>
              <w:spacing w:after="0"/>
              <w:rPr>
                <w:sz w:val="24"/>
                <w:szCs w:val="2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60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0" w:type="dxa"/>
            <w:vAlign w:val="bottom"/>
            <w:gridSpan w:val="3"/>
            <w:vMerge w:val="continue"/>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Ninth Amended and Restated Certificate of Incorporation of Tempus Labs, Inc., as amended, as currently in effect.</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Tempus Labs, Inc., to be in effect on the closing of the offering.</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24"/>
                <w:szCs w:val="24"/>
                <w:color w:val="auto"/>
              </w:rPr>
            </w:pP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Tempus Labs, Inc., as currently in effect.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24"/>
                <w:szCs w:val="24"/>
                <w:color w:val="auto"/>
              </w:rPr>
            </w:pP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Tempus Labs, Inc., to be in effect on the closing of the offering.</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4"/>
                <w:szCs w:val="24"/>
                <w:color w:val="auto"/>
              </w:rPr>
            </w:pP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Tempus Labs, Inc. dated November 17, 2021 (included in Exhibit 10.16).</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4"/>
                <w:szCs w:val="24"/>
                <w:color w:val="auto"/>
              </w:rPr>
            </w:pP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Cooley LLP.</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Ninth Amended and Restated Investor Rights Agreement, dated November 19, 2020.</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w:t>
            </w: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Third Amended and Restated 2015 Stock Plan, as amended.</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6"/>
              </w:rPr>
              <w:t>Forms of Grant Notices and Award Agreements under the Tempus Labs, Inc. Third Amended and Restated 2015 Stock Plan, as amended.</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2021 Equity Incentive Plan.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24"/>
                <w:szCs w:val="24"/>
                <w:color w:val="auto"/>
              </w:rPr>
            </w:pP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Forms of Grant Notice, Stock Option Agreement and Notice of Exercise under the Tempus Labs, Inc. 2021 Equity Incentive Plan.</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24"/>
                <w:szCs w:val="24"/>
                <w:color w:val="auto"/>
              </w:rPr>
            </w:pP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Tempus Labs, Inc. 2021 Equity Incentive Plan.</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Form of Indemnity Agreement entered into by and between Tempus Labs, Inc. and each director and executive officer.</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spacing w:after="0"/>
              <w:rPr>
                <w:sz w:val="24"/>
                <w:szCs w:val="24"/>
                <w:color w:val="auto"/>
              </w:rPr>
            </w:pP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Eric Lefkofsky, dated</w:t>
            </w:r>
          </w:p>
        </w:tc>
        <w:tc>
          <w:tcPr>
            <w:tcW w:w="3300" w:type="dxa"/>
            <w:vAlign w:val="bottom"/>
          </w:tcPr>
          <w:p>
            <w:pPr>
              <w:jc w:val="right"/>
              <w:ind w:right="2392"/>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4"/>
                <w:szCs w:val="24"/>
                <w:color w:val="auto"/>
              </w:rPr>
            </w:pP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Erik Phelps, dated</w:t>
            </w:r>
          </w:p>
        </w:tc>
        <w:tc>
          <w:tcPr>
            <w:tcW w:w="3300" w:type="dxa"/>
            <w:vAlign w:val="bottom"/>
          </w:tcPr>
          <w:p>
            <w:pPr>
              <w:jc w:val="right"/>
              <w:ind w:right="2632"/>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Employment Agreement, by and between Tempus Labs, Inc. and Ryan Fukushima, dated</w:t>
            </w:r>
          </w:p>
        </w:tc>
        <w:tc>
          <w:tcPr>
            <w:tcW w:w="3300" w:type="dxa"/>
            <w:vAlign w:val="bottom"/>
          </w:tcPr>
          <w:p>
            <w:pPr>
              <w:jc w:val="right"/>
              <w:ind w:right="2252"/>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10.11+*</w:t>
            </w:r>
          </w:p>
        </w:tc>
        <w:tc>
          <w:tcPr>
            <w:tcW w:w="360" w:type="dxa"/>
            <w:vAlign w:val="bottom"/>
          </w:tcPr>
          <w:p>
            <w:pPr>
              <w:spacing w:after="0"/>
              <w:rPr>
                <w:sz w:val="24"/>
                <w:szCs w:val="24"/>
                <w:color w:val="auto"/>
              </w:rPr>
            </w:pPr>
          </w:p>
        </w:tc>
        <w:tc>
          <w:tcPr>
            <w:tcW w:w="6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James Rogers, dated</w:t>
            </w:r>
          </w:p>
        </w:tc>
        <w:tc>
          <w:tcPr>
            <w:tcW w:w="3300" w:type="dxa"/>
            <w:vAlign w:val="bottom"/>
          </w:tcPr>
          <w:p>
            <w:pPr>
              <w:jc w:val="right"/>
              <w:ind w:right="2472"/>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10.12**</w:t>
            </w:r>
          </w:p>
        </w:tc>
        <w:tc>
          <w:tcPr>
            <w:tcW w:w="360" w:type="dxa"/>
            <w:vAlign w:val="bottom"/>
          </w:tcPr>
          <w:p>
            <w:pPr>
              <w:spacing w:after="0"/>
              <w:rPr>
                <w:sz w:val="24"/>
                <w:szCs w:val="24"/>
                <w:color w:val="auto"/>
              </w:rPr>
            </w:pP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6"/>
              </w:rPr>
              <w:t>Agreement of Lease, by and between Tempus Labs, Inc. and EQC 600 West Chicago Property LLC, dated January 18, 2018,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Supply Agreement, by and between Tempus Labs, Inc. and Illumina, Inc., dated June 29,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8"/>
              </w:rPr>
              <w:t>Amended and Restated Convertible Promissory Note, by and between Tempus Labs, Inc. and Google LLC, dated November 19, 2020.</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9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Tempus Labs, Inc. and Pathos AI, Inc., dated August 19, 2021.</w:t>
            </w:r>
          </w:p>
        </w:tc>
        <w:tc>
          <w:tcPr>
            <w:tcW w:w="0" w:type="dxa"/>
            <w:vAlign w:val="bottom"/>
          </w:tcPr>
          <w:p>
            <w:pPr>
              <w:spacing w:after="0"/>
              <w:rPr>
                <w:sz w:val="1"/>
                <w:szCs w:val="1"/>
                <w:color w:val="auto"/>
              </w:rPr>
            </w:pPr>
          </w:p>
        </w:tc>
      </w:tr>
      <w:tr>
        <w:trPr>
          <w:trHeight w:val="354"/>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II-5</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8" w:right="7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60" w:type="dxa"/>
            <w:vAlign w:val="bottom"/>
          </w:tcPr>
          <w:p>
            <w:pPr>
              <w:spacing w:after="0"/>
              <w:rPr>
                <w:sz w:val="13"/>
                <w:szCs w:val="13"/>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24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85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6"/>
              </w:rPr>
              <w:t>Master Services Agreement, by and between Tempus Labs, Inc. and AstraZeneca AB, dated November 17, 2021.</w:t>
            </w:r>
          </w:p>
        </w:tc>
        <w:tc>
          <w:tcPr>
            <w:tcW w:w="0" w:type="dxa"/>
            <w:vAlign w:val="bottom"/>
          </w:tcPr>
          <w:p>
            <w:pPr>
              <w:spacing w:after="0"/>
              <w:rPr>
                <w:sz w:val="1"/>
                <w:szCs w:val="1"/>
                <w:color w:val="auto"/>
              </w:rPr>
            </w:pPr>
          </w:p>
        </w:tc>
      </w:tr>
      <w:tr>
        <w:trPr>
          <w:trHeight w:val="31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85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List of Subsidiaries of Tempus Labs, Inc.</w:t>
            </w:r>
          </w:p>
        </w:tc>
        <w:tc>
          <w:tcPr>
            <w:tcW w:w="0" w:type="dxa"/>
            <w:vAlign w:val="bottom"/>
          </w:tcPr>
          <w:p>
            <w:pPr>
              <w:spacing w:after="0"/>
              <w:rPr>
                <w:sz w:val="1"/>
                <w:szCs w:val="1"/>
                <w:color w:val="auto"/>
              </w:rPr>
            </w:pPr>
          </w:p>
        </w:tc>
      </w:tr>
      <w:tr>
        <w:trPr>
          <w:trHeight w:val="31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85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1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85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31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85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right="8640" w:firstLine="5"/>
        <w:spacing w:after="0" w:line="285" w:lineRule="auto"/>
        <w:tabs>
          <w:tab w:leader="none" w:pos="446"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submitted by amendment. ** Previously submitted.</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3" w:lineRule="exact"/>
        <w:rPr>
          <w:rFonts w:ascii="Times New Roman" w:cs="Times New Roman" w:eastAsia="Times New Roman" w:hAnsi="Times New Roman"/>
          <w:sz w:val="16"/>
          <w:szCs w:val="16"/>
          <w:color w:val="auto"/>
        </w:rPr>
      </w:pPr>
    </w:p>
    <w:p>
      <w:pPr>
        <w:ind w:left="460" w:hanging="44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would likely cause competitive harm to Tempus Labs, Inc. if publicly disclosed.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8" w:right="2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Chicago, Illinois, on</w:t>
            </w:r>
          </w:p>
        </w:tc>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2021.</w:t>
            </w: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28"/>
        </w:trPr>
        <w:tc>
          <w:tcPr>
            <w:tcW w:w="4820" w:type="dxa"/>
            <w:vAlign w:val="bottom"/>
          </w:tcPr>
          <w:p>
            <w:pPr>
              <w:spacing w:after="0"/>
              <w:rPr>
                <w:sz w:val="24"/>
                <w:szCs w:val="24"/>
                <w:color w:val="auto"/>
              </w:rPr>
            </w:pPr>
          </w:p>
        </w:tc>
        <w:tc>
          <w:tcPr>
            <w:tcW w:w="652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459"/>
        </w:trPr>
        <w:tc>
          <w:tcPr>
            <w:tcW w:w="4820" w:type="dxa"/>
            <w:vAlign w:val="bottom"/>
          </w:tcPr>
          <w:p>
            <w:pPr>
              <w:spacing w:after="0"/>
              <w:rPr>
                <w:sz w:val="24"/>
                <w:szCs w:val="24"/>
                <w:color w:val="auto"/>
              </w:rPr>
            </w:pPr>
          </w:p>
        </w:tc>
        <w:tc>
          <w:tcPr>
            <w:tcW w:w="25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198"/>
        </w:trPr>
        <w:tc>
          <w:tcPr>
            <w:tcW w:w="4820" w:type="dxa"/>
            <w:vAlign w:val="bottom"/>
          </w:tcPr>
          <w:p>
            <w:pPr>
              <w:spacing w:after="0"/>
              <w:rPr>
                <w:sz w:val="17"/>
                <w:szCs w:val="17"/>
                <w:color w:val="auto"/>
              </w:rPr>
            </w:pPr>
          </w:p>
        </w:tc>
        <w:tc>
          <w:tcPr>
            <w:tcW w:w="2520" w:type="dxa"/>
            <w:vAlign w:val="bottom"/>
          </w:tcPr>
          <w:p>
            <w:pPr>
              <w:ind w:left="200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4820" w:type="dxa"/>
            <w:vAlign w:val="bottom"/>
          </w:tcPr>
          <w:p>
            <w:pPr>
              <w:spacing w:after="0"/>
              <w:rPr>
                <w:sz w:val="19"/>
                <w:szCs w:val="19"/>
                <w:color w:val="auto"/>
              </w:rPr>
            </w:pPr>
          </w:p>
        </w:tc>
        <w:tc>
          <w:tcPr>
            <w:tcW w:w="25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4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137"/>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1"/>
                <w:szCs w:val="11"/>
                <w:color w:val="auto"/>
              </w:rPr>
            </w:pPr>
          </w:p>
        </w:tc>
        <w:tc>
          <w:tcPr>
            <w:tcW w:w="4300" w:type="dxa"/>
            <w:vAlign w:val="bottom"/>
            <w:gridSpan w:val="3"/>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gridSpan w:val="3"/>
            <w:vMerge w:val="continue"/>
          </w:tcPr>
          <w:p>
            <w:pPr>
              <w:spacing w:after="0"/>
              <w:rPr>
                <w:sz w:val="9"/>
                <w:szCs w:val="9"/>
                <w:color w:val="auto"/>
              </w:rPr>
            </w:pPr>
          </w:p>
        </w:tc>
        <w:tc>
          <w:tcPr>
            <w:tcW w:w="2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137"/>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1"/>
                <w:szCs w:val="11"/>
                <w:color w:val="auto"/>
              </w:rPr>
            </w:pPr>
          </w:p>
        </w:tc>
        <w:tc>
          <w:tcPr>
            <w:tcW w:w="4300" w:type="dxa"/>
            <w:vAlign w:val="bottom"/>
            <w:gridSpan w:val="3"/>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gridSpan w:val="3"/>
            <w:vMerge w:val="continue"/>
          </w:tcPr>
          <w:p>
            <w:pPr>
              <w:spacing w:after="0"/>
              <w:rPr>
                <w:sz w:val="9"/>
                <w:szCs w:val="9"/>
                <w:color w:val="auto"/>
              </w:rPr>
            </w:pPr>
          </w:p>
        </w:tc>
        <w:tc>
          <w:tcPr>
            <w:tcW w:w="2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137"/>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1"/>
                <w:szCs w:val="11"/>
                <w:color w:val="auto"/>
              </w:rPr>
            </w:pPr>
          </w:p>
        </w:tc>
        <w:tc>
          <w:tcPr>
            <w:tcW w:w="4300" w:type="dxa"/>
            <w:vAlign w:val="bottom"/>
            <w:gridSpan w:val="3"/>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gridSpan w:val="3"/>
            <w:vMerge w:val="continue"/>
          </w:tcPr>
          <w:p>
            <w:pPr>
              <w:spacing w:after="0"/>
              <w:rPr>
                <w:sz w:val="9"/>
                <w:szCs w:val="9"/>
                <w:color w:val="auto"/>
              </w:rPr>
            </w:pPr>
          </w:p>
        </w:tc>
        <w:tc>
          <w:tcPr>
            <w:tcW w:w="2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137"/>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60" w:type="dxa"/>
            <w:vAlign w:val="bottom"/>
          </w:tcPr>
          <w:p>
            <w:pPr>
              <w:spacing w:after="0"/>
              <w:rPr>
                <w:sz w:val="11"/>
                <w:szCs w:val="11"/>
                <w:color w:val="auto"/>
              </w:rPr>
            </w:pPr>
          </w:p>
        </w:tc>
        <w:tc>
          <w:tcPr>
            <w:tcW w:w="4300" w:type="dxa"/>
            <w:vAlign w:val="bottom"/>
            <w:gridSpan w:val="3"/>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gridSpan w:val="3"/>
            <w:vMerge w:val="continue"/>
          </w:tcPr>
          <w:p>
            <w:pPr>
              <w:spacing w:after="0"/>
              <w:rPr>
                <w:sz w:val="9"/>
                <w:szCs w:val="9"/>
                <w:color w:val="auto"/>
              </w:rPr>
            </w:pPr>
          </w:p>
        </w:tc>
        <w:tc>
          <w:tcPr>
            <w:tcW w:w="2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340"/>
          </w:cols>
          <w:pgMar w:left="320" w:top="448"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6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2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137"/>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6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3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gridSpan w:val="2"/>
            <w:vMerge w:val="continue"/>
          </w:tcPr>
          <w:p>
            <w:pPr>
              <w:spacing w:after="0"/>
              <w:rPr>
                <w:sz w:val="9"/>
                <w:szCs w:val="9"/>
                <w:color w:val="auto"/>
              </w:rPr>
            </w:pPr>
          </w:p>
        </w:tc>
        <w:tc>
          <w:tcPr>
            <w:tcW w:w="2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137"/>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6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3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gridSpan w:val="2"/>
            <w:vMerge w:val="continue"/>
          </w:tcPr>
          <w:p>
            <w:pPr>
              <w:spacing w:after="0"/>
              <w:rPr>
                <w:sz w:val="9"/>
                <w:szCs w:val="9"/>
                <w:color w:val="auto"/>
              </w:rPr>
            </w:pPr>
          </w:p>
        </w:tc>
        <w:tc>
          <w:tcPr>
            <w:tcW w:w="2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137"/>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6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3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gridSpan w:val="2"/>
            <w:vMerge w:val="continue"/>
          </w:tcPr>
          <w:p>
            <w:pPr>
              <w:spacing w:after="0"/>
              <w:rPr>
                <w:sz w:val="9"/>
                <w:szCs w:val="9"/>
                <w:color w:val="auto"/>
              </w:rPr>
            </w:pPr>
          </w:p>
        </w:tc>
        <w:tc>
          <w:tcPr>
            <w:tcW w:w="2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137"/>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6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3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gridSpan w:val="2"/>
            <w:vMerge w:val="continue"/>
          </w:tcPr>
          <w:p>
            <w:pPr>
              <w:spacing w:after="0"/>
              <w:rPr>
                <w:sz w:val="9"/>
                <w:szCs w:val="9"/>
                <w:color w:val="auto"/>
              </w:rPr>
            </w:pPr>
          </w:p>
        </w:tc>
        <w:tc>
          <w:tcPr>
            <w:tcW w:w="2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0960"/>
          </w:cols>
          <w:pgMar w:left="320" w:top="448" w:right="619" w:bottom="1440" w:gutter="0" w:footer="0" w:header="0"/>
        </w:sectPr>
      </w:pPr>
    </w:p>
    <w:bookmarkStart w:id="290" w:name="page291"/>
    <w:bookmarkEnd w:id="290"/>
    <w:p>
      <w:pPr>
        <w:ind w:left="10360"/>
        <w:spacing w:after="0"/>
        <w:rPr>
          <w:sz w:val="20"/>
          <w:szCs w:val="20"/>
          <w:color w:val="auto"/>
        </w:rPr>
      </w:pPr>
      <w:r>
        <w:rPr>
          <w:rFonts w:ascii="Times New Roman" w:cs="Times New Roman" w:eastAsia="Times New Roman" w:hAnsi="Times New Roman"/>
          <w:sz w:val="16"/>
          <w:szCs w:val="16"/>
          <w:b w:val="1"/>
          <w:bCs w:val="1"/>
          <w:color w:val="auto"/>
        </w:rPr>
        <w:t>Exhibit 10.16</w:t>
      </w:r>
    </w:p>
    <w:p>
      <w:pPr>
        <w:spacing w:after="0" w:line="23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TEMPUS LABS, INC. HAS DETERMINED THE INFORMATION (I) IS NOT MATERIAL AND (II) WOULD LIKELY CAUSE COMPETITIVE HARM TO TEMPUS LABS, INC. IF PUBLICLY DISCLOSED.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COPY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MASTER SERVICES AGREEMENT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November 17, 2021</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between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ASTRAZENECA AB</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ectPr>
          <w:pgSz w:w="11900" w:h="16838" w:orient="portrait"/>
          <w:cols w:equalWidth="0" w:num="1">
            <w:col w:w="11340"/>
          </w:cols>
          <w:pgMar w:left="320" w:top="119" w:right="2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TABLE OF CONTENTS</w:t>
            </w:r>
          </w:p>
        </w:tc>
        <w:tc>
          <w:tcPr>
            <w:tcW w:w="4360" w:type="dxa"/>
            <w:vAlign w:val="bottom"/>
          </w:tcPr>
          <w:p>
            <w:pPr>
              <w:spacing w:after="0"/>
              <w:rPr>
                <w:sz w:val="17"/>
                <w:szCs w:val="17"/>
                <w:color w:val="auto"/>
              </w:rPr>
            </w:pPr>
          </w:p>
        </w:tc>
      </w:tr>
      <w:tr>
        <w:trPr>
          <w:trHeight w:val="46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LICENSED DATA</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SERVICES AND DELIVERABLES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TEMPUS OBLIGATIONS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TEMPUS FTE COMMITMENT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GOVERNANCE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PRIVACY AND DATA PROTECTION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CYBERSECURITY</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EXPECTATIONS OF THIRD PARTIES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REGULATORY MATTERS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 AND INVOICING</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ERROR/DELAY IN PERFORMANCE OF THE SERVICES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EXCLUSIVITY</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TERMINATION, AND SURVIVAL</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INDEPENDENT CONTRACTOR</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REMEDIES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DISCLAIMERS; LIMITATION OF LIABILITY</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FORCE MAJEURE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AUDIT RIGHTS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MONITORING</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MISCELLANEOUS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5"/>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54"/>
        </w:trPr>
        <w:tc>
          <w:tcPr>
            <w:tcW w:w="280" w:type="dxa"/>
            <w:vAlign w:val="bottom"/>
          </w:tcPr>
          <w:p>
            <w:pPr>
              <w:spacing w:after="0"/>
              <w:rPr>
                <w:sz w:val="24"/>
                <w:szCs w:val="24"/>
                <w:color w:val="auto"/>
              </w:rPr>
            </w:pPr>
          </w:p>
        </w:tc>
        <w:tc>
          <w:tcPr>
            <w:tcW w:w="6020" w:type="dxa"/>
            <w:vAlign w:val="bottom"/>
            <w:gridSpan w:val="2"/>
          </w:tcPr>
          <w:p>
            <w:pPr>
              <w:ind w:left="5040"/>
              <w:spacing w:after="0"/>
              <w:rPr>
                <w:sz w:val="20"/>
                <w:szCs w:val="20"/>
                <w:color w:val="auto"/>
              </w:rPr>
            </w:pPr>
            <w:r>
              <w:rPr>
                <w:rFonts w:ascii="Times New Roman" w:cs="Times New Roman" w:eastAsia="Times New Roman" w:hAnsi="Times New Roman"/>
                <w:sz w:val="18"/>
                <w:szCs w:val="18"/>
                <w:color w:val="auto"/>
              </w:rPr>
              <w:t>2</w:t>
            </w:r>
          </w:p>
        </w:tc>
        <w:tc>
          <w:tcPr>
            <w:tcW w:w="4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60"/>
          </w:cols>
          <w:pgMar w:left="580" w:top="247" w:right="65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92" w:name="page293"/>
    <w:bookmarkEnd w:id="292"/>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7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5"/>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C</w:t>
            </w:r>
          </w:p>
        </w:tc>
        <w:tc>
          <w:tcPr>
            <w:tcW w:w="7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15"/>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D</w:t>
            </w:r>
          </w:p>
        </w:tc>
        <w:tc>
          <w:tcPr>
            <w:tcW w:w="7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5"/>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E</w:t>
            </w:r>
          </w:p>
        </w:tc>
        <w:tc>
          <w:tcPr>
            <w:tcW w:w="7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5"/>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F</w:t>
            </w:r>
          </w:p>
        </w:tc>
        <w:tc>
          <w:tcPr>
            <w:tcW w:w="7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5"/>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G</w:t>
            </w:r>
          </w:p>
        </w:tc>
        <w:tc>
          <w:tcPr>
            <w:tcW w:w="7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54"/>
        </w:trPr>
        <w:tc>
          <w:tcPr>
            <w:tcW w:w="3120" w:type="dxa"/>
            <w:vAlign w:val="bottom"/>
          </w:tcPr>
          <w:p>
            <w:pPr>
              <w:spacing w:after="0"/>
              <w:rPr>
                <w:sz w:val="24"/>
                <w:szCs w:val="24"/>
                <w:color w:val="auto"/>
              </w:rPr>
            </w:pPr>
          </w:p>
        </w:tc>
        <w:tc>
          <w:tcPr>
            <w:tcW w:w="7540" w:type="dxa"/>
            <w:vAlign w:val="bottom"/>
          </w:tcPr>
          <w:p>
            <w:pPr>
              <w:jc w:val="right"/>
              <w:ind w:right="5172"/>
              <w:spacing w:after="0"/>
              <w:rPr>
                <w:sz w:val="20"/>
                <w:szCs w:val="20"/>
                <w:color w:val="auto"/>
              </w:rPr>
            </w:pPr>
            <w:r>
              <w:rPr>
                <w:rFonts w:ascii="Times New Roman" w:cs="Times New Roman" w:eastAsia="Times New Roman" w:hAnsi="Times New Roman"/>
                <w:sz w:val="18"/>
                <w:szCs w:val="18"/>
                <w:color w:val="auto"/>
              </w:rPr>
              <w:t>3</w:t>
            </w:r>
          </w:p>
        </w:tc>
      </w:tr>
    </w:tbl>
    <w:p>
      <w:pPr>
        <w:jc w:val="right"/>
        <w:ind w:right="5172"/>
        <w:spacing w:after="0"/>
        <w:rPr>
          <w:sz w:val="20"/>
          <w:szCs w:val="20"/>
          <w:color w:val="auto"/>
        </w:rPr>
        <w:sectPr>
          <w:pgSz w:w="11900" w:h="16838" w:orient="portrait"/>
          <w:cols w:equalWidth="0" w:num="1">
            <w:col w:w="10660"/>
          </w:cols>
          <w:pgMar w:left="580" w:top="264" w:right="65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93" w:name="page294"/>
    <w:bookmarkEnd w:id="293"/>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Master Services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17, 2021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 s entered into by and between AstraZeneca AB, a company incorporated in Sweden under No. 556011-7482, whose registered office is at SE-151 86 Södertälje and with offices at SE-432 83 Mölndal, Sweden (“</w:t>
      </w:r>
      <w:r>
        <w:rPr>
          <w:rFonts w:ascii="Times New Roman" w:cs="Times New Roman" w:eastAsia="Times New Roman" w:hAnsi="Times New Roman"/>
          <w:sz w:val="18"/>
          <w:szCs w:val="18"/>
          <w:b w:val="1"/>
          <w:bCs w:val="1"/>
          <w:color w:val="auto"/>
        </w:rPr>
        <w:t>AstraZeneca</w:t>
      </w:r>
      <w:r>
        <w:rPr>
          <w:rFonts w:ascii="Times New Roman" w:cs="Times New Roman" w:eastAsia="Times New Roman" w:hAnsi="Times New Roman"/>
          <w:sz w:val="18"/>
          <w:szCs w:val="18"/>
          <w:color w:val="auto"/>
        </w:rPr>
        <w:t>”) and Tempus Labs, Inc., a Delaware corporation, located at 600 W Chicago Ave, Suite 510, Chicago, Illinois, 60654 (“</w:t>
      </w:r>
      <w:r>
        <w:rPr>
          <w:rFonts w:ascii="Times New Roman" w:cs="Times New Roman" w:eastAsia="Times New Roman" w:hAnsi="Times New Roman"/>
          <w:sz w:val="18"/>
          <w:szCs w:val="18"/>
          <w:b w:val="1"/>
          <w:bCs w:val="1"/>
          <w:color w:val="auto"/>
        </w:rPr>
        <w:t>Tempus</w:t>
      </w:r>
      <w:r>
        <w:rPr>
          <w:rFonts w:ascii="Times New Roman" w:cs="Times New Roman" w:eastAsia="Times New Roman" w:hAnsi="Times New Roman"/>
          <w:sz w:val="18"/>
          <w:szCs w:val="18"/>
          <w:color w:val="auto"/>
        </w:rPr>
        <w:t>” and together with AstraZeneca,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WHEREAS, AstraZeneca and Tempus are, as at the Effective Date, parties to certain agreements including a master services agreement dated 16 December 2018 (“</w:t>
      </w:r>
      <w:r>
        <w:rPr>
          <w:rFonts w:ascii="Times New Roman" w:cs="Times New Roman" w:eastAsia="Times New Roman" w:hAnsi="Times New Roman"/>
          <w:sz w:val="18"/>
          <w:szCs w:val="18"/>
          <w:b w:val="1"/>
          <w:bCs w:val="1"/>
          <w:color w:val="auto"/>
        </w:rPr>
        <w:t>Existing MSA</w:t>
      </w:r>
      <w:r>
        <w:rPr>
          <w:rFonts w:ascii="Times New Roman" w:cs="Times New Roman" w:eastAsia="Times New Roman" w:hAnsi="Times New Roman"/>
          <w:sz w:val="18"/>
          <w:szCs w:val="18"/>
          <w:color w:val="auto"/>
        </w:rPr>
        <w:t>”); and</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WHEREAS, AstraZeneca and Tempus desire to expand their existing relationship and enter into a strategic collaboration in which, among other things, Tempus would provide to AstraZeneca certain oncology data and associated services, on terms set out herein, with the goal of accelerating discovery, development, and delivery of certain AstraZeneca precision therapies and with the general objective of furthering AstraZeneca’s data-driven drug discovery and development capabilities;</w:t>
      </w:r>
    </w:p>
    <w:p>
      <w:pPr>
        <w:spacing w:after="0" w:line="1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Tempus and AstraZeneca agree as follows:</w:t>
      </w:r>
    </w:p>
    <w:p>
      <w:pPr>
        <w:spacing w:after="0" w:line="65" w:lineRule="exact"/>
        <w:rPr>
          <w:sz w:val="20"/>
          <w:szCs w:val="20"/>
          <w:color w:val="auto"/>
        </w:rPr>
      </w:pPr>
    </w:p>
    <w:p>
      <w:pPr>
        <w:ind w:left="180" w:hanging="175"/>
        <w:spacing w:after="0"/>
        <w:tabs>
          <w:tab w:leader="none" w:pos="1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and Interpretation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In this Agreement, unless otherwise stated or the context requires otherwise, the following definitions shall apply: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Acceptance Period</w:t>
      </w:r>
      <w:r>
        <w:rPr>
          <w:rFonts w:ascii="Times New Roman" w:cs="Times New Roman" w:eastAsia="Times New Roman" w:hAnsi="Times New Roman"/>
          <w:sz w:val="18"/>
          <w:szCs w:val="18"/>
          <w:color w:val="auto"/>
        </w:rPr>
        <w:t>” has the meaning given in Section 3.4.</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Person, any Person that directly, or indirectly through one or more intermediaries, controls, is controlled by or is under common control with such first Person. As used in this definition, “control” and, with correlative meanings, the terms “controlled by” and “under common control with” mean (i) the power to direct the management or policies of a Person, whether through ownership of voting securities or by contract relating to voting rights or corporate governance, resolution, regulation or otherwise; or (ii) to own more than 50% of the outstanding voting securities or other ownership interest of such Person.</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laws, rules and regulations and any applicable policies of any Regulatory Authorities in effect from time to time, including FDA’s standards for the design, conduct, performance, monitoring, auditing, recording, analysis, and reporting of clinical trials, including those standards contained in United States Code of Federal Regulations Title 21, Parts 50, 54, 56 and 312, and all comparable standards of the EMA and any other applicable Regulatory Authority.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Core IP</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320" w:top="263"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AstraZeneca Group</w:t>
      </w:r>
      <w:r>
        <w:rPr>
          <w:rFonts w:ascii="Times New Roman" w:cs="Times New Roman" w:eastAsia="Times New Roman" w:hAnsi="Times New Roman"/>
          <w:sz w:val="18"/>
          <w:szCs w:val="18"/>
          <w:color w:val="auto"/>
        </w:rPr>
        <w:t>” means AstraZeneca and its Affiliates.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Indemnified Parties</w:t>
      </w:r>
      <w:r>
        <w:rPr>
          <w:rFonts w:ascii="Times New Roman" w:cs="Times New Roman" w:eastAsia="Times New Roman" w:hAnsi="Times New Roman"/>
          <w:sz w:val="18"/>
          <w:szCs w:val="18"/>
          <w:color w:val="auto"/>
        </w:rPr>
        <w:t>” has the meaning given in Section 22.2.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IP</w:t>
      </w:r>
      <w:r>
        <w:rPr>
          <w:rFonts w:ascii="Times New Roman" w:cs="Times New Roman" w:eastAsia="Times New Roman" w:hAnsi="Times New Roman"/>
          <w:sz w:val="18"/>
          <w:szCs w:val="18"/>
          <w:color w:val="auto"/>
        </w:rPr>
        <w:t>” means Intellectual Property Rights owned or controlled by AstraZeneca or its Affiliates.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Materials</w:t>
      </w:r>
      <w:r>
        <w:rPr>
          <w:rFonts w:ascii="Times New Roman" w:cs="Times New Roman" w:eastAsia="Times New Roman" w:hAnsi="Times New Roman"/>
          <w:sz w:val="18"/>
          <w:szCs w:val="18"/>
          <w:color w:val="auto"/>
        </w:rPr>
        <w:t>” has the meaning given in Section 13.1(a).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Project Inventions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public holiday in Illinois, United States or England, when banks are open for business.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 Party: (a) an acquisition, reorganization, merger, or consolidation of such Party by or with a third party in which the holders of the voting securities of such Party outstanding immediately before such transaction cease to beneficially own at least fifty percent (50%) of the combined voting power of the surviving entity, directly or indirectly, immediately after such transaction, (b) a transaction or series of related transactions in which a third party, together with its Affiliates (if applicable), becomes the beneficial owner of fifty percent (50%) or more of the combined voting power of the outstanding securities of such Party, or (c) the sale or other transfer to a third party of all or substantially all of such Party’s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Order</w:t>
      </w:r>
      <w:r>
        <w:rPr>
          <w:rFonts w:ascii="Times New Roman" w:cs="Times New Roman" w:eastAsia="Times New Roman" w:hAnsi="Times New Roman"/>
          <w:sz w:val="18"/>
          <w:szCs w:val="18"/>
          <w:color w:val="auto"/>
        </w:rPr>
        <w:t>” has the meaning given in Section 3.5(a).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Data</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Data Only Record</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De-Identified Record</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Professional Services Agreement</w:t>
      </w:r>
      <w:r>
        <w:rPr>
          <w:rFonts w:ascii="Times New Roman" w:cs="Times New Roman" w:eastAsia="Times New Roman" w:hAnsi="Times New Roman"/>
          <w:sz w:val="18"/>
          <w:szCs w:val="18"/>
          <w:color w:val="auto"/>
        </w:rPr>
        <w:t>” has the meaning given in Section 3.2(e).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given in Section 24.1.</w:t>
      </w:r>
    </w:p>
    <w:p>
      <w:pPr>
        <w:spacing w:after="0" w:line="2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Convicted Individual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Convicted Entity</w:t>
      </w:r>
      <w:r>
        <w:rPr>
          <w:rFonts w:ascii="Times New Roman" w:cs="Times New Roman" w:eastAsia="Times New Roman" w:hAnsi="Times New Roman"/>
          <w:sz w:val="18"/>
          <w:szCs w:val="18"/>
          <w:color w:val="auto"/>
        </w:rPr>
        <w:t>” means an individual or entity, as applicable, who has been convicted of a criminal offense that falls within the scope of 21 U.S.C. §335a (a) or 42 U.S.C. §1320a – 7(a).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has the meaning given to it in 45 CFR Section 160.103.</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Privacy Law</w:t>
      </w:r>
      <w:r>
        <w:rPr>
          <w:rFonts w:ascii="Times New Roman" w:cs="Times New Roman" w:eastAsia="Times New Roman" w:hAnsi="Times New Roman"/>
          <w:sz w:val="18"/>
          <w:szCs w:val="18"/>
          <w:color w:val="auto"/>
        </w:rPr>
        <w:t>” means any and all Applicable Law that relates to collection, acquisition, access, retention, use, storage, transfer, disclosure, or protection of data or information such as Personal Data, including law or regulation pertaining to data protection, confidentiality, security or privacy, such as HIPAA and GDPR.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320" w:top="264" w:right="239" w:bottom="1440" w:gutter="0" w:footer="0" w:header="0"/>
        </w:sectPr>
      </w:pPr>
    </w:p>
    <w:bookmarkStart w:id="295" w:name="page296"/>
    <w:bookmarkEnd w:id="295"/>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Debarred Entity</w:t>
      </w:r>
      <w:r>
        <w:rPr>
          <w:rFonts w:ascii="Times New Roman" w:cs="Times New Roman" w:eastAsia="Times New Roman" w:hAnsi="Times New Roman"/>
          <w:sz w:val="18"/>
          <w:szCs w:val="18"/>
          <w:color w:val="auto"/>
        </w:rPr>
        <w:t>” means a corporation, partnership or association that has been debarred by the FDA pursuant to 21 U.S.C. §335a (a) or (b) and 21 CFR Section 312.70 from submitting or assisting in the submission of any abbreviated drug application, or an employee, partner, shareholder, member, subsidiary or affiliate of a Debarred Entity.</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Debarred Individual</w:t>
      </w:r>
      <w:r>
        <w:rPr>
          <w:rFonts w:ascii="Times New Roman" w:cs="Times New Roman" w:eastAsia="Times New Roman" w:hAnsi="Times New Roman"/>
          <w:sz w:val="18"/>
          <w:szCs w:val="18"/>
          <w:color w:val="auto"/>
        </w:rPr>
        <w:t>” means an individual who has been debarred by the FDA pursuant to 21 U.S.C. §335a (a) or (b) and 21 CFR Section 312.70 from providing services in any capacity to a person that has an approved or pending drug product application, or an employer, employee or partner of a Debarred Individual.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has the meaning given in Section 16.5.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Delivery Workstream</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Workstream</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Discloser</w:t>
      </w:r>
      <w:r>
        <w:rPr>
          <w:rFonts w:ascii="Times New Roman" w:cs="Times New Roman" w:eastAsia="Times New Roman" w:hAnsi="Times New Roman"/>
          <w:sz w:val="18"/>
          <w:szCs w:val="18"/>
          <w:color w:val="auto"/>
        </w:rPr>
        <w:t>” has the meaning given in Section 24.1.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Discovery Workstream</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means the European Medicines Agency or any successor agency thereto.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Individual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Excluded Entity</w:t>
      </w:r>
      <w:r>
        <w:rPr>
          <w:rFonts w:ascii="Times New Roman" w:cs="Times New Roman" w:eastAsia="Times New Roman" w:hAnsi="Times New Roman"/>
          <w:sz w:val="18"/>
          <w:szCs w:val="18"/>
          <w:color w:val="auto"/>
        </w:rPr>
        <w:t>” means an individual or entity, as applicable, who has been excluded, debarred or is otherwise ineligible to participate in: A) federal health care programs such as Medicare or Medicaid by the Office of the Inspector General (OIG) of the U.S. Department of Health and Human Services (HHS); or B) federal procurement and non-procurement programs, including those produced by the U.S. General Services Administration (GSA).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Existing Statement of Work</w:t>
      </w:r>
      <w:r>
        <w:rPr>
          <w:rFonts w:ascii="Times New Roman" w:cs="Times New Roman" w:eastAsia="Times New Roman" w:hAnsi="Times New Roman"/>
          <w:sz w:val="16"/>
          <w:szCs w:val="16"/>
          <w:color w:val="auto"/>
        </w:rPr>
        <w:t xml:space="preserve">” means a statement of work under the Existing MSA or the Clinical Professional Services Agreement as identified in </w:t>
      </w:r>
      <w:r>
        <w:rPr>
          <w:rFonts w:ascii="Times New Roman" w:cs="Times New Roman" w:eastAsia="Times New Roman" w:hAnsi="Times New Roman"/>
          <w:sz w:val="16"/>
          <w:szCs w:val="16"/>
          <w:b w:val="1"/>
          <w:bCs w:val="1"/>
          <w:color w:val="auto"/>
        </w:rPr>
        <w:t>Exhibit F</w:t>
      </w:r>
      <w:r>
        <w:rPr>
          <w:rFonts w:ascii="Times New Roman" w:cs="Times New Roman" w:eastAsia="Times New Roman" w:hAnsi="Times New Roman"/>
          <w:sz w:val="16"/>
          <w:szCs w:val="16"/>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or any successor agency thereto.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Commitment</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Commitment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has the meaning given in Section 27.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xml:space="preserve">” means a full time equivalent employee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means the General Data Protection Regulation (EU) 2016/679).</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320" w:top="264"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Good Clinical Practice</w:t>
      </w:r>
      <w:r>
        <w:rPr>
          <w:rFonts w:ascii="Times New Roman" w:cs="Times New Roman" w:eastAsia="Times New Roman" w:hAnsi="Times New Roman"/>
          <w:sz w:val="18"/>
          <w:szCs w:val="18"/>
          <w:color w:val="auto"/>
        </w:rPr>
        <w:t>” means the then-current applicable standards for good clinical practices as promulgated under Applicable Law, which include</w:t>
      </w:r>
    </w:p>
    <w:p>
      <w:pPr>
        <w:spacing w:after="0" w:line="23" w:lineRule="exact"/>
        <w:rPr>
          <w:sz w:val="20"/>
          <w:szCs w:val="20"/>
          <w:color w:val="auto"/>
        </w:rPr>
      </w:pPr>
    </w:p>
    <w:p>
      <w:pPr>
        <w:jc w:val="both"/>
        <w:ind w:firstLine="5"/>
        <w:spacing w:after="0" w:line="245" w:lineRule="auto"/>
        <w:tabs>
          <w:tab w:leader="none" w:pos="21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2001/20/EC and Directive 2005/28/EC as well as ICH-GCP and any other guidelines for good clinical practice for trials on medicinal products on human subjects; and (ii) the United States Code of Federal Regulations Title 21, Parts 50 (Protection of Human Subjects), 56 (Institutional Review Boards) and 312 (Investigational New Drug Application).</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Industry Practice</w:t>
      </w:r>
      <w:r>
        <w:rPr>
          <w:rFonts w:ascii="Times New Roman" w:cs="Times New Roman" w:eastAsia="Times New Roman" w:hAnsi="Times New Roman"/>
          <w:sz w:val="18"/>
          <w:szCs w:val="18"/>
          <w:color w:val="auto"/>
        </w:rPr>
        <w:t>” means the degree of skill, care and diligence which would reasonably and ordinarily be expected from a leading, skilled and experienced professional company engaged in works or services similar to the Services or Deliverables in the same or similar circumstances.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Health Insurance Portability and Accountability Act of 1996, as amended by the Health Information Technology for Economic and Clinical Public Health (“HITECH”) Act, and their implementing regulations, including but not limited to, the Standards for Privacy of Individually Identifiable Health Information at 45 C.F.R. Parts 160 and 164, Subparts A and E, the Security Standards for the Protection of Electronic Protected Health Information at 45 C.F.R. Parts 160 and 164, Subparts A and C, and the Notification of Breach of Unsecured Protected Health Information requirements at 45 C.F.R. Part 164, Subpart D, as amended from time to time.</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ICF</w:t>
      </w:r>
      <w:r>
        <w:rPr>
          <w:rFonts w:ascii="Times New Roman" w:cs="Times New Roman" w:eastAsia="Times New Roman" w:hAnsi="Times New Roman"/>
          <w:sz w:val="18"/>
          <w:szCs w:val="18"/>
          <w:color w:val="auto"/>
        </w:rPr>
        <w:t>” means an informed consent form or equivalent document used in connection with the collection of human biological samples and associated data that are used to derive Licensed Data.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ICF Subcommittee</w:t>
      </w:r>
      <w:r>
        <w:rPr>
          <w:rFonts w:ascii="Times New Roman" w:cs="Times New Roman" w:eastAsia="Times New Roman" w:hAnsi="Times New Roman"/>
          <w:sz w:val="18"/>
          <w:szCs w:val="18"/>
          <w:color w:val="auto"/>
        </w:rPr>
        <w:t>” has the meaning given in Section 7.4.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Impacted Party</w:t>
      </w:r>
      <w:r>
        <w:rPr>
          <w:rFonts w:ascii="Times New Roman" w:cs="Times New Roman" w:eastAsia="Times New Roman" w:hAnsi="Times New Roman"/>
          <w:sz w:val="18"/>
          <w:szCs w:val="18"/>
          <w:color w:val="auto"/>
        </w:rPr>
        <w:t>” has the meaning given in Section 27.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Improvement Plan</w:t>
      </w:r>
      <w:r>
        <w:rPr>
          <w:rFonts w:ascii="Times New Roman" w:cs="Times New Roman" w:eastAsia="Times New Roman" w:hAnsi="Times New Roman"/>
          <w:sz w:val="18"/>
          <w:szCs w:val="18"/>
          <w:color w:val="auto"/>
        </w:rPr>
        <w:t>” has the meaning given in Section 9.3.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given in Section 22.3(a).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has the meaning given in Section 22.3(a).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Taxes</w:t>
      </w:r>
      <w:r>
        <w:rPr>
          <w:rFonts w:ascii="Times New Roman" w:cs="Times New Roman" w:eastAsia="Times New Roman" w:hAnsi="Times New Roman"/>
          <w:sz w:val="18"/>
          <w:szCs w:val="18"/>
          <w:color w:val="auto"/>
        </w:rPr>
        <w:t>” means value added taxes, sales taxes or other similar taxes required by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to be disclosed as a separate item on the relevant Indirect Tax invoice.</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patents, copyrights, design rights, trade marks, service marks, trade secrets, Know-How, database rights and other rights in the nature of intellectual property rights (whether registered or not) and all applications for the same which may now or in the future subsist anywhere in the world, including the right to sue for and recover damages for past infringements.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has the meaning given in Section 6.1.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JSC Subcommittee</w:t>
      </w:r>
      <w:r>
        <w:rPr>
          <w:rFonts w:ascii="Times New Roman" w:cs="Times New Roman" w:eastAsia="Times New Roman" w:hAnsi="Times New Roman"/>
          <w:sz w:val="18"/>
          <w:szCs w:val="18"/>
          <w:color w:val="auto"/>
        </w:rPr>
        <w:t>” has the meaning given in Section 6.1.</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40"/>
          </w:cols>
          <w:pgMar w:left="320" w:top="263" w:right="239" w:bottom="1440" w:gutter="0" w:footer="0" w:header="0"/>
        </w:sectPr>
      </w:pPr>
    </w:p>
    <w:bookmarkStart w:id="297" w:name="page298"/>
    <w:bookmarkEnd w:id="297"/>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any and all technology, information and data that is of a technical, scientific, business, or other nature, including know-how, improvements, inventions, discoveries, techniques, trade secrets, specifications, instructions, processes, designs, formulae, methods, ideas, algorithms, computer programs, apparatuses, protocols, expertise and skills, in each case whether patentable or not.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has the meaning given in Section 22.1.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Data</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Data Term</w:t>
      </w:r>
      <w:r>
        <w:rPr>
          <w:rFonts w:ascii="Times New Roman" w:cs="Times New Roman" w:eastAsia="Times New Roman" w:hAnsi="Times New Roman"/>
          <w:sz w:val="18"/>
          <w:szCs w:val="18"/>
          <w:color w:val="auto"/>
        </w:rPr>
        <w:t>” means, with respect to given Licensed Data described in a given Statement of Work, the license term in respect of such Licensed Data specified in such Statement of Work.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Matched Clinical-Molecular De-Identified Records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means any document, information, data or other material (in whatever form) including software, firmware, documented methodology, process and procedure (including any reports, specifications, business rules and requirements, user manuals, user guides, operations manuals, training materials and instruction), and any other output (in whatever form).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MC Extension Option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Molecular Data</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has the meaning given in Section 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Election</w:t>
      </w:r>
      <w:r>
        <w:rPr>
          <w:rFonts w:ascii="Times New Roman" w:cs="Times New Roman" w:eastAsia="Times New Roman" w:hAnsi="Times New Roman"/>
          <w:sz w:val="18"/>
          <w:szCs w:val="18"/>
          <w:color w:val="auto"/>
        </w:rPr>
        <w:t>” has the meaning given in Section 22.3(a).</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Notified Body</w:t>
      </w:r>
      <w:r>
        <w:rPr>
          <w:rFonts w:ascii="Times New Roman" w:cs="Times New Roman" w:eastAsia="Times New Roman" w:hAnsi="Times New Roman"/>
          <w:sz w:val="18"/>
          <w:szCs w:val="18"/>
          <w:color w:val="auto"/>
        </w:rPr>
        <w:t>” means an entity or body designated, licensed, authorized or approved by the applicable government agency, department or other authority to assess and certify the conformity of a medical device with the requirements of Applicable Law, including legislation governing medical devices and with applicable harmonised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User Results</w:t>
      </w:r>
      <w:r>
        <w:rPr>
          <w:rFonts w:ascii="Times New Roman" w:cs="Times New Roman" w:eastAsia="Times New Roman" w:hAnsi="Times New Roman"/>
          <w:sz w:val="18"/>
          <w:szCs w:val="18"/>
          <w:color w:val="auto"/>
        </w:rPr>
        <w:t>” has the meaning given in Section 5.1.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or Payable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department or agency of a government.</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information in any format about an identifiable individual, including, name, address, phone number, e-mail address, account number(s), identification number(s), any other actual or assigned attribute identifiable to an individual and any information that when used separately or in combination with other information could identify an individual. Personal Data</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320" w:top="264" w:right="2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includes “personal data” as defined in the GDPR and its national implementations, and “protected health information” as defined under HIPAA.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Policies and Standards</w:t>
      </w:r>
      <w:r>
        <w:rPr>
          <w:rFonts w:ascii="Times New Roman" w:cs="Times New Roman" w:eastAsia="Times New Roman" w:hAnsi="Times New Roman"/>
          <w:sz w:val="18"/>
          <w:szCs w:val="18"/>
          <w:color w:val="auto"/>
        </w:rPr>
        <w:t>” means all policies, procedures and standards adopted by AstraZeneca or any member of the AstraZeneca Group that are</w:t>
      </w:r>
    </w:p>
    <w:p>
      <w:pPr>
        <w:spacing w:after="0" w:line="23" w:lineRule="exact"/>
        <w:rPr>
          <w:sz w:val="20"/>
          <w:szCs w:val="20"/>
          <w:color w:val="auto"/>
        </w:rPr>
      </w:pPr>
    </w:p>
    <w:p>
      <w:pPr>
        <w:ind w:right="2000" w:firstLine="8"/>
        <w:spacing w:after="0" w:line="475" w:lineRule="auto"/>
        <w:tabs>
          <w:tab w:leader="none" w:pos="20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to Tempus’ activities under the Agreement, including the Services, and (ii) not inconsistent with this Agreement.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has the meaning given in Section 24.6.</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Invention</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Agreement</w:t>
      </w:r>
      <w:r>
        <w:rPr>
          <w:rFonts w:ascii="Times New Roman" w:cs="Times New Roman" w:eastAsia="Times New Roman" w:hAnsi="Times New Roman"/>
          <w:sz w:val="18"/>
          <w:szCs w:val="18"/>
          <w:color w:val="auto"/>
        </w:rPr>
        <w:t xml:space="preserve">” means this </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has the meaning given in Section 24.1.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 product, any and all clearances, premarket notifications, approvals, licenses, registrations, certifications and authorizations from Regulatory Authorities and declarations of conformity or other documents issued or to be issued by or on behalf of the manufacturer or study sponsor, necessary for the development, testing, clinical investigation, use, marketing or sale of such product in the applicable country or regulatory jurisdiction.</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applicable supra-national, federal, national, regional, state, provincial or local regulatory agencies, departments, bureaus, commissions, councils, or other governmental authority anywhere in the world including FDA, the EMA and any Notified Body, and any of the foregoing bodies responsible for the administration, implementation and enforcement of Data Privacy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Representing Party</w:t>
      </w:r>
      <w:r>
        <w:rPr>
          <w:rFonts w:ascii="Times New Roman" w:cs="Times New Roman" w:eastAsia="Times New Roman" w:hAnsi="Times New Roman"/>
          <w:sz w:val="18"/>
          <w:szCs w:val="18"/>
          <w:color w:val="auto"/>
        </w:rPr>
        <w:t>” has the meaning given in Section 18.1.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Statement of Work</w:t>
      </w:r>
      <w:r>
        <w:rPr>
          <w:rFonts w:ascii="Times New Roman" w:cs="Times New Roman" w:eastAsia="Times New Roman" w:hAnsi="Times New Roman"/>
          <w:sz w:val="18"/>
          <w:szCs w:val="18"/>
          <w:color w:val="auto"/>
        </w:rPr>
        <w:t>” means a statement of work entered into by the Parties for the provision of Services by Tempus.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Supplier Expectations</w:t>
      </w:r>
      <w:r>
        <w:rPr>
          <w:rFonts w:ascii="Times New Roman" w:cs="Times New Roman" w:eastAsia="Times New Roman" w:hAnsi="Times New Roman"/>
          <w:sz w:val="18"/>
          <w:szCs w:val="18"/>
          <w:color w:val="auto"/>
        </w:rPr>
        <w:t>” has the meaning given in Section 9.1.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has the meaning given in Section 12.4.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has the meaning given in Section 12.1.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Data Science Team</w:t>
      </w:r>
      <w:r>
        <w:rPr>
          <w:rFonts w:ascii="Times New Roman" w:cs="Times New Roman" w:eastAsia="Times New Roman" w:hAnsi="Times New Roman"/>
          <w:sz w:val="18"/>
          <w:szCs w:val="18"/>
          <w:color w:val="auto"/>
        </w:rPr>
        <w:t>” has the meaning given in Section 5.1.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Indemnified Parties</w:t>
      </w:r>
      <w:r>
        <w:rPr>
          <w:rFonts w:ascii="Times New Roman" w:cs="Times New Roman" w:eastAsia="Times New Roman" w:hAnsi="Times New Roman"/>
          <w:sz w:val="18"/>
          <w:szCs w:val="18"/>
          <w:color w:val="auto"/>
        </w:rPr>
        <w:t>” has the meaning given in Section 22.1.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Materials</w:t>
      </w:r>
      <w:r>
        <w:rPr>
          <w:rFonts w:ascii="Times New Roman" w:cs="Times New Roman" w:eastAsia="Times New Roman" w:hAnsi="Times New Roman"/>
          <w:sz w:val="18"/>
          <w:szCs w:val="18"/>
          <w:color w:val="auto"/>
        </w:rPr>
        <w:t>” has the meaning given in Section 13.2(a).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5" w:right="5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Tempus Project Inventions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means the duration of this Agreement as under Section 16.1.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IP</w:t>
      </w:r>
      <w:r>
        <w:rPr>
          <w:rFonts w:ascii="Times New Roman" w:cs="Times New Roman" w:eastAsia="Times New Roman" w:hAnsi="Times New Roman"/>
          <w:sz w:val="18"/>
          <w:szCs w:val="18"/>
          <w:color w:val="auto"/>
        </w:rPr>
        <w:t>” means any Intellectual Property Rights owned by a third party.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Materials</w:t>
      </w:r>
      <w:r>
        <w:rPr>
          <w:rFonts w:ascii="Times New Roman" w:cs="Times New Roman" w:eastAsia="Times New Roman" w:hAnsi="Times New Roman"/>
          <w:sz w:val="18"/>
          <w:szCs w:val="18"/>
          <w:color w:val="auto"/>
        </w:rPr>
        <w:t>” means any Materials owned by, or in which the Intellectual Property Rights are owned by, a third party.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means the warrant agreement executed between the Parties on November 17,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Workstreams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In this Agreement, unless otherwise stated or the context requires otherwise, the following rules of interpretation apply:</w:t>
      </w:r>
    </w:p>
    <w:p>
      <w:pPr>
        <w:spacing w:after="0" w:line="213" w:lineRule="exact"/>
        <w:rPr>
          <w:sz w:val="20"/>
          <w:szCs w:val="20"/>
          <w:color w:val="auto"/>
        </w:rPr>
      </w:pPr>
    </w:p>
    <w:p>
      <w:pPr>
        <w:ind w:firstLine="5"/>
        <w:spacing w:after="0" w:line="267" w:lineRule="auto"/>
        <w:tabs>
          <w:tab w:leader="none" w:pos="24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and Exhibits, and any and all Statements of Work agreed under Section 3.2, form part of this Agreement and references to this Agreement include them;</w:t>
      </w:r>
    </w:p>
    <w:p>
      <w:pPr>
        <w:spacing w:after="0" w:line="169" w:lineRule="exact"/>
        <w:rPr>
          <w:rFonts w:ascii="Times New Roman" w:cs="Times New Roman" w:eastAsia="Times New Roman" w:hAnsi="Times New Roman"/>
          <w:sz w:val="18"/>
          <w:szCs w:val="18"/>
          <w:color w:val="auto"/>
        </w:rPr>
      </w:pPr>
    </w:p>
    <w:p>
      <w:pPr>
        <w:ind w:firstLine="5"/>
        <w:spacing w:after="0" w:line="267" w:lineRule="auto"/>
        <w:tabs>
          <w:tab w:leader="none" w:pos="25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recitals, Sections and Exhibits are to recitals and Sections of, and Exhibits to this Agreement and references in an Exhibit to a Section, part or paragraph are to Sections, parts or paragraphs of that Exhibit;</w:t>
      </w:r>
    </w:p>
    <w:p>
      <w:pPr>
        <w:spacing w:after="0" w:line="169" w:lineRule="exact"/>
        <w:rPr>
          <w:rFonts w:ascii="Times New Roman" w:cs="Times New Roman" w:eastAsia="Times New Roman" w:hAnsi="Times New Roman"/>
          <w:sz w:val="18"/>
          <w:szCs w:val="18"/>
          <w:color w:val="auto"/>
        </w:rPr>
      </w:pPr>
    </w:p>
    <w:p>
      <w:pPr>
        <w:ind w:firstLine="5"/>
        <w:spacing w:after="0" w:line="267" w:lineRule="auto"/>
        <w:tabs>
          <w:tab w:leader="none" w:pos="23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Agreement or any other document are to this Agreement or that document as in force for the time being and as amended from time to time in accordance with this Agreement or that document (as the case may be);</w:t>
      </w:r>
    </w:p>
    <w:p>
      <w:pPr>
        <w:spacing w:after="0" w:line="169"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singular include the plural and vice versa;</w:t>
      </w:r>
    </w:p>
    <w:p>
      <w:pPr>
        <w:spacing w:after="0" w:line="213"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shall be interpreted in the inclusive sense (“and/or”); and</w:t>
      </w:r>
    </w:p>
    <w:p>
      <w:pPr>
        <w:spacing w:after="0" w:line="213" w:lineRule="exact"/>
        <w:rPr>
          <w:rFonts w:ascii="Times New Roman" w:cs="Times New Roman" w:eastAsia="Times New Roman" w:hAnsi="Times New Roman"/>
          <w:sz w:val="18"/>
          <w:szCs w:val="18"/>
          <w:color w:val="auto"/>
        </w:rPr>
      </w:pPr>
    </w:p>
    <w:p>
      <w:pPr>
        <w:jc w:val="both"/>
        <w:ind w:firstLine="5"/>
        <w:spacing w:after="0" w:line="255" w:lineRule="auto"/>
        <w:tabs>
          <w:tab w:leader="none" w:pos="23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statute, statutory provision or subordinate legislation (as so defined) shall be construed as including a reference to that statute, provision or subordinate legislation as in force at the date of this Agreement and as from time to time modified or consolidated, superseded, re-enacted or replaced after the date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The headings and contents table in this Agreement are for convenience only and do not affect the interpretation of this Agreement.</w:t>
      </w:r>
    </w:p>
    <w:p>
      <w:pPr>
        <w:spacing w:after="0" w:line="2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1.4 In this Agreement the words “other”, “includes”, “including” and “in particular” do not limit the generality of any preceding words and any words which follow them shall not be construed as being limited in scope to the same class as the preceding words where a wider construction is possible.</w:t>
      </w:r>
    </w:p>
    <w:p>
      <w:pPr>
        <w:spacing w:after="0" w:line="17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1.5 Where in this Agreement a matter is subject to a Party’s consent or agreement, such consent or agreement shall be at such Party’s sole discretion unless expressly stated otherwise.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40"/>
          </w:cols>
          <w:pgMar w:left="320" w:top="264" w:right="239" w:bottom="1440" w:gutter="0" w:footer="0" w:header="0"/>
        </w:sectPr>
      </w:pPr>
    </w:p>
    <w:bookmarkStart w:id="300" w:name="page301"/>
    <w:bookmarkEnd w:id="300"/>
    <w:p>
      <w:pPr>
        <w:ind w:right="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1.6 In the event of an inconsistency between the documents which form part of this Agreement, except where expressly provided in the relevant Exhibit, those documents shall apply in the following order of precedence, from highest to lowest priority, to the extent of the inconsistency:</w:t>
      </w:r>
    </w:p>
    <w:p>
      <w:pPr>
        <w:spacing w:after="0" w:line="65" w:lineRule="exact"/>
        <w:rPr>
          <w:sz w:val="20"/>
          <w:szCs w:val="20"/>
          <w:color w:val="auto"/>
        </w:rPr>
      </w:pPr>
    </w:p>
    <w:p>
      <w:pPr>
        <w:ind w:left="240" w:hanging="232"/>
        <w:spacing w:after="0"/>
        <w:tabs>
          <w:tab w:leader="none" w:pos="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body of this Agreement;</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Work; and</w:t>
      </w:r>
    </w:p>
    <w:p>
      <w:pPr>
        <w:spacing w:after="0" w:line="213" w:lineRule="exact"/>
        <w:rPr>
          <w:rFonts w:ascii="Times New Roman" w:cs="Times New Roman" w:eastAsia="Times New Roman" w:hAnsi="Times New Roman"/>
          <w:sz w:val="18"/>
          <w:szCs w:val="18"/>
          <w:color w:val="auto"/>
        </w:rPr>
      </w:pPr>
    </w:p>
    <w:p>
      <w:pPr>
        <w:ind w:right="40" w:firstLine="8"/>
        <w:spacing w:after="0" w:line="255" w:lineRule="auto"/>
        <w:tabs>
          <w:tab w:leader="none" w:pos="24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incorporated by reference into this Agreement, except that any quality agreement entered into by AstraZeneca and Tempus shall prevail as to quality matters and any pharmacovigilance agreement entered into by AstraZeneca and Tempus shall prevail as to pharmacovigilance matters.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If a provision of an Exhibit, Statement of Work, or any other document incorporated by reference into this Agreement is:</w:t>
      </w:r>
    </w:p>
    <w:p>
      <w:pPr>
        <w:spacing w:after="0" w:line="213" w:lineRule="exact"/>
        <w:rPr>
          <w:sz w:val="20"/>
          <w:szCs w:val="20"/>
          <w:color w:val="auto"/>
        </w:rPr>
      </w:pPr>
    </w:p>
    <w:p>
      <w:pPr>
        <w:ind w:left="240" w:hanging="232"/>
        <w:spacing w:after="0"/>
        <w:tabs>
          <w:tab w:leader="none" w:pos="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stated to take precedence over a document listed in Section 1.6;</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references the applicable provision(s) over which it takes precedence; and</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Statement of Work, such reference is expressly set out in the designated part of the Statement of Work,</w:t>
      </w:r>
    </w:p>
    <w:p>
      <w:pPr>
        <w:spacing w:after="0" w:line="21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then, notwithstanding Section 1.6, the provision of such Exhibit, Statement of Work or other document incorporated by reference into this Agreement, will prevail to the extent of any conflict or inconsistency.</w:t>
      </w:r>
    </w:p>
    <w:p>
      <w:pPr>
        <w:spacing w:after="0" w:line="196" w:lineRule="exact"/>
        <w:rPr>
          <w:sz w:val="20"/>
          <w:szCs w:val="20"/>
          <w:color w:val="auto"/>
        </w:rPr>
      </w:pPr>
    </w:p>
    <w:p>
      <w:pPr>
        <w:ind w:right="9220" w:firstLine="8"/>
        <w:spacing w:after="0" w:line="502" w:lineRule="auto"/>
        <w:tabs>
          <w:tab w:leader="none" w:pos="4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Licensed Data</w:t>
      </w:r>
      <w:r>
        <w:rPr>
          <w:rFonts w:ascii="Times New Roman" w:cs="Times New Roman" w:eastAsia="Times New Roman" w:hAnsi="Times New Roman"/>
          <w:sz w:val="18"/>
          <w:szCs w:val="18"/>
          <w:color w:val="auto"/>
        </w:rPr>
        <w:t xml:space="preserve">. 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ind w:right="8420" w:firstLine="8"/>
        <w:spacing w:after="0" w:line="487" w:lineRule="auto"/>
        <w:tabs>
          <w:tab w:leader="none" w:pos="4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and Deliverables</w:t>
      </w:r>
      <w:r>
        <w:rPr>
          <w:rFonts w:ascii="Times New Roman" w:cs="Times New Roman" w:eastAsia="Times New Roman" w:hAnsi="Times New Roman"/>
          <w:sz w:val="18"/>
          <w:szCs w:val="18"/>
          <w:color w:val="auto"/>
        </w:rPr>
        <w:t xml:space="preserve">. 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ind w:firstLine="8"/>
        <w:spacing w:after="0" w:line="267" w:lineRule="auto"/>
        <w:tabs>
          <w:tab w:leader="none" w:pos="23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provide to AstraZeneca the Services and Deliverables set out in one or more Statements of Work to be agreed between the Parties as set out under Section 3.2. Each Statement of Work shall be deemed accepted only if signed by authorized signatories of the Parties.</w:t>
      </w:r>
    </w:p>
    <w:p>
      <w:pPr>
        <w:spacing w:after="0" w:line="16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shall provide the Services and Deliverables:</w:t>
      </w:r>
    </w:p>
    <w:p>
      <w:pPr>
        <w:spacing w:after="0" w:line="108" w:lineRule="exact"/>
        <w:rPr>
          <w:rFonts w:ascii="Times New Roman" w:cs="Times New Roman" w:eastAsia="Times New Roman" w:hAnsi="Times New Roman"/>
          <w:sz w:val="18"/>
          <w:szCs w:val="18"/>
          <w:color w:val="auto"/>
        </w:rPr>
      </w:pPr>
    </w:p>
    <w:p>
      <w:pPr>
        <w:ind w:left="440" w:right="1000" w:hanging="4"/>
        <w:spacing w:after="0" w:line="267" w:lineRule="auto"/>
        <w:tabs>
          <w:tab w:leader="none" w:pos="64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and subject to the conditions set forth in the respective Statement of Work (including any applicable Specifications therein) and this Agreement;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6" w:right="619" w:bottom="1440" w:gutter="0" w:footer="0" w:header="0"/>
        </w:sectPr>
      </w:pPr>
    </w:p>
    <w:bookmarkStart w:id="301" w:name="page302"/>
    <w:bookmarkEnd w:id="301"/>
    <w:p>
      <w:pPr>
        <w:ind w:left="700" w:hanging="264"/>
        <w:spacing w:after="0"/>
        <w:tabs>
          <w:tab w:leader="none" w:pos="7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accordance with the key performance indicators applicable to the given Service or Deliverable that may be stated in a Statement Work;</w:t>
      </w:r>
    </w:p>
    <w:p>
      <w:pPr>
        <w:spacing w:after="0" w:line="131" w:lineRule="exact"/>
        <w:rPr>
          <w:rFonts w:ascii="Times New Roman" w:cs="Times New Roman" w:eastAsia="Times New Roman" w:hAnsi="Times New Roman"/>
          <w:sz w:val="16"/>
          <w:szCs w:val="16"/>
          <w:color w:val="auto"/>
        </w:rPr>
      </w:pPr>
    </w:p>
    <w:p>
      <w:pPr>
        <w:ind w:left="740" w:hanging="304"/>
        <w:spacing w:after="0"/>
        <w:tabs>
          <w:tab w:leader="none" w:pos="7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personnel of required skill, experience, and qualifications;</w:t>
      </w:r>
    </w:p>
    <w:p>
      <w:pPr>
        <w:spacing w:after="0" w:line="108"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workmanlike, and professional manner; and</w:t>
      </w:r>
    </w:p>
    <w:p>
      <w:pPr>
        <w:spacing w:after="0" w:line="10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Good Industry Practice.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Statements of Work</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40" w:hanging="232"/>
        <w:spacing w:after="0"/>
        <w:tabs>
          <w:tab w:leader="none" w:pos="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Statement of Work shall be agreed in the following manner:</w:t>
      </w:r>
    </w:p>
    <w:p>
      <w:pPr>
        <w:spacing w:after="0" w:line="108"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either prepare or shall ask Tempus to prepare a draft Statement of Work for the Services required by AstraZeneca.</w:t>
      </w:r>
    </w:p>
    <w:p>
      <w:pPr>
        <w:spacing w:after="0" w:line="106" w:lineRule="exact"/>
        <w:rPr>
          <w:rFonts w:ascii="Times New Roman" w:cs="Times New Roman" w:eastAsia="Times New Roman" w:hAnsi="Times New Roman"/>
          <w:sz w:val="18"/>
          <w:szCs w:val="18"/>
          <w:color w:val="auto"/>
        </w:rPr>
      </w:pPr>
    </w:p>
    <w:p>
      <w:pPr>
        <w:jc w:val="both"/>
        <w:ind w:left="440" w:hanging="4"/>
        <w:spacing w:after="0" w:line="256" w:lineRule="auto"/>
        <w:tabs>
          <w:tab w:leader="none" w:pos="69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AstraZeneca asks Tempus to prepare a draft Statement of Work,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AstraZeneca’s request, Tempus shall notify AstraZeneca of any additional information it reasonably requires in order to prepare a Statement of Work, and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receipt of the required information from AstraZeneca Tempus shall provide AstraZeneca with the draft Statement of Work requested.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Tempus is to provide to AstraZeneca:</w:t>
      </w:r>
    </w:p>
    <w:p>
      <w:pPr>
        <w:spacing w:after="0" w:line="106"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applicable Statement of Work shall be materially based on a form to be agreed between the Parties;</w:t>
      </w:r>
    </w:p>
    <w:p>
      <w:pPr>
        <w:spacing w:after="0" w:line="108"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applicable Statement of Work shall be materially based on a form to be agreed between the Parties;</w:t>
      </w:r>
    </w:p>
    <w:p>
      <w:pPr>
        <w:spacing w:after="0" w:line="108"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applicable Statement of Work shall be materially based on a form to be agreed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applicable Statement of Work shall be materially based on a form to be agreed between the Parties;</w:t>
      </w:r>
    </w:p>
    <w:p>
      <w:pPr>
        <w:spacing w:after="0" w:line="108"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applicable Statement of Work shall be materially based on a form to be agreed between the Parties;</w:t>
      </w:r>
    </w:p>
    <w:p>
      <w:pPr>
        <w:spacing w:after="0" w:line="108"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applicable Statement of Work shall be materially based on a form to be agreed between the Parties; and</w:t>
      </w:r>
    </w:p>
    <w:p>
      <w:pPr>
        <w:spacing w:after="0" w:line="110" w:lineRule="exact"/>
        <w:rPr>
          <w:rFonts w:ascii="Times New Roman" w:cs="Times New Roman" w:eastAsia="Times New Roman" w:hAnsi="Times New Roman"/>
          <w:sz w:val="18"/>
          <w:szCs w:val="18"/>
          <w:color w:val="auto"/>
        </w:rPr>
      </w:pPr>
    </w:p>
    <w:p>
      <w:pPr>
        <w:ind w:left="980" w:right="180" w:hanging="8"/>
        <w:spacing w:after="0" w:line="267" w:lineRule="auto"/>
        <w:tabs>
          <w:tab w:leader="none" w:pos="1228"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Services as provided under items (1) to (7), above, or other new services that may be provided by Tempus from time to time and as may be requested by AstraZeneca, in a form to be agreed between the Parties;</w:t>
      </w:r>
    </w:p>
    <w:p>
      <w:pPr>
        <w:spacing w:after="0" w:line="62"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110"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shall sign the draft Statement of Work when it is agreed.</w:t>
      </w:r>
    </w:p>
    <w:p>
      <w:pPr>
        <w:spacing w:after="0" w:line="1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00"/>
          </w:cols>
          <w:pgMar w:left="580" w:top="265" w:right="719" w:bottom="1440" w:gutter="0" w:footer="0" w:header="0"/>
        </w:sectPr>
      </w:pPr>
    </w:p>
    <w:bookmarkStart w:id="302" w:name="page303"/>
    <w:bookmarkEnd w:id="302"/>
    <w:p>
      <w:pPr>
        <w:ind w:left="260" w:hanging="252"/>
        <w:spacing w:after="0"/>
        <w:tabs>
          <w:tab w:leader="none" w:pos="2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the terms of Section 3.2(a), each Statement of Work shall, at a minimum, contain terms relating to the following:</w:t>
      </w:r>
    </w:p>
    <w:p>
      <w:pPr>
        <w:spacing w:after="0" w:line="108"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the relevant Services to be provided by Tempus;</w:t>
      </w:r>
    </w:p>
    <w:p>
      <w:pPr>
        <w:spacing w:after="0" w:line="10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the relevant Deliverables to be provided by Tempus;</w:t>
      </w:r>
    </w:p>
    <w:p>
      <w:pPr>
        <w:spacing w:after="0" w:line="106"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108"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right="140" w:firstLine="8"/>
        <w:spacing w:after="0" w:line="267" w:lineRule="auto"/>
        <w:tabs>
          <w:tab w:leader="none" w:pos="2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a Statement of Work has been agreed and signed in accordance with Section 3.2, no amendment shall be made to it except in accordance with Section 3.5.</w:t>
      </w:r>
    </w:p>
    <w:p>
      <w:pPr>
        <w:spacing w:after="0" w:line="16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each Statement of Work shall be part of this Agreement and shall not form a separate contract to it.</w:t>
      </w:r>
    </w:p>
    <w:p>
      <w:pPr>
        <w:spacing w:after="0" w:line="21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Existing Statements of Work</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8"/>
        <w:spacing w:after="0" w:line="267" w:lineRule="auto"/>
        <w:tabs>
          <w:tab w:leader="none" w:pos="23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Statement of Work shall, on and from the Effective Date, be deemed to be a Statement of Work for the purposes of this Agreement and Tempus acknowledges that:</w:t>
      </w:r>
    </w:p>
    <w:p>
      <w:pPr>
        <w:spacing w:after="0" w:line="64" w:lineRule="exact"/>
        <w:rPr>
          <w:rFonts w:ascii="Times New Roman" w:cs="Times New Roman" w:eastAsia="Times New Roman" w:hAnsi="Times New Roman"/>
          <w:sz w:val="18"/>
          <w:szCs w:val="18"/>
          <w:color w:val="auto"/>
        </w:rPr>
      </w:pPr>
    </w:p>
    <w:p>
      <w:pPr>
        <w:ind w:left="440" w:right="400" w:hanging="4"/>
        <w:spacing w:after="0" w:line="267" w:lineRule="auto"/>
        <w:tabs>
          <w:tab w:leader="none" w:pos="649"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this Agreement, where reference is made to a Statement of Work, such reference shall apply mutatis mutandis to each Existing Statement of Work;</w:t>
      </w:r>
    </w:p>
    <w:p>
      <w:pPr>
        <w:spacing w:after="0" w:line="6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Existing Statement of Work, any reference to a master agreement (however named) shall be a reference to this Agreement;</w:t>
      </w:r>
    </w:p>
    <w:p>
      <w:pPr>
        <w:spacing w:after="0" w:line="108" w:lineRule="exact"/>
        <w:rPr>
          <w:rFonts w:ascii="Times New Roman" w:cs="Times New Roman" w:eastAsia="Times New Roman" w:hAnsi="Times New Roman"/>
          <w:sz w:val="18"/>
          <w:szCs w:val="18"/>
          <w:color w:val="auto"/>
        </w:rPr>
      </w:pPr>
    </w:p>
    <w:p>
      <w:pPr>
        <w:ind w:left="440" w:right="160" w:hanging="4"/>
        <w:spacing w:after="0" w:line="267" w:lineRule="auto"/>
        <w:tabs>
          <w:tab w:leader="none" w:pos="74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and or deliverables provided by Tempus under each Existing Statement of Work on and from the Effective Date shall be subject to the terms of this Agreement; and</w:t>
      </w:r>
    </w:p>
    <w:p>
      <w:pPr>
        <w:spacing w:after="0" w:line="62"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b w:val="1"/>
          <w:bCs w:val="1"/>
          <w:color w:val="auto"/>
        </w:rPr>
        <w:t>Acceptance</w:t>
      </w:r>
      <w:r>
        <w:rPr>
          <w:rFonts w:ascii="Times New Roman" w:cs="Times New Roman" w:eastAsia="Times New Roman" w:hAnsi="Times New Roman"/>
          <w:sz w:val="16"/>
          <w:szCs w:val="16"/>
          <w:color w:val="auto"/>
        </w:rPr>
        <w:t xml:space="preserve">. On delivery of a Deliverable, Tempus shall simultaneously contact the AstraZeneca team responsible for the work in writing (e.g., by email) to alert them to the fact of such Deliverable, which notice shall be provided to the AstraZeneca contact(s) as identified in the applicable Statement of Work (i.e. this does not require a formal Notice under Section 25). AstraZeneca shall have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Notwithstanding the above,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Change Control</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00"/>
          </w:cols>
          <w:pgMar w:left="580" w:top="266" w:right="619" w:bottom="1440" w:gutter="0" w:footer="0" w:header="0"/>
        </w:sectPr>
      </w:pPr>
    </w:p>
    <w:bookmarkStart w:id="303" w:name="page304"/>
    <w:bookmarkEnd w:id="303"/>
    <w:p>
      <w:pPr>
        <w:ind w:left="240" w:hanging="232"/>
        <w:spacing w:after="0"/>
        <w:tabs>
          <w:tab w:leader="none" w:pos="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Either Party may propose changes to a Statement of Work, including changes to Services, Deliverables or any Specifications but no proposed</w:t>
      </w:r>
    </w:p>
    <w:p>
      <w:pPr>
        <w:spacing w:after="0" w:line="20" w:lineRule="exact"/>
        <w:rPr>
          <w:rFonts w:ascii="Times New Roman" w:cs="Times New Roman" w:eastAsia="Times New Roman" w:hAnsi="Times New Roman"/>
          <w:sz w:val="18"/>
          <w:szCs w:val="18"/>
          <w:color w:val="auto"/>
        </w:rPr>
      </w:pPr>
    </w:p>
    <w:p>
      <w:pPr>
        <w:ind w:right="20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shall come into effect until a relevant order for such change (“</w:t>
      </w:r>
      <w:r>
        <w:rPr>
          <w:rFonts w:ascii="Times New Roman" w:cs="Times New Roman" w:eastAsia="Times New Roman" w:hAnsi="Times New Roman"/>
          <w:sz w:val="18"/>
          <w:szCs w:val="18"/>
          <w:b w:val="1"/>
          <w:bCs w:val="1"/>
          <w:color w:val="auto"/>
        </w:rPr>
        <w:t>Change Order</w:t>
      </w:r>
      <w:r>
        <w:rPr>
          <w:rFonts w:ascii="Times New Roman" w:cs="Times New Roman" w:eastAsia="Times New Roman" w:hAnsi="Times New Roman"/>
          <w:sz w:val="18"/>
          <w:szCs w:val="18"/>
          <w:color w:val="auto"/>
        </w:rPr>
        <w:t>”) has been signed by both Parties. A Change Order shall be a document setting out the proposed changes and the effect those changes will have on:</w:t>
      </w:r>
    </w:p>
    <w:p>
      <w:pPr>
        <w:spacing w:after="0" w:line="81"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Deliverables or Services to be provided under a Statement of Work;</w:t>
      </w:r>
    </w:p>
    <w:p>
      <w:pPr>
        <w:spacing w:after="0" w:line="10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w:t>
      </w:r>
    </w:p>
    <w:p>
      <w:pPr>
        <w:spacing w:after="0" w:line="108"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terms of the relevant Statement of Work, including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AstraZeneca wishes to make a change to the scope or execution of any Deliverables or Services it shall prepare a draft Change Order, or shall</w:t>
      </w:r>
    </w:p>
    <w:p>
      <w:pPr>
        <w:spacing w:after="0" w:line="43" w:lineRule="exact"/>
        <w:rPr>
          <w:rFonts w:ascii="Times New Roman" w:cs="Times New Roman" w:eastAsia="Times New Roman" w:hAnsi="Times New Roman"/>
          <w:sz w:val="16"/>
          <w:szCs w:val="16"/>
          <w:color w:val="auto"/>
        </w:rPr>
      </w:pPr>
    </w:p>
    <w:p>
      <w:pPr>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notify Tempus, providing as much detail as is reasonably necessary to enable Tempus to prepare the draft Change Order and Tempus shall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receiving AstraZeneca’s request provide a draft Change Order to AstraZeneca.</w:t>
      </w:r>
    </w:p>
    <w:p>
      <w:pPr>
        <w:spacing w:after="0" w:line="184"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right="140" w:firstLine="8"/>
        <w:spacing w:after="0" w:line="331" w:lineRule="auto"/>
        <w:tabs>
          <w:tab w:leader="none" w:pos="248"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agreement to a Change Order, the Parties shall promptly sign it and that Change Order shall amend the relevant Statement of Work and where Tempus is required to take any action as a result of such Change Order, including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it will use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to effect such change expeditiously.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3.8 Because AstraZeneca depends on the timely delivery of the Services, Deliverables and Licensed Data provided hereunder, time is of the essence with respect to Tempus’ performance under this Agreement, including any Statement of Work.</w:t>
      </w:r>
    </w:p>
    <w:p>
      <w:pPr>
        <w:spacing w:after="0" w:line="17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3.9 For the sake of clarity, nothing in this Agreement shall be construed to prevent AstraZeneca from itself performing or from acquiring services or deliverables from third parties that are similar to or identical to the Services or Deliverables.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3.10 AstraZeneca may (but shall not be required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ind w:left="420" w:hanging="412"/>
        <w:spacing w:after="0"/>
        <w:tabs>
          <w:tab w:leader="none" w:pos="4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Tempus Obligations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shall: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provide, at AstraZeneca’s reasonable request,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ensure that the Services and Deliverables are provided in accordance with the Statement of Work, including any applicable Specifications;</w:t>
      </w:r>
    </w:p>
    <w:p>
      <w:pPr>
        <w:spacing w:after="0" w:line="213"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color w:val="auto"/>
        </w:rPr>
        <w:t>4.3 comply with the terms of this Agreement and applicable Statement of Work in its provision of the Services and development and provision of Deliverables, and shall cause its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580" w:top="265" w:right="7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Affiliates and its and their respective subcontractors, employees and representatives to comply with:</w:t>
      </w:r>
    </w:p>
    <w:p>
      <w:pPr>
        <w:spacing w:after="0" w:line="108" w:lineRule="exact"/>
        <w:rPr>
          <w:sz w:val="20"/>
          <w:szCs w:val="20"/>
          <w:color w:val="auto"/>
        </w:rPr>
      </w:pPr>
    </w:p>
    <w:p>
      <w:pPr>
        <w:ind w:left="240" w:hanging="232"/>
        <w:spacing w:after="0"/>
        <w:tabs>
          <w:tab w:leader="none" w:pos="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Clinical Practice (to the extent applicable);</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Policies and Standards; and</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1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4.4 maintain complete and accurate records relating to (a) the provision of the Services under this Agreement, including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 the Licensed Data as made available to AstraZeneca (including,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each case in a format to the reasonable satisfaction of AstraZeneca, for the Term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Tempus shall comply and will assist AstraZeneca in complying with all Applicable Laws with respect to retention of all records relating to the Services performed in connection with this Agreement. Tempus shall also retain records as may be reasonably directed in writing by AstraZeneca in order to comply with applicable AstraZeneca records retention requirements;</w:t>
      </w:r>
    </w:p>
    <w:p>
      <w:pPr>
        <w:spacing w:after="0" w:line="184" w:lineRule="exact"/>
        <w:rPr>
          <w:sz w:val="20"/>
          <w:szCs w:val="20"/>
          <w:color w:val="auto"/>
        </w:rPr>
      </w:pPr>
    </w:p>
    <w:p>
      <w:pPr>
        <w:jc w:val="both"/>
        <w:ind w:right="160"/>
        <w:spacing w:after="0" w:line="302" w:lineRule="auto"/>
        <w:rPr>
          <w:sz w:val="20"/>
          <w:szCs w:val="20"/>
          <w:color w:val="auto"/>
        </w:rPr>
      </w:pPr>
      <w:r>
        <w:rPr>
          <w:rFonts w:ascii="Times New Roman" w:cs="Times New Roman" w:eastAsia="Times New Roman" w:hAnsi="Times New Roman"/>
          <w:sz w:val="16"/>
          <w:szCs w:val="16"/>
          <w:color w:val="auto"/>
        </w:rPr>
        <w:t>4.5 upon AstraZeneca’s written request and subject to Tempus’s reasonable policies and procedures (e.g., related to security and confidentiality), allow AstraZeneca or AstraZeneca’s representative to inspect and make copies of such records and interview Tempus representatives in connection with the provision of the Services; provided that AstraZeneca provides Tempus with reasonable advance written notice of the planned inspection;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 enter into all agreements or mechanisms as reasonably requested by AstraZeneca to ensure compliance with Data Privacy Law;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4.7 be responsible for maintaining and tracking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ind w:left="420" w:hanging="412"/>
        <w:spacing w:after="0"/>
        <w:tabs>
          <w:tab w:leader="none" w:pos="4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Tempus FTE Commitment</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 xml:space="preserve">5.1 To support AstraZeneca’s advancement of the Workstreams, Tempus will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Dedicated AZ Team</w:t>
      </w:r>
      <w:r>
        <w:rPr>
          <w:rFonts w:ascii="Times New Roman" w:cs="Times New Roman" w:eastAsia="Times New Roman" w:hAnsi="Times New Roman"/>
          <w:sz w:val="18"/>
          <w:szCs w:val="18"/>
          <w:color w:val="auto"/>
        </w:rPr>
        <w:t xml:space="preserve">”). Tempus will also </w:t>
      </w:r>
      <w:r>
        <w:rPr>
          <w:rFonts w:ascii="Times New Roman" w:cs="Times New Roman" w:eastAsia="Times New Roman" w:hAnsi="Times New Roman"/>
          <w:sz w:val="18"/>
          <w:szCs w:val="18"/>
          <w:b w:val="1"/>
          <w:bCs w:val="1"/>
          <w:color w:val="auto"/>
        </w:rPr>
        <w:t>[***]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Tempus will use Tempus Materials and the Licensed Data to provide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w:t>
      </w:r>
    </w:p>
    <w:p>
      <w:pPr>
        <w:spacing w:after="0" w:line="108" w:lineRule="exact"/>
        <w:rPr>
          <w:sz w:val="20"/>
          <w:szCs w:val="20"/>
          <w:color w:val="auto"/>
        </w:rPr>
      </w:pPr>
    </w:p>
    <w:p>
      <w:pPr>
        <w:ind w:left="240" w:hanging="232"/>
        <w:spacing w:after="0"/>
        <w:tabs>
          <w:tab w:leader="none" w:pos="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ind w:left="420" w:hanging="412"/>
        <w:spacing w:after="0"/>
        <w:tabs>
          <w:tab w:leader="none" w:pos="4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Governance</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 xml:space="preserve">6.1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Parties will establish a Joint Steering Committee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across all Workstreams to review and coordinate the activities of the Parties under this Agreement.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5" w:right="599" w:bottom="1440" w:gutter="0" w:footer="0" w:header="0"/>
        </w:sectPr>
      </w:pPr>
    </w:p>
    <w:bookmarkStart w:id="305" w:name="page306"/>
    <w:bookmarkEnd w:id="305"/>
    <w:p>
      <w:pPr>
        <w:ind w:right="140" w:firstLine="8"/>
        <w:spacing w:after="0" w:line="270" w:lineRule="auto"/>
        <w:tabs>
          <w:tab w:leader="none" w:pos="2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JSC will consist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representatives: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At the invitation of the JSC as necessary, other representatives of Tempus or AstraZeneca may attend JSC meetings as non-voting representatives.</w:t>
      </w:r>
    </w:p>
    <w:p>
      <w:pPr>
        <w:spacing w:after="0" w:line="166" w:lineRule="exact"/>
        <w:rPr>
          <w:rFonts w:ascii="Times New Roman" w:cs="Times New Roman" w:eastAsia="Times New Roman" w:hAnsi="Times New Roman"/>
          <w:sz w:val="18"/>
          <w:szCs w:val="18"/>
          <w:color w:val="auto"/>
        </w:rPr>
      </w:pPr>
    </w:p>
    <w:p>
      <w:pPr>
        <w:ind w:right="60" w:firstLine="8"/>
        <w:spacing w:after="0" w:line="255" w:lineRule="auto"/>
        <w:tabs>
          <w:tab w:leader="none" w:pos="24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representative named in Section (a) is unable to carry out their duties on the JSC, then the Party of the affected representative shall promptly nominate a replacement, to the reasonable satisfaction of other Party, to carry out the duties of the affected representative for such period as the affected representative is unable to perform.</w:t>
      </w:r>
    </w:p>
    <w:p>
      <w:pPr>
        <w:spacing w:after="0" w:line="178" w:lineRule="exact"/>
        <w:rPr>
          <w:rFonts w:ascii="Times New Roman" w:cs="Times New Roman" w:eastAsia="Times New Roman" w:hAnsi="Times New Roman"/>
          <w:sz w:val="18"/>
          <w:szCs w:val="18"/>
          <w:color w:val="auto"/>
        </w:rPr>
      </w:pPr>
    </w:p>
    <w:p>
      <w:pPr>
        <w:ind w:right="420" w:firstLine="8"/>
        <w:spacing w:after="0" w:line="270" w:lineRule="auto"/>
        <w:tabs>
          <w:tab w:leader="none" w:pos="2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Tempus will assign a program manager to assist the JSC with project management activities,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AstraZeneca may appoint a lead member to manage the activities of the JSC and prioritize activities.</w:t>
      </w:r>
    </w:p>
    <w:p>
      <w:pPr>
        <w:spacing w:after="0" w:line="166" w:lineRule="exact"/>
        <w:rPr>
          <w:rFonts w:ascii="Times New Roman" w:cs="Times New Roman" w:eastAsia="Times New Roman" w:hAnsi="Times New Roman"/>
          <w:sz w:val="18"/>
          <w:szCs w:val="18"/>
          <w:color w:val="auto"/>
        </w:rPr>
      </w:pPr>
    </w:p>
    <w:p>
      <w:pPr>
        <w:ind w:right="20" w:firstLine="8"/>
        <w:spacing w:after="0" w:line="331" w:lineRule="auto"/>
        <w:tabs>
          <w:tab w:leader="none" w:pos="248"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JSC will meet quarterly, or more frequently as needed, at a mutually agreeable time and place or by video or telephone conference. A quorum of the JSC will be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of the members,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Each Party will bear its own personnel and travel costs and expenses relating to JSC meetings.</w:t>
      </w:r>
    </w:p>
    <w:p>
      <w:pPr>
        <w:spacing w:after="0" w:line="120" w:lineRule="exact"/>
        <w:rPr>
          <w:rFonts w:ascii="Times New Roman" w:cs="Times New Roman" w:eastAsia="Times New Roman" w:hAnsi="Times New Roman"/>
          <w:sz w:val="16"/>
          <w:szCs w:val="16"/>
          <w:color w:val="auto"/>
        </w:rPr>
      </w:pPr>
    </w:p>
    <w:p>
      <w:pPr>
        <w:ind w:right="340" w:firstLine="8"/>
        <w:spacing w:after="0" w:line="270" w:lineRule="auto"/>
        <w:tabs>
          <w:tab w:leader="none" w:pos="2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JSC will provide a forum for discussing and coordinating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JSC will also consider and attempt to resolve in good faith any conflict between Tempus and AstraZeneca.</w:t>
      </w:r>
    </w:p>
    <w:p>
      <w:pPr>
        <w:spacing w:after="0" w:line="164"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representatives on the JSC will collectively have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jc w:val="both"/>
        <w:ind w:right="60" w:firstLine="8"/>
        <w:spacing w:after="0" w:line="255" w:lineRule="auto"/>
        <w:tabs>
          <w:tab w:leader="none" w:pos="24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JSC will not have the power to amend or modify the Agreement except as mutually agreed by the Parties, as evidenced by a written amendment to the Agreement that is signed by an authorized representative of each Party.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Parties will discuss in good faith the terms associated with such additional activities, which must be documented in a fully executed amendment to this Agreement.</w:t>
      </w:r>
    </w:p>
    <w:p>
      <w:pPr>
        <w:spacing w:after="0" w:line="178" w:lineRule="exact"/>
        <w:rPr>
          <w:rFonts w:ascii="Times New Roman" w:cs="Times New Roman" w:eastAsia="Times New Roman" w:hAnsi="Times New Roman"/>
          <w:sz w:val="18"/>
          <w:szCs w:val="18"/>
          <w:color w:val="auto"/>
        </w:rPr>
      </w:pPr>
    </w:p>
    <w:p>
      <w:pPr>
        <w:ind w:right="280" w:firstLine="8"/>
        <w:spacing w:after="0" w:line="256" w:lineRule="auto"/>
        <w:tabs>
          <w:tab w:leader="none" w:pos="24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have the power to appoint and direct subcommittees (each, a “</w:t>
      </w:r>
      <w:r>
        <w:rPr>
          <w:rFonts w:ascii="Times New Roman" w:cs="Times New Roman" w:eastAsia="Times New Roman" w:hAnsi="Times New Roman"/>
          <w:sz w:val="18"/>
          <w:szCs w:val="18"/>
          <w:b w:val="1"/>
          <w:bCs w:val="1"/>
          <w:color w:val="auto"/>
        </w:rPr>
        <w:t>JSC Subcommittee</w:t>
      </w:r>
      <w:r>
        <w:rPr>
          <w:rFonts w:ascii="Times New Roman" w:cs="Times New Roman" w:eastAsia="Times New Roman" w:hAnsi="Times New Roman"/>
          <w:sz w:val="18"/>
          <w:szCs w:val="18"/>
          <w:color w:val="auto"/>
        </w:rPr>
        <w:t xml:space="preserve">”). Unless otherwise agreed by the JSC: (i) each JSC Subcommittee shall consist of no fewer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Each Party shall bear its own personnel and travel costs and expenses relating to JSC Subcommittee meetings. JSC Subcommittees shall meet at a mutually agreeable time and place or by video or telephone conference.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6.2 Where the JSC is referred any matter under this Agreement (including under Sections 3.2(a)(iv), 3.4, 3.5(d), and 14.1(d), or under any Statement of Work) and the JSC is unable to resolve such relevant referred matter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such longer period as is agreed in writing by the JSC) from when it receives such referral, then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20" w:hanging="412"/>
        <w:spacing w:after="0"/>
        <w:tabs>
          <w:tab w:leader="none" w:pos="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and Data Protection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Each Party shall comply with its respective obligations under Data Privacy Laws.</w:t>
      </w:r>
    </w:p>
    <w:p>
      <w:pPr>
        <w:spacing w:after="0" w:line="213"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7.2 To the extent that AstraZeneca has provided its permission to disapply the terms of Section 18.2(b), Tempus agrees to an amendment to this Agreement as reasonably proposed by AstraZeneca, and enter into any and all agreements and measures as reasonably required by AstraZeneca to maintain compliance with Applicable Law.</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00"/>
          </w:cols>
          <w:pgMar w:left="580" w:top="263" w:right="619" w:bottom="1440" w:gutter="0" w:footer="0" w:header="0"/>
        </w:sectPr>
      </w:pPr>
    </w:p>
    <w:bookmarkStart w:id="306" w:name="page307"/>
    <w:bookmarkEnd w:id="306"/>
    <w:p>
      <w:pPr>
        <w:ind w:right="26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7.3 Tempus and AstraZeneca shall cooperate in good faith to ensure that the highest ethical standards are upheld in the obtaining of human biological samples, associated data and the consents with respect thereto, in relation to activities contemplated by this Agreement.</w:t>
      </w:r>
    </w:p>
    <w:p>
      <w:pPr>
        <w:spacing w:after="0" w:line="168"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8"/>
          <w:szCs w:val="18"/>
          <w:color w:val="auto"/>
        </w:rPr>
        <w:t xml:space="preserve">7.4 In connection with the foregoing,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JSC will establish and appoint a JSC Subcommittee (the “</w:t>
      </w:r>
      <w:r>
        <w:rPr>
          <w:rFonts w:ascii="Times New Roman" w:cs="Times New Roman" w:eastAsia="Times New Roman" w:hAnsi="Times New Roman"/>
          <w:sz w:val="18"/>
          <w:szCs w:val="18"/>
          <w:b w:val="1"/>
          <w:bCs w:val="1"/>
          <w:color w:val="auto"/>
        </w:rPr>
        <w:t>ICF Subcommittee</w:t>
      </w:r>
      <w:r>
        <w:rPr>
          <w:rFonts w:ascii="Times New Roman" w:cs="Times New Roman" w:eastAsia="Times New Roman" w:hAnsi="Times New Roman"/>
          <w:sz w:val="18"/>
          <w:szCs w:val="18"/>
          <w:color w:val="auto"/>
        </w:rPr>
        <w:t>”), the principal responsibilities of which shall be to:</w:t>
      </w:r>
    </w:p>
    <w:p>
      <w:pPr>
        <w:spacing w:after="0" w:line="75" w:lineRule="exact"/>
        <w:rPr>
          <w:sz w:val="20"/>
          <w:szCs w:val="20"/>
          <w:color w:val="auto"/>
        </w:rPr>
      </w:pPr>
    </w:p>
    <w:p>
      <w:pPr>
        <w:ind w:left="420" w:hanging="412"/>
        <w:spacing w:after="0"/>
        <w:tabs>
          <w:tab w:leader="none" w:pos="4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the activities set out in Sections 7.3 to 7.7;</w:t>
      </w:r>
    </w:p>
    <w:p>
      <w:pPr>
        <w:spacing w:after="0" w:line="12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assist the Parties to uphold the highest ethical standards as described in Section 7.3; and</w:t>
      </w:r>
    </w:p>
    <w:p>
      <w:pPr>
        <w:spacing w:after="0" w:line="12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activities as may be delegated to the ICF Subcommittee by the JSC from time to time.</w:t>
      </w:r>
    </w:p>
    <w:p>
      <w:pPr>
        <w:spacing w:after="0" w:line="211" w:lineRule="exact"/>
        <w:rPr>
          <w:sz w:val="20"/>
          <w:szCs w:val="20"/>
          <w:color w:val="auto"/>
        </w:rPr>
      </w:pPr>
    </w:p>
    <w:p>
      <w:pPr>
        <w:ind w:right="1020"/>
        <w:spacing w:after="0" w:line="270" w:lineRule="auto"/>
        <w:rPr>
          <w:sz w:val="20"/>
          <w:szCs w:val="20"/>
          <w:color w:val="auto"/>
        </w:rPr>
      </w:pPr>
      <w:r>
        <w:rPr>
          <w:rFonts w:ascii="Times New Roman" w:cs="Times New Roman" w:eastAsia="Times New Roman" w:hAnsi="Times New Roman"/>
          <w:sz w:val="18"/>
          <w:szCs w:val="18"/>
          <w:color w:val="auto"/>
        </w:rPr>
        <w:t xml:space="preserve">7.5 The first ICF Subcommittee meeting shall be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subsequent meetings scheduled as mutually agreed upon by ICF Subcommittee representatives, but in no event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unless otherwise agreed upon by the JSC.</w:t>
      </w:r>
    </w:p>
    <w:p>
      <w:pPr>
        <w:spacing w:after="0" w:line="16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7.6 At such meetings the ICF Subcommittee shall review the ICF(s) created or used by Tempus or third parties in light of (a) changes to Applicable Law, associated practices and standards, or third party uses of the data that is the subject of such ICF(s); or (b) other relevant factors.</w:t>
      </w:r>
    </w:p>
    <w:p>
      <w:pPr>
        <w:spacing w:after="0" w:line="1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7.7 Promptly, and in any event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after each meeting, the ICF Subcommittee shall prepare and circulate to the Parties recommendations regarding changes to the ICF(s) and associated practices (if any) for consideration. Each Party shall consider such recommendations in good faith and, if such recommendations are agreed to be implemented, promptly do such things as are reasonably necessary to implement such recommendations. The ICF Subcommittee shall oversee the implementation of any such changes to the ICF(s) and associated practices.</w:t>
      </w:r>
    </w:p>
    <w:p>
      <w:pPr>
        <w:spacing w:after="0" w:line="91" w:lineRule="exact"/>
        <w:rPr>
          <w:sz w:val="20"/>
          <w:szCs w:val="20"/>
          <w:color w:val="auto"/>
        </w:rPr>
      </w:pPr>
    </w:p>
    <w:p>
      <w:pPr>
        <w:ind w:left="420" w:hanging="412"/>
        <w:spacing w:after="0"/>
        <w:tabs>
          <w:tab w:leader="none" w:pos="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 Each Party shall comply with its respective obligations in the Cybersecurity Requirements Exhibit as attached in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420" w:hanging="412"/>
        <w:spacing w:after="0"/>
        <w:tabs>
          <w:tab w:leader="none" w:pos="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Expectations of Third Parties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xml:space="preserve">9.1 Tempus recognizes AstraZeneca’s commitment to work only with suppliers and partners who embrace the standards of ethical behavior consistent with AstraZeneca’s Expectations of Third Parties Handbook, a copy of which can be found on </w:t>
      </w:r>
      <w:r>
        <w:rPr>
          <w:rFonts w:ascii="Times New Roman" w:cs="Times New Roman" w:eastAsia="Times New Roman" w:hAnsi="Times New Roman"/>
          <w:sz w:val="18"/>
          <w:szCs w:val="18"/>
          <w:u w:val="single" w:color="auto"/>
          <w:color w:val="auto"/>
        </w:rPr>
        <w:t>www.astrazeneca.com</w:t>
      </w:r>
      <w:r>
        <w:rPr>
          <w:rFonts w:ascii="Times New Roman" w:cs="Times New Roman" w:eastAsia="Times New Roman" w:hAnsi="Times New Roman"/>
          <w:sz w:val="18"/>
          <w:szCs w:val="18"/>
          <w:color w:val="auto"/>
        </w:rPr>
        <w:t xml:space="preserve"> or by clicking the “Resources” tab on </w:t>
      </w:r>
      <w:r>
        <w:rPr>
          <w:rFonts w:ascii="Times New Roman" w:cs="Times New Roman" w:eastAsia="Times New Roman" w:hAnsi="Times New Roman"/>
          <w:sz w:val="18"/>
          <w:szCs w:val="18"/>
          <w:u w:val="single" w:color="auto"/>
          <w:color w:val="auto"/>
        </w:rPr>
        <w:t>https://www.astrazeneca.com/sustainability.html</w:t>
      </w:r>
      <w:r>
        <w:rPr>
          <w:rFonts w:ascii="Times New Roman" w:cs="Times New Roman" w:eastAsia="Times New Roman" w:hAnsi="Times New Roman"/>
          <w:sz w:val="18"/>
          <w:szCs w:val="18"/>
          <w:color w:val="auto"/>
        </w:rPr>
        <w:t>, as amended from time to time, and in particular those principles in the Section “Anti-Bribery and Anti-Corruption” as amended from time to time (“</w:t>
      </w:r>
      <w:r>
        <w:rPr>
          <w:rFonts w:ascii="Times New Roman" w:cs="Times New Roman" w:eastAsia="Times New Roman" w:hAnsi="Times New Roman"/>
          <w:sz w:val="18"/>
          <w:szCs w:val="18"/>
          <w:b w:val="1"/>
          <w:bCs w:val="1"/>
          <w:color w:val="auto"/>
        </w:rPr>
        <w:t>Supplier Expectations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9.2 Tempus represents, warrants and covenants that it: (i) will perform this Agreement and operate its business in compliance with all Applicable Laws,</w:t>
      </w:r>
    </w:p>
    <w:p>
      <w:pPr>
        <w:spacing w:after="0" w:line="44" w:lineRule="exact"/>
        <w:rPr>
          <w:sz w:val="20"/>
          <w:szCs w:val="20"/>
          <w:color w:val="auto"/>
        </w:rPr>
      </w:pPr>
    </w:p>
    <w:p>
      <w:pPr>
        <w:ind w:left="5280" w:right="2260" w:hanging="5272"/>
        <w:spacing w:after="0" w:line="414" w:lineRule="auto"/>
        <w:tabs>
          <w:tab w:leader="none" w:pos="26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read and received AstraZeneca’s Code of Ethics, which can be found on </w:t>
      </w:r>
      <w:r>
        <w:rPr>
          <w:rFonts w:ascii="Times New Roman" w:cs="Times New Roman" w:eastAsia="Times New Roman" w:hAnsi="Times New Roman"/>
          <w:sz w:val="18"/>
          <w:szCs w:val="18"/>
          <w:u w:val="single" w:color="auto"/>
          <w:color w:val="auto"/>
        </w:rPr>
        <w:t>www.astrazeneca.com</w:t>
      </w:r>
      <w:r>
        <w:rPr>
          <w:rFonts w:ascii="Times New Roman" w:cs="Times New Roman" w:eastAsia="Times New Roman" w:hAnsi="Times New Roman"/>
          <w:sz w:val="18"/>
          <w:szCs w:val="18"/>
          <w:color w:val="auto"/>
        </w:rPr>
        <w:t xml:space="preserve"> or by clicking the 17</w:t>
      </w:r>
    </w:p>
    <w:p>
      <w:pPr>
        <w:sectPr>
          <w:pgSz w:w="11900" w:h="16838" w:orient="portrait"/>
          <w:cols w:equalWidth="0" w:num="1">
            <w:col w:w="10720"/>
          </w:cols>
          <w:pgMar w:left="580" w:top="265" w:right="5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“Resources” tab on </w:t>
      </w:r>
      <w:r>
        <w:rPr>
          <w:rFonts w:ascii="Times New Roman" w:cs="Times New Roman" w:eastAsia="Times New Roman" w:hAnsi="Times New Roman"/>
          <w:sz w:val="18"/>
          <w:szCs w:val="18"/>
          <w:u w:val="single" w:color="auto"/>
          <w:color w:val="auto"/>
        </w:rPr>
        <w:t>https://www.astrazeneca.com/sustainability.html</w:t>
      </w:r>
      <w:r>
        <w:rPr>
          <w:rFonts w:ascii="Times New Roman" w:cs="Times New Roman" w:eastAsia="Times New Roman" w:hAnsi="Times New Roman"/>
          <w:sz w:val="18"/>
          <w:szCs w:val="18"/>
          <w:color w:val="auto"/>
        </w:rPr>
        <w:t xml:space="preserve"> and will perform this Agreement consistent with AstraZeneca’s Code of Ethics,</w:t>
      </w:r>
    </w:p>
    <w:p>
      <w:pPr>
        <w:spacing w:after="0" w:line="21" w:lineRule="exact"/>
        <w:rPr>
          <w:sz w:val="20"/>
          <w:szCs w:val="20"/>
          <w:color w:val="auto"/>
        </w:rPr>
      </w:pPr>
    </w:p>
    <w:p>
      <w:pPr>
        <w:ind w:right="40" w:firstLine="8"/>
        <w:spacing w:after="0" w:line="243" w:lineRule="auto"/>
        <w:tabs>
          <w:tab w:leader="none" w:pos="30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ensure that it has, and shall procure that all relevant Tempus personnel providing Services have, received and shall comply with AstraZeneca’s Principles on Data and AI, which can be found at </w:t>
      </w:r>
      <w:r>
        <w:rPr>
          <w:rFonts w:ascii="Times New Roman" w:cs="Times New Roman" w:eastAsia="Times New Roman" w:hAnsi="Times New Roman"/>
          <w:sz w:val="18"/>
          <w:szCs w:val="18"/>
          <w:u w:val="single" w:color="auto"/>
          <w:color w:val="auto"/>
        </w:rPr>
        <w:t>https://www.astrazeneca.com/sustainability/ethics-and-transparency/data-and-ai-ethics.html</w:t>
      </w:r>
      <w:r>
        <w:rPr>
          <w:rFonts w:ascii="Times New Roman" w:cs="Times New Roman" w:eastAsia="Times New Roman" w:hAnsi="Times New Roman"/>
          <w:sz w:val="18"/>
          <w:szCs w:val="18"/>
          <w:color w:val="auto"/>
        </w:rPr>
        <w:t xml:space="preserve"> , and shall cooperate with AstraZeneca in good faith to ensure continued compliance with AstraZeneca’s Principles on Data and AI for the Term, (iv) will perform this Agreement and operate its business to ethical standards consistent with those set out in the Supplier Expectations, (v) will not take any action that will cause AstraZeneca to be in breach of any Applicable Laws for the prevention of fraud, bribery and corruption, racketeering, money laundering, terrorism, product security or product safety, including the US Foreign Corrupt Practices Act and the UK Bribery Act, (vi) will not offer, pay, request or accept any bribe, inducement, kickback or facilitation payment, and will not make or cause another to make any offer or payment to any individual or entity for the purpose of influencing a decision for the benefit of AstraZeneca, (vii) shall, without limiting the foregoing, promptly, and in any event within 60 days of the Effective Date, implement policies with respect to human rights and modern slavery, and any other internal policies as may be required, so as to establish and maintain compliance with the standards required in respect thereof by the Supplier Expectations and AstraZeneca’s Code of Ethics, and (viii) will use reasonable efforts to cause its Affiliates and its and their subcontractors performing activities under this Agreement, including the provision of Services, to operate their business in compliance with all Applicable Laws and in a manner consistent with the Supplier Expectations.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9.3 In the event that Tempus fails to meet or maintain such ethical standards,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420" w:hanging="412"/>
        <w:spacing w:after="0"/>
        <w:tabs>
          <w:tab w:leader="none" w:pos="4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10.1 AstraZeneca shall have sole control over any regulatory filings with respect to results obtained by AstraZeneca from the receipt of Services, or use of the Licensed Data or any Deliverable.</w:t>
      </w:r>
    </w:p>
    <w:p>
      <w:pPr>
        <w:spacing w:after="0" w:line="1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10.2 Without limiting Tempus’ ability to fulfill its obligations under Applicable Law, and unless otherwise mutually agreed in a Statement of Work, AstraZeneca shall be responsible for any and all written and oral contact with any Regulatory Authority with respect to the Services and Deliverables, including the submission of all reports or notices required by Applicable Law. Tempus shall not initiate or participate in any communications with any Regulatory Authority to the extent concerning the Services or any Deliverable unless required by Applicable Law or requested to do so by, and then only after prior consultation with, AstraZeneca (to the extent such consultation is permitted under Applicable Law). To the extent not prohibited by Applicable Law, Tempus shall provide AstraZeneca with a copy of all correspondence with any Regulatory Authority to the extent relating to this Agreement, or the Services, the Licensed Data or any Deliverables.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20"/>
          </w:cols>
          <w:pgMar w:left="580" w:top="265" w:right="59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10.4 To the extent not prohibited by Applicable Law, </w:t>
      </w:r>
      <w:r>
        <w:rPr>
          <w:rFonts w:ascii="Times New Roman" w:cs="Times New Roman" w:eastAsia="Times New Roman" w:hAnsi="Times New Roman"/>
          <w:sz w:val="18"/>
          <w:szCs w:val="18"/>
          <w:b w:val="1"/>
          <w:bCs w:val="1"/>
          <w:color w:val="auto"/>
        </w:rPr>
        <w:t>[***].</w:t>
      </w:r>
    </w:p>
    <w:p>
      <w:pPr>
        <w:spacing w:after="0" w:line="123" w:lineRule="exact"/>
        <w:rPr>
          <w:sz w:val="20"/>
          <w:szCs w:val="20"/>
          <w:color w:val="auto"/>
        </w:rPr>
      </w:pPr>
    </w:p>
    <w:p>
      <w:pPr>
        <w:ind w:left="540" w:hanging="532"/>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Invoicing</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11.1 Subject to the terms of this Agreement (including the applicable Statement of Work), AstraZeneca shall pay to Tempus the invoiced fees as set out in each Statement of Work. No fees or costs other than the relevant fees under this Agreement shall be payable by AstraZeneca.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11.2 No payment for Services will be made unless a purchase order is issued by AstraZeneca. Invoices must reference a corresponding purchase order number. If an Affiliate issues a purchase order under this Agreement, then the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for purposes of such purchase order will be the Affiliate, and the Affiliate will be deemed substituted in the place of AstraZeneca solely for the purposes of such purchase order.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11.3 AstraZeneca will pay all invoices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receipt of a valid and undisputed invoice.</w:t>
      </w:r>
    </w:p>
    <w:p>
      <w:pPr>
        <w:spacing w:after="0" w:line="2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xml:space="preserve">11.4 Tempus agrees to participate in the electronic transaction program for purchase orders. AstraZeneca will indicate the electronic transaction program applicable to Tempus for each purchase order, details of which can be found on </w:t>
      </w:r>
      <w:r>
        <w:rPr>
          <w:rFonts w:ascii="Times New Roman" w:cs="Times New Roman" w:eastAsia="Times New Roman" w:hAnsi="Times New Roman"/>
          <w:sz w:val="18"/>
          <w:szCs w:val="18"/>
          <w:u w:val="single" w:color="auto"/>
          <w:color w:val="auto"/>
        </w:rPr>
        <w:t>www.astrazeneca.com</w:t>
      </w:r>
      <w:r>
        <w:rPr>
          <w:rFonts w:ascii="Times New Roman" w:cs="Times New Roman" w:eastAsia="Times New Roman" w:hAnsi="Times New Roman"/>
          <w:sz w:val="18"/>
          <w:szCs w:val="18"/>
          <w:color w:val="auto"/>
        </w:rPr>
        <w:t xml:space="preserve"> on the “Supplier Information” tab or by going to </w:t>
      </w:r>
      <w:r>
        <w:rPr>
          <w:rFonts w:ascii="Times New Roman" w:cs="Times New Roman" w:eastAsia="Times New Roman" w:hAnsi="Times New Roman"/>
          <w:sz w:val="18"/>
          <w:szCs w:val="18"/>
          <w:u w:val="single" w:color="auto"/>
          <w:color w:val="auto"/>
        </w:rPr>
        <w:t>https://www.astrazeneca.com/az-suppliers.html</w:t>
      </w:r>
      <w:r>
        <w:rPr>
          <w:rFonts w:ascii="Times New Roman" w:cs="Times New Roman" w:eastAsia="Times New Roman" w:hAnsi="Times New Roman"/>
          <w:sz w:val="18"/>
          <w:szCs w:val="18"/>
          <w:color w:val="auto"/>
        </w:rPr>
        <w:t>, as amended from time to time. Participation in the electronic transaction program includes the preparation and regular maintenance of electronic catalogues to support a high-quality ordering process and accepting the electronic transmission of purchase orders from AstraZeneca. Tempus agrees to provide the required data and to designate a representative to assist in ensuring implementation and maintenance of the electronic transaction program.</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 xml:space="preserve">11.5 Tempus agrees to submit all invoices and any corresponding credit notes to AstraZeneca electronically through the electronic transaction program designated by AstraZeneca, details of which can be found on </w:t>
      </w:r>
      <w:r>
        <w:rPr>
          <w:rFonts w:ascii="Times New Roman" w:cs="Times New Roman" w:eastAsia="Times New Roman" w:hAnsi="Times New Roman"/>
          <w:sz w:val="18"/>
          <w:szCs w:val="18"/>
          <w:u w:val="single" w:color="auto"/>
          <w:color w:val="auto"/>
        </w:rPr>
        <w:t>www.astrazeneca.com</w:t>
      </w:r>
      <w:r>
        <w:rPr>
          <w:rFonts w:ascii="Times New Roman" w:cs="Times New Roman" w:eastAsia="Times New Roman" w:hAnsi="Times New Roman"/>
          <w:sz w:val="18"/>
          <w:szCs w:val="18"/>
          <w:color w:val="auto"/>
        </w:rPr>
        <w:t xml:space="preserve"> on the “Supplier Information” tab or by going to </w:t>
      </w:r>
      <w:r>
        <w:rPr>
          <w:rFonts w:ascii="Times New Roman" w:cs="Times New Roman" w:eastAsia="Times New Roman" w:hAnsi="Times New Roman"/>
          <w:sz w:val="18"/>
          <w:szCs w:val="18"/>
          <w:u w:val="single" w:color="auto"/>
          <w:color w:val="auto"/>
        </w:rPr>
        <w:t>https://www.astrazeneca.com/az-suppliers.html</w:t>
      </w:r>
      <w:r>
        <w:rPr>
          <w:rFonts w:ascii="Times New Roman" w:cs="Times New Roman" w:eastAsia="Times New Roman" w:hAnsi="Times New Roman"/>
          <w:sz w:val="18"/>
          <w:szCs w:val="18"/>
          <w:color w:val="auto"/>
        </w:rPr>
        <w:t>, as amended from time to time. AstraZeneca will indicate the electronic transaction program applicable to Tempus for each invoice. Tempus should only submit invoices through the electronic transaction program and only valid invoices or credit notes submitted through the electronic transaction program will be considered received by AstraZeneca. The electronic transaction program will allow Tempus to either (i) transmit invoices and credit notes electronically; or (ii) create those invoices or credit notes within the electronic transaction program. AstraZeneca may reasonably reject any invoice or credit note that does not meet at least the following relevant standards. The relevant standard for an invoice is one that:</w:t>
      </w:r>
    </w:p>
    <w:p>
      <w:pPr>
        <w:spacing w:after="0" w:line="186" w:lineRule="exact"/>
        <w:rPr>
          <w:sz w:val="20"/>
          <w:szCs w:val="20"/>
          <w:color w:val="auto"/>
        </w:rPr>
      </w:pPr>
    </w:p>
    <w:p>
      <w:pPr>
        <w:ind w:left="240" w:hanging="232"/>
        <w:spacing w:after="0"/>
        <w:tabs>
          <w:tab w:leader="none" w:pos="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local law, the European standard and any of the syntaxes published in Commission Implementing Decision (EU) 2017/1870;</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the different goods and services within the invoice;</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the full details of the AstraZeneca party, including legal name, address and when applicable the indirect tax ID number; and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20"/>
          </w:cols>
          <w:pgMar w:left="580" w:top="263" w:right="599" w:bottom="1440" w:gutter="0" w:footer="0" w:header="0"/>
        </w:sectPr>
      </w:pPr>
    </w:p>
    <w:bookmarkStart w:id="309" w:name="page310"/>
    <w:bookmarkEnd w:id="309"/>
    <w:p>
      <w:pPr>
        <w:ind w:left="260" w:hanging="252"/>
        <w:spacing w:after="0"/>
        <w:tabs>
          <w:tab w:leader="none" w:pos="2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is raised by Tempus, in all circumstances, unless AstraZeneca and Tempus mutually agree in writing a self-invoicing scheme.</w:t>
      </w:r>
    </w:p>
    <w:p>
      <w:pPr>
        <w:spacing w:after="0" w:line="21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Credit notes should be used to amend incorrect invoices and should inform of the error being corrected and invoices affected.</w:t>
      </w:r>
    </w:p>
    <w:p>
      <w:pPr>
        <w:spacing w:after="0" w:line="211"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 xml:space="preserve">11.7 If an invoice is disputed, AstraZeneca shall notify Tempus in writing not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date of receipt of such disputed invoice specifying the reasons for disputing the invoice. AstraZeneca and Tempus will discuss such disputed invoice in good faith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Tempus acknowledges the invoice has been disputed, whereby Tempus shall provide all evidence as may be reasonably necessary to verify such disputed invoice. Tempus may invoice for any Services that are not disputed while working to correct the disputed invoice.</w:t>
      </w:r>
    </w:p>
    <w:p>
      <w:pPr>
        <w:spacing w:after="0" w:line="18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 xml:space="preserve">11.8 If either Party fails to pay any amount due under this agreement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payment is due, then such paying Party shall pay interest thereon at no more than an annual rate equal to the lesser of (i)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“Reference Rate”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ind w:left="420" w:hanging="412"/>
        <w:spacing w:after="0"/>
        <w:tabs>
          <w:tab w:leader="none" w:pos="4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Deductions and Withholdings</w:t>
      </w:r>
      <w:r>
        <w:rPr>
          <w:rFonts w:ascii="Times New Roman" w:cs="Times New Roman" w:eastAsia="Times New Roman" w:hAnsi="Times New Roman"/>
          <w:sz w:val="18"/>
          <w:szCs w:val="18"/>
          <w:color w:val="auto"/>
        </w:rPr>
        <w:t>. If a deduction or withholding for or on account of tax (“</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is required by law to be made by AstraZeneca, AstraZeneca shall deduct or withhold from the payments any taxes that it is required by Applicable Law to deduct or withhold. AstraZeneca shall not be required to make an increased payment to Tempus where a Tax Deduction is required. AstraZeneca shall cooperate reasonably with Tempus to reduce or recover the Tax Deduction (e.g., by completing prescribed forms) provided that AstraZeneca shall not apply a reduced rate of Tax Deduction unless Tempus has provided evidence, in a form satisfactory to AstraZeneca of authorization to do so.</w:t>
      </w:r>
    </w:p>
    <w:p>
      <w:pPr>
        <w:spacing w:after="0" w:line="18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Indirect Taxes</w:t>
      </w:r>
      <w:r>
        <w:rPr>
          <w:rFonts w:ascii="Times New Roman" w:cs="Times New Roman" w:eastAsia="Times New Roman" w:hAnsi="Times New Roman"/>
          <w:sz w:val="18"/>
          <w:szCs w:val="18"/>
          <w:color w:val="auto"/>
        </w:rPr>
        <w:t>. All payments under this Agreement are stated exclusive of any Indirect Tax. Accordingly, if any Indirect Tax is chargeable on the recipient of a payment in respect of such payment, the party making such payment shall pay an additional amount equal to such Indirect Tax at the applicable rate in respect of such payment, on the due date of the payment to which such Indirect Tax relates. The Parties shall promptly issue appropriate Indirect Tax invoices in respect of all goods and services supplied under this Agreement consistent with applicable Indirect Tax requirements, and to the extent an invoice is not initially issued in an appropriate form, they shall cooperate to provide such information or assistance as may be necessary to enable the issuance of such invoice consistent with Indirect Tax requirements.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Anti-Tax Evasion</w:t>
      </w:r>
      <w:r>
        <w:rPr>
          <w:rFonts w:ascii="Times New Roman" w:cs="Times New Roman" w:eastAsia="Times New Roman" w:hAnsi="Times New Roman"/>
          <w:sz w:val="18"/>
          <w:szCs w:val="18"/>
          <w:color w:val="auto"/>
        </w:rPr>
        <w:t>. Each of AstraZeneca and Tempus represents, warrants and undertakes that it shall not commit a tax evasion facilitation offence under Part 3 of the UK Criminal Finances Act 2017 in connection with or otherwise attributable to this Agreement or the transactions contemplated hereby.</w:t>
      </w:r>
    </w:p>
    <w:p>
      <w:pPr>
        <w:spacing w:after="0" w:line="18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12.4 Each Party shall promptly report to the other Party any apparent breach of Section 12.3 and shall (i) answer, in reasonable detail, any written or oral inquiry from the other Party related to its compliance with Section 12.3, (ii) facilitate the interview of employees of such Party by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00"/>
          </w:cols>
          <w:pgMar w:left="580" w:top="265" w:right="61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other Party (or any agent of such Party) at any reasonable time specified by the inquiring Party related to such Party’s compliance with Section 12.3, and</w:t>
      </w:r>
    </w:p>
    <w:p>
      <w:pPr>
        <w:spacing w:after="0" w:line="44" w:lineRule="exact"/>
        <w:rPr>
          <w:sz w:val="20"/>
          <w:szCs w:val="20"/>
          <w:color w:val="auto"/>
        </w:rPr>
      </w:pPr>
    </w:p>
    <w:p>
      <w:pPr>
        <w:ind w:right="200" w:firstLine="8"/>
        <w:spacing w:after="0" w:line="274" w:lineRule="auto"/>
        <w:tabs>
          <w:tab w:leader="none" w:pos="306"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inquiring Party or any government, state or municipality or any local, state, federal or other fiscal, revenue, customs or excise authority, body or official anywhere in the world (“</w:t>
      </w:r>
      <w:r>
        <w:rPr>
          <w:rFonts w:ascii="Times New Roman" w:cs="Times New Roman" w:eastAsia="Times New Roman" w:hAnsi="Times New Roman"/>
          <w:sz w:val="16"/>
          <w:szCs w:val="16"/>
          <w:b w:val="1"/>
          <w:bCs w:val="1"/>
          <w:color w:val="auto"/>
        </w:rPr>
        <w:t>Tax Authority”) in relation to any investigation relating to the matters referred to in</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Section 12.3, in all cases, as reasonably required to enable that other Party to comply with its undertaking in Section 12.3.</w:t>
      </w:r>
    </w:p>
    <w:p>
      <w:pPr>
        <w:spacing w:after="0" w:line="222" w:lineRule="exact"/>
        <w:rPr>
          <w:sz w:val="20"/>
          <w:szCs w:val="20"/>
          <w:color w:val="auto"/>
        </w:rPr>
      </w:pPr>
    </w:p>
    <w:p>
      <w:pPr>
        <w:jc w:val="both"/>
        <w:ind w:right="8700" w:firstLine="8"/>
        <w:spacing w:after="0" w:line="546" w:lineRule="auto"/>
        <w:tabs>
          <w:tab w:leader="none" w:pos="525"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xml:space="preserve">. 13.1 </w:t>
      </w:r>
      <w:r>
        <w:rPr>
          <w:rFonts w:ascii="Times New Roman" w:cs="Times New Roman" w:eastAsia="Times New Roman" w:hAnsi="Times New Roman"/>
          <w:sz w:val="16"/>
          <w:szCs w:val="16"/>
          <w:u w:val="single" w:color="auto"/>
          <w:color w:val="auto"/>
        </w:rPr>
        <w:t>AstraZeneca Materials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AstraZeneca Materials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260" w:firstLine="8"/>
        <w:spacing w:after="0" w:line="255" w:lineRule="auto"/>
        <w:tabs>
          <w:tab w:leader="none" w:pos="24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is and will remain the owner of all Intellectual Property Rights in the AstraZeneca Materials. Ownership of all Third Party Materials and of all Intellectual Property Rights therein, is and will remain with the respective owners thereof, subject to any express licenses or sublicenses granted to Tempus pursuant to or in accordance with this Agreement.</w:t>
      </w:r>
    </w:p>
    <w:p>
      <w:pPr>
        <w:spacing w:after="0" w:line="180" w:lineRule="exact"/>
        <w:rPr>
          <w:rFonts w:ascii="Times New Roman" w:cs="Times New Roman" w:eastAsia="Times New Roman" w:hAnsi="Times New Roman"/>
          <w:sz w:val="18"/>
          <w:szCs w:val="18"/>
          <w:color w:val="auto"/>
        </w:rPr>
      </w:pPr>
    </w:p>
    <w:p>
      <w:pPr>
        <w:ind w:firstLine="8"/>
        <w:spacing w:after="0" w:line="267" w:lineRule="auto"/>
        <w:tabs>
          <w:tab w:leader="none" w:pos="23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agreed to otherwise in a Statement of Work, Tempus will promptly return to AstraZeneca all AstraZeneca Materials in its possession upon the termination or expiration of this Agreement or the relevant Statement of Work, under Section 16.8(b).</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Tempus Materials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240" w:hanging="232"/>
        <w:spacing w:after="0"/>
        <w:tabs>
          <w:tab w:leader="none" w:pos="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Tempus Materials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right="280" w:firstLine="8"/>
        <w:spacing w:after="0" w:line="255" w:lineRule="auto"/>
        <w:tabs>
          <w:tab w:leader="none" w:pos="2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is and will remain the owner of all Intellectual Property Rights in the Tempus Materials and Licensed Data. Ownership of all Third Party Materials and of all Intellectual Property Rights therein, is and will remain with the respective owners thereof, subject to any express licenses or sublicenses granted to AstraZeneca pursuant to or in accordance with this Agreement.</w:t>
      </w:r>
    </w:p>
    <w:p>
      <w:pPr>
        <w:spacing w:after="0" w:line="17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right="500" w:firstLine="8"/>
        <w:spacing w:after="0" w:line="270" w:lineRule="auto"/>
        <w:tabs>
          <w:tab w:leader="none" w:pos="2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Tempus use any Third Party Materials or Third Party IP in the provision of Services,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necessary rights to use such Third Party Materials and Third Party IP.</w:t>
      </w:r>
    </w:p>
    <w:p>
      <w:pPr>
        <w:spacing w:after="0" w:line="166" w:lineRule="exact"/>
        <w:rPr>
          <w:rFonts w:ascii="Times New Roman" w:cs="Times New Roman" w:eastAsia="Times New Roman" w:hAnsi="Times New Roman"/>
          <w:sz w:val="18"/>
          <w:szCs w:val="18"/>
          <w:color w:val="auto"/>
        </w:rPr>
      </w:pPr>
    </w:p>
    <w:p>
      <w:pPr>
        <w:ind w:right="20" w:firstLine="8"/>
        <w:spacing w:after="0" w:line="255" w:lineRule="auto"/>
        <w:tabs>
          <w:tab w:leader="none" w:pos="23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Tempus’ other obligations or AstraZeneca’s rights and remedies, if Tempus becomes aware of any actual or threatened claim or risk of infringement or misappropriation of any Third Party IP or Third Party Materials arising out of the provision of the Services or Licensed Data to AstraZeneca under this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Rights in Project Inventions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5280" w:right="4000" w:hanging="5272"/>
        <w:spacing w:after="0" w:line="437" w:lineRule="auto"/>
        <w:tabs>
          <w:tab w:leader="none" w:pos="24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13.2(b), AstraZeneca shall own all AstraZeneca Project Inventions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21</w:t>
      </w:r>
    </w:p>
    <w:p>
      <w:pPr>
        <w:sectPr>
          <w:pgSz w:w="11900" w:h="16838" w:orient="portrait"/>
          <w:cols w:equalWidth="0" w:num="1">
            <w:col w:w="10700"/>
          </w:cols>
          <w:pgMar w:left="580" w:top="265" w:right="619" w:bottom="1440" w:gutter="0" w:footer="0" w:header="0"/>
        </w:sectPr>
      </w:pPr>
    </w:p>
    <w:bookmarkStart w:id="311" w:name="page312"/>
    <w:bookmarkEnd w:id="311"/>
    <w:p>
      <w:pPr>
        <w:ind w:left="260" w:hanging="252"/>
        <w:spacing w:after="0"/>
        <w:tabs>
          <w:tab w:leader="none" w:pos="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Tempus shall own all Tempus Project Inventions and Intellectual Property Rights therein.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Project Invention constitutes AstraZeneca Core IP and (but for the exclusion of </w:t>
      </w:r>
      <w:r>
        <w:rPr>
          <w:rFonts w:ascii="Times New Roman" w:cs="Times New Roman" w:eastAsia="Times New Roman" w:hAnsi="Times New Roman"/>
          <w:sz w:val="18"/>
          <w:szCs w:val="18"/>
          <w:b w:val="1"/>
          <w:bCs w:val="1"/>
          <w:color w:val="auto"/>
        </w:rPr>
        <w:t>[***].</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jc w:val="both"/>
        <w:ind w:right="40" w:firstLine="8"/>
        <w:spacing w:after="0" w:line="302" w:lineRule="auto"/>
        <w:tabs>
          <w:tab w:leader="none" w:pos="23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shall do and execute, or arrange for the doing and executing of, each necessary act, document and thing that the other Party may consider necessary or desirable to perfect the right, title and interest of such other Party in and to the relevant Project Inventions and Intellectual Property Rights therein, free and clear of all encumbrances and liens of any kind, as may be required to give effect to the other provisions of this Section 13.3.</w:t>
      </w:r>
    </w:p>
    <w:p>
      <w:pPr>
        <w:spacing w:after="0" w:line="143"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Licensed Data shall always remain subject to the license terms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AstraZeneca agrees not to disclose, sell, sublicense or otherwise transfer or make available all or any portion of the Tempus Materials to, or use the Tempus Materials to provide services to, any third party (other than an AstraZeneca Affiliate) without the prior written consent of Tempus, other than as specifically provided for in a license granted to such Tempus Materials either pursuant to Sections 13.2 or 13.3, above, or in a Statement of Work or as otherwise permitted by this Agreement. Otherwise, nothing contained in this Agreement shall directly or indirectly be construed to assign or grant to AstraZeneca any right, title or interest in or to the trademarks, copyrights, patents or trade secrets of Tempus or any ownership rights in or to the Tempus Materials. AstraZeneca shall not cause or permit the reverse engineering, reverse assembly, or reverse compilation of, or otherwise attempt to derive source code from, the Tempus Materials.</w:t>
      </w:r>
    </w:p>
    <w:p>
      <w:pPr>
        <w:spacing w:after="0" w:line="97" w:lineRule="exact"/>
        <w:rPr>
          <w:sz w:val="20"/>
          <w:szCs w:val="20"/>
          <w:color w:val="auto"/>
        </w:rPr>
      </w:pPr>
    </w:p>
    <w:p>
      <w:pPr>
        <w:ind w:left="540" w:hanging="532"/>
        <w:spacing w:after="0"/>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Error/Delay in Performance of the Services.</w:t>
      </w:r>
    </w:p>
    <w:p>
      <w:pPr>
        <w:spacing w:after="0" w:line="2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14.1 In the event of an error or delay by Tempus in the performance of the Services, whereby such error or delay renders the Services or Deliverables (in whole or in part) unacceptable to AstraZeneca, then without limiting any other right or remedy of AstraZeneca:</w:t>
      </w:r>
    </w:p>
    <w:p>
      <w:pPr>
        <w:spacing w:after="0" w:line="65" w:lineRule="exact"/>
        <w:rPr>
          <w:sz w:val="20"/>
          <w:szCs w:val="20"/>
          <w:color w:val="auto"/>
        </w:rPr>
      </w:pPr>
    </w:p>
    <w:p>
      <w:pPr>
        <w:ind w:left="240" w:hanging="232"/>
        <w:spacing w:after="0"/>
        <w:tabs>
          <w:tab w:leader="none" w:pos="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promptly notify Tempus in writing, detailing the issues and areas of concern.</w:t>
      </w:r>
    </w:p>
    <w:p>
      <w:pPr>
        <w:spacing w:after="0" w:line="21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Tempus shall,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notifying AstraZeneca, provide to AstraZeneca a proposed formal action plan to remedy such error or delay.</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discuss such action plan in good faith and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delivery of the action plan both Parties will meet to discuss progress.</w:t>
      </w:r>
    </w:p>
    <w:p>
      <w:pPr>
        <w:spacing w:after="0" w:line="215" w:lineRule="exact"/>
        <w:rPr>
          <w:rFonts w:ascii="Times New Roman" w:cs="Times New Roman" w:eastAsia="Times New Roman" w:hAnsi="Times New Roman"/>
          <w:sz w:val="18"/>
          <w:szCs w:val="18"/>
          <w:color w:val="auto"/>
        </w:rPr>
      </w:pPr>
    </w:p>
    <w:p>
      <w:pPr>
        <w:ind w:right="300" w:firstLine="8"/>
        <w:spacing w:after="0" w:line="267" w:lineRule="auto"/>
        <w:tabs>
          <w:tab w:leader="none" w:pos="24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such errors or delays (as the case may be) continue, in AstraZeneca’s sole discretion, AstraZeneca shall have the right to escalate the matter to JSC for consideration.</w:t>
      </w:r>
    </w:p>
    <w:p>
      <w:pPr>
        <w:spacing w:after="0" w:line="17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14.2 Notwithstanding Section 14.1 above and without limiting any other right or remedy available to AstraZeneca, in the event of a notified error or delay in the performance of the Services, AstraZeneca may: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00"/>
          </w:cols>
          <w:pgMar w:left="580" w:top="263" w:right="619" w:bottom="1440" w:gutter="0" w:footer="0" w:header="0"/>
        </w:sectPr>
      </w:pPr>
    </w:p>
    <w:bookmarkStart w:id="312" w:name="page313"/>
    <w:bookmarkEnd w:id="312"/>
    <w:p>
      <w:pPr>
        <w:ind w:left="240" w:hanging="232"/>
        <w:spacing w:after="0"/>
        <w:tabs>
          <w:tab w:leader="none" w:pos="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ind w:left="540" w:hanging="532"/>
        <w:spacing w:after="0"/>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scope and duration of any exclusivity for AstraZeneca with respect to the provision of Services, access to Licensed Data or any other subject matter may be agreed in each Statement of Work, including (as applicable) any specific restrictions on the activities of Tempus and its Affiliates with respect to third parties, any restrictions on Tempus providing services or deliverables to such third parties that are the same as, or similar to, the Services or Deliverables (as applicable) under such Statement of Work for a specified period of time. Except to the extent expressly specified in a Statement of Work, the Services and Licensed Data are not subject to exclusivity obligations under this Agreement.</w:t>
      </w:r>
    </w:p>
    <w:p>
      <w:pPr>
        <w:spacing w:after="0" w:line="95" w:lineRule="exact"/>
        <w:rPr>
          <w:sz w:val="20"/>
          <w:szCs w:val="20"/>
          <w:color w:val="auto"/>
        </w:rPr>
      </w:pPr>
    </w:p>
    <w:p>
      <w:pPr>
        <w:ind w:left="540" w:hanging="532"/>
        <w:spacing w:after="0"/>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 and Survival</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16.1 This Agreement shall commence as of the Effective Date and shall continue thereafter through December 31, 2026, unless sooner terminated pursuant to this Section 16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16.2 Each Statement of Work shall commence on the date of execution, and continue in accordance with its terms, unless sooner terminated pursuant to the Sections of this Agreement, or the terms of such Statement of Work. For the avoidance of doubt, expiry of this Agreement shall not itself cause the termination of any then-existing Statements of Work.</w:t>
      </w:r>
    </w:p>
    <w:p>
      <w:pPr>
        <w:spacing w:after="0" w:line="178"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8"/>
          <w:szCs w:val="18"/>
          <w:color w:val="auto"/>
        </w:rPr>
        <w:t xml:space="preserve">16.3 AstraZeneca,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clarity, AstraZeneca shall remain responsible for the Financial Commitment notwithstanding the termination of any Statement of Work pursuant to this Section.</w:t>
      </w:r>
    </w:p>
    <w:p>
      <w:pPr>
        <w:spacing w:after="0" w:line="16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16.4 Termination of a Statement of Work alone will not result in the termination of this Agreement or the termination of any other Statement of Work. Upon the termination of this Agreement for any reason (but excluding its expiration), all Statements of Work then in effect will automatically terminate and Tempus will cease performing the Services, unless AstraZeneca requests that Tempus complete one or more of the Services. In such case, and provided the Agreement has not been terminated due to AstraZeneca’s uncured material breach, the rights and obligations of the Parties under this Agreement will continue in effect with respect to such Services until completion.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Either Party may terminate this Agreement, effective upon written notice to the other Party (the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if the Defaulting Party:</w:t>
      </w:r>
    </w:p>
    <w:p>
      <w:pPr>
        <w:spacing w:after="0" w:line="215" w:lineRule="exact"/>
        <w:rPr>
          <w:sz w:val="20"/>
          <w:szCs w:val="20"/>
          <w:color w:val="auto"/>
        </w:rPr>
      </w:pPr>
    </w:p>
    <w:p>
      <w:pPr>
        <w:ind w:right="160" w:firstLine="8"/>
        <w:spacing w:after="0" w:line="267" w:lineRule="auto"/>
        <w:tabs>
          <w:tab w:leader="none" w:pos="23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breaches this Agreement, and such breach is incapable of cure, or with respect to a material breach capable of cure, the Defaulting Party does not cure such breach within thirty (30) days after receipt of written notice of such breach;</w:t>
      </w:r>
    </w:p>
    <w:p>
      <w:pPr>
        <w:spacing w:after="0" w:line="16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admits its inability to pay its debts generally as they become due;</w:t>
      </w:r>
    </w:p>
    <w:p>
      <w:pPr>
        <w:spacing w:after="0" w:line="213" w:lineRule="exact"/>
        <w:rPr>
          <w:rFonts w:ascii="Times New Roman" w:cs="Times New Roman" w:eastAsia="Times New Roman" w:hAnsi="Times New Roman"/>
          <w:sz w:val="18"/>
          <w:szCs w:val="18"/>
          <w:color w:val="auto"/>
        </w:rPr>
      </w:pPr>
    </w:p>
    <w:p>
      <w:pPr>
        <w:ind w:right="380" w:firstLine="8"/>
        <w:spacing w:after="0" w:line="267" w:lineRule="auto"/>
        <w:tabs>
          <w:tab w:leader="none" w:pos="23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subject, voluntarily or involuntarily, to any proceeding under any domestic or foreign bankruptcy or insolvency law, which is not fully stayed within seven (7) Business Days or is not dismissed or vacated within forty-five (45) days after filing;</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680"/>
          </w:cols>
          <w:pgMar w:left="580" w:top="263" w:right="639" w:bottom="1440" w:gutter="0" w:footer="0" w:header="0"/>
        </w:sectPr>
      </w:pPr>
    </w:p>
    <w:bookmarkStart w:id="313" w:name="page314"/>
    <w:bookmarkEnd w:id="313"/>
    <w:p>
      <w:pPr>
        <w:ind w:left="260" w:hanging="252"/>
        <w:spacing w:after="0"/>
        <w:tabs>
          <w:tab w:leader="none" w:pos="2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is dissolved or liquidated or takes any corporate action for such purpose;</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creditors; or</w:t>
      </w:r>
    </w:p>
    <w:p>
      <w:pPr>
        <w:spacing w:after="0" w:line="213" w:lineRule="exact"/>
        <w:rPr>
          <w:rFonts w:ascii="Times New Roman" w:cs="Times New Roman" w:eastAsia="Times New Roman" w:hAnsi="Times New Roman"/>
          <w:sz w:val="18"/>
          <w:szCs w:val="18"/>
          <w:color w:val="auto"/>
        </w:rPr>
      </w:pPr>
    </w:p>
    <w:p>
      <w:pPr>
        <w:ind w:right="380" w:firstLine="8"/>
        <w:spacing w:after="0" w:line="267" w:lineRule="auto"/>
        <w:tabs>
          <w:tab w:leader="none" w:pos="21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receiver, trustee, custodian, or similar agent appointed by order of any court of competent jurisdiction to take charge of or sell any material portion of its property or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16.6 Without limiting any other right or remedy of AstraZeneca, AstraZeneca may terminate this Agreement, effective upon written notice to Tempus:</w:t>
      </w:r>
    </w:p>
    <w:p>
      <w:pPr>
        <w:spacing w:after="0" w:line="129" w:lineRule="exact"/>
        <w:rPr>
          <w:sz w:val="20"/>
          <w:szCs w:val="20"/>
          <w:color w:val="auto"/>
        </w:rPr>
      </w:pPr>
    </w:p>
    <w:p>
      <w:pPr>
        <w:ind w:left="240" w:hanging="232"/>
        <w:spacing w:after="0"/>
        <w:tabs>
          <w:tab w:leader="none" w:pos="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jc w:val="both"/>
        <w:ind w:right="40" w:firstLine="8"/>
        <w:spacing w:after="0" w:line="251" w:lineRule="auto"/>
        <w:tabs>
          <w:tab w:leader="none" w:pos="23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convenience at any time, provided that where at the effective date of the termination of this Agreement AstraZeneca has not fulfilled its Financial Commitment in accordance with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then AstraZeneca will be liable to pay Tempus the balance of its unfulfilled Financial Commitment, i.e., the unfulfilled portion of two hundred million dollars ($200,000,000) if the MC Extension Option has not been exercised, or three hundred million dollars ($300,000,000) if the MC Extension Option has been exercised;</w:t>
      </w:r>
    </w:p>
    <w:p>
      <w:pPr>
        <w:spacing w:after="0" w:line="184" w:lineRule="exact"/>
        <w:rPr>
          <w:rFonts w:ascii="Times New Roman" w:cs="Times New Roman" w:eastAsia="Times New Roman" w:hAnsi="Times New Roman"/>
          <w:sz w:val="18"/>
          <w:szCs w:val="18"/>
          <w:color w:val="auto"/>
        </w:rPr>
      </w:pPr>
    </w:p>
    <w:p>
      <w:pPr>
        <w:ind w:firstLine="8"/>
        <w:spacing w:after="0" w:line="249" w:lineRule="auto"/>
        <w:tabs>
          <w:tab w:leader="none" w:pos="24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Tempus or one of Tempus’ employees is convicted of a crime involving pharmaceutical counterfeiting, diversion or illegal trade, (ii) there is sufficient evidence of Tempus’ involvement in counterfeiting, diversion or illegal trade, and the involvement was either knowing or the result of a failure to establish necessary preventative controls, or (iii) there is a publicly announced investigation by a Regulatory Authority relating to any suspected or actual violation of Applicable Laws relating to anti-corruption or anti-bribery by Tempus or any Affiliates, consultants, agents, representatives or sub-contractors of Tempus or its Affiliates connected with this Agreement; or</w:t>
      </w:r>
    </w:p>
    <w:p>
      <w:pPr>
        <w:spacing w:after="0" w:line="187" w:lineRule="exact"/>
        <w:rPr>
          <w:sz w:val="20"/>
          <w:szCs w:val="20"/>
          <w:color w:val="auto"/>
        </w:rPr>
      </w:pPr>
    </w:p>
    <w:p>
      <w:pPr>
        <w:ind w:right="60" w:firstLine="8"/>
        <w:spacing w:after="0" w:line="255" w:lineRule="auto"/>
        <w:tabs>
          <w:tab w:leader="none" w:pos="20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is prevented or restricted by Applicable Law (including as a result of a court order or action of a Regulatory Authority) from providing all or a material part of the Services or Licensed Data in the form contemplated under this Agreement and Tempus does not remedy the same within thirty (30) days of the commencement of such prevention or restriction.</w:t>
      </w:r>
    </w:p>
    <w:p>
      <w:pPr>
        <w:spacing w:after="0" w:line="180"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 xml:space="preserve">16.7 Without limiting any other right or remedy of AstraZeneca, AstraZeneca may terminate this Agreement (in whole or in part, with respect to any Statement of Work), effective upon (a) Tempus’ failure to perform an obligation under this Agreement or Statement of Work (whether or not a repudiatory breach) that has been, or substantially similar failures have been, repeated sufficiently often to have a materially adverse impact on the use or enjoyment of the Services or Deliverables (including material detriment to the quality of Services or Deliverables or Licensed Data as provided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or the business of AstraZeneca; (b) Tempus failing to remedy such breach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and (c) AstraZeneca having previously informed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Tempus that if the failure or a substantially similar failure is repeated AstraZeneca may wish to terminate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20"/>
          </w:cols>
          <w:pgMar w:left="580" w:top="265" w:right="59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16.8 Upon expiration or termination of this Agreement or Statement of Work for any reason, Tempus shall promptly (and in the case of a Statement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to the extent applicable to such Statement of Work):</w:t>
      </w:r>
    </w:p>
    <w:p>
      <w:pPr>
        <w:spacing w:after="0" w:line="90" w:lineRule="exact"/>
        <w:rPr>
          <w:sz w:val="20"/>
          <w:szCs w:val="20"/>
          <w:color w:val="auto"/>
        </w:rPr>
      </w:pPr>
    </w:p>
    <w:p>
      <w:pPr>
        <w:ind w:right="400" w:firstLine="8"/>
        <w:spacing w:after="0" w:line="267" w:lineRule="auto"/>
        <w:tabs>
          <w:tab w:leader="none" w:pos="23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AstraZeneca all documents, work product, and other materials and Deliverables, whether or not complete, prepared by or on behalf of Tempus in the course of performing the Services for which AstraZeneca has paid;</w:t>
      </w:r>
    </w:p>
    <w:p>
      <w:pPr>
        <w:spacing w:after="0" w:line="16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AstraZeneca’s direction, return to AstraZeneca or permanently erase/destroy all AstraZeneca Materials;</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any Tempus-owned property, equipment, or materials located at AstraZeneca’s locations;</w:t>
      </w:r>
    </w:p>
    <w:p>
      <w:pPr>
        <w:spacing w:after="0" w:line="213" w:lineRule="exact"/>
        <w:rPr>
          <w:rFonts w:ascii="Times New Roman" w:cs="Times New Roman" w:eastAsia="Times New Roman" w:hAnsi="Times New Roman"/>
          <w:sz w:val="18"/>
          <w:szCs w:val="18"/>
          <w:color w:val="auto"/>
        </w:rPr>
      </w:pPr>
    </w:p>
    <w:p>
      <w:pPr>
        <w:ind w:firstLine="8"/>
        <w:spacing w:after="0" w:line="247" w:lineRule="auto"/>
        <w:tabs>
          <w:tab w:leader="none" w:pos="24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AstraZeneca’s direction, deliver to AstraZeneca or permanently erase/destroy, all of AstraZeneca’s Confidential Information, including any and all documents and tangible materials (and any copies) containing, reflecting, incorporating, or based on AstraZeneca’s Confidential Information, except that Tempus shall be permitted to retain such copies of such Confidential Information as are reasonably required for the sole purpose of performing any obligations under this Agreement that survive expiry or termination of this Agreement or for archival purposes. Notwithstanding the foregoing, Tempus shall also be permitted to retain such additional copies of or any computer records or files containing such Confidential Information that have been created solely by Tempus’ automatic archiving and back-up procedures, to the extent created and retained in a manner consistent with Tempus’ standard archiving and back-up procedures, but not for any other use or purpose;</w:t>
      </w:r>
    </w:p>
    <w:p>
      <w:pPr>
        <w:spacing w:after="0" w:line="189" w:lineRule="exact"/>
        <w:rPr>
          <w:rFonts w:ascii="Times New Roman" w:cs="Times New Roman" w:eastAsia="Times New Roman" w:hAnsi="Times New Roman"/>
          <w:sz w:val="18"/>
          <w:szCs w:val="18"/>
          <w:color w:val="auto"/>
        </w:rPr>
      </w:pPr>
    </w:p>
    <w:p>
      <w:pPr>
        <w:ind w:right="20" w:firstLine="8"/>
        <w:spacing w:after="0" w:line="267" w:lineRule="auto"/>
        <w:tabs>
          <w:tab w:leader="none" w:pos="23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cooperation and assistance to AstraZeneca upon AstraZeneca’s written request in transitioning the Services to an alternate service provider;</w:t>
      </w:r>
    </w:p>
    <w:p>
      <w:pPr>
        <w:spacing w:after="0" w:line="169" w:lineRule="exact"/>
        <w:rPr>
          <w:rFonts w:ascii="Times New Roman" w:cs="Times New Roman" w:eastAsia="Times New Roman" w:hAnsi="Times New Roman"/>
          <w:sz w:val="18"/>
          <w:szCs w:val="18"/>
          <w:color w:val="auto"/>
        </w:rPr>
      </w:pPr>
    </w:p>
    <w:p>
      <w:pPr>
        <w:ind w:right="260" w:firstLine="8"/>
        <w:spacing w:after="0" w:line="267" w:lineRule="auto"/>
        <w:tabs>
          <w:tab w:leader="none" w:pos="21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rata basis, repay all fees and expenses paid in advance for any Services, Deliverables, Licensed Data or other elements that have not been provided;</w:t>
      </w:r>
    </w:p>
    <w:p>
      <w:pPr>
        <w:spacing w:after="0" w:line="16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(through an authorized officer of Tempus) in writing to AstraZeneca that it has complied with the requirements of this Section 16.8; and</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transition and exit assistance as provided in the relevant Statement of Work.</w:t>
      </w:r>
    </w:p>
    <w:p>
      <w:pPr>
        <w:spacing w:after="0" w:line="21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16.9 Upon expiration or termination of this Agreement or Statement of Work for any reason, AstraZeneca shall promptly (and in the case of a Statement of Work, to the extent applicable to such Statement of Work):</w:t>
      </w:r>
    </w:p>
    <w:p>
      <w:pPr>
        <w:spacing w:after="0" w:line="65" w:lineRule="exact"/>
        <w:rPr>
          <w:sz w:val="20"/>
          <w:szCs w:val="20"/>
          <w:color w:val="auto"/>
        </w:rPr>
      </w:pPr>
    </w:p>
    <w:p>
      <w:pPr>
        <w:ind w:right="80" w:firstLine="8"/>
        <w:spacing w:after="0" w:line="249" w:lineRule="auto"/>
        <w:tabs>
          <w:tab w:leader="none" w:pos="23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Tempus’ direction, return to Tempus or permanently erase/destroy all Tempus Materials (including Licensed Data) except that AstraZeneca shall be permitted to retain such copies of such Tempus Materials as are reasonably required for the sole purpose of performing any obligations or exercising rights (including exploiting Deliverables and AstraZeneca Project Inventions, and with respect to Licensed Data under Exhibit B) under this Agreement that survive expiry or termination of this Agreement or for archival purposes. Notwithstanding the foregoing, AstraZeneca shall also be permitted to retain such additional copies of or 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20"/>
          </w:cols>
          <w:pgMar w:left="580" w:top="265" w:right="599" w:bottom="1440" w:gutter="0" w:footer="0" w:header="0"/>
        </w:sectPr>
      </w:pPr>
    </w:p>
    <w:bookmarkStart w:id="315" w:name="page316"/>
    <w:bookmarkEnd w:id="315"/>
    <w:p>
      <w:pPr>
        <w:ind w:right="3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computer records or files containing such Tempus Materials that have been created solely by AstraZeneca’s automatic archiving and back-up procedures, to the extent created and retained in a manner consistent with AstraZeneca’s standard archiving and back-up procedures, but not for any other use or purpose. For clarity, nothing in the foregoing shall operate to terminate, limit or otherwise affect the rights and licenses with respect to Licensed Data that are granted under Exhibit B;</w:t>
      </w:r>
    </w:p>
    <w:p>
      <w:pPr>
        <w:spacing w:after="0" w:line="184" w:lineRule="exact"/>
        <w:rPr>
          <w:sz w:val="20"/>
          <w:szCs w:val="20"/>
          <w:color w:val="auto"/>
        </w:rPr>
      </w:pPr>
    </w:p>
    <w:p>
      <w:pPr>
        <w:ind w:left="260" w:hanging="252"/>
        <w:spacing w:after="0"/>
        <w:tabs>
          <w:tab w:leader="none" w:pos="2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any AstraZeneca-owned property, equipment, or materials located at Tempus’ locations;</w:t>
      </w:r>
    </w:p>
    <w:p>
      <w:pPr>
        <w:spacing w:after="0" w:line="213" w:lineRule="exact"/>
        <w:rPr>
          <w:rFonts w:ascii="Times New Roman" w:cs="Times New Roman" w:eastAsia="Times New Roman" w:hAnsi="Times New Roman"/>
          <w:sz w:val="18"/>
          <w:szCs w:val="18"/>
          <w:color w:val="auto"/>
        </w:rPr>
      </w:pPr>
    </w:p>
    <w:p>
      <w:pPr>
        <w:ind w:firstLine="8"/>
        <w:spacing w:after="0" w:line="246" w:lineRule="auto"/>
        <w:tabs>
          <w:tab w:leader="none" w:pos="23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Tempus’ direction, deliver to Tempus or permanently erase/destroy, all of Tempus’ Confidential Information, including any and all documents and tangible materials (and any copies) containing, reflecting, incorporating, or based on Tempus’ Confidential Information except that AstraZeneca shall be permitted to retain such copies of such Confidential Information as are reasonably required for the sole purpose of performing any obligations or exercising rights (including exploiting Deliverables and AstraZeneca Project Inventions, and with respect to Licensed Data under Exhibit B) under this Agreement that survive expiry or termination of this Agreement or for archival purposes. Notwithstanding the foregoing, AstraZeneca shall also be permitted to retain such additional copies of or any computer records or files containing such Confidential Information that have been created solely by AstraZeneca’s automatic archiving and back-up procedures, to the extent created and retained in a manner consistent with AstraZeneca’s standard archiving and back-up procedures, but not for any other use or purpose. For clarity, nothing in the foregoing shall operate to terminate, limit or otherwise affect the rights and licenses with respect to Licensed Data that are granted under Exhibit B; and</w:t>
      </w:r>
    </w:p>
    <w:p>
      <w:pPr>
        <w:spacing w:after="0" w:line="19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(through an authorized officer of AstraZeneca) in writing to Tempus that it has complied with the requirements of this Section 16.9; and</w:t>
      </w:r>
    </w:p>
    <w:p>
      <w:pPr>
        <w:spacing w:after="0" w:line="213" w:lineRule="exact"/>
        <w:rPr>
          <w:rFonts w:ascii="Times New Roman" w:cs="Times New Roman" w:eastAsia="Times New Roman" w:hAnsi="Times New Roman"/>
          <w:sz w:val="18"/>
          <w:szCs w:val="18"/>
          <w:color w:val="auto"/>
        </w:rPr>
      </w:pPr>
    </w:p>
    <w:p>
      <w:pPr>
        <w:ind w:right="120" w:firstLine="8"/>
        <w:spacing w:after="0" w:line="331" w:lineRule="auto"/>
        <w:tabs>
          <w:tab w:leader="none" w:pos="238"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later of (i) expiry or termination of this Agreement, and (ii) the last to expire or terminate Statement of Work, the following shall survive: Sections 1, 7.1, 8, 10, 13, 15, 16, 17, 19.1, 19.3, 22, 23, 24, 25, 26, 27, 28, 29, 30.1, 30.2, 30.3, 30.4, paragraphs 1, 2 and 4 of Exhibit B, and Exhibit D.</w:t>
      </w:r>
    </w:p>
    <w:p>
      <w:pPr>
        <w:spacing w:after="0" w:line="31" w:lineRule="exact"/>
        <w:rPr>
          <w:sz w:val="20"/>
          <w:szCs w:val="20"/>
          <w:color w:val="auto"/>
        </w:rPr>
      </w:pPr>
    </w:p>
    <w:p>
      <w:pPr>
        <w:ind w:left="540" w:hanging="532"/>
        <w:spacing w:after="0"/>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17.1 Each Party expressly understands and agrees that the other is an independent contractor in the performance of each and every part of this Agreement and nothing in this Agreement operates or may be construed as constituting the Parties as partners, joint venturers, principals, joint employers, agents or employees of or with the other. Each Party is solely responsible for all of its employees and agents and its labor costs and expenses arising in connection therewith. AstraZeneca shall have the right to inspect the work of Tempus as it progresses solely for the purpose of determining whether the work is completed according to the applicable Statement of Work.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 Tempus has no authority to commit, act for or on behalf of AstraZeneca, or to bind AstraZeneca to any obligation or liability.</w:t>
      </w:r>
    </w:p>
    <w:p>
      <w:pPr>
        <w:spacing w:after="0" w:line="1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80" w:top="265" w:right="599" w:bottom="1440" w:gutter="0" w:footer="0" w:header="0"/>
        </w:sectPr>
      </w:pPr>
    </w:p>
    <w:bookmarkStart w:id="316" w:name="page317"/>
    <w:bookmarkEnd w:id="316"/>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17.3 Tempus shall not be eligible for and shall not receive any employee benefits from AstraZeneca and shall be solely responsible for the payment of all taxes, FICA, federal and state unemployment insurance contributions, state disability premiums, and all similar taxes and fees relating to the fees earned by Tempus hereunder.</w:t>
      </w:r>
    </w:p>
    <w:p>
      <w:pPr>
        <w:spacing w:after="0" w:line="207" w:lineRule="exact"/>
        <w:rPr>
          <w:sz w:val="20"/>
          <w:szCs w:val="20"/>
          <w:color w:val="auto"/>
        </w:rPr>
      </w:pPr>
    </w:p>
    <w:p>
      <w:pPr>
        <w:ind w:left="540" w:hanging="532"/>
        <w:spacing w:after="0"/>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 Each Party (the “</w:t>
      </w:r>
      <w:r>
        <w:rPr>
          <w:rFonts w:ascii="Times New Roman" w:cs="Times New Roman" w:eastAsia="Times New Roman" w:hAnsi="Times New Roman"/>
          <w:sz w:val="18"/>
          <w:szCs w:val="18"/>
          <w:b w:val="1"/>
          <w:bCs w:val="1"/>
          <w:color w:val="auto"/>
        </w:rPr>
        <w:t>Representing Party</w:t>
      </w:r>
      <w:r>
        <w:rPr>
          <w:rFonts w:ascii="Times New Roman" w:cs="Times New Roman" w:eastAsia="Times New Roman" w:hAnsi="Times New Roman"/>
          <w:sz w:val="18"/>
          <w:szCs w:val="18"/>
          <w:color w:val="auto"/>
        </w:rPr>
        <w:t>”) represents and warrants to the other that as of the Effective Date:</w:t>
      </w:r>
    </w:p>
    <w:p>
      <w:pPr>
        <w:spacing w:after="0" w:line="110" w:lineRule="exact"/>
        <w:rPr>
          <w:sz w:val="20"/>
          <w:szCs w:val="20"/>
          <w:color w:val="auto"/>
        </w:rPr>
      </w:pPr>
    </w:p>
    <w:p>
      <w:pPr>
        <w:ind w:right="140" w:firstLine="8"/>
        <w:spacing w:after="0" w:line="251" w:lineRule="auto"/>
        <w:tabs>
          <w:tab w:leader="none" w:pos="23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Representing Party has the requisite power and full authority to enter into this Agreement, and the Representing Party’s execution, delivery of, and performance under, this Agreement have been duly authorized by the Representing Party and do not, and shall not, violate or conflict with any Applicable Law to the Representing Party, that the Representing Party has full legal power to extend the rights and undertake the responsibilities ascribed to such Party in this Agreement;</w:t>
      </w:r>
    </w:p>
    <w:p>
      <w:pPr>
        <w:spacing w:after="0" w:line="184" w:lineRule="exact"/>
        <w:rPr>
          <w:rFonts w:ascii="Times New Roman" w:cs="Times New Roman" w:eastAsia="Times New Roman" w:hAnsi="Times New Roman"/>
          <w:sz w:val="18"/>
          <w:szCs w:val="18"/>
          <w:color w:val="auto"/>
        </w:rPr>
      </w:pPr>
    </w:p>
    <w:p>
      <w:pPr>
        <w:ind w:right="260" w:firstLine="8"/>
        <w:spacing w:after="0" w:line="331" w:lineRule="auto"/>
        <w:tabs>
          <w:tab w:leader="none" w:pos="248"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Representing Party is duly licensed, authorized and qualified to do business and is in good standing in every jurisdiction in which a license, authorization or qualification is required for the ownership or leasing of its assets or the transaction of business of the character transacted by it; and</w:t>
      </w:r>
    </w:p>
    <w:p>
      <w:pPr>
        <w:spacing w:after="0" w:line="122" w:lineRule="exact"/>
        <w:rPr>
          <w:rFonts w:ascii="Times New Roman" w:cs="Times New Roman" w:eastAsia="Times New Roman" w:hAnsi="Times New Roman"/>
          <w:sz w:val="16"/>
          <w:szCs w:val="16"/>
          <w:color w:val="auto"/>
        </w:rPr>
      </w:pPr>
    </w:p>
    <w:p>
      <w:pPr>
        <w:ind w:firstLine="8"/>
        <w:spacing w:after="0" w:line="249" w:lineRule="auto"/>
        <w:tabs>
          <w:tab w:leader="none" w:pos="23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Representing Party nor any of its employees or contractors: (A) have been convicted of a criminal offense related to healthcare; (B) are listed on the U.S. Department of Health and Human Services Office of Inspector General’s List of Excluded Individuals/Entities, or are otherwise currently excluded, suspended or debarred from participating in any federal healthcare program; (C) are under investigation (civil or criminal) by any federal or state enforcement, regulatory, administrative or licensing agency; or (D) are currently listed on the U.S. General Services Administration List of Parties Excluded from the Federal Procurement and Non-Procurement Programs.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 Tempus represents and warrants, and undertakes, that:</w:t>
      </w:r>
    </w:p>
    <w:p>
      <w:pPr>
        <w:spacing w:after="0" w:line="108" w:lineRule="exact"/>
        <w:rPr>
          <w:sz w:val="20"/>
          <w:szCs w:val="20"/>
          <w:color w:val="auto"/>
        </w:rPr>
      </w:pPr>
    </w:p>
    <w:p>
      <w:pPr>
        <w:ind w:right="60" w:firstLine="8"/>
        <w:spacing w:after="0" w:line="255" w:lineRule="auto"/>
        <w:tabs>
          <w:tab w:leader="none" w:pos="23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dedicate all appropriate resources to fulfilling its obligations under this Agreement and shall ensure it is not, and will not be, a party to any agreement or under any condition that would in any way prevent, or impede, its ability to provide the Services, without first obtaining the prior written permission of AstraZeneca;</w:t>
      </w:r>
    </w:p>
    <w:p>
      <w:pPr>
        <w:spacing w:after="0" w:line="180" w:lineRule="exact"/>
        <w:rPr>
          <w:rFonts w:ascii="Times New Roman" w:cs="Times New Roman" w:eastAsia="Times New Roman" w:hAnsi="Times New Roman"/>
          <w:sz w:val="18"/>
          <w:szCs w:val="18"/>
          <w:color w:val="auto"/>
        </w:rPr>
      </w:pPr>
    </w:p>
    <w:p>
      <w:pPr>
        <w:ind w:right="420" w:firstLine="8"/>
        <w:spacing w:after="0" w:line="267" w:lineRule="auto"/>
        <w:tabs>
          <w:tab w:leader="none" w:pos="24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agreed in a Statement of Work, any Licensed Data provided or made available to AstraZeneca by Tempus shall not contain any Personal Data:</w:t>
      </w:r>
    </w:p>
    <w:p>
      <w:pPr>
        <w:spacing w:after="0" w:line="65" w:lineRule="exact"/>
        <w:rPr>
          <w:sz w:val="20"/>
          <w:szCs w:val="20"/>
          <w:color w:val="auto"/>
        </w:rPr>
      </w:pPr>
    </w:p>
    <w:p>
      <w:pPr>
        <w:ind w:left="220" w:hanging="212"/>
        <w:spacing w:after="0"/>
        <w:tabs>
          <w:tab w:leader="none" w:pos="2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can be used to directly identify any natural persons;</w:t>
      </w:r>
    </w:p>
    <w:p>
      <w:pPr>
        <w:spacing w:after="0" w:line="21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620"/>
          </w:cols>
          <w:pgMar w:left="580" w:top="265" w:right="699" w:bottom="1440" w:gutter="0" w:footer="0" w:header="0"/>
        </w:sectPr>
      </w:pPr>
    </w:p>
    <w:bookmarkStart w:id="317" w:name="page318"/>
    <w:bookmarkEnd w:id="317"/>
    <w:p>
      <w:pPr>
        <w:ind w:left="260" w:hanging="252"/>
        <w:spacing w:after="0"/>
        <w:tabs>
          <w:tab w:leader="none" w:pos="2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prior written consent of AstraZeneca.</w:t>
      </w:r>
    </w:p>
    <w:p>
      <w:pPr>
        <w:spacing w:after="0" w:line="213" w:lineRule="exact"/>
        <w:rPr>
          <w:sz w:val="20"/>
          <w:szCs w:val="20"/>
          <w:color w:val="auto"/>
        </w:rPr>
      </w:pPr>
    </w:p>
    <w:p>
      <w:pPr>
        <w:ind w:right="200" w:firstLine="8"/>
        <w:spacing w:after="0" w:line="248" w:lineRule="auto"/>
        <w:tabs>
          <w:tab w:leader="none" w:pos="23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claim or litigation pending or claim that was previously asserted in writing against Tempus or any of its Affiliates (and Tempus has no knowledge of any claim, whether or not pending or asserted), and to Tempus’ knowledge, no such claim will be made during the Term, by any Person alleging that (i) Tempus Materials or Tempus’ Intellectual Property Rights are invalid or unenforceable or (ii) the possession, collection, acquisition, access, retention, storage, transfer, disclosure, protection, or other use or exploitation of any Licensed Data, Services, or Tempus Materials violates, infringes, constitutes misappropriation or otherwise conflicts or interferes with, or would violate, infringe or otherwise conflict or interfere with, any Intellectual Property Rights or proprietary right of any Person;</w:t>
      </w:r>
    </w:p>
    <w:p>
      <w:pPr>
        <w:spacing w:after="0" w:line="187" w:lineRule="exact"/>
        <w:rPr>
          <w:rFonts w:ascii="Times New Roman" w:cs="Times New Roman" w:eastAsia="Times New Roman" w:hAnsi="Times New Roman"/>
          <w:sz w:val="18"/>
          <w:szCs w:val="18"/>
          <w:color w:val="auto"/>
        </w:rPr>
      </w:pPr>
    </w:p>
    <w:p>
      <w:pPr>
        <w:ind w:firstLine="8"/>
        <w:spacing w:after="0" w:line="251" w:lineRule="auto"/>
        <w:tabs>
          <w:tab w:leader="none" w:pos="24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its employees and subcontractors have all of the necessary qualifications, consents (including from the individuals from whom the Licensed Data is derived, to the extent necessary under Applicable Law), licenses, permits or registrations to license the Licensed Data and perform the Services, in accordance with the terms and conditions of this Agreement, and at all times during the Term, all such qualifications, licenses, permits or registrations shall be current and in good standing;</w:t>
      </w:r>
    </w:p>
    <w:p>
      <w:pPr>
        <w:spacing w:after="0" w:line="184" w:lineRule="exact"/>
        <w:rPr>
          <w:rFonts w:ascii="Times New Roman" w:cs="Times New Roman" w:eastAsia="Times New Roman" w:hAnsi="Times New Roman"/>
          <w:sz w:val="18"/>
          <w:szCs w:val="18"/>
          <w:color w:val="auto"/>
        </w:rPr>
      </w:pPr>
    </w:p>
    <w:p>
      <w:pPr>
        <w:ind w:firstLine="8"/>
        <w:spacing w:after="0" w:line="249" w:lineRule="auto"/>
        <w:tabs>
          <w:tab w:leader="none" w:pos="23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has obtained all necessary rights, consents, authorizations or permissions to (i) create, process, and provide all Licensed Data (including in relation to the creation of De-Identified Information from any Protected Health Information, as such terms are defined under HIPAA) to AstraZeneca for use, disclosure and any other purpose contemplated by the terms of this Agreement and has done so in accordance with all Applicable Law (including having ensured that all appropriate notices to the subjects of such Licensed Data have been provided) and (ii) Tempus’ rights to De-Identified Information included in the Licensed Data are perpetual and non-terminable;</w:t>
      </w:r>
    </w:p>
    <w:p>
      <w:pPr>
        <w:spacing w:after="0" w:line="186" w:lineRule="exact"/>
        <w:rPr>
          <w:rFonts w:ascii="Times New Roman" w:cs="Times New Roman" w:eastAsia="Times New Roman" w:hAnsi="Times New Roman"/>
          <w:sz w:val="18"/>
          <w:szCs w:val="18"/>
          <w:color w:val="auto"/>
        </w:rPr>
      </w:pPr>
    </w:p>
    <w:p>
      <w:pPr>
        <w:ind w:right="380" w:firstLine="8"/>
        <w:spacing w:after="0" w:line="267" w:lineRule="auto"/>
        <w:tabs>
          <w:tab w:leader="none" w:pos="21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is the owner of, or otherwise has all of the rights necessary to use, all materials and information (including the Tempus Materials) that it provides to AstraZeneca under this Agreement and that it uses to provide the Services (including Deliverables);</w:t>
      </w:r>
    </w:p>
    <w:p>
      <w:pPr>
        <w:spacing w:after="0" w:line="169" w:lineRule="exact"/>
        <w:rPr>
          <w:rFonts w:ascii="Times New Roman" w:cs="Times New Roman" w:eastAsia="Times New Roman" w:hAnsi="Times New Roman"/>
          <w:sz w:val="18"/>
          <w:szCs w:val="18"/>
          <w:color w:val="auto"/>
        </w:rPr>
      </w:pPr>
    </w:p>
    <w:p>
      <w:pPr>
        <w:ind w:right="480" w:firstLine="8"/>
        <w:spacing w:after="0" w:line="267" w:lineRule="auto"/>
        <w:tabs>
          <w:tab w:leader="none" w:pos="24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never been, is not currently, and, during the Term, shall not become a Debarred Individual or Debarred Entity, an Excluded Individual or Excluded Entity or a Convicted Individual or Convicted Entity;</w:t>
      </w:r>
    </w:p>
    <w:p>
      <w:pPr>
        <w:spacing w:after="0" w:line="169" w:lineRule="exact"/>
        <w:rPr>
          <w:rFonts w:ascii="Times New Roman" w:cs="Times New Roman" w:eastAsia="Times New Roman" w:hAnsi="Times New Roman"/>
          <w:sz w:val="18"/>
          <w:szCs w:val="18"/>
          <w:color w:val="auto"/>
        </w:rPr>
      </w:pPr>
    </w:p>
    <w:p>
      <w:pPr>
        <w:ind w:right="20" w:firstLine="8"/>
        <w:spacing w:after="0" w:line="248" w:lineRule="auto"/>
        <w:tabs>
          <w:tab w:leader="none" w:pos="24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Debarred Individual, Debarred Entity, Excluded Individual, Excluded Entity, Convicted Individual or Convicted Entity has performed or rendered, or will perform or render, any services or assistance relating to activities taken pursuant to this Agreement. Tempus further warrants and represents that Tempus has no knowledge of any circumstances which may affect the accuracy of the foregoing representations and warranties including FDA OIG/HHS investigations of, or debarment or exclusion (as applicable) proceedings against Tempus or any person or entity performing services or rendering assistance relating to activities taken pursuant to this Agreement, and Tempus will immediately notify AstraZeneca if Tempus becomes aware of any such circumstances during the Term;</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00"/>
          </w:cols>
          <w:pgMar w:left="580" w:top="263" w:right="619" w:bottom="1440" w:gutter="0" w:footer="0" w:header="0"/>
        </w:sectPr>
      </w:pPr>
    </w:p>
    <w:bookmarkStart w:id="318" w:name="page319"/>
    <w:bookmarkEnd w:id="318"/>
    <w:p>
      <w:pPr>
        <w:ind w:firstLine="8"/>
        <w:spacing w:after="0" w:line="267" w:lineRule="auto"/>
        <w:tabs>
          <w:tab w:leader="none" w:pos="20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it shall not engage in any activity under this Agreement that would result in AstraZeneca being considered a Covered Entity or Business Associate (as defined under HIPAA);</w:t>
      </w:r>
    </w:p>
    <w:p>
      <w:pPr>
        <w:spacing w:after="0" w:line="169" w:lineRule="exact"/>
        <w:rPr>
          <w:rFonts w:ascii="Times New Roman" w:cs="Times New Roman" w:eastAsia="Times New Roman" w:hAnsi="Times New Roman"/>
          <w:sz w:val="18"/>
          <w:szCs w:val="18"/>
          <w:color w:val="auto"/>
        </w:rPr>
      </w:pPr>
    </w:p>
    <w:p>
      <w:pPr>
        <w:ind w:firstLine="8"/>
        <w:spacing w:after="0" w:line="285" w:lineRule="auto"/>
        <w:tabs>
          <w:tab w:leader="none" w:pos="209"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shall ensure that all Protected Health Information (as defined under HIPAA), extracts thereof or other data related thereto contained in Licensed Data have been de-identified in accordance with a methodology set forth under HIPAA and other Applicable Law, including HIPAA, and that no Deliverable shall include data or information that has not been so de-identified or that otherwise permits the identification of the individuals or patients from whose data the Deliverable is derived. At AstraZeneca’s request Tempus shall certify its compliance with the foregoing to AstraZeneca annually in writing, including by providing a summary of all applicable expert certifications. Tempus shall notify AstraZeneca upon the expiration or revision of any such certifications. For the avoidance of doubt, Tempus’s failure to comply with this Section shall be deemed a material breach of this Agreement;</w:t>
      </w:r>
    </w:p>
    <w:p>
      <w:pPr>
        <w:spacing w:after="0" w:line="15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21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calendar year beginning from</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and lasting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AstraZeneca acknowledges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18.3 If any AstraZeneca Materials or other information provided or made available to Tempus under this Agreement include any Protected Health Information as that term is defined under the HIPAA, AstraZeneca agrees that it is solely AstraZeneca’s responsibility to ensure that AstraZeneca has obtained all necessary rights, consents or permissions to provide such information to Tempus for use in accordance with the terms of this Agreement and done so in accordance with all Applicable Law.</w:t>
      </w:r>
    </w:p>
    <w:p>
      <w:pPr>
        <w:spacing w:after="0" w:line="184"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8"/>
          <w:szCs w:val="18"/>
          <w:color w:val="auto"/>
        </w:rPr>
        <w:t>18.4 EXCEPT AS EXPRESSLY SET FORTH IN THIS AGREEMENT, NEITHER PARTY MAKES ANY, AND EACH PARTY HEREBY SPECIFICALLY DISCLAIMS ANY, REPRESENTATIONS OR WARRANTIES, EXPRESS OR IMPLIED, REGARDING ITS ACTIVITIES CONTEMPLATED BY THIS AGREEMENT, INCLUDING ANY IMPLIED WARRANTY OF MERCHANTABILITY, FITNESS FOR A PARTICULAR PURPOSE, NON-INFRINGEMENT AND IMPLIED WARRANTIES ARISING FROM COURSE OF DEALING OR COURSE OF PERFORMANCE.</w:t>
      </w:r>
    </w:p>
    <w:p>
      <w:pPr>
        <w:spacing w:after="0" w:line="95" w:lineRule="exact"/>
        <w:rPr>
          <w:sz w:val="20"/>
          <w:szCs w:val="20"/>
          <w:color w:val="auto"/>
        </w:rPr>
      </w:pPr>
    </w:p>
    <w:p>
      <w:pPr>
        <w:ind w:left="540" w:hanging="532"/>
        <w:spacing w:after="0"/>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19.1 If Tempus breaches any provision of this Agreement, AstraZeneca shall, in addition to any damages to which it is entitled, be entitled to seek immediate injunctive relief against Tempus prohibiting further actions inconsistent with Tempus’ obligations under this Agreement. Each Party acknowledges that its threatened or actual breach of its respective obligations under Sections 7.1, 7.2, 8 or 24 may cause irreparable harm to the other Party such that compensation in damages may not be adequate and such other Party is entitled to seek injunctive relief (without limiting any other right or remedy available to it) for such a threatened or actual breach.</w:t>
      </w:r>
    </w:p>
    <w:p>
      <w:pPr>
        <w:spacing w:after="0" w:line="187"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color w:val="auto"/>
        </w:rPr>
        <w:t xml:space="preserve">19.2 Without limiting any other right or remedy available to AstraZeneca, if any Services or Deliverables are not provided in accordance with this Agreement or any Statement of Work in any respect, Tempus agrees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20"/>
          </w:cols>
          <w:pgMar w:left="580" w:top="265" w:right="599" w:bottom="1440" w:gutter="0" w:footer="0" w:header="0"/>
        </w:sectPr>
      </w:pPr>
    </w:p>
    <w:bookmarkStart w:id="319" w:name="page320"/>
    <w:bookmarkEnd w:id="319"/>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19.3 All rights and remedies provided in this Agreement are cumulative and not exclusive, and the exercise by either Party of any right or remedy does not preclude the exercise of any other rights or remedies that may now or subsequently be available at law, in equity, by statute, in any other agreement between the Parties, or otherwise.</w:t>
      </w:r>
    </w:p>
    <w:p>
      <w:pPr>
        <w:spacing w:after="0" w:line="89" w:lineRule="exact"/>
        <w:rPr>
          <w:sz w:val="20"/>
          <w:szCs w:val="20"/>
          <w:color w:val="auto"/>
        </w:rPr>
      </w:pPr>
    </w:p>
    <w:p>
      <w:pPr>
        <w:ind w:left="540" w:hanging="532"/>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20.1 Each Party represents, warrants and undertakes that it shall comply with, all Applicable Law in the performance of its obligations under this Agreement. Without limiting the foregoing, Tempus has and shall maintain in effect all the licenses, permissions, authorizations, consents, and permits that it needs to carry out its obligations under this Agreement.</w:t>
      </w:r>
    </w:p>
    <w:p>
      <w:pPr>
        <w:spacing w:after="0" w:line="180" w:lineRule="exact"/>
        <w:rPr>
          <w:sz w:val="20"/>
          <w:szCs w:val="20"/>
          <w:color w:val="auto"/>
        </w:rPr>
      </w:pPr>
    </w:p>
    <w:p>
      <w:pPr>
        <w:ind w:right="440"/>
        <w:spacing w:after="0" w:line="251" w:lineRule="auto"/>
        <w:rPr>
          <w:sz w:val="20"/>
          <w:szCs w:val="20"/>
          <w:color w:val="auto"/>
        </w:rPr>
      </w:pPr>
      <w:r>
        <w:rPr>
          <w:rFonts w:ascii="Times New Roman" w:cs="Times New Roman" w:eastAsia="Times New Roman" w:hAnsi="Times New Roman"/>
          <w:sz w:val="18"/>
          <w:szCs w:val="18"/>
          <w:color w:val="auto"/>
        </w:rPr>
        <w:t>20.2 Tempus and AstraZeneca agree that the funds provided hereunder are not being given in exchange for any explicit or implicit agreement to purchase, prescribe, recommend, influence or provide favorable formulary status for any of AstraZeneca’s products. This Agreement is not for the purpose of promoting any product, service, or company. AstraZeneca shall not, and shall ensure that the AstraZeneca Affiliates do not, offer any inducements to Tempus, any of their Affiliates, their volunteers, or any health care providers relating to this Agreement.</w:t>
      </w:r>
    </w:p>
    <w:p>
      <w:pPr>
        <w:spacing w:after="0" w:line="184"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6"/>
          <w:szCs w:val="16"/>
          <w:color w:val="auto"/>
        </w:rPr>
        <w:t>20.3 Any physician licensed to practice in the U.S. and any U.S. teaching hospital is a “Covered Recipient.” A “Payment or Transfer of Value” is any payment or transfer of value as defined in the U.S. Physician Payment Sunshine Act (42 USC 1320a-7h(e)) and implementing regulations (42 CFR</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403.900 et seq.), and includes compensation, reimbursement for expenses, meals, travel, medical journal reprints, study drug study supplies and medical writing and publications assistance. Tempus acknowledges and agrees that any direct or indirect Payments or Transfers of Value to Covered Recipients are subject to transparency reporting requirements, including disclosure on AstraZeneca’s website. Tempus shall not knowingly make any indirect or direct Payment or Transfer of Value to a Covered Recipient on behalf of AstraZeneca in connection with this Agreement. Tempus and AstraZeneca acknowledge and agree that none of the licenses to Licensed Data and the Services described in the Statements of Work executed prior to the Effective Date or contemplated by this Agreement will give rise to or constitute a reportable Payment or Transfer of Value.</w:t>
      </w:r>
    </w:p>
    <w:p>
      <w:pPr>
        <w:spacing w:after="0" w:line="19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20.4 Tempus and AstraZeneca and their respective Affiliates, representatives, agents and employees shall comply with the U.S. Foreign Corrupt Practices Act, as amended, the UK Bribery Act of 2010, and any other applicable anti-corruption laws for the prevention of fraud, racketeering, money laundering or terrorism, and shall not knowingly taken any action that will, or would reasonably be expected to, cause the other Party or its Affiliates to be in violation of any such laws or policies.</w:t>
      </w:r>
    </w:p>
    <w:p>
      <w:pPr>
        <w:spacing w:after="0" w:line="18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20.5 The Parties mutually acknowledge and agree that (i) any rights granted and Services to be provided by Tempus to AstraZeneca under this Agreement do not reflect remuneration in exchange for data in a manner that constitutes a prohibited sale of PHI (as defined by HIPAA) under HIPAA; and (ii) any fees to be paid by AstraZeneca or any of its Affiliate hereunder or in any Statement of Work are intended to reflect the fair market value of the rights and Services to be received and do not reflect remuneration in exchange for data in a manner that constitutes a prohibited sale of PHI under HIPAA.</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680"/>
          </w:cols>
          <w:pgMar w:left="580" w:top="265" w:right="639" w:bottom="1440" w:gutter="0" w:footer="0" w:header="0"/>
        </w:sectPr>
      </w:pPr>
    </w:p>
    <w:bookmarkStart w:id="320" w:name="page321"/>
    <w:bookmarkEnd w:id="320"/>
    <w:p>
      <w:pPr>
        <w:ind w:left="540" w:hanging="532"/>
        <w:spacing w:after="0"/>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Insurance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Tempus shall maintain during the Term insurance coverage of the types and in the amounts typically carried by Tempus of the types of Services and Deliverables within this Agreement. Tempus shall provide to AstraZeneca upon written request certificates of insurance evidencing its insurance coverage and limits.</w:t>
      </w:r>
    </w:p>
    <w:p>
      <w:pPr>
        <w:spacing w:after="0" w:line="207" w:lineRule="exact"/>
        <w:rPr>
          <w:sz w:val="20"/>
          <w:szCs w:val="20"/>
          <w:color w:val="auto"/>
        </w:rPr>
      </w:pPr>
    </w:p>
    <w:p>
      <w:pPr>
        <w:ind w:left="540" w:hanging="532"/>
        <w:spacing w:after="0"/>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22.1 AstraZeneca shall indemnify, defend and hold harmless Tempus and its officers, directors, shareholders, employees, agents, successors and assigns (collectively, the “</w:t>
      </w:r>
      <w:r>
        <w:rPr>
          <w:rFonts w:ascii="Times New Roman" w:cs="Times New Roman" w:eastAsia="Times New Roman" w:hAnsi="Times New Roman"/>
          <w:sz w:val="18"/>
          <w:szCs w:val="18"/>
          <w:b w:val="1"/>
          <w:bCs w:val="1"/>
          <w:color w:val="auto"/>
        </w:rPr>
        <w:t>Tempus Indemnified Parties</w:t>
      </w:r>
      <w:r>
        <w:rPr>
          <w:rFonts w:ascii="Times New Roman" w:cs="Times New Roman" w:eastAsia="Times New Roman" w:hAnsi="Times New Roman"/>
          <w:sz w:val="18"/>
          <w:szCs w:val="18"/>
          <w:color w:val="auto"/>
        </w:rPr>
        <w:t>”), from any and all liabilities, judgments, costs, losses, fines, penalties, damages and expenses (including reasonable attorneys’ fees and court costs) (collectively,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xml:space="preserve">”), in connection with any claim, suit, action, investigation, or other proceeding brought or threatened by a third party (including a Regulatory Authority) against any of the Tempus Indemnified Parties, and relating to, based upon or arising out of or in connection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22.2 Tempus shall indemnify, defend and hold harmless AstraZeneca and its officers, directors, shareholders, employees, agents, successors and assigns (collectively, the “</w:t>
      </w:r>
      <w:r>
        <w:rPr>
          <w:rFonts w:ascii="Times New Roman" w:cs="Times New Roman" w:eastAsia="Times New Roman" w:hAnsi="Times New Roman"/>
          <w:sz w:val="18"/>
          <w:szCs w:val="18"/>
          <w:b w:val="1"/>
          <w:bCs w:val="1"/>
          <w:color w:val="auto"/>
        </w:rPr>
        <w:t>AstraZeneca Indemnified Parties</w:t>
      </w:r>
      <w:r>
        <w:rPr>
          <w:rFonts w:ascii="Times New Roman" w:cs="Times New Roman" w:eastAsia="Times New Roman" w:hAnsi="Times New Roman"/>
          <w:sz w:val="18"/>
          <w:szCs w:val="18"/>
          <w:color w:val="auto"/>
        </w:rPr>
        <w:t xml:space="preserve">”), from any and all Liabilities in connection with any claim, suit, action, investigation or other proceeding brought or threatened by a third party (including a Regulatory Authority) against any of the AstraZeneca Indemnified Parties, and relating to, based upon or arising out of or in connection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22.3 With respect to indemnification claims, the following procedures shall apply:</w:t>
      </w:r>
    </w:p>
    <w:p>
      <w:pPr>
        <w:spacing w:after="0" w:line="106" w:lineRule="exact"/>
        <w:rPr>
          <w:sz w:val="20"/>
          <w:szCs w:val="20"/>
          <w:color w:val="auto"/>
        </w:rPr>
      </w:pPr>
    </w:p>
    <w:p>
      <w:pPr>
        <w:ind w:right="80" w:firstLine="8"/>
        <w:spacing w:after="0" w:line="247" w:lineRule="auto"/>
        <w:tabs>
          <w:tab w:leader="none" w:pos="23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 Party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of notice of the commencement or threatened commencement of any action or proceeding involving a claim for which such Indemnified Party will seek indemnification pursuant to this Section 22, such Indemnified Party shall notify the other 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of such claim in writing. No failure to so notify an Indemnifying Party shall relieve it of its obligations under this Agreement except to the extent that it can demonstrate damages or prejudice attributable to such failure. Within ten (10) Business Days following receipt of written notice from the Indemnified Party relating to any claim, but not later than fifteen (15) days before the date on which any response to a complaint or summons is due, the Indemnifying Party shall notify the Indemnified Party in writing if the Indemnifying Party elects to assume control of the defense and settlement of that claim (a “</w:t>
      </w:r>
      <w:r>
        <w:rPr>
          <w:rFonts w:ascii="Times New Roman" w:cs="Times New Roman" w:eastAsia="Times New Roman" w:hAnsi="Times New Roman"/>
          <w:sz w:val="18"/>
          <w:szCs w:val="18"/>
          <w:b w:val="1"/>
          <w:bCs w:val="1"/>
          <w:color w:val="auto"/>
        </w:rPr>
        <w:t>Notice of Election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100" w:firstLine="8"/>
        <w:spacing w:after="0" w:line="248" w:lineRule="auto"/>
        <w:tabs>
          <w:tab w:leader="none" w:pos="24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delivers a Notice of Election relating to any claim within the required notice period, the Indemnifying Party shall be entitled to have sole control over the defense and settlement of such claim; provided that (A) the Indemnified Party shall be entitled to participate in the defense of such claim and to employ counsel at its own expense to assist in the handling of such claim, and (B) the Indemnifying Party shall obtain the prior written approval of the Indemnified Party before entering into any settlement of such claim or ceasing to defend against such claim. The Indemnifying Party shall not be required to indemnify the Indemnified Party for any amount paid or payable by the Indemnified Party in the settlement of any claim for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20"/>
          </w:cols>
          <w:pgMar w:left="580" w:top="265" w:right="599" w:bottom="1440" w:gutter="0" w:footer="0" w:header="0"/>
        </w:sectPr>
      </w:pPr>
    </w:p>
    <w:bookmarkStart w:id="321" w:name="page322"/>
    <w:bookmarkEnd w:id="321"/>
    <w:p>
      <w:pPr>
        <w:ind w:right="16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which the Indemnifying Party has delivered a timely Notice of Election if such amount was agreed to without the written consent of the Indemnifying Party.</w:t>
      </w:r>
    </w:p>
    <w:p>
      <w:pPr>
        <w:spacing w:after="0" w:line="170" w:lineRule="exact"/>
        <w:rPr>
          <w:sz w:val="20"/>
          <w:szCs w:val="20"/>
          <w:color w:val="auto"/>
        </w:rPr>
      </w:pPr>
    </w:p>
    <w:p>
      <w:pPr>
        <w:ind w:right="200" w:firstLine="8"/>
        <w:spacing w:after="0" w:line="302" w:lineRule="auto"/>
        <w:tabs>
          <w:tab w:leader="none" w:pos="238"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Indemnifying Party does not deliver a Notice of Election relating to any claim within the required notice period, the Indemnified Party shall have the right to defend the claim in such manner as it may deem appropriate, at the cost and expense of the Indemnifying Party. The Indemnifying Party shall promptly reimburse the Indemnified Party for all such costs and expenses including but not limited to any and all reasonable counsel fees.</w:t>
      </w:r>
    </w:p>
    <w:p>
      <w:pPr>
        <w:spacing w:after="0" w:line="172" w:lineRule="exact"/>
        <w:rPr>
          <w:sz w:val="20"/>
          <w:szCs w:val="20"/>
          <w:color w:val="auto"/>
        </w:rPr>
      </w:pPr>
    </w:p>
    <w:p>
      <w:pPr>
        <w:ind w:left="540" w:hanging="532"/>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Disclaimers; Limitation of Liability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 NO EVENT SHALL EITHER PARTY BE LIABLE FOR ANY LOST REVENUES OR PROFITS, OR OTHER INDIRECT, SPECIAL, INCIDENTAL, CONSEQUENTIAL, PUNITIVE OR EXEMPLARY DAMAGES ARISING OUT OF OR RELATING TO THIS AGREEMENT OR THE SERVICES PERFORMED UNDER THIS AGREEMENT, EVEN IF THAT PARTY HAS BEEN ADVISED OF THE POSSIBILITY OF SUCH DAMAGES. THE FOREGOING LIMITATIONS, DISCLAIMERS AND EXCLUSIONS DO NOT APPLY TO ANY BREACH OF SECTION 13, THE REPRESENTATIONS AND WARRANTIES MADE BY EACH PARTY IN SECTION 18, BREACH OF CONFIDENTIALITY OBLIGATIONS AS SPECIFIED IN SECTION 24, PAYMENT OBLIGATIONS IN SECTION 11, AND EACH PARTY’S INDEMNIFICATION OBLIGATIONS SET FORTH IN SECTION 22. The Parties agree that the disclaimers, exclusions and limitations of liability in this Agreement are an essential basis of the bargain between the Parties and, absent any of such disclaimers, exclusions or limitations of liability, the provisions of this Agreement, including the economic terms, would be substantially different.</w:t>
      </w:r>
    </w:p>
    <w:p>
      <w:pPr>
        <w:spacing w:after="0" w:line="217" w:lineRule="exact"/>
        <w:rPr>
          <w:sz w:val="20"/>
          <w:szCs w:val="20"/>
          <w:color w:val="auto"/>
        </w:rPr>
      </w:pPr>
    </w:p>
    <w:p>
      <w:pPr>
        <w:ind w:left="540" w:hanging="532"/>
        <w:spacing w:after="0"/>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the non-public information that is exchanged between the Parties, provided that such information is:</w:t>
      </w:r>
    </w:p>
    <w:p>
      <w:pPr>
        <w:spacing w:after="0" w:line="23" w:lineRule="exact"/>
        <w:rPr>
          <w:sz w:val="20"/>
          <w:szCs w:val="20"/>
          <w:color w:val="auto"/>
        </w:rPr>
      </w:pPr>
    </w:p>
    <w:p>
      <w:pPr>
        <w:ind w:firstLine="8"/>
        <w:spacing w:after="0" w:line="243" w:lineRule="auto"/>
        <w:tabs>
          <w:tab w:leader="none" w:pos="20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as confidential at the time of disclosure by the disclosing Party (“</w:t>
      </w:r>
      <w:r>
        <w:rPr>
          <w:rFonts w:ascii="Times New Roman" w:cs="Times New Roman" w:eastAsia="Times New Roman" w:hAnsi="Times New Roman"/>
          <w:sz w:val="18"/>
          <w:szCs w:val="18"/>
          <w:b w:val="1"/>
          <w:bCs w:val="1"/>
          <w:color w:val="auto"/>
        </w:rPr>
        <w:t>Discloser</w:t>
      </w:r>
      <w:r>
        <w:rPr>
          <w:rFonts w:ascii="Times New Roman" w:cs="Times New Roman" w:eastAsia="Times New Roman" w:hAnsi="Times New Roman"/>
          <w:sz w:val="18"/>
          <w:szCs w:val="18"/>
          <w:color w:val="auto"/>
        </w:rPr>
        <w:t>”), or (ii) disclosed under circumstances that would indicate to a reasonable person that the information should be treated as confidential by the Party receiving such information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Without limitation, the terms and conditions of this Agreement, the nature of the discussions and the relationship between the Parties, and the terms of any commercial transaction between the Parties, including pricing for any deliverable or service of Tempus, shall be considered Confidential Information of each Party (and each Party shall be deemed the Discloser and Recipient thereof). Confidential Information shall not include information that is (a) part of or becomes part of the public domain (other than by disclosure by the Recipient in violation of this Agreement); (b) previously known to the Recipient without an obligation of confidentiality; (c) independently developed by the Recipient outside this Agreement; or (d) rightfully obtained by the Recipient from third parties without an obligation of confidentiality. Without limiting the license set forth in Section 13.3(f), all Project Inventions (including all Deliverables) shall be the Confidential Information of AstraZeneca and AstraZeneca shall be deemed the Discloser and Tempus the Recipient in respect thereof. Without limiting the license set forth in Section 13.2(c), all Tempus Materials shall be the Confidential Information of Tempus and Tempus shall be deemed the Discloser and AstraZeneca the Recipient in respect thereof.</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660"/>
          </w:cols>
          <w:pgMar w:left="580" w:top="265" w:right="659" w:bottom="1440" w:gutter="0" w:footer="0" w:header="0"/>
        </w:sectPr>
      </w:pPr>
    </w:p>
    <w:bookmarkStart w:id="322" w:name="page323"/>
    <w:bookmarkEnd w:id="322"/>
    <w:p>
      <w:pPr>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24.2 For the Term of this Agreement and for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each Party agrees that it shall: (i) take reasonable measures to protect the Confidential Information of the other Party by using the same degree of care, but no less than a reasonable degree of care, to prevent the unauthorized use, dissemination or publication of the Confidential Information of the other Party as the Recipient uses to protect its own confidential information of a like nature, (ii) limit disclosure to those persons within Recipient’s organization with a need to know and who have previously agreed in writing, prior to receipt of Confidential Information of the other Party either as a condition of their employment or in order to obtain the Confidential Information, to obligations similar to the provisions hereof, (iii) not copy, reverse engineer, disassemble, create any works from, or decompile any prototypes, software or other tangible objects which embody the Confidential Information of the other Party or which are provided to the Party hereunder, and (iv) not use the Confidential Information of the other Party for any purpose other than to perform or receive (as applicable) the Services or Deliverables hereunder.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24.3 AstraZeneca may disclose Confidential Information of Tempus,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such disclosure is:</w:t>
      </w:r>
    </w:p>
    <w:p>
      <w:pPr>
        <w:spacing w:after="0" w:line="110" w:lineRule="exact"/>
        <w:rPr>
          <w:sz w:val="20"/>
          <w:szCs w:val="20"/>
          <w:color w:val="auto"/>
        </w:rPr>
      </w:pPr>
    </w:p>
    <w:p>
      <w:pPr>
        <w:ind w:right="500" w:firstLine="8"/>
        <w:spacing w:after="0" w:line="267" w:lineRule="auto"/>
        <w:tabs>
          <w:tab w:leader="none" w:pos="23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to a Regulatory Authority as required in connection with any filing, application or request for Regulatory Approval, if such Confidential Information is marked as confidential and proprietary; or</w:t>
      </w:r>
    </w:p>
    <w:p>
      <w:pPr>
        <w:spacing w:after="0" w:line="16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to a patent authority as may be reasonably necessary or useful for the purposes of obtaining or enforcing a patent.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24.5 Each Party may disclose Confidential Information of the other Party, including Licensed Data to the extent in response to a valid order of a court of competent jurisdiction or other Regulatory Authority of competent jurisdiction or, if in the reasonable opinion of the receiving Party’s legal counsel, such disclosure is otherwise required by Applicable Law, including by reason of filing with securities regulators; provided, however, that the receiving Party shall first have given notice to the disclosing Party and given the disclosing Party a reasonable opportunity to quash such order or to obtain a protective order or confidential treatment requiring that the Confidential Information and documents that are the subject of such order be held in confidence by such court or agency or, if disclosed, be used only for the purposes for which the order was issued; and provided further that the Confidential Information disclosed in response to such court or governmental order shall be limited to that information which is legally required to be disclosed in response to such court or governmental order.</w:t>
      </w:r>
    </w:p>
    <w:p>
      <w:pPr>
        <w:spacing w:after="0" w:line="18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24.6 Neither Tempus nor AstraZeneca have the right to make public statements regarding the existence of this Agreement, its terms and conditions or the services being supplied without the consent of the other Party. Neither Party may use the other Party’s name or mark for any purpose unless a Party has consent in writing. After the execution of this Agreement, the Parties will negotiate in good faith the issuance of a joint press release (“</w:t>
      </w:r>
      <w:r>
        <w:rPr>
          <w:rFonts w:ascii="Times New Roman" w:cs="Times New Roman" w:eastAsia="Times New Roman" w:hAnsi="Times New Roman"/>
          <w:sz w:val="18"/>
          <w:szCs w:val="18"/>
          <w:b w:val="1"/>
          <w:bCs w:val="1"/>
          <w:color w:val="auto"/>
        </w:rPr>
        <w:t>Press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on a mutually agreed upon date. Each Party will have the right to approve the Press Release in advance. Any Press Release will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both Parties and, for AstraZeneca, will require approval from AstraZeneca’s Corporate Affairs department. The restriction on the Parties’ ability to make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00"/>
          </w:cols>
          <w:pgMar w:left="580" w:top="263" w:right="619" w:bottom="1440" w:gutter="0" w:footer="0" w:header="0"/>
        </w:sectPr>
      </w:pPr>
    </w:p>
    <w:bookmarkStart w:id="323" w:name="page324"/>
    <w:bookmarkEnd w:id="323"/>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public statements regarding the existence of this Agreement and its terms and use of the other Party’s name or mark shall not apply to the extent that a Party is otherwise required to make such disclosure pursuant to (i) any requirement under Applicable Law (including U.S. securities laws), or (ii) in connection with enforcing its rights under this Agreement.</w:t>
      </w:r>
    </w:p>
    <w:p>
      <w:pPr>
        <w:spacing w:after="0" w:line="207" w:lineRule="exact"/>
        <w:rPr>
          <w:sz w:val="20"/>
          <w:szCs w:val="20"/>
          <w:color w:val="auto"/>
        </w:rPr>
      </w:pPr>
    </w:p>
    <w:p>
      <w:pPr>
        <w:ind w:left="540" w:hanging="532"/>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All notices, requests, consents, claims, demands, waivers, and other communications under this Agreement (each, a “</w:t>
      </w:r>
      <w:r>
        <w:rPr>
          <w:rFonts w:ascii="Times New Roman" w:cs="Times New Roman" w:eastAsia="Times New Roman" w:hAnsi="Times New Roman"/>
          <w:sz w:val="16"/>
          <w:szCs w:val="16"/>
          <w:b w:val="1"/>
          <w:bCs w:val="1"/>
          <w:color w:val="auto"/>
        </w:rPr>
        <w:t>Notice</w:t>
      </w:r>
      <w:r>
        <w:rPr>
          <w:rFonts w:ascii="Times New Roman" w:cs="Times New Roman" w:eastAsia="Times New Roman" w:hAnsi="Times New Roman"/>
          <w:sz w:val="16"/>
          <w:szCs w:val="16"/>
          <w:color w:val="auto"/>
        </w:rPr>
        <w:t>”) must be in writing and addressed to the other Party at its address set forth below (or to such other address that the receiving Party may designate from time to time in accordance with this Section 25). Unless otherwise agreed herein, all Notices must be delivered by personal delivery, nationally recognized overnight courier, or certified or registered mail (in each case, return receipt requested, postage prepaid). Except as otherwise provided in this Agreement, a Notice is effective only (a) on receipt by the receiving Party; and (b) if the Party giving the Notice has complied with the requirements of this Section 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Notice to AstraZeneca:</w:t>
            </w: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AstraZeneca AB</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SE-432 86 Mölndal</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Sweden</w:t>
            </w:r>
          </w:p>
        </w:tc>
      </w:tr>
      <w:tr>
        <w:trPr>
          <w:trHeight w:val="228"/>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Attn: Legal Department</w:t>
            </w:r>
          </w:p>
        </w:tc>
      </w:tr>
      <w:tr>
        <w:trPr>
          <w:trHeight w:val="459"/>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421"/>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6"/>
              </w:rPr>
              <w:t>Email: legalnotices@astrazeneca.com</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Attn: Legal Department</w:t>
            </w:r>
          </w:p>
        </w:tc>
      </w:tr>
      <w:tr>
        <w:trPr>
          <w:trHeight w:val="442"/>
        </w:trPr>
        <w:tc>
          <w:tcPr>
            <w:tcW w:w="340" w:type="dxa"/>
            <w:vAlign w:val="bottom"/>
          </w:tcPr>
          <w:p>
            <w:pPr>
              <w:spacing w:after="0"/>
              <w:rPr>
                <w:sz w:val="24"/>
                <w:szCs w:val="24"/>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Notice to Tempus:</w:t>
            </w: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Tempus Labs, Inc.</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600 W. Chicago Ave., Suite 510</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Chicago, IL 60654</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8"/>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Attn: Chief Executive Officer</w:t>
            </w:r>
          </w:p>
        </w:tc>
      </w:tr>
      <w:tr>
        <w:trPr>
          <w:trHeight w:val="459"/>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44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Tempus Labs, Inc.</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600 W. Chicago Ave., Suite 510</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Chicago, IL 60654</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8"/>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Attn: General Counsel</w:t>
            </w:r>
          </w:p>
        </w:tc>
      </w:tr>
      <w:tr>
        <w:trPr>
          <w:trHeight w:val="407"/>
        </w:trPr>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26.</w:t>
            </w:r>
          </w:p>
        </w:tc>
        <w:tc>
          <w:tcPr>
            <w:tcW w:w="20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Assignment.</w:t>
            </w:r>
          </w:p>
        </w:tc>
        <w:tc>
          <w:tcPr>
            <w:tcW w:w="10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18"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Tempus shall not assign, transfer, delegate, or subcontract any of its rights or obligations under this Agreement without the prior written consent of AstraZeneca, except in the case of an assignment or transfer of this Agreement in its entirety that is effected in conjunction with the transfer by sale, merger, or otherwise of all or substantially all of Tempus’ assets, provided that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20"/>
          </w:cols>
          <w:pgMar w:left="580" w:top="265" w:right="599" w:bottom="1440" w:gutter="0" w:footer="0" w:header="0"/>
        </w:sectPr>
      </w:pPr>
    </w:p>
    <w:bookmarkStart w:id="324" w:name="page325"/>
    <w:bookmarkEnd w:id="324"/>
    <w:p>
      <w:pPr>
        <w:ind w:right="80" w:firstLine="8"/>
        <w:spacing w:after="0" w:line="248" w:lineRule="auto"/>
        <w:tabs>
          <w:tab w:leader="none" w:pos="23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provides written notice in relation to such proposed assignment or transfer, and (b) the successor organization assumes this Agreement and agrees to be bound by all of its existing terms in an assumption agreement entered into directly with AstraZeneca. Any such purported assignment, transfer or delegation in violation of this Section 26 shall be null and void. No assignment, transfer or delegation shall relieve Tempus of any of its obligations hereunder. AstraZeneca may at any time assign or transfer any or all of its rights or obligations under this Agreement without Tempus’ prior written consent; if the successor organization assumes this Agreement and agrees to be bound by all of its terms, including all remaining Financial Commitment.</w:t>
      </w:r>
    </w:p>
    <w:p>
      <w:pPr>
        <w:spacing w:after="0" w:line="213" w:lineRule="exact"/>
        <w:rPr>
          <w:sz w:val="20"/>
          <w:szCs w:val="20"/>
          <w:color w:val="auto"/>
        </w:rPr>
      </w:pPr>
    </w:p>
    <w:p>
      <w:pPr>
        <w:ind w:left="540" w:hanging="532"/>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right="180" w:firstLine="428"/>
        <w:spacing w:after="0" w:line="281" w:lineRule="auto"/>
        <w:rPr>
          <w:sz w:val="20"/>
          <w:szCs w:val="20"/>
          <w:color w:val="auto"/>
        </w:rPr>
      </w:pPr>
      <w:r>
        <w:rPr>
          <w:rFonts w:ascii="Times New Roman" w:cs="Times New Roman" w:eastAsia="Times New Roman" w:hAnsi="Times New Roman"/>
          <w:sz w:val="16"/>
          <w:szCs w:val="16"/>
          <w:color w:val="auto"/>
        </w:rPr>
        <w:t>Neither Party shall be liable or responsible to the other Party, nor be deemed to have defaulted under or breached this Agreement, for any failure or delay in fulfilling or performing any term of this Agreement, when and to the extent such Party’s (the “</w:t>
      </w:r>
      <w:r>
        <w:rPr>
          <w:rFonts w:ascii="Times New Roman" w:cs="Times New Roman" w:eastAsia="Times New Roman" w:hAnsi="Times New Roman"/>
          <w:sz w:val="16"/>
          <w:szCs w:val="16"/>
          <w:b w:val="1"/>
          <w:bCs w:val="1"/>
          <w:color w:val="auto"/>
        </w:rPr>
        <w:t>Impacted Party</w:t>
      </w:r>
      <w:r>
        <w:rPr>
          <w:rFonts w:ascii="Times New Roman" w:cs="Times New Roman" w:eastAsia="Times New Roman" w:hAnsi="Times New Roman"/>
          <w:sz w:val="16"/>
          <w:szCs w:val="16"/>
          <w:color w:val="auto"/>
        </w:rPr>
        <w:t>”) failure or delay is caused by or results from the following force majeure events (each a “</w:t>
      </w:r>
      <w:r>
        <w:rPr>
          <w:rFonts w:ascii="Times New Roman" w:cs="Times New Roman" w:eastAsia="Times New Roman" w:hAnsi="Times New Roman"/>
          <w:sz w:val="16"/>
          <w:szCs w:val="16"/>
          <w:b w:val="1"/>
          <w:bCs w:val="1"/>
          <w:color w:val="auto"/>
        </w:rPr>
        <w:t>Force Majeure Event</w:t>
      </w:r>
      <w:r>
        <w:rPr>
          <w:rFonts w:ascii="Times New Roman" w:cs="Times New Roman" w:eastAsia="Times New Roman" w:hAnsi="Times New Roman"/>
          <w:sz w:val="16"/>
          <w:szCs w:val="16"/>
          <w:color w:val="auto"/>
        </w:rPr>
        <w:t>”): (a) acts of God; (b) flood, fire, earthquake, or explosion;</w:t>
      </w:r>
    </w:p>
    <w:p>
      <w:pPr>
        <w:spacing w:after="0" w:line="2" w:lineRule="exact"/>
        <w:rPr>
          <w:sz w:val="20"/>
          <w:szCs w:val="20"/>
          <w:color w:val="auto"/>
        </w:rPr>
      </w:pPr>
    </w:p>
    <w:p>
      <w:pPr>
        <w:ind w:right="20" w:firstLine="8"/>
        <w:spacing w:after="0" w:line="244" w:lineRule="auto"/>
        <w:tabs>
          <w:tab w:leader="none" w:pos="23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or epidemic (d) war, invasion, hostilities (whether war is declared or not), terrorist threats or acts, riot or other civil unrest; (e) government order, law, or action; (f) embargoes or blockades in effect on or after the date of this Agreement; (g) national or regional emergency; and (h) strikes, labor stoppages or slowdowns or other industrial disturbances; (i) shortage of adequate power or transportation facilities; and (j) other similar events beyond the reasonable control of the Impacted Party. Notwithstanding the foregoing, Tempus’ financial inability to perform, changes in cost or availability of materials, components or services, market conditions, or Tempus actions or contract disputes will not excuse performance by Tempus under this Section 27.</w:t>
      </w:r>
    </w:p>
    <w:p>
      <w:pPr>
        <w:spacing w:after="0" w:line="190"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6"/>
          <w:szCs w:val="16"/>
          <w:color w:val="auto"/>
        </w:rPr>
        <w:t>The Impacted Party shall give notice within two (2) days of the Force Majeure Event to the other Party, stating the period of time the occurrence is expected to continue. The Impacted Party shall use diligent efforts to end the failure or delay and ensure the effects of such Force Majeure Event are minimized. The Impacted Party shall resume the performance of its obligations as soon as reasonably practicable after the removal of the cause. In the event that the Impacted Party’s failure or delay remains uncured for a period of thirty (30) consecutive days following written notice given by it under this Section 27, the other Party may thereafter terminate this Agreement upon thirty (30) days’ written notice, subject to the provisions of 16.8.</w:t>
      </w:r>
    </w:p>
    <w:p>
      <w:pPr>
        <w:spacing w:after="0" w:line="15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If Tempus is prevented from, or delayed, in performing fully any of its obligations under this Agreement by a Force Majeure Event, with respect to those parts of the Services, Deliverables, Licensed Data and any other elements not received by AstraZeneca or in respect of which AstraZeneca is not able to receive the full benefit (for example, if full use of certain Licensed Data or Deliverables is dependent upon the receipt of Services that are so prevented or delayed), without limiting any other right or remedy, AstraZeneca (a) may suspend payment normally due to Tempus in respect of such affected Services, Deliverables, Licensed Data or other elements, until such time as Tempus has given written notice to AstraZeneca that it is able to resume performance in accordance with this Agreement; and (b) if AstraZeneca has paid for such affected Services, Deliverables, Licensed Data or other elements in advance of such time as performance was so prevented or delayed, AstraZeneca may (at its option) on notice to Tempus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20"/>
          </w:cols>
          <w:pgMar w:left="580" w:top="265" w:right="599" w:bottom="1440" w:gutter="0" w:footer="0" w:header="0"/>
        </w:sectPr>
      </w:pPr>
    </w:p>
    <w:bookmarkStart w:id="325" w:name="page326"/>
    <w:bookmarkEnd w:id="325"/>
    <w:p>
      <w:pPr>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require a refund from Tempus of such advance payment or reallocation of such advance payment to other Services, Deliverables, Licensed Data or other elements, the specification of which shall be agreed between the Parties by way of a new or amended Statement of Work.</w:t>
      </w:r>
    </w:p>
    <w:p>
      <w:pPr>
        <w:spacing w:after="0" w:line="196" w:lineRule="exact"/>
        <w:rPr>
          <w:sz w:val="20"/>
          <w:szCs w:val="20"/>
          <w:color w:val="auto"/>
        </w:rPr>
      </w:pPr>
    </w:p>
    <w:p>
      <w:pPr>
        <w:ind w:left="540" w:hanging="532"/>
        <w:spacing w:after="0"/>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Rights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 xml:space="preserve">28.1 For the Term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Tempus shall for the purpose of auditing and monitoring its performance of this Agreement grant (or procure the grant) to AstraZeneca, Affiliates of AstraZeneca, any auditors of any of them and any Regulatory Authority the right of access to any premises of Tempus, its Affiliates or any sub-contractors used in connection with this Agreement, together with a right to access personnel, systems, processes and records (including financial records) that relate to this Agreement, subject to Tempus’ reasonable processes and procedures (e.g., regarding security and confidentiality). Audits may be undertaken once a year for each audit type, except that there shall be no such limitation to the number of audits per year to the extent an audit is undertaken as a result of an alleged breach of any of the provisions in this Agreement or a re-audit is required. Audits shall normally be agreed in advance, however, in the event of an alleged breach of this Agreement audits may be conducted unannounced. To the extent that any audit under this Section 28.1 or any other provision of this Agreement by AstraZeneca requires access and review of any commercially or strategically sensitive information relating to the business of Tempus, its Affiliates or any sub-contractors, such activity shall be carried out by non-Affiliate third party professional advisors appointed by AstraZeneca, and such professional advisors shall only report back to AstraZeneca such information as is directly relevant to informing AstraZeneca on compliance with the particular provisions that are the subject of the audit.</w:t>
      </w:r>
    </w:p>
    <w:p>
      <w:pPr>
        <w:spacing w:after="0" w:line="37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28.2 Tempus shall provide or procure all cooperation and assistance during normal working hours reasonably required by AstraZeneca for the purposes of an audit. AstraZeneca shall procure that any auditor enters into a confidentiality agreement equivalent to Section 24 in all material respects. AstraZeneca shall instruct any auditor or other person given access in respect of an audit to cause the minimum amount of disruption to the business of Tempus, its Affiliates and sub-contractors and to comply with relevant building and security regulations.</w:t>
      </w:r>
    </w:p>
    <w:p>
      <w:pPr>
        <w:spacing w:after="0" w:line="184"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8"/>
          <w:szCs w:val="18"/>
          <w:color w:val="auto"/>
        </w:rPr>
        <w:t>28.3 Tempus acknowledges that AstraZeneca has policies and procedures in place to monitor and review performance by its third party partners and contractors. Tempus shall cooperate with AstraZeneca in relation to such monitoring and review, and shall supply all information relating to this Agreement reasonably required by AstraZeneca (or to its non-Affiliate third party professional advisors, in the case of commercially or strategically sensitive information relating to the business of Tempus, its Affiliates or any sub-contractors).</w:t>
      </w:r>
    </w:p>
    <w:p>
      <w:pPr>
        <w:spacing w:after="0" w:line="18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28.4 Each Party shall bear its own costs of an audit or rendering assistance under this Section 28. Any report generated in connection with any such audit conducted in relation to Section 7.1, shall be the property of Tempus. However, Tempus agrees that AstraZeneca shall be entitled to review any such audit report and all supporting documents in relation to the audit.</w:t>
      </w:r>
    </w:p>
    <w:p>
      <w:pPr>
        <w:spacing w:after="0" w:line="207" w:lineRule="exact"/>
        <w:rPr>
          <w:sz w:val="20"/>
          <w:szCs w:val="20"/>
          <w:color w:val="auto"/>
        </w:rPr>
      </w:pPr>
    </w:p>
    <w:p>
      <w:pPr>
        <w:ind w:left="540" w:hanging="532"/>
        <w:spacing w:after="0"/>
        <w:tabs>
          <w:tab w:leader="none" w:pos="5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Monitoring</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680"/>
          </w:cols>
          <w:pgMar w:left="580" w:top="265" w:right="639" w:bottom="1440" w:gutter="0" w:footer="0" w:header="0"/>
        </w:sectPr>
      </w:pPr>
    </w:p>
    <w:bookmarkStart w:id="326" w:name="page327"/>
    <w:bookmarkEnd w:id="326"/>
    <w:p>
      <w:pPr>
        <w:ind w:right="1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AstraZeneca has policies and procedures in place to monitor and review performance by its third party contractors. Tempus shall cooperate with AstraZeneca in relation to such monitoring and review and shall supply all information relating to this Agreement reasonably required by AstraZeneca (or to its non-Affiliate third party professional advisors, in the case of commercially or strategically sensitive information relating to the business of Tempus or any subcontractors).</w:t>
      </w:r>
    </w:p>
    <w:p>
      <w:pPr>
        <w:spacing w:after="0" w:line="211" w:lineRule="exact"/>
        <w:rPr>
          <w:sz w:val="20"/>
          <w:szCs w:val="20"/>
          <w:color w:val="auto"/>
        </w:rPr>
      </w:pPr>
    </w:p>
    <w:p>
      <w:pPr>
        <w:ind w:left="540" w:hanging="532"/>
        <w:spacing w:after="0"/>
        <w:tabs>
          <w:tab w:leader="none" w:pos="5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auto"/>
        </w:rPr>
        <w:t xml:space="preserve">30.1 This Agreement constitutes the entire Agreement of the Parties with respect to the subject matter and supersedes all prior and contemporaneous agreements and understandings with respect thereto, including the Existing MSA and all associated statements of work, which shall be terminated as of the Effective Date, provided, however that any Existing Statements of Work identified in </w:t>
      </w:r>
      <w:r>
        <w:rPr>
          <w:rFonts w:ascii="Times New Roman" w:cs="Times New Roman" w:eastAsia="Times New Roman" w:hAnsi="Times New Roman"/>
          <w:sz w:val="16"/>
          <w:szCs w:val="16"/>
          <w:b w:val="1"/>
          <w:bCs w:val="1"/>
          <w:color w:val="auto"/>
        </w:rPr>
        <w:t>Exhibit F</w:t>
      </w:r>
      <w:r>
        <w:rPr>
          <w:rFonts w:ascii="Times New Roman" w:cs="Times New Roman" w:eastAsia="Times New Roman" w:hAnsi="Times New Roman"/>
          <w:sz w:val="16"/>
          <w:szCs w:val="16"/>
          <w:color w:val="auto"/>
        </w:rPr>
        <w:t xml:space="preserve"> shall continue under the terms of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 This Agreement may only be amended by a writing signed by both Parties.</w:t>
      </w:r>
    </w:p>
    <w:p>
      <w:pPr>
        <w:spacing w:after="0" w:line="213"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color w:val="auto"/>
        </w:rPr>
        <w:t>30.3 The invalidity or unenforceability of any provision of this Agreement shall not affect the validity or enforceability of any other provision of this Agreement. In the event that any provision of this Agreement is determined to be invalid, unenforceable, or otherwise illegal, such provision shall be deemed restated, in accordance with Applicable Law, to reflect as nearly as possible the original intentions of the Parties, and the remainder of the Agreement shall continue in full force and effect.</w:t>
      </w:r>
    </w:p>
    <w:p>
      <w:pPr>
        <w:spacing w:after="0" w:line="18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color w:val="auto"/>
        </w:rPr>
        <w:t>30.4 This Agreement and all related documents including all Exhibits attached hereto, and all matters arising out of or relating to this Agreement, whether sounding in contract, tort, or statute are governed by, and construed in accordance with, the laws of the State of Delaware, United States of America. Each Party irrevocably and unconditionally agrees that it will not commence any action, litigation, or proceeding of any kind whatsoever against the other Party in any way arising from or relating to this Agreement, including all exhibits, Exhibits, attachments, and appendices attached to this Agreement, and all contemplated transactions, including contract, equity, tort, fraud, and statutory claims, in any forum other than the courts of the State of Delaware, and any appellate court from any thereof. Each Party agrees that a final judgment in any such action, litigation, or proceeding is conclusive and may be enforced in other jurisdictions by suit on the judgment or in any other manner provided by law.</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30.5 This Agreement and any Statements of Work may be executed in counterparts each of which shall be deemed an original and which together shall constitute one and the same Agreement. Signatures transmitted by facsimile or scanned into .PDF (or similar) format and transmitted via electronic mail, and electronic signatures (whether digital or encrypted) shall all constitute original signatures.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00"/>
          </w:cols>
          <w:pgMar w:left="580" w:top="266" w:right="619" w:bottom="1440" w:gutter="0" w:footer="0" w:header="0"/>
        </w:sectPr>
      </w:pPr>
    </w:p>
    <w:bookmarkStart w:id="327" w:name="page328"/>
    <w:bookmarkEnd w:id="327"/>
    <w:p>
      <w:pPr>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Agreement to be executed as of the Effective Date by their respective officers thereunto duly authorized.</w:t>
      </w:r>
    </w:p>
    <w:p>
      <w:pPr>
        <w:spacing w:after="0" w:line="19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ASTRAZENECA AB</w:t>
      </w:r>
    </w:p>
    <w:p>
      <w:pPr>
        <w:spacing w:after="0" w:line="2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Yvonne Bertlin</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Yvonne Bertlin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5844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CFO</w:t>
      </w:r>
    </w:p>
    <w:p>
      <w:pPr>
        <w:spacing w:after="0" w:line="22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TEMPUS LABS, INC.</w:t>
      </w:r>
    </w:p>
    <w:p>
      <w:pPr>
        <w:spacing w:after="0" w:line="2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Jim Rogers</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5844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40"/>
          </w:cols>
          <w:pgMar w:left="580" w:top="265" w:right="779" w:bottom="1440" w:gutter="0" w:footer="0" w:header="0"/>
        </w:sectPr>
      </w:pPr>
    </w:p>
    <w:bookmarkStart w:id="328" w:name="page329"/>
    <w:bookmarkEnd w:id="32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EXHIBITS</w:t>
      </w:r>
    </w:p>
    <w:p>
      <w:pPr>
        <w:sectPr>
          <w:pgSz w:w="11900" w:h="16838" w:orient="portrait"/>
          <w:cols w:equalWidth="0" w:num="1">
            <w:col w:w="9019"/>
          </w:cols>
          <w:pgMar w:left="1440" w:top="263" w:right="1440"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019"/>
          </w:cols>
          <w:pgMar w:left="1440" w:top="263" w:right="1440" w:bottom="1440" w:gutter="0" w:footer="0" w:header="0"/>
          <w:type w:val="continuous"/>
        </w:sectPr>
      </w:pPr>
    </w:p>
    <w:bookmarkStart w:id="329" w:name="page330"/>
    <w:bookmarkEnd w:id="3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EXHIBIT A</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STATEMENT OF WORK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 USED.</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263" w:right="1440"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B</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 FOR LICENSED DATA</w:t>
      </w:r>
    </w:p>
    <w:p>
      <w:pPr>
        <w:spacing w:after="0" w:line="110" w:lineRule="exact"/>
        <w:rPr>
          <w:sz w:val="20"/>
          <w:szCs w:val="20"/>
          <w:color w:val="auto"/>
        </w:rPr>
      </w:pPr>
    </w:p>
    <w:p>
      <w:pPr>
        <w:ind w:left="180" w:hanging="172"/>
        <w:spacing w:after="0"/>
        <w:tabs>
          <w:tab w:leader="none" w:pos="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Grant to Licensed Data</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color w:val="auto"/>
        </w:rPr>
        <w:t xml:space="preserve">Subject to the terms and conditions of this Agreement (including paragraph 4 below), Tempus hereby grants to AstraZeneca a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AstraZeneca shall ensure that any Publication by AstraZeneca of results obtained by AstraZeneca from the use of Licensed Data (or the Licensed Data itself, subject to all applicable non-disclosure obligations) shall be subject to appropriate attribution to Tempus with respect to the use and involvement of the Licensed Data obtained from Tempus (or its licensors) and any mutually agreed proprietary rights and disclaimer language with respect to the Licensed Data.</w:t>
      </w:r>
    </w:p>
    <w:p>
      <w:pPr>
        <w:spacing w:after="0" w:line="154" w:lineRule="exact"/>
        <w:rPr>
          <w:sz w:val="20"/>
          <w:szCs w:val="20"/>
          <w:color w:val="auto"/>
        </w:rPr>
      </w:pPr>
    </w:p>
    <w:p>
      <w:pPr>
        <w:ind w:left="180" w:hanging="172"/>
        <w:spacing w:after="0"/>
        <w:tabs>
          <w:tab w:leader="none" w:pos="1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Authorized Users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Additionally, each Authorized User shall be authorized by AstraZeneca pursuant to its rigorous data access controls, and AstraZeneca shall bear responsibility for the actions or inactions any Authorized Users that would, if performed by AstraZeneca, constitute a breach of this Agreement. AstraZeneca shall use reasonable endeavors to ensure each Authorized User shall be trained on the use of the Licensed Data and shall be made aware of the obligations of this Agreement, including the restrictions set forth in paragraph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AZ Library</w:t>
      </w:r>
      <w:r>
        <w:rPr>
          <w:rFonts w:ascii="Times New Roman" w:cs="Times New Roman" w:eastAsia="Times New Roman" w:hAnsi="Times New Roman"/>
          <w:sz w:val="18"/>
          <w:szCs w:val="18"/>
          <w:color w:val="auto"/>
        </w:rPr>
        <w:t>” has the meaning given under paragraph 3.1.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Permitted Uses</w:t>
      </w:r>
      <w:r>
        <w:rPr>
          <w:rFonts w:ascii="Times New Roman" w:cs="Times New Roman" w:eastAsia="Times New Roman" w:hAnsi="Times New Roman"/>
          <w:sz w:val="18"/>
          <w:szCs w:val="18"/>
          <w:color w:val="auto"/>
        </w:rPr>
        <w:t xml:space="preserve">” means, with respect to certain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180" w:hanging="172"/>
        <w:spacing w:after="0"/>
        <w:tabs>
          <w:tab w:leader="none" w:pos="1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AZ Library</w:t>
      </w:r>
    </w:p>
    <w:p>
      <w:pPr>
        <w:spacing w:after="0" w:line="21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3.1 Tempus will provide AstraZeneca and its Authorized Users with access to a specific library of Licensed Data (the “</w:t>
      </w:r>
      <w:r>
        <w:rPr>
          <w:rFonts w:ascii="Times New Roman" w:cs="Times New Roman" w:eastAsia="Times New Roman" w:hAnsi="Times New Roman"/>
          <w:sz w:val="18"/>
          <w:szCs w:val="18"/>
          <w:b w:val="1"/>
          <w:bCs w:val="1"/>
          <w:color w:val="auto"/>
        </w:rPr>
        <w:t>AZ Library</w:t>
      </w:r>
      <w:r>
        <w:rPr>
          <w:rFonts w:ascii="Times New Roman" w:cs="Times New Roman" w:eastAsia="Times New Roman" w:hAnsi="Times New Roman"/>
          <w:sz w:val="18"/>
          <w:szCs w:val="18"/>
          <w:color w:val="auto"/>
        </w:rPr>
        <w:t>”) under the terms of this paragraph 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40" w:hanging="232"/>
        <w:spacing w:after="0"/>
        <w:tabs>
          <w:tab w:leader="none" w:pos="2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AstraZeneca will either (i) subscribe to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gross license fees for the baseline AZ Library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right="100" w:firstLine="8"/>
        <w:spacing w:after="0" w:line="267" w:lineRule="auto"/>
        <w:tabs>
          <w:tab w:leader="none" w:pos="23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its license to the AZ Library, AstraZeneca will download into its environments (including those operated by permitted sublicensees)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ind w:firstLine="8"/>
        <w:spacing w:after="0" w:line="270" w:lineRule="auto"/>
        <w:tabs>
          <w:tab w:leader="none" w:pos="24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AstraZeneca wants to license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will pay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long as it licenses the records for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If AstraZeneca wants to license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will pay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long as it licenses the records for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Q4 2021, AstraZeneca will get an updated download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20"/>
          </w:cols>
          <w:pgMar w:left="580" w:top="263" w:right="599" w:bottom="1440" w:gutter="0" w:footer="0" w:header="0"/>
        </w:sectPr>
      </w:pPr>
    </w:p>
    <w:bookmarkStart w:id="331" w:name="page332"/>
    <w:bookmarkEnd w:id="331"/>
    <w:p>
      <w:pPr>
        <w:ind w:right="140" w:firstLine="8"/>
        <w:spacing w:after="0" w:line="267" w:lineRule="auto"/>
        <w:tabs>
          <w:tab w:leader="none" w:pos="24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All Licensed Data will be curated by Tempus in accordance with the then current standards and using best practices of Tempus consistently applied for its data licensees. AstraZeneca may request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40" w:hanging="232"/>
        <w:spacing w:after="0"/>
        <w:tabs>
          <w:tab w:leader="none" w:pos="2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AstraZeneca will also get access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AstraZeneca will be allowed to select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it will pay the per Record license fee defined in paragraph 3.2(d) above.</w:t>
      </w:r>
    </w:p>
    <w:p>
      <w:pPr>
        <w:spacing w:after="0" w:line="213" w:lineRule="exact"/>
        <w:rPr>
          <w:rFonts w:ascii="Times New Roman" w:cs="Times New Roman" w:eastAsia="Times New Roman" w:hAnsi="Times New Roman"/>
          <w:sz w:val="18"/>
          <w:szCs w:val="18"/>
          <w:color w:val="auto"/>
        </w:rPr>
      </w:pPr>
    </w:p>
    <w:p>
      <w:pPr>
        <w:ind w:right="1700" w:firstLine="8"/>
        <w:spacing w:after="0" w:line="488" w:lineRule="auto"/>
        <w:tabs>
          <w:tab w:leader="none" w:pos="23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subject to all terms that apply to Licensed Data, in addition to the specific limitations described in this paragraph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Licensed Data Restrictions</w:t>
      </w:r>
    </w:p>
    <w:p>
      <w:pPr>
        <w:ind w:right="40"/>
        <w:spacing w:after="0" w:line="251" w:lineRule="auto"/>
        <w:rPr>
          <w:sz w:val="20"/>
          <w:szCs w:val="20"/>
          <w:color w:val="auto"/>
        </w:rPr>
      </w:pPr>
      <w:r>
        <w:rPr>
          <w:rFonts w:ascii="Times New Roman" w:cs="Times New Roman" w:eastAsia="Times New Roman" w:hAnsi="Times New Roman"/>
          <w:sz w:val="18"/>
          <w:szCs w:val="18"/>
          <w:color w:val="auto"/>
        </w:rPr>
        <w:t>4.1 AstraZeneca shall not and shall ensure that AstraZeneca Affiliates and Authorized Users do not, attempt to re-identify the Licensed Data as to patient and shall use best efforts, including by establishing a related internal governance procedure, to ensure that the Licensed Data is not intentionally or inadvertently re-identified. AstraZeneca shall not, and shall not permit any third party to, and shall ensure that no AstraZeneca Affiliate or Authorized User under its control shall contact any individuals whose information is included in the Licensed Data.</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4.2 AstraZeneca shall not, and shall ensure that AstraZeneca Affiliates and Authorized Users shall not, remove or alter any correct notice of confidentiality, copyright, trademark, logo or other notice of ownership, origin, or confidentiality in any report, other document or copies of the Licensed Data provided to AstraZeneca by or on behalf of Tempus.</w:t>
      </w:r>
    </w:p>
    <w:p>
      <w:pPr>
        <w:spacing w:after="0" w:line="180"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4.3 Each Party will not and shall ensure that their Affiliates and its and their Authorized Users do not, attempt to gain unauthorized access to any other systems or data of the other Party, to the other Party’s accounts of third parties, or to the other Party’s services for which each Party has not engaged the other.</w:t>
      </w:r>
    </w:p>
    <w:p>
      <w:pPr>
        <w:spacing w:after="0" w:line="180" w:lineRule="exact"/>
        <w:rPr>
          <w:sz w:val="20"/>
          <w:szCs w:val="20"/>
          <w:color w:val="auto"/>
        </w:rPr>
      </w:pPr>
    </w:p>
    <w:p>
      <w:pPr>
        <w:jc w:val="both"/>
        <w:ind w:right="80"/>
        <w:spacing w:after="0" w:line="331" w:lineRule="auto"/>
        <w:rPr>
          <w:sz w:val="20"/>
          <w:szCs w:val="20"/>
          <w:color w:val="auto"/>
        </w:rPr>
      </w:pPr>
      <w:r>
        <w:rPr>
          <w:rFonts w:ascii="Times New Roman" w:cs="Times New Roman" w:eastAsia="Times New Roman" w:hAnsi="Times New Roman"/>
          <w:sz w:val="16"/>
          <w:szCs w:val="16"/>
          <w:color w:val="auto"/>
        </w:rPr>
        <w:t>4.4 AstraZeneca will not, and shall ensure that the AstraZeneca Affiliates do not, access or use the Tempus Materials or Licensed Data for any purposes not (a) permitted by this Agreement or (b) reasonably incidental or necessary in connection with the purposes permitted by this Agreement.</w:t>
      </w:r>
    </w:p>
    <w:p>
      <w:pPr>
        <w:spacing w:after="0" w:line="12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4.5 AstraZeneca will not and shall ensure that AstraZeneca Affiliates and its and their Authorized Users do not re-sell the Licensed Data, or sublicense the Licensed Data on a standalone basis for any remuneration.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20"/>
          </w:cols>
          <w:pgMar w:left="580" w:top="265" w:right="599" w:bottom="1440" w:gutter="0" w:footer="0" w:header="0"/>
        </w:sectPr>
      </w:pPr>
    </w:p>
    <w:bookmarkStart w:id="332" w:name="page333"/>
    <w:bookmarkEnd w:id="332"/>
    <w:p>
      <w:pPr>
        <w:ind w:right="3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4.6 AstraZeneca will not and shall ensure that AstraZeneca Affiliates and its and their Authorized Users do not transfer Licensed Data (or access to Licensed Data) to any third party not otherwise specifically authorized herein, without prior written permission from Tempus.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4.7 Tempus shall not include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680"/>
        <w:spacing w:after="0" w:line="267" w:lineRule="auto"/>
        <w:rPr>
          <w:sz w:val="20"/>
          <w:szCs w:val="20"/>
          <w:color w:val="auto"/>
        </w:rPr>
      </w:pPr>
      <w:r>
        <w:rPr>
          <w:rFonts w:ascii="Times New Roman" w:cs="Times New Roman" w:eastAsia="Times New Roman" w:hAnsi="Times New Roman"/>
          <w:sz w:val="18"/>
          <w:szCs w:val="18"/>
          <w:color w:val="auto"/>
        </w:rPr>
        <w:t>4.8 AstraZeneca understands that Tempus (and any of its licensors of Licensed Data) does not endorse any Research, report or Publication and AstraZeneca will not attempt to indicate or imply any such endorsement.</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 xml:space="preserve">4.9 Each Party shall alert the other via the governance process in Section 6 if it believes that AstraZeneca has breached any of the restrictions applicable to Licensed Data. The Parties shall discuss any such concerns raised by Tempus promptly with the objective of resolving such concerns, and if Tempus has reasonably demonstrated that a breach has occurred, then AstraZeneca will work diligently to cure such breach as soon as possible. The matter will be escalated to the JSC if necessary. If Tempus’ concerns remain unresolved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date of escalation to the JSC, then Tempus may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ind w:left="140" w:hanging="132"/>
        <w:spacing w:after="0"/>
        <w:tabs>
          <w:tab w:leader="none" w:pos="1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1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of the applicable due date and following at least two written notices from Tempus requesting payment.</w:t>
      </w:r>
    </w:p>
    <w:p>
      <w:pPr>
        <w:spacing w:after="0" w:line="2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Security Incident Reporting</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Each Party shall comply with its respective obligations with respect to reporting security incidents as set out in the Cybersecurity Requirements Exhibit as set out in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180" w:hanging="172"/>
        <w:spacing w:after="0"/>
        <w:tabs>
          <w:tab w:leader="none" w:pos="1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this Agreement and unless otherwise specified in the applicable Statement of Work, Tempus shall not be prevented from</w:t>
      </w:r>
    </w:p>
    <w:p>
      <w:pPr>
        <w:spacing w:after="0" w:line="21" w:lineRule="exact"/>
        <w:rPr>
          <w:sz w:val="20"/>
          <w:szCs w:val="20"/>
          <w:color w:val="auto"/>
        </w:rPr>
      </w:pPr>
    </w:p>
    <w:p>
      <w:pPr>
        <w:ind w:firstLine="8"/>
        <w:spacing w:after="0" w:line="245" w:lineRule="auto"/>
        <w:tabs>
          <w:tab w:leader="none" w:pos="23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available services or licenses the same or substantially similar to the services and licenses provided hereunder, (b) making available, or other Tempus licenses from using, custom data sets that are the same or similar to the Licensed Data, so long as none of the foregoing include use of AstraZeneca’s Confidential Information or Intellectual Property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No Other Representation or Warranties</w:t>
      </w:r>
      <w:r>
        <w:rPr>
          <w:rFonts w:ascii="Times New Roman" w:cs="Times New Roman" w:eastAsia="Times New Roman" w:hAnsi="Times New Roman"/>
          <w:sz w:val="18"/>
          <w:szCs w:val="18"/>
          <w:color w:val="auto"/>
        </w:rPr>
        <w:t>. Except as expressly provided in this Agreement (including each Statement of Work):</w:t>
      </w:r>
    </w:p>
    <w:p>
      <w:pPr>
        <w:spacing w:after="0" w:line="213" w:lineRule="exact"/>
        <w:rPr>
          <w:sz w:val="20"/>
          <w:szCs w:val="20"/>
          <w:color w:val="auto"/>
        </w:rPr>
      </w:pPr>
    </w:p>
    <w:p>
      <w:pPr>
        <w:ind w:right="40"/>
        <w:spacing w:after="0" w:line="331" w:lineRule="auto"/>
        <w:rPr>
          <w:sz w:val="20"/>
          <w:szCs w:val="20"/>
          <w:color w:val="auto"/>
        </w:rPr>
      </w:pPr>
      <w:r>
        <w:rPr>
          <w:rFonts w:ascii="Times New Roman" w:cs="Times New Roman" w:eastAsia="Times New Roman" w:hAnsi="Times New Roman"/>
          <w:sz w:val="16"/>
          <w:szCs w:val="16"/>
          <w:color w:val="auto"/>
        </w:rPr>
        <w:t>7.1 Tempus hereby disclaims any and all express, implied, statutory, and other warranties and representation or every kind, including without limitation the implied warranties of fitness for a particular purpose, quiet enjoyment, quality of information, and title with respect to the Licensed Data.</w:t>
      </w:r>
    </w:p>
    <w:p>
      <w:pPr>
        <w:spacing w:after="0" w:line="12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7.2 Tempus makes no representations or warranties about the suitability or accuracy of the Licensed Data. Tempus uses all data provided to Tempus by third parties that has been de-identified to create the Licensed Data “as is” and is not and shall not be held responsible for the</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660"/>
          </w:cols>
          <w:pgMar w:left="580" w:top="265" w:right="659" w:bottom="1440" w:gutter="0" w:footer="0" w:header="0"/>
        </w:sectPr>
      </w:pPr>
    </w:p>
    <w:bookmarkStart w:id="333" w:name="page334"/>
    <w:bookmarkEnd w:id="333"/>
    <w:p>
      <w:pPr>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accuracy or completeness of such data and Tempus expressly disclaims any liability for clinical, operational, business or any other decisions made by AstraZeneca or its Affiliates or Authorized Users on the basis of the Licensed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All technology rights and services are licensed by Tempus and are provided “as is,” “where-is” and “with all faults.”</w:t>
      </w:r>
    </w:p>
    <w:p>
      <w:pPr>
        <w:spacing w:after="0" w:line="1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460"/>
          </w:cols>
          <w:pgMar w:left="580" w:top="265" w:right="859" w:bottom="1440" w:gutter="0" w:footer="0" w:header="0"/>
        </w:sectPr>
      </w:pPr>
    </w:p>
    <w:bookmarkStart w:id="334" w:name="page335"/>
    <w:bookmarkEnd w:id="3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DATA PROTECTION OBLIGATIONS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 USED.</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019"/>
          </w:cols>
          <w:pgMar w:left="1440" w:top="263" w:right="1440" w:bottom="1440" w:gutter="0" w:footer="0" w:header="0"/>
        </w:sectPr>
      </w:pPr>
    </w:p>
    <w:bookmarkStart w:id="335" w:name="page336"/>
    <w:bookmarkEnd w:id="33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D</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CYBERSECURITY REQUIREMENTS EXHIBIT</w:t>
      </w:r>
    </w:p>
    <w:p>
      <w:pPr>
        <w:spacing w:after="0" w:line="213" w:lineRule="exact"/>
        <w:rPr>
          <w:sz w:val="20"/>
          <w:szCs w:val="20"/>
          <w:color w:val="auto"/>
        </w:rPr>
      </w:pPr>
    </w:p>
    <w:p>
      <w:pPr>
        <w:ind w:left="180" w:hanging="172"/>
        <w:spacing w:after="0"/>
        <w:tabs>
          <w:tab w:leader="none" w:pos="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MEASURES AND ACTIONS</w:t>
      </w:r>
    </w:p>
    <w:p>
      <w:pPr>
        <w:spacing w:after="0" w:line="2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1.1 In performing its obligations and exercising its rights under this Agreement, the Supplier warrants, represents and covenants that it and each other Supplier Party will comply with the Agreed Standards and, where expressly agreed, be certified in relation to such Agreed Standards.</w:t>
      </w:r>
    </w:p>
    <w:p>
      <w:pPr>
        <w:spacing w:after="0" w:line="168" w:lineRule="exact"/>
        <w:rPr>
          <w:sz w:val="20"/>
          <w:szCs w:val="20"/>
          <w:color w:val="auto"/>
        </w:rPr>
      </w:pPr>
    </w:p>
    <w:p>
      <w:pPr>
        <w:ind w:left="180" w:hanging="172"/>
        <w:spacing w:after="0"/>
        <w:tabs>
          <w:tab w:leader="none" w:pos="1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NOTIFICATION OF AND REMEDIATION OF SECURITY INCIDENTS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Notification</w:t>
      </w:r>
    </w:p>
    <w:p>
      <w:pPr>
        <w:spacing w:after="0" w:line="21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The Supplier will notify, in writing in accordance with paragraph 2.2, AstraZeneca and any affected Service Recipient about any Security Incident affecting or which may affect any Service Recipient’s IT Infrastructure and Data or facilities owned, leased or of, used by or provided for use by any Supplier Party: (a) subject to paragraph 2.1.1 below, without undue delay and in any event within 48 hours after the Supplier becomes aware of or suspects that a Security Incident has occurred; or (b) immediately if the affected Service Recipient(s) or Supplier Party is subject to a requirement to notify an applicable Regulator, individual or third party under one or more Applicable Laws in a shorter timeframe that is tied to awareness of the Security Incident by Supplier.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The notification will include the following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2.1.1.1 the categories and nature of Data affected;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2.1.1.2 an indication of the root cause of the incident;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2.1.1.3 the duration of the Security Incident;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2.1.1.4 the sites, IT Infrastructure and Data (including Customer Information) affected and territories involved;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2.1.1.5 information concerning the nature and impact of the Security Incident;</w:t>
      </w:r>
    </w:p>
    <w:p>
      <w:pPr>
        <w:spacing w:after="0" w:line="21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2.1.1.6 the measures which have been taken or which are proposed to be taken to address the Security Incident and to mitigate its possible adverse effects; and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2.1.1.7 details of any reporting obligations to Regulators, which shall not name or disclose AstraZeneca without AstraZeneca’s written consent.</w:t>
      </w:r>
    </w:p>
    <w:p>
      <w:pPr>
        <w:spacing w:after="0" w:line="2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2.2 Where the Supplier is required to notify AstraZeneca and any other Service Recipient under this paragraph 2, such notification will be, in the first instance, sent by e-mail to the following e-mail address: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immediately followed up by telephone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such other e-mail address or telephone number notified by AstraZeneca to the Supplier in writing from time to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The Supplier will promptly:</w:t>
      </w:r>
    </w:p>
    <w:p>
      <w:pPr>
        <w:spacing w:after="0" w:line="1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480"/>
          </w:cols>
          <w:pgMar w:left="580" w:top="263" w:right="8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2.3.1 assist AstraZeneca and any other affected Service Recipient in documenting any Security Incidents;</w:t>
      </w:r>
    </w:p>
    <w:p>
      <w:pPr>
        <w:spacing w:after="0" w:line="213"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2.3.1.1 take measures to promptly address Security Incidents, including, where appropriate, taking measures to mitigate and minimise their possible adverse effects and future risks which may (in consultation with AstraZeneca prior to doing so and at AstraZeneca’s option) include taking down any environments, systems, components (or part thereof) that have been impacted by the relevant Security Incident and which contain AstraZeneca’s Information; or used to deliver Services to AstraZeneca; and</w:t>
      </w:r>
    </w:p>
    <w:p>
      <w:pPr>
        <w:spacing w:after="0" w:line="184" w:lineRule="exact"/>
        <w:rPr>
          <w:sz w:val="20"/>
          <w:szCs w:val="20"/>
          <w:color w:val="auto"/>
        </w:rPr>
      </w:pPr>
    </w:p>
    <w:p>
      <w:pPr>
        <w:ind w:right="800"/>
        <w:spacing w:after="0" w:line="267" w:lineRule="auto"/>
        <w:rPr>
          <w:sz w:val="20"/>
          <w:szCs w:val="20"/>
          <w:color w:val="auto"/>
        </w:rPr>
      </w:pPr>
      <w:r>
        <w:rPr>
          <w:rFonts w:ascii="Times New Roman" w:cs="Times New Roman" w:eastAsia="Times New Roman" w:hAnsi="Times New Roman"/>
          <w:sz w:val="18"/>
          <w:szCs w:val="18"/>
          <w:color w:val="auto"/>
        </w:rPr>
        <w:t>2.3.1.2 where expressly required by AstraZeneca, assist AstraZeneca and any other affected Service Recipient in reporting and responding to investigations or other communications from Regulators and their representatives.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Remediation plan</w:t>
      </w:r>
    </w:p>
    <w:p>
      <w:pPr>
        <w:spacing w:after="0" w:line="2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2.4.1 If at any time: (a) a Security Incident has occurred; (b) there is a reasonably likely risk to security of the IT Infrastructure and Data in the future that may negatively impact this Agreement, the Services or any Service Recipient; or (c) an audit undertaken by or on behalf of AstraZeneca, the Supplier or a third party identifies a Security Issue, the Supplier will promptly propose a rectification plan to remedy the Security Issue. All rectification plans will (unless otherwise agreed in writing by AstraZeneca) require the Supplier (and any relevant Supplier Party) to, at the Supplier’s cost, deploy such resources and take such actions that are reasonably necessary to rectify the relevant Security Issue or any vulnerabilities or underlying issues arising or ensure that the Security Measures are being met. The Supplier will give AstraZeneca reasonable opportunity to comment on the proposed rectification plan and will amend any proposed rectification plan to reflect all of AstraZeneca’s reasonable comments and additional steps that AstraZeneca may reasonably require and then, at the Supplier’s cost, implement the amended rectification plan as soon as possible.</w:t>
      </w:r>
    </w:p>
    <w:p>
      <w:pPr>
        <w:spacing w:after="0" w:line="159" w:lineRule="exact"/>
        <w:rPr>
          <w:sz w:val="20"/>
          <w:szCs w:val="20"/>
          <w:color w:val="auto"/>
        </w:rPr>
      </w:pPr>
    </w:p>
    <w:p>
      <w:pPr>
        <w:ind w:right="800" w:firstLine="8"/>
        <w:spacing w:after="0" w:line="270" w:lineRule="auto"/>
        <w:tabs>
          <w:tab w:leader="none" w:pos="17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PROVISIONS RELATING TO CONFIDENTIALITY AND ANNOUNCEMENTS IN RESPECT OF SECURITY INCIDENTS</w:t>
      </w:r>
    </w:p>
    <w:p>
      <w:pPr>
        <w:spacing w:after="0" w:line="16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The Supplier will not and will procure that all Supplier Parties will not, without AstraZeneca’s prior written consent, make or permit any announcement or public communication in respect of a Security Incident or issue any information to any third party (or otherwise permit the publication of information) about any Security Incident which relates to this Agreement or to a Service Recipient unless: (a) instructed to do so by AstraZeneca (in a form approved by AstraZeneca); or (b) compelled to do so by Applicable Law or a Regulator (and in such case the Supplier will notify AstraZeneca in writing of its obligation to do so unless prevented by Applicable Law in which case it will notify AstraZeneca as soon as it is able to).</w:t>
      </w:r>
    </w:p>
    <w:p>
      <w:pPr>
        <w:spacing w:after="0" w:line="154" w:lineRule="exact"/>
        <w:rPr>
          <w:sz w:val="20"/>
          <w:szCs w:val="20"/>
          <w:color w:val="auto"/>
        </w:rPr>
      </w:pPr>
    </w:p>
    <w:p>
      <w:pPr>
        <w:ind w:left="180" w:hanging="172"/>
        <w:spacing w:after="0"/>
        <w:tabs>
          <w:tab w:leader="none" w:pos="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PROVISION RELATING TO LIABILITY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Notwithstanding any other provision in this Agreement, the Supplier’s liability under or in connection with this CSRE shall be unlimited.</w:t>
      </w:r>
    </w:p>
    <w:p>
      <w:pPr>
        <w:spacing w:after="0" w:line="211" w:lineRule="exact"/>
        <w:rPr>
          <w:sz w:val="20"/>
          <w:szCs w:val="20"/>
          <w:color w:val="auto"/>
        </w:rPr>
      </w:pPr>
    </w:p>
    <w:p>
      <w:pPr>
        <w:ind w:left="180" w:hanging="172"/>
        <w:spacing w:after="0"/>
        <w:tabs>
          <w:tab w:leader="none" w:pos="1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 RIGHTS AND INFORMATION SHARING</w:t>
      </w:r>
    </w:p>
    <w:p>
      <w:pPr>
        <w:spacing w:after="0" w:line="21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5.1 AstraZeneca may audit Supplier and the other Supplier Parties to verify compliance with this CSRE. Such audit will typically comprise a security assessment form that the Supplier will</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660"/>
          </w:cols>
          <w:pgMar w:left="580" w:top="265" w:right="659" w:bottom="1440" w:gutter="0" w:footer="0" w:header="0"/>
        </w:sectPr>
      </w:pPr>
    </w:p>
    <w:bookmarkStart w:id="337" w:name="page338"/>
    <w:bookmarkEnd w:id="337"/>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need to populate and share relevant details so as to demonstrate its compliance with the technical and security measures agreed under this CSRE. However, in the event of a suspected breach or in case of a mandate from a Regulator or to verify the cyber security controls in place, AstraZeneca shall have the right to carry out a physical audit of Supplier’s premises to access the IT Infrastructure, subject to Supplier’s reasonable policies and procedures (e.g., regarding security and confidentiality). Supplier shall reasonably cooperate with AstraZeneca in relation to such audit, including allowing reasonable access to the Supplier Parties’ IT Infrastructure and providing such information as AstraZeneca reasonably requires.</w:t>
      </w:r>
    </w:p>
    <w:p>
      <w:pPr>
        <w:spacing w:after="0" w:line="18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5.2 AstraZeneca shall not conduct such audits more than once per year unless there has been a suspected breach or if there is a regulatory requirement. AstraZeneca shall bear the cost of the audit limited to the professional fees, except where the audit reveals any material breach or discrepancy in which case Supplier shall bear such costs.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20"/>
          </w:cols>
          <w:pgMar w:left="580" w:top="265" w:right="599" w:bottom="1440" w:gutter="0" w:footer="0" w:header="0"/>
        </w:sectPr>
      </w:pPr>
    </w:p>
    <w:bookmarkStart w:id="338" w:name="page339"/>
    <w:bookmarkEnd w:id="3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ANNEX 1</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this CSRE the following definitions apply:</w:t>
      </w:r>
    </w:p>
    <w:p>
      <w:pPr>
        <w:spacing w:after="0" w:line="106" w:lineRule="exact"/>
        <w:rPr>
          <w:sz w:val="20"/>
          <w:szCs w:val="20"/>
          <w:color w:val="auto"/>
        </w:rPr>
      </w:pPr>
    </w:p>
    <w:p>
      <w:pPr>
        <w:ind w:left="440"/>
        <w:spacing w:after="0" w:line="248" w:lineRule="auto"/>
        <w:rPr>
          <w:sz w:val="20"/>
          <w:szCs w:val="20"/>
          <w:color w:val="auto"/>
        </w:rPr>
      </w:pPr>
      <w:r>
        <w:rPr>
          <w:rFonts w:ascii="Times New Roman" w:cs="Times New Roman" w:eastAsia="Times New Roman" w:hAnsi="Times New Roman"/>
          <w:sz w:val="18"/>
          <w:szCs w:val="18"/>
          <w:color w:val="auto"/>
        </w:rPr>
        <w:t>Part I “</w:t>
      </w:r>
      <w:r>
        <w:rPr>
          <w:rFonts w:ascii="Times New Roman" w:cs="Times New Roman" w:eastAsia="Times New Roman" w:hAnsi="Times New Roman"/>
          <w:sz w:val="18"/>
          <w:szCs w:val="18"/>
          <w:b w:val="1"/>
          <w:bCs w:val="1"/>
          <w:color w:val="auto"/>
        </w:rPr>
        <w:t>Agreed Standards</w:t>
      </w:r>
      <w:r>
        <w:rPr>
          <w:rFonts w:ascii="Times New Roman" w:cs="Times New Roman" w:eastAsia="Times New Roman" w:hAnsi="Times New Roman"/>
          <w:sz w:val="18"/>
          <w:szCs w:val="18"/>
          <w:color w:val="auto"/>
        </w:rPr>
        <w:t>” means one or more of the following, as mutually agreed by the Parties: (a) ISO/IEC 27001:2013 (Information security management systems: Requirements); (b) ISO/IEC 27017; (c) Service Organization Control 2 (“</w:t>
      </w:r>
      <w:r>
        <w:rPr>
          <w:rFonts w:ascii="Times New Roman" w:cs="Times New Roman" w:eastAsia="Times New Roman" w:hAnsi="Times New Roman"/>
          <w:sz w:val="18"/>
          <w:szCs w:val="18"/>
          <w:b w:val="1"/>
          <w:bCs w:val="1"/>
          <w:color w:val="auto"/>
        </w:rPr>
        <w:t>SOC 2</w:t>
      </w:r>
      <w:r>
        <w:rPr>
          <w:rFonts w:ascii="Times New Roman" w:cs="Times New Roman" w:eastAsia="Times New Roman" w:hAnsi="Times New Roman"/>
          <w:sz w:val="18"/>
          <w:szCs w:val="18"/>
          <w:color w:val="auto"/>
        </w:rPr>
        <w:t xml:space="preserve">”); (d) Control Objectives for Information and Related Technologies (COBIT) by ISACA; (e) any other applicable ISO standards relevant to the Services; (f) adherence to a recognised industry cybersecurity framework e.g. NIST CSF (g) any standards that the Parties agree in writing from time to time that the Supplier shall comply with; and (h) where personal health or health information is to be processed as part of the Services, The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Standards for the Protection of Electronic Protected Health Information (the Security Rule);</w:t>
      </w:r>
    </w:p>
    <w:p>
      <w:pPr>
        <w:spacing w:after="0" w:line="82" w:lineRule="exact"/>
        <w:rPr>
          <w:sz w:val="20"/>
          <w:szCs w:val="20"/>
          <w:color w:val="auto"/>
        </w:rPr>
      </w:pPr>
    </w:p>
    <w:p>
      <w:pPr>
        <w:ind w:left="440" w:right="8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 Information</w:t>
      </w:r>
      <w:r>
        <w:rPr>
          <w:rFonts w:ascii="Times New Roman" w:cs="Times New Roman" w:eastAsia="Times New Roman" w:hAnsi="Times New Roman"/>
          <w:sz w:val="18"/>
          <w:szCs w:val="18"/>
          <w:color w:val="auto"/>
        </w:rPr>
        <w:t>” means all Data (including drug information, processes, procedures or know-how) of AstraZeneca or of AstraZeneca’s Affiliates (including AstraZeneca’s and its’ Affiliates’ suppliers, customers or other relationships) and whether given or conveyed to the Supplier or its Affiliates by or on behalf of AstraZeneca or its Affiliates or which the Supplier or its Affiliates are able to access, transmit or otherwise process as a result of performing the Services or accessing the Service Recipients’ IT Infrastructure and Data or which is otherwise received by the Supplier in the performance of this Agreement or the Services and, for the avoidance of doubt, which includes AstraZeneca’s and its Affiliates’ Confidential Information;</w:t>
      </w:r>
    </w:p>
    <w:p>
      <w:pPr>
        <w:spacing w:after="0" w:line="82" w:lineRule="exact"/>
        <w:rPr>
          <w:sz w:val="20"/>
          <w:szCs w:val="20"/>
          <w:color w:val="auto"/>
        </w:rPr>
      </w:pPr>
    </w:p>
    <w:p>
      <w:pPr>
        <w:ind w:left="440" w:right="2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means data including personal data or personally identifiable data, personal health or health information and other data, including information, records, studies, diagrams, charts, plans, methodologies, processes, documents, databases, papers, materials or specifications (and irrespective of whether such data is business critical data, comprises confidential information or trade secrets or otherwise);</w:t>
      </w:r>
    </w:p>
    <w:p>
      <w:pPr>
        <w:spacing w:after="0" w:line="73" w:lineRule="exact"/>
        <w:rPr>
          <w:sz w:val="20"/>
          <w:szCs w:val="20"/>
          <w:color w:val="auto"/>
        </w:rPr>
      </w:pPr>
    </w:p>
    <w:p>
      <w:pPr>
        <w:ind w:left="440" w:right="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Infrastructure</w:t>
      </w:r>
      <w:r>
        <w:rPr>
          <w:rFonts w:ascii="Times New Roman" w:cs="Times New Roman" w:eastAsia="Times New Roman" w:hAnsi="Times New Roman"/>
          <w:sz w:val="18"/>
          <w:szCs w:val="18"/>
          <w:color w:val="auto"/>
        </w:rPr>
        <w:t>” means information technology system(s) comprising any or all of the following, each to the extent storing or processing Data: programs, business processing system, electronic operations system, communications networks, hosted applications and connectivity to the internet/the computer, telecommunication facilities (including networks, network devices, cables and routers), hardware, mobile devices, peripherals, software, hardware, equipment and databases and whether on premise, cloud or otherwise;</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 of Data</w:t>
      </w:r>
      <w:r>
        <w:rPr>
          <w:rFonts w:ascii="Times New Roman" w:cs="Times New Roman" w:eastAsia="Times New Roman" w:hAnsi="Times New Roman"/>
          <w:sz w:val="18"/>
          <w:szCs w:val="18"/>
          <w:color w:val="auto"/>
        </w:rPr>
        <w:t>” means the accidental or unlawful destruction, loss, alteration, unauthorised disclosure of, or access to Data;</w:t>
      </w:r>
    </w:p>
    <w:p>
      <w:pPr>
        <w:spacing w:after="0" w:line="108" w:lineRule="exact"/>
        <w:rPr>
          <w:sz w:val="20"/>
          <w:szCs w:val="20"/>
          <w:color w:val="auto"/>
        </w:rPr>
      </w:pPr>
    </w:p>
    <w:p>
      <w:pPr>
        <w:ind w:left="440" w:right="34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w:t>
      </w:r>
      <w:r>
        <w:rPr>
          <w:rFonts w:ascii="Times New Roman" w:cs="Times New Roman" w:eastAsia="Times New Roman" w:hAnsi="Times New Roman"/>
          <w:sz w:val="18"/>
          <w:szCs w:val="18"/>
          <w:color w:val="auto"/>
        </w:rPr>
        <w:t>” means all governmental, statutory or regulatory bodies and any other competent authorities or entities in any jurisdiction having responsibility for the</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680"/>
          </w:cols>
          <w:pgMar w:left="580" w:top="263" w:right="639" w:bottom="1440" w:gutter="0" w:footer="0" w:header="0"/>
        </w:sectPr>
      </w:pPr>
    </w:p>
    <w:bookmarkStart w:id="339" w:name="page340"/>
    <w:bookmarkEnd w:id="339"/>
    <w:p>
      <w:pPr>
        <w:ind w:left="440" w:right="6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regulation or governance of the Customer, any other Service Recipient, the Supplier, any other Supplier Party, this Agreement, the Services or the activities which are comprised in all or some of the Services or the use or application of the output from any part of the Services;</w:t>
      </w:r>
    </w:p>
    <w:p>
      <w:pPr>
        <w:spacing w:after="0" w:line="63" w:lineRule="exact"/>
        <w:rPr>
          <w:sz w:val="20"/>
          <w:szCs w:val="20"/>
          <w:color w:val="auto"/>
        </w:rPr>
      </w:pPr>
    </w:p>
    <w:p>
      <w:pPr>
        <w:ind w:left="440" w:right="2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means: (a) any information security incident or any event or incident having an actual adverse effect on any element of the security of the IT Infrastructure of any Service Recipient or any Supplier Party; (b) any reasonably suspected event or incident or “near miss” incident; (c) any event or incident involving any breach of security leading to a Loss of Data; or (d) any event or incident which involves the compromise of confidentiality, integrity or availability of information of Data, including:</w:t>
      </w:r>
    </w:p>
    <w:p>
      <w:pPr>
        <w:spacing w:after="0" w:line="78" w:lineRule="exact"/>
        <w:rPr>
          <w:sz w:val="20"/>
          <w:szCs w:val="20"/>
          <w:color w:val="auto"/>
        </w:rPr>
      </w:pPr>
    </w:p>
    <w:p>
      <w:pPr>
        <w:ind w:left="440" w:hanging="4"/>
        <w:spacing w:after="0" w:line="248" w:lineRule="auto"/>
        <w:tabs>
          <w:tab w:leader="none" w:pos="64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data security incident; (ii) a cyber attack; (iii) a disaster; (iv) a discovery or reasonable suspicion that there is a vulnerability in any technological measure used to protect any Customer Information or other Data that has previously been subject to any such event, which may result in exploitation or exposure of that Customer Information or other Data; (v) any material defect or vulnerability with the reasonably likely potential to impact the ongoing resilience, security or integrity of the IT Systems; (vi) any other unauthorised use of or access to any part of an IT Infrastructure or Data (including Customer Information); or (vii) any damage, destruction, corruption or alteration of any Customer Information or other Data;</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Issue</w:t>
      </w:r>
      <w:r>
        <w:rPr>
          <w:rFonts w:ascii="Times New Roman" w:cs="Times New Roman" w:eastAsia="Times New Roman" w:hAnsi="Times New Roman"/>
          <w:sz w:val="16"/>
          <w:szCs w:val="16"/>
          <w:color w:val="auto"/>
        </w:rPr>
        <w:t>” means any: (a) material security vulnerabilities or inadequacies in security; or (b) that the security measures are not being met;</w:t>
      </w:r>
    </w:p>
    <w:p>
      <w:pPr>
        <w:spacing w:after="0" w:line="46" w:lineRule="exact"/>
        <w:rPr>
          <w:sz w:val="20"/>
          <w:szCs w:val="20"/>
          <w:color w:val="auto"/>
        </w:rPr>
      </w:pPr>
    </w:p>
    <w:p>
      <w:pPr>
        <w:ind w:left="440" w:right="440" w:hanging="4"/>
        <w:spacing w:after="0" w:line="245" w:lineRule="auto"/>
        <w:tabs>
          <w:tab w:leader="none" w:pos="67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or reasonable suspicion that there is a material vulnerability in any technological measure used to protect any Data, which is reasonably likely to result in exploitation or exposure of that Data; or (d) any material defect or vulnerability with the potential to impact the ongoing resilience, security or integrity of systems processing (including Processing) Data;</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Recipient</w:t>
      </w:r>
      <w:r>
        <w:rPr>
          <w:rFonts w:ascii="Times New Roman" w:cs="Times New Roman" w:eastAsia="Times New Roman" w:hAnsi="Times New Roman"/>
          <w:sz w:val="18"/>
          <w:szCs w:val="18"/>
          <w:color w:val="auto"/>
        </w:rPr>
        <w:t>” means AstraZeneca or AstraZeneca’s Affiliates, as the context permits;</w:t>
      </w:r>
    </w:p>
    <w:p>
      <w:pPr>
        <w:spacing w:after="0" w:line="108" w:lineRule="exact"/>
        <w:rPr>
          <w:sz w:val="20"/>
          <w:szCs w:val="20"/>
          <w:color w:val="auto"/>
        </w:rPr>
      </w:pPr>
    </w:p>
    <w:p>
      <w:pPr>
        <w:ind w:left="44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will be given the meaning set out in the Agreement above or below or, where none is set out, will mean the services performed or to be performed under this Agreement; and</w:t>
      </w:r>
    </w:p>
    <w:p>
      <w:pPr>
        <w:spacing w:after="0" w:line="59" w:lineRule="exact"/>
        <w:rPr>
          <w:sz w:val="20"/>
          <w:szCs w:val="20"/>
          <w:color w:val="auto"/>
        </w:rPr>
      </w:pPr>
    </w:p>
    <w:p>
      <w:pPr>
        <w:jc w:val="both"/>
        <w:ind w:left="440" w:right="12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Supplier Party</w:t>
      </w:r>
      <w:r>
        <w:rPr>
          <w:rFonts w:ascii="Times New Roman" w:cs="Times New Roman" w:eastAsia="Times New Roman" w:hAnsi="Times New Roman"/>
          <w:sz w:val="16"/>
          <w:szCs w:val="16"/>
          <w:color w:val="auto"/>
        </w:rPr>
        <w:t>” means the Supplier together with: (a) any of the Supplier’s Affiliates; (b) any authorised sub-contractors; or (c) any authorised Sub-Processors, that are engaged in the provision of or delivery of the Services or otherwise in the performance of this Agreement, as permitted by this Agreement and “</w:t>
      </w:r>
      <w:r>
        <w:rPr>
          <w:rFonts w:ascii="Times New Roman" w:cs="Times New Roman" w:eastAsia="Times New Roman" w:hAnsi="Times New Roman"/>
          <w:sz w:val="16"/>
          <w:szCs w:val="16"/>
          <w:b w:val="1"/>
          <w:bCs w:val="1"/>
          <w:color w:val="auto"/>
        </w:rPr>
        <w:t>Supplier Party</w:t>
      </w:r>
      <w:r>
        <w:rPr>
          <w:rFonts w:ascii="Times New Roman" w:cs="Times New Roman" w:eastAsia="Times New Roman" w:hAnsi="Times New Roman"/>
          <w:sz w:val="16"/>
          <w:szCs w:val="16"/>
          <w:color w:val="auto"/>
        </w:rPr>
        <w:t>” means any of them and such terms shall include the employees and other personnel of such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ORDER OF PRECEDENCE</w:t>
      </w:r>
    </w:p>
    <w:p>
      <w:pPr>
        <w:spacing w:after="0" w:line="11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In the event of a conflict between this CSRE and the Agreement, the provisions which provide AstraZeneca and its Affiliates with the higher level of protection and contractual coverage shall prevail.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00"/>
          </w:cols>
          <w:pgMar w:left="580" w:top="265" w:right="619" w:bottom="1440" w:gutter="0" w:footer="0" w:header="0"/>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TERMS</w:t>
      </w:r>
    </w:p>
    <w:p>
      <w:pPr>
        <w:spacing w:after="0" w:line="121" w:lineRule="exact"/>
        <w:rPr>
          <w:sz w:val="20"/>
          <w:szCs w:val="20"/>
          <w:color w:val="auto"/>
        </w:rPr>
      </w:pPr>
    </w:p>
    <w:p>
      <w:pPr>
        <w:ind w:left="540" w:hanging="532"/>
        <w:spacing w:after="0"/>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w:t>
      </w:r>
    </w:p>
    <w:p>
      <w:pPr>
        <w:spacing w:after="0" w:line="213" w:lineRule="exact"/>
        <w:rPr>
          <w:sz w:val="20"/>
          <w:szCs w:val="20"/>
          <w:color w:val="auto"/>
        </w:rPr>
      </w:pPr>
    </w:p>
    <w:p>
      <w:pPr>
        <w:ind w:left="240" w:hanging="232"/>
        <w:spacing w:after="0"/>
        <w:tabs>
          <w:tab w:leader="none" w:pos="2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260" w:hanging="252"/>
        <w:spacing w:after="0"/>
        <w:tabs>
          <w:tab w:leader="none" w:pos="2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right="140" w:firstLine="8"/>
        <w:spacing w:after="0" w:line="256" w:lineRule="auto"/>
        <w:tabs>
          <w:tab w:leader="none" w:pos="24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Commitment</w:t>
      </w:r>
      <w:r>
        <w:rPr>
          <w:rFonts w:ascii="Times New Roman" w:cs="Times New Roman" w:eastAsia="Times New Roman" w:hAnsi="Times New Roman"/>
          <w:sz w:val="18"/>
          <w:szCs w:val="18"/>
          <w:color w:val="auto"/>
        </w:rPr>
        <w:t>. In consideration of the Licensed Data, Services, and other activities to be carried out by Tempus under this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of this Exhibit, AstraZeneca has committed to the following total financial commitment (the “</w:t>
      </w:r>
      <w:r>
        <w:rPr>
          <w:rFonts w:ascii="Times New Roman" w:cs="Times New Roman" w:eastAsia="Times New Roman" w:hAnsi="Times New Roman"/>
          <w:sz w:val="18"/>
          <w:szCs w:val="18"/>
          <w:u w:val="single" w:color="auto"/>
          <w:color w:val="auto"/>
        </w:rPr>
        <w:t>Financial Commitment</w:t>
      </w:r>
      <w:r>
        <w:rPr>
          <w:rFonts w:ascii="Times New Roman" w:cs="Times New Roman" w:eastAsia="Times New Roman" w:hAnsi="Times New Roman"/>
          <w:sz w:val="18"/>
          <w:szCs w:val="18"/>
          <w:color w:val="auto"/>
        </w:rPr>
        <w:t>”), all calculated based on actual fees Paid or Payable to Tempus (not pre-discount fees):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4"/>
        </w:trPr>
        <w:tc>
          <w:tcPr>
            <w:tcW w:w="6880" w:type="dxa"/>
            <w:vAlign w:val="bottom"/>
          </w:tcPr>
          <w:p>
            <w:pPr>
              <w:spacing w:after="0"/>
              <w:rPr>
                <w:sz w:val="12"/>
                <w:szCs w:val="12"/>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2021(Q4)</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Financial</w:t>
            </w:r>
          </w:p>
        </w:tc>
        <w:tc>
          <w:tcPr>
            <w:tcW w:w="0" w:type="dxa"/>
            <w:vAlign w:val="bottom"/>
          </w:tcPr>
          <w:p>
            <w:pPr>
              <w:spacing w:after="0"/>
              <w:rPr>
                <w:sz w:val="1"/>
                <w:szCs w:val="1"/>
                <w:color w:val="auto"/>
              </w:rPr>
            </w:pPr>
          </w:p>
        </w:tc>
      </w:tr>
      <w:tr>
        <w:trPr>
          <w:trHeight w:val="16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Commitment ($M)*</w:t>
            </w:r>
          </w:p>
        </w:tc>
        <w:tc>
          <w:tcPr>
            <w:tcW w:w="6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Commitment</w:t>
            </w:r>
          </w:p>
        </w:tc>
        <w:tc>
          <w:tcPr>
            <w:tcW w:w="0" w:type="dxa"/>
            <w:vAlign w:val="bottom"/>
          </w:tcPr>
          <w:p>
            <w:pPr>
              <w:spacing w:after="0"/>
              <w:rPr>
                <w:sz w:val="1"/>
                <w:szCs w:val="1"/>
                <w:color w:val="auto"/>
              </w:rPr>
            </w:pPr>
          </w:p>
        </w:tc>
      </w:tr>
      <w:tr>
        <w:trPr>
          <w:trHeight w:val="221"/>
        </w:trPr>
        <w:tc>
          <w:tcPr>
            <w:tcW w:w="6880" w:type="dxa"/>
            <w:vAlign w:val="bottom"/>
            <w:vMerge w:val="continue"/>
          </w:tcPr>
          <w:p>
            <w:pPr>
              <w:spacing w:after="0"/>
              <w:rPr>
                <w:sz w:val="19"/>
                <w:szCs w:val="19"/>
                <w:color w:val="auto"/>
              </w:rPr>
            </w:pPr>
          </w:p>
        </w:tc>
        <w:tc>
          <w:tcPr>
            <w:tcW w:w="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w:t>
            </w:r>
          </w:p>
        </w:tc>
        <w:tc>
          <w:tcPr>
            <w:tcW w:w="12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last $100,000,000 of the Financial Commitment only applies if AstraZeneca exercises the MC Extension Option described below.</w:t>
      </w:r>
    </w:p>
    <w:p>
      <w:pPr>
        <w:spacing w:after="0" w:line="213" w:lineRule="exact"/>
        <w:rPr>
          <w:sz w:val="20"/>
          <w:szCs w:val="20"/>
          <w:color w:val="auto"/>
        </w:rPr>
      </w:pPr>
    </w:p>
    <w:p>
      <w:pPr>
        <w:ind w:right="100"/>
        <w:spacing w:after="0" w:line="331" w:lineRule="auto"/>
        <w:rPr>
          <w:sz w:val="20"/>
          <w:szCs w:val="20"/>
          <w:color w:val="auto"/>
        </w:rPr>
      </w:pPr>
      <w:r>
        <w:rPr>
          <w:rFonts w:ascii="Times New Roman" w:cs="Times New Roman" w:eastAsia="Times New Roman" w:hAnsi="Times New Roman"/>
          <w:sz w:val="16"/>
          <w:szCs w:val="16"/>
          <w:color w:val="auto"/>
        </w:rPr>
        <w:t>For purposes of the Financial Commitment, “Paid or Payable” means that either the amount has been paid to Tempus or the amount is payable but not yet paid with respect to a Deliverable or Service that Tempus has agreed to deliver within the applicable calendar year pursuant to a Statement of Work.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140" w:hanging="132"/>
        <w:spacing w:after="0"/>
        <w:tabs>
          <w:tab w:leader="none" w:pos="1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1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1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1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20"/>
          </w:cols>
          <w:pgMar w:left="580" w:top="263" w:right="599" w:bottom="1440" w:gutter="0" w:footer="0" w:header="0"/>
        </w:sectPr>
      </w:pPr>
    </w:p>
    <w:bookmarkStart w:id="341" w:name="page342"/>
    <w:bookmarkEnd w:id="341"/>
    <w:p>
      <w:pPr>
        <w:ind w:left="140" w:hanging="132"/>
        <w:spacing w:after="0"/>
        <w:tabs>
          <w:tab w:leader="none" w:pos="1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p>
    <w:p>
      <w:pPr>
        <w:spacing w:after="0" w:line="21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It is agreed and acknowledged that the Financial Commitment is for a total amount of $200,000,000, unless and until AstraZeneca exercises its option to extend the Financial Commitment for an additional $100,000,000 (the “MC Extension Option”). The exercise period for the MC Extension Option will be from the Effective Date to the earlier of (i) December 31, 2024 or (ii) the date that AstraZeneca exercises the Warrant. AstraZeneca will exercise the MC Extension Option either via a written notice to Tempus or by exercising the Warrant. If AstraZeneca has not already exercised the MC Extension Option or the Warrant, Tempus will notify AstraZeneca in writing between 90 and 30 days prior to December 31, 2024 that the deadline to exercise the MC Extension Option is approaching.</w:t>
      </w:r>
    </w:p>
    <w:p>
      <w:pPr>
        <w:spacing w:after="0" w:line="185" w:lineRule="exact"/>
        <w:rPr>
          <w:sz w:val="20"/>
          <w:szCs w:val="20"/>
          <w:color w:val="auto"/>
        </w:rPr>
      </w:pPr>
    </w:p>
    <w:p>
      <w:pPr>
        <w:ind w:left="240" w:hanging="232"/>
        <w:spacing w:after="0"/>
        <w:tabs>
          <w:tab w:leader="none" w:pos="2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5280" w:right="3860" w:hanging="5272"/>
        <w:spacing w:after="0" w:line="437" w:lineRule="auto"/>
        <w:tabs>
          <w:tab w:leader="none" w:pos="23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Invoices</w:t>
      </w:r>
      <w:r>
        <w:rPr>
          <w:rFonts w:ascii="Times New Roman" w:cs="Times New Roman" w:eastAsia="Times New Roman" w:hAnsi="Times New Roman"/>
          <w:sz w:val="18"/>
          <w:szCs w:val="18"/>
          <w:color w:val="auto"/>
        </w:rPr>
        <w:t>. All invoices will be due and payable in accordance with the terms of the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52</w:t>
      </w:r>
    </w:p>
    <w:p>
      <w:pPr>
        <w:sectPr>
          <w:pgSz w:w="11900" w:h="16838" w:orient="portrait"/>
          <w:cols w:equalWidth="0" w:num="1">
            <w:col w:w="10680"/>
          </w:cols>
          <w:pgMar w:left="580" w:top="263" w:right="639" w:bottom="1440" w:gutter="0" w:footer="0" w:header="0"/>
        </w:sectPr>
      </w:pPr>
    </w:p>
    <w:bookmarkStart w:id="342" w:name="page343"/>
    <w:bookmarkEnd w:id="3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F</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QUALIFYING AGREEMENTS AND EXISTING STATEMENTS OF WORK</w:t>
      </w:r>
    </w:p>
    <w:p>
      <w:pPr>
        <w:spacing w:after="0" w:line="123" w:lineRule="exact"/>
        <w:rPr>
          <w:sz w:val="20"/>
          <w:szCs w:val="20"/>
          <w:color w:val="auto"/>
        </w:rPr>
      </w:pPr>
    </w:p>
    <w:p>
      <w:pPr>
        <w:ind w:right="8120" w:firstLine="8"/>
        <w:spacing w:after="0" w:line="517" w:lineRule="auto"/>
        <w:tabs>
          <w:tab w:leader="none" w:pos="52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Qualifying Agreements</w:t>
      </w:r>
      <w:r>
        <w:rPr>
          <w:rFonts w:ascii="Times New Roman" w:cs="Times New Roman" w:eastAsia="Times New Roman" w:hAnsi="Times New Roman"/>
          <w:sz w:val="18"/>
          <w:szCs w:val="18"/>
          <w:color w:val="auto"/>
        </w:rPr>
        <w:t>. 1.1 This Agreement.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The Existing MSA.</w:t>
      </w:r>
    </w:p>
    <w:p>
      <w:pPr>
        <w:spacing w:after="0" w:line="239" w:lineRule="exact"/>
        <w:rPr>
          <w:sz w:val="20"/>
          <w:szCs w:val="20"/>
          <w:color w:val="auto"/>
        </w:rPr>
      </w:pPr>
    </w:p>
    <w:p>
      <w:pPr>
        <w:ind w:left="420" w:hanging="419"/>
        <w:spacing w:after="0" w:line="267" w:lineRule="auto"/>
        <w:tabs>
          <w:tab w:leader="none" w:pos="400" w:val="left"/>
        </w:tabs>
        <w:rPr>
          <w:sz w:val="20"/>
          <w:szCs w:val="20"/>
          <w:color w:val="auto"/>
        </w:rPr>
      </w:pPr>
      <w:r>
        <w:rPr>
          <w:rFonts w:ascii="Times New Roman" w:cs="Times New Roman" w:eastAsia="Times New Roman" w:hAnsi="Times New Roman"/>
          <w:sz w:val="18"/>
          <w:szCs w:val="18"/>
          <w:color w:val="auto"/>
        </w:rPr>
        <w:t>1.3</w:t>
        <w:tab/>
        <w:t>The Clinical Professional Services Agreement between AstraZeneca Pharmaceuticals LP and Tempus Labs, Inc., dated March 17, 2021, including all Existing Statements of Work under this agreement.</w:t>
      </w:r>
    </w:p>
    <w:p>
      <w:pPr>
        <w:spacing w:after="0" w:line="196" w:lineRule="exact"/>
        <w:rPr>
          <w:sz w:val="20"/>
          <w:szCs w:val="20"/>
          <w:color w:val="auto"/>
        </w:rPr>
      </w:pPr>
    </w:p>
    <w:p>
      <w:pPr>
        <w:ind w:left="420" w:hanging="412"/>
        <w:spacing w:after="0"/>
        <w:tabs>
          <w:tab w:leader="none" w:pos="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Statements of Work Moved to this Agreement and Continuing</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280"/>
        <w:spacing w:after="0" w:line="331" w:lineRule="auto"/>
        <w:rPr>
          <w:sz w:val="20"/>
          <w:szCs w:val="20"/>
          <w:color w:val="auto"/>
        </w:rPr>
      </w:pPr>
      <w:r>
        <w:rPr>
          <w:rFonts w:ascii="Times New Roman" w:cs="Times New Roman" w:eastAsia="Times New Roman" w:hAnsi="Times New Roman"/>
          <w:sz w:val="16"/>
          <w:szCs w:val="16"/>
          <w:color w:val="auto"/>
        </w:rPr>
        <w:t>2.1 The Existing Statements of Work specified below, including any amendments thereto, along with their respective estimated spend, either Paid or Payable, from AstraZeneca to Tempus as of the Effective Date, will become Statements of Work under this Agreement from the Effective Date.</w:t>
      </w:r>
    </w:p>
    <w:p>
      <w:pPr>
        <w:spacing w:after="0" w:line="143" w:lineRule="exact"/>
        <w:rPr>
          <w:sz w:val="20"/>
          <w:szCs w:val="20"/>
          <w:color w:val="auto"/>
        </w:rPr>
      </w:pPr>
    </w:p>
    <w:tbl>
      <w:tblPr>
        <w:tblLayout w:type="fixed"/>
        <w:tblInd w:w="1720" w:type="dxa"/>
        <w:tblCellMar>
          <w:top w:w="0" w:type="dxa"/>
          <w:left w:w="0" w:type="dxa"/>
          <w:bottom w:w="0" w:type="dxa"/>
          <w:right w:w="0" w:type="dxa"/>
        </w:tblCellMar>
      </w:tblPr>
      <w:tr>
        <w:trPr>
          <w:trHeight w:val="189"/>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Existing Statement of Work</w:t>
            </w:r>
          </w:p>
        </w:tc>
        <w:tc>
          <w:tcPr>
            <w:tcW w:w="45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Spend</w:t>
            </w:r>
          </w:p>
        </w:tc>
      </w:tr>
      <w:tr>
        <w:trPr>
          <w:trHeight w:val="178"/>
        </w:trPr>
        <w:tc>
          <w:tcPr>
            <w:tcW w:w="16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spacing w:after="0"/>
              <w:rPr>
                <w:sz w:val="15"/>
                <w:szCs w:val="15"/>
                <w:color w:val="auto"/>
              </w:rPr>
            </w:pPr>
          </w:p>
        </w:tc>
        <w:tc>
          <w:tcPr>
            <w:tcW w:w="10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7"/>
              </w:rPr>
              <w:t>[***]</w:t>
            </w:r>
          </w:p>
        </w:tc>
      </w:tr>
      <w:tr>
        <w:trPr>
          <w:trHeight w:val="21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gridSpan w:val="2"/>
          </w:tcPr>
          <w:p>
            <w:pPr>
              <w:jc w:val="center"/>
              <w:ind w:left="4492"/>
              <w:spacing w:after="0"/>
              <w:rPr>
                <w:sz w:val="20"/>
                <w:szCs w:val="20"/>
                <w:color w:val="auto"/>
              </w:rPr>
            </w:pPr>
            <w:r>
              <w:rPr>
                <w:rFonts w:ascii="Times New Roman" w:cs="Times New Roman" w:eastAsia="Times New Roman" w:hAnsi="Times New Roman"/>
                <w:sz w:val="18"/>
                <w:szCs w:val="18"/>
                <w:color w:val="auto"/>
                <w:w w:val="97"/>
              </w:rPr>
              <w:t>[***]</w:t>
            </w:r>
          </w:p>
        </w:tc>
      </w:tr>
      <w:tr>
        <w:trPr>
          <w:trHeight w:val="21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gridSpan w:val="2"/>
          </w:tcPr>
          <w:p>
            <w:pPr>
              <w:jc w:val="center"/>
              <w:ind w:left="4492"/>
              <w:spacing w:after="0"/>
              <w:rPr>
                <w:sz w:val="20"/>
                <w:szCs w:val="20"/>
                <w:color w:val="auto"/>
              </w:rPr>
            </w:pPr>
            <w:r>
              <w:rPr>
                <w:rFonts w:ascii="Times New Roman" w:cs="Times New Roman" w:eastAsia="Times New Roman" w:hAnsi="Times New Roman"/>
                <w:sz w:val="18"/>
                <w:szCs w:val="18"/>
                <w:color w:val="auto"/>
                <w:w w:val="97"/>
              </w:rPr>
              <w:t>[***]</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gridSpan w:val="2"/>
          </w:tcPr>
          <w:p>
            <w:pPr>
              <w:jc w:val="center"/>
              <w:ind w:left="4492"/>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2.2 No fewer than once every quarter, the Parties shall review any estimated spend associated with each respective Existing Statement of Work and to the extent any changes have occurred, reconcile such changes the Financial Commitment as of the relevant time of review, including, to the extent required, amending this Agreement.</w:t>
      </w:r>
    </w:p>
    <w:p>
      <w:pPr>
        <w:spacing w:after="0" w:line="207" w:lineRule="exact"/>
        <w:rPr>
          <w:sz w:val="20"/>
          <w:szCs w:val="20"/>
          <w:color w:val="auto"/>
        </w:rPr>
      </w:pPr>
    </w:p>
    <w:p>
      <w:pPr>
        <w:ind w:left="5280" w:right="4560" w:hanging="5272"/>
        <w:spacing w:after="0" w:line="379" w:lineRule="auto"/>
        <w:tabs>
          <w:tab w:leader="none" w:pos="431"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Existing Statements of Work that are terminated and replaced by this Agreement</w:t>
      </w:r>
      <w:r>
        <w:rPr>
          <w:rFonts w:ascii="Times New Roman" w:cs="Times New Roman" w:eastAsia="Times New Roman" w:hAnsi="Times New Roman"/>
          <w:sz w:val="16"/>
          <w:szCs w:val="16"/>
          <w:color w:val="auto"/>
        </w:rPr>
        <w:t>. 53</w:t>
      </w:r>
    </w:p>
    <w:p>
      <w:pPr>
        <w:sectPr>
          <w:pgSz w:w="11900" w:h="16838" w:orient="portrait"/>
          <w:cols w:equalWidth="0" w:num="1">
            <w:col w:w="10660"/>
          </w:cols>
          <w:pgMar w:left="580" w:top="263" w:right="659" w:bottom="1440" w:gutter="0" w:footer="0" w:header="0"/>
        </w:sectPr>
      </w:pPr>
    </w:p>
    <w:bookmarkStart w:id="343" w:name="page344"/>
    <w:bookmarkEnd w:id="343"/>
    <w:tbl>
      <w:tblPr>
        <w:tblLayout w:type="fixed"/>
        <w:tblInd w:w="860" w:type="dxa"/>
        <w:tblCellMar>
          <w:top w:w="0" w:type="dxa"/>
          <w:left w:w="0" w:type="dxa"/>
          <w:bottom w:w="0" w:type="dxa"/>
          <w:right w:w="0" w:type="dxa"/>
        </w:tblCellMar>
      </w:tblPr>
      <w:tr>
        <w:trPr>
          <w:trHeight w:val="189"/>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Existing Statement of Work</w:t>
            </w:r>
          </w:p>
        </w:tc>
        <w:tc>
          <w:tcPr>
            <w:tcW w:w="45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Spend</w:t>
            </w:r>
          </w:p>
        </w:tc>
      </w:tr>
      <w:tr>
        <w:trPr>
          <w:trHeight w:val="178"/>
        </w:trPr>
        <w:tc>
          <w:tcPr>
            <w:tcW w:w="16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spacing w:after="0"/>
              <w:rPr>
                <w:sz w:val="15"/>
                <w:szCs w:val="15"/>
                <w:color w:val="auto"/>
              </w:rPr>
            </w:pPr>
          </w:p>
        </w:tc>
        <w:tc>
          <w:tcPr>
            <w:tcW w:w="10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7"/>
              </w:rPr>
              <w:t>[***]</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gridSpan w:val="2"/>
          </w:tcPr>
          <w:p>
            <w:pPr>
              <w:jc w:val="center"/>
              <w:ind w:left="4492"/>
              <w:spacing w:after="0"/>
              <w:rPr>
                <w:sz w:val="20"/>
                <w:szCs w:val="20"/>
                <w:color w:val="auto"/>
              </w:rPr>
            </w:pPr>
            <w:r>
              <w:rPr>
                <w:rFonts w:ascii="Times New Roman" w:cs="Times New Roman" w:eastAsia="Times New Roman" w:hAnsi="Times New Roman"/>
                <w:sz w:val="18"/>
                <w:szCs w:val="18"/>
                <w:color w:val="auto"/>
                <w:w w:val="97"/>
              </w:rPr>
              <w:t>[***]</w:t>
            </w:r>
          </w:p>
        </w:tc>
      </w:tr>
      <w:tr>
        <w:trPr>
          <w:trHeight w:val="354"/>
        </w:trPr>
        <w:tc>
          <w:tcPr>
            <w:tcW w:w="1680" w:type="dxa"/>
            <w:vAlign w:val="bottom"/>
          </w:tcPr>
          <w:p>
            <w:pPr>
              <w:spacing w:after="0"/>
              <w:rPr>
                <w:sz w:val="24"/>
                <w:szCs w:val="24"/>
                <w:color w:val="auto"/>
              </w:rPr>
            </w:pPr>
          </w:p>
        </w:tc>
        <w:tc>
          <w:tcPr>
            <w:tcW w:w="4580" w:type="dxa"/>
            <w:vAlign w:val="bottom"/>
          </w:tcPr>
          <w:p>
            <w:pPr>
              <w:jc w:val="right"/>
              <w:ind w:right="2432"/>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59" w:right="1440"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344" w:name="page345"/>
    <w:bookmarkEnd w:id="34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DATA FIELDS TYPICALLY CURATED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Tempus obtains the following data fields, when and to the extent available from the associated clinical records provided to Tempus. Fill rate of clinical data will be based on its availability in the clinical records that Tempus receives when sequencing these patients, which are typically the patient’s most recent progress note as well as applicable pathology reports.</w:t>
      </w:r>
    </w:p>
    <w:p>
      <w:pPr>
        <w:sectPr>
          <w:pgSz w:w="11900" w:h="16838" w:orient="portrait"/>
          <w:cols w:equalWidth="0" w:num="1">
            <w:col w:w="10560"/>
          </w:cols>
          <w:pgMar w:left="580" w:top="263" w:right="7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53" w:lineRule="exact"/>
        <w:rPr>
          <w:sz w:val="20"/>
          <w:szCs w:val="20"/>
          <w:color w:val="auto"/>
        </w:rPr>
      </w:pPr>
    </w:p>
    <w:p>
      <w:pPr>
        <w:sectPr>
          <w:pgSz w:w="11900" w:h="16838" w:orient="portrait"/>
          <w:cols w:equalWidth="0" w:num="2">
            <w:col w:w="4860" w:space="720"/>
            <w:col w:w="4980"/>
          </w:cols>
          <w:pgMar w:left="580" w:top="263" w:right="75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60"/>
          </w:cols>
          <w:pgMar w:left="580" w:top="263" w:right="759" w:bottom="1440" w:gutter="0" w:footer="0" w:header="0"/>
          <w:type w:val="continuous"/>
        </w:sectPr>
      </w:pPr>
    </w:p>
    <w:bookmarkStart w:id="345" w:name="page346"/>
    <w:bookmarkEnd w:id="345"/>
    <w:p>
      <w:pPr>
        <w:ind w:left="9400"/>
        <w:spacing w:after="0"/>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Execution Version</w:t>
      </w:r>
    </w:p>
    <w:p>
      <w:pPr>
        <w:spacing w:after="0" w:line="23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b w:val="1"/>
          <w:bCs w:val="1"/>
          <w:color w:val="auto"/>
        </w:rPr>
        <w:t>THIS WARRANT AND THE UNDERLYING SECURITIES HAVE NOT BEEN REGISTERED UNDER THE SECURITIES ACT OF 1933, AS AMENDED (THE “ACT”). THEY MAY NOT BE SOLD, OFFERED FOR SALE, PLEDGED OR HYPOTHECATED IN THE ABSENCE OF AN EFFECTIVE REGISTRATION STATEMENT AS TO SUCH SECURITIES UNDER THE ACT OR AN OPINION OF COUNSEL SATISFACTORY TO THE COMPANY THAT SUCH REGISTRATION IS NOT REQUIRED OR UNLESS SOLD PURSUANT TO RULE 144 UNDER THE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CLASS A COMMON STOCK</w:t>
      </w:r>
    </w:p>
    <w:p>
      <w:pPr>
        <w:spacing w:after="0" w:line="213"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6"/>
          <w:szCs w:val="16"/>
          <w:b w:val="1"/>
          <w:bCs w:val="1"/>
          <w:color w:val="auto"/>
        </w:rPr>
        <w:t>November 17, 2021</w:t>
      </w:r>
    </w:p>
    <w:p>
      <w:pPr>
        <w:spacing w:after="0" w:line="236" w:lineRule="exact"/>
        <w:rPr>
          <w:sz w:val="20"/>
          <w:szCs w:val="20"/>
          <w:color w:val="auto"/>
        </w:rPr>
      </w:pPr>
    </w:p>
    <w:p>
      <w:pPr>
        <w:ind w:right="20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ERTIFIES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HAT</w:t>
      </w:r>
      <w:r>
        <w:rPr>
          <w:rFonts w:ascii="Times New Roman" w:cs="Times New Roman" w:eastAsia="Times New Roman" w:hAnsi="Times New Roman"/>
          <w:sz w:val="18"/>
          <w:szCs w:val="18"/>
          <w:color w:val="auto"/>
        </w:rPr>
        <w:t>, for value received,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STRA</w:t>
      </w:r>
      <w:r>
        <w:rPr>
          <w:rFonts w:ascii="Times New Roman" w:cs="Times New Roman" w:eastAsia="Times New Roman" w:hAnsi="Times New Roman"/>
          <w:sz w:val="18"/>
          <w:szCs w:val="18"/>
          <w:b w:val="1"/>
          <w:bCs w:val="1"/>
          <w:color w:val="auto"/>
        </w:rPr>
        <w:t>Z</w:t>
      </w:r>
      <w:r>
        <w:rPr>
          <w:rFonts w:ascii="Times New Roman" w:cs="Times New Roman" w:eastAsia="Times New Roman" w:hAnsi="Times New Roman"/>
          <w:sz w:val="14"/>
          <w:szCs w:val="14"/>
          <w:b w:val="1"/>
          <w:bCs w:val="1"/>
          <w:color w:val="auto"/>
        </w:rPr>
        <w:t>ENECA</w:t>
      </w:r>
      <w:r>
        <w:rPr>
          <w:rFonts w:ascii="Times New Roman" w:cs="Times New Roman" w:eastAsia="Times New Roman" w:hAnsi="Times New Roman"/>
          <w:sz w:val="18"/>
          <w:szCs w:val="18"/>
          <w:b w:val="1"/>
          <w:bCs w:val="1"/>
          <w:color w:val="auto"/>
        </w:rPr>
        <w:t xml:space="preserve"> AB</w:t>
      </w:r>
      <w:r>
        <w:rPr>
          <w:rFonts w:ascii="Times New Roman" w:cs="Times New Roman" w:eastAsia="Times New Roman" w:hAnsi="Times New Roman"/>
          <w:sz w:val="18"/>
          <w:szCs w:val="18"/>
          <w:color w:val="auto"/>
        </w:rPr>
        <w:t>, a company incorporated in Sweden under No. 556011-7482,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SE-151 86 Södertälje and with offices at SE-432 83 Mölndal, Sweden, or such Person’s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is entitled to subscribe for and purchase from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Exercise Shares at the Exercise Price (each subject to adjustment as provided herein).</w:t>
      </w:r>
    </w:p>
    <w:p>
      <w:pPr>
        <w:spacing w:after="0" w:line="181" w:lineRule="exact"/>
        <w:rPr>
          <w:sz w:val="20"/>
          <w:szCs w:val="20"/>
          <w:color w:val="auto"/>
        </w:rPr>
      </w:pPr>
    </w:p>
    <w:p>
      <w:pPr>
        <w:ind w:left="620" w:hanging="184"/>
        <w:spacing w:after="0"/>
        <w:tabs>
          <w:tab w:leader="none" w:pos="620" w:val="left"/>
        </w:tabs>
        <w:numPr>
          <w:ilvl w:val="1"/>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herein, the following terms shall have the following respective meanings:</w:t>
      </w:r>
    </w:p>
    <w:p>
      <w:pPr>
        <w:spacing w:after="0" w:line="211" w:lineRule="exact"/>
        <w:rPr>
          <w:rFonts w:ascii="Times New Roman" w:cs="Times New Roman" w:eastAsia="Times New Roman" w:hAnsi="Times New Roman"/>
          <w:sz w:val="18"/>
          <w:szCs w:val="18"/>
          <w:b w:val="1"/>
          <w:bCs w:val="1"/>
          <w:color w:val="auto"/>
        </w:rPr>
      </w:pPr>
    </w:p>
    <w:p>
      <w:pPr>
        <w:ind w:right="140" w:firstLine="972"/>
        <w:spacing w:after="0" w:line="250" w:lineRule="auto"/>
        <w:tabs>
          <w:tab w:leader="none" w:pos="1212" w:val="left"/>
        </w:tabs>
        <w:numPr>
          <w:ilvl w:val="2"/>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with respect to a Person, any Person that directly, or indirectly through one or more intermediaries, controls, is controlled by or is under common control with such first Person.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and, with correlative meanings, the terms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control with</w:t>
      </w:r>
      <w:r>
        <w:rPr>
          <w:rFonts w:ascii="Times New Roman" w:cs="Times New Roman" w:eastAsia="Times New Roman" w:hAnsi="Times New Roman"/>
          <w:sz w:val="18"/>
          <w:szCs w:val="18"/>
          <w:color w:val="auto"/>
        </w:rPr>
        <w:t>” mean: (i) the power to direct the management or policies of a Person, whether through ownership of voting securities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relating to voting rights or corporate governance, resolution, regulation or otherwise; or (ii) to own more than 50% of the outstanding voting securities or other ownership interest of such Person.</w:t>
      </w:r>
    </w:p>
    <w:p>
      <w:pPr>
        <w:spacing w:after="0" w:line="182"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2"/>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Exercise Price</w:t>
      </w:r>
      <w:r>
        <w:rPr>
          <w:rFonts w:ascii="Times New Roman" w:cs="Times New Roman" w:eastAsia="Times New Roman" w:hAnsi="Times New Roman"/>
          <w:sz w:val="18"/>
          <w:szCs w:val="18"/>
          <w:color w:val="auto"/>
        </w:rPr>
        <w:t>” shall mean the aggregate Exercise Price payable in connection with the exercise in full of this Warrant.</w:t>
      </w:r>
    </w:p>
    <w:p>
      <w:pPr>
        <w:spacing w:after="0" w:line="213" w:lineRule="exact"/>
        <w:rPr>
          <w:rFonts w:ascii="Times New Roman" w:cs="Times New Roman" w:eastAsia="Times New Roman" w:hAnsi="Times New Roman"/>
          <w:sz w:val="18"/>
          <w:szCs w:val="18"/>
          <w:b w:val="1"/>
          <w:bCs w:val="1"/>
          <w:color w:val="auto"/>
        </w:rPr>
      </w:pPr>
    </w:p>
    <w:p>
      <w:pPr>
        <w:ind w:right="160" w:firstLine="972"/>
        <w:spacing w:after="0" w:line="272" w:lineRule="auto"/>
        <w:tabs>
          <w:tab w:leader="none" w:pos="1202" w:val="left"/>
        </w:tabs>
        <w:numPr>
          <w:ilvl w:val="2"/>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Saturday, Sunday or any other day on which commercial banks located in New York City are authorized or obligated by applicable laws to close.</w:t>
      </w:r>
    </w:p>
    <w:p>
      <w:pPr>
        <w:spacing w:after="0" w:line="161" w:lineRule="exact"/>
        <w:rPr>
          <w:rFonts w:ascii="Times New Roman" w:cs="Times New Roman" w:eastAsia="Times New Roman" w:hAnsi="Times New Roman"/>
          <w:sz w:val="18"/>
          <w:szCs w:val="18"/>
          <w:b w:val="1"/>
          <w:bCs w:val="1"/>
          <w:color w:val="auto"/>
        </w:rPr>
      </w:pPr>
    </w:p>
    <w:p>
      <w:pPr>
        <w:ind w:right="40" w:firstLine="972"/>
        <w:spacing w:after="0" w:line="281" w:lineRule="auto"/>
        <w:tabs>
          <w:tab w:leader="none" w:pos="1222" w:val="left"/>
        </w:tabs>
        <w:numPr>
          <w:ilvl w:val="2"/>
          <w:numId w:val="2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Change of Control</w:t>
      </w:r>
      <w:r>
        <w:rPr>
          <w:rFonts w:ascii="Times New Roman" w:cs="Times New Roman" w:eastAsia="Times New Roman" w:hAnsi="Times New Roman"/>
          <w:sz w:val="16"/>
          <w:szCs w:val="16"/>
          <w:color w:val="auto"/>
        </w:rPr>
        <w:t>” shall mean (i) any consolidation or merger of the Company with or into any other corporation or other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w:t>
      </w:r>
    </w:p>
    <w:p>
      <w:pPr>
        <w:ind w:right="100" w:firstLine="8"/>
        <w:spacing w:after="0" w:line="244" w:lineRule="auto"/>
        <w:tabs>
          <w:tab w:leader="none" w:pos="25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or series of related transactions to which the Company is a party in which the stockholders of the Company transfer shares in excess of fifty percent (50%) of the Company’s then-outstanding combined voting power;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Change of Control shall not include any transaction or series of transactions principally for bona fide equity financing purposes in which cash is received by the Company or any successor or indebtedness of the Company is cancelled or converted or a combination thereof; or (iii) a sale, lease, exclusive license or other disposition of all or substantially all of the assets of the Company.</w:t>
      </w:r>
    </w:p>
    <w:p>
      <w:pPr>
        <w:sectPr>
          <w:pgSz w:w="11900" w:h="16838" w:orient="portrait"/>
          <w:cols w:equalWidth="0" w:num="1">
            <w:col w:w="10720"/>
          </w:cols>
          <w:pgMar w:left="580" w:top="261" w:right="599" w:bottom="1440" w:gutter="0" w:footer="0" w:header="0"/>
        </w:sectPr>
      </w:pPr>
    </w:p>
    <w:bookmarkStart w:id="346" w:name="page347"/>
    <w:bookmarkEnd w:id="346"/>
    <w:p>
      <w:pPr>
        <w:ind w:left="-100" w:right="200" w:firstLine="972"/>
        <w:spacing w:after="0" w:line="272" w:lineRule="auto"/>
        <w:tabs>
          <w:tab w:leader="none" w:pos="1102"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Collaboration Agreement</w:t>
      </w:r>
      <w:r>
        <w:rPr>
          <w:rFonts w:ascii="Times New Roman" w:cs="Times New Roman" w:eastAsia="Times New Roman" w:hAnsi="Times New Roman"/>
          <w:sz w:val="18"/>
          <w:szCs w:val="18"/>
          <w:color w:val="auto"/>
        </w:rPr>
        <w:t>” shall mean that certain Master Services Agreement dated as of November 17, 2021 by and between the Holder and the Company.</w:t>
      </w:r>
    </w:p>
    <w:p>
      <w:pPr>
        <w:spacing w:after="0" w:line="161" w:lineRule="exact"/>
        <w:rPr>
          <w:rFonts w:ascii="Times New Roman" w:cs="Times New Roman" w:eastAsia="Times New Roman" w:hAnsi="Times New Roman"/>
          <w:sz w:val="18"/>
          <w:szCs w:val="18"/>
          <w:b w:val="1"/>
          <w:bCs w:val="1"/>
          <w:color w:val="auto"/>
        </w:rPr>
      </w:pPr>
    </w:p>
    <w:p>
      <w:pPr>
        <w:ind w:left="1100" w:hanging="228"/>
        <w:spacing w:after="0"/>
        <w:tabs>
          <w:tab w:leader="none" w:pos="110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Collaboration Expiration Date</w:t>
      </w:r>
      <w:r>
        <w:rPr>
          <w:rFonts w:ascii="Times New Roman" w:cs="Times New Roman" w:eastAsia="Times New Roman" w:hAnsi="Times New Roman"/>
          <w:sz w:val="18"/>
          <w:szCs w:val="18"/>
          <w:color w:val="auto"/>
        </w:rPr>
        <w:t>” shall mean December 31, 2026.</w:t>
      </w:r>
    </w:p>
    <w:p>
      <w:pPr>
        <w:spacing w:after="0" w:line="213" w:lineRule="exact"/>
        <w:rPr>
          <w:rFonts w:ascii="Times New Roman" w:cs="Times New Roman" w:eastAsia="Times New Roman" w:hAnsi="Times New Roman"/>
          <w:sz w:val="18"/>
          <w:szCs w:val="18"/>
          <w:b w:val="1"/>
          <w:bCs w:val="1"/>
          <w:color w:val="auto"/>
        </w:rPr>
      </w:pPr>
    </w:p>
    <w:p>
      <w:pPr>
        <w:ind w:left="1120" w:hanging="248"/>
        <w:spacing w:after="0"/>
        <w:tabs>
          <w:tab w:leader="none" w:pos="112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13" w:lineRule="exact"/>
        <w:rPr>
          <w:rFonts w:ascii="Times New Roman" w:cs="Times New Roman" w:eastAsia="Times New Roman" w:hAnsi="Times New Roman"/>
          <w:sz w:val="18"/>
          <w:szCs w:val="18"/>
          <w:b w:val="1"/>
          <w:bCs w:val="1"/>
          <w:color w:val="auto"/>
        </w:rPr>
      </w:pPr>
    </w:p>
    <w:p>
      <w:pPr>
        <w:ind w:left="1120" w:hanging="248"/>
        <w:spacing w:after="0"/>
        <w:tabs>
          <w:tab w:leader="none" w:pos="112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Company’s Class A Common Stock, par value $0.0001 per share.</w:t>
      </w:r>
    </w:p>
    <w:p>
      <w:pPr>
        <w:spacing w:after="0" w:line="213" w:lineRule="exact"/>
        <w:rPr>
          <w:rFonts w:ascii="Times New Roman" w:cs="Times New Roman" w:eastAsia="Times New Roman" w:hAnsi="Times New Roman"/>
          <w:sz w:val="18"/>
          <w:szCs w:val="18"/>
          <w:b w:val="1"/>
          <w:bCs w:val="1"/>
          <w:color w:val="auto"/>
        </w:rPr>
      </w:pPr>
    </w:p>
    <w:p>
      <w:pPr>
        <w:ind w:left="-100" w:right="540" w:firstLine="972"/>
        <w:spacing w:after="0" w:line="258" w:lineRule="auto"/>
        <w:tabs>
          <w:tab w:leader="none" w:pos="1073"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De-SPAC Transaction</w:t>
      </w:r>
      <w:r>
        <w:rPr>
          <w:rFonts w:ascii="Times New Roman" w:cs="Times New Roman" w:eastAsia="Times New Roman" w:hAnsi="Times New Roman"/>
          <w:sz w:val="18"/>
          <w:szCs w:val="18"/>
          <w:color w:val="auto"/>
        </w:rPr>
        <w:t>” shall mean the completion by the Company of a business combination, merger, consolidation or share exchange with a special purpose acquisition company or its subsidiary in which the Common Stock (or substantively similar securities) of the surviving or parent entity is listed on the New York Stock Exchange or the Nasdaq Stock Market.</w:t>
      </w:r>
    </w:p>
    <w:p>
      <w:pPr>
        <w:spacing w:after="0" w:line="172" w:lineRule="exact"/>
        <w:rPr>
          <w:rFonts w:ascii="Times New Roman" w:cs="Times New Roman" w:eastAsia="Times New Roman" w:hAnsi="Times New Roman"/>
          <w:sz w:val="18"/>
          <w:szCs w:val="18"/>
          <w:b w:val="1"/>
          <w:bCs w:val="1"/>
          <w:color w:val="auto"/>
        </w:rPr>
      </w:pPr>
    </w:p>
    <w:p>
      <w:pPr>
        <w:ind w:left="-100" w:right="900" w:firstLine="972"/>
        <w:spacing w:after="0" w:line="272" w:lineRule="auto"/>
        <w:tabs>
          <w:tab w:leader="none" w:pos="1083"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De-SPAC Price</w:t>
      </w:r>
      <w:r>
        <w:rPr>
          <w:rFonts w:ascii="Times New Roman" w:cs="Times New Roman" w:eastAsia="Times New Roman" w:hAnsi="Times New Roman"/>
          <w:sz w:val="18"/>
          <w:szCs w:val="18"/>
          <w:color w:val="auto"/>
        </w:rPr>
        <w:t>” shall mean the price per share at which the Company’s Common Stock is valued in connection with the consummation of a De-SPAC Transaction.</w:t>
      </w:r>
    </w:p>
    <w:p>
      <w:pPr>
        <w:spacing w:after="0" w:line="161" w:lineRule="exact"/>
        <w:rPr>
          <w:rFonts w:ascii="Times New Roman" w:cs="Times New Roman" w:eastAsia="Times New Roman" w:hAnsi="Times New Roman"/>
          <w:sz w:val="18"/>
          <w:szCs w:val="18"/>
          <w:b w:val="1"/>
          <w:bCs w:val="1"/>
          <w:color w:val="auto"/>
        </w:rPr>
      </w:pPr>
    </w:p>
    <w:p>
      <w:pPr>
        <w:jc w:val="both"/>
        <w:ind w:left="-100" w:firstLine="972"/>
        <w:spacing w:after="0" w:line="253" w:lineRule="auto"/>
        <w:tabs>
          <w:tab w:leader="none" w:pos="1122"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means the Company’s preferred stock or any securities conferring the right to purchase the Company’s preferred stock or securities convertible into, or exchangeable for (with or without additional consideration), the Company’s preferred stock, except any security granted, issued and/or sold by the Company to any director, officer, employee or consultant of the Company in such capacity for the primary purpose of soliciting or retaining their services.</w:t>
      </w:r>
    </w:p>
    <w:p>
      <w:pPr>
        <w:spacing w:after="0" w:line="177" w:lineRule="exact"/>
        <w:rPr>
          <w:rFonts w:ascii="Times New Roman" w:cs="Times New Roman" w:eastAsia="Times New Roman" w:hAnsi="Times New Roman"/>
          <w:sz w:val="18"/>
          <w:szCs w:val="18"/>
          <w:b w:val="1"/>
          <w:bCs w:val="1"/>
          <w:color w:val="auto"/>
        </w:rPr>
      </w:pPr>
    </w:p>
    <w:p>
      <w:pPr>
        <w:ind w:left="-100" w:right="60" w:firstLine="972"/>
        <w:spacing w:after="0" w:line="258" w:lineRule="auto"/>
        <w:tabs>
          <w:tab w:leader="none" w:pos="1073"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Financing Price</w:t>
      </w:r>
      <w:r>
        <w:rPr>
          <w:rFonts w:ascii="Times New Roman" w:cs="Times New Roman" w:eastAsia="Times New Roman" w:hAnsi="Times New Roman"/>
          <w:sz w:val="18"/>
          <w:szCs w:val="18"/>
          <w:color w:val="auto"/>
        </w:rPr>
        <w:t>” means, with respect to the Last Equity Financing, the lowest price per share of the Equity Securities sold to the investors acquiring Equity Securities in such Last Equity Financing, excluding any discounts applicable to any debt securities converted in connection with such Last Equity Financing.</w:t>
      </w:r>
    </w:p>
    <w:p>
      <w:pPr>
        <w:spacing w:after="0" w:line="172" w:lineRule="exact"/>
        <w:rPr>
          <w:rFonts w:ascii="Times New Roman" w:cs="Times New Roman" w:eastAsia="Times New Roman" w:hAnsi="Times New Roman"/>
          <w:sz w:val="18"/>
          <w:szCs w:val="18"/>
          <w:b w:val="1"/>
          <w:bCs w:val="1"/>
          <w:color w:val="auto"/>
        </w:rPr>
      </w:pPr>
    </w:p>
    <w:p>
      <w:pPr>
        <w:ind w:left="-100" w:right="60" w:firstLine="972"/>
        <w:spacing w:after="0" w:line="253" w:lineRule="auto"/>
        <w:tabs>
          <w:tab w:leader="none" w:pos="117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shall mean the period (i) commencing on the earlier of (A) the trading day following the date that is one hundred eighty (180) days following the date that the Company consummates an IPO or a De-SPAC Transaction, (B) immediately prior to the closing of a Change of Control prior to the consummation of an IPO and a De-SPAC Transaction, and (C) December 31, 2022, and (ii) ending on the Collaboration Expiration Date, unless sooner terminated as provided below.</w:t>
      </w:r>
    </w:p>
    <w:p>
      <w:pPr>
        <w:spacing w:after="0" w:line="177" w:lineRule="exact"/>
        <w:rPr>
          <w:rFonts w:ascii="Times New Roman" w:cs="Times New Roman" w:eastAsia="Times New Roman" w:hAnsi="Times New Roman"/>
          <w:sz w:val="18"/>
          <w:szCs w:val="18"/>
          <w:b w:val="1"/>
          <w:bCs w:val="1"/>
          <w:color w:val="auto"/>
        </w:rPr>
      </w:pPr>
    </w:p>
    <w:p>
      <w:pPr>
        <w:ind w:left="-100" w:right="80" w:firstLine="972"/>
        <w:spacing w:after="0" w:line="250" w:lineRule="auto"/>
        <w:tabs>
          <w:tab w:leader="none" w:pos="1122"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shall mean (i) in the event the Company consummates an IPO on or prior to December 31, 2022, the IPO Price per Exercise Share, (ii) in the event the Company consummates a De-SPAC Transaction on or prior to December 31, 2022, the De-SPAC Price, and (iii) in the event the Company consummates a Change of Control on or prior to December 31, 2022 or if the Company does not consummate an IPO or a De-SPAC Transaction on or prior to December 31, 2022, the Equity Financing Price per Exercise Share, in each case subject to adjustment as set forth herein.</w:t>
      </w:r>
    </w:p>
    <w:p>
      <w:pPr>
        <w:spacing w:after="0" w:line="182" w:lineRule="exact"/>
        <w:rPr>
          <w:rFonts w:ascii="Times New Roman" w:cs="Times New Roman" w:eastAsia="Times New Roman" w:hAnsi="Times New Roman"/>
          <w:sz w:val="18"/>
          <w:szCs w:val="18"/>
          <w:b w:val="1"/>
          <w:bCs w:val="1"/>
          <w:color w:val="auto"/>
        </w:rPr>
      </w:pPr>
    </w:p>
    <w:p>
      <w:pPr>
        <w:ind w:left="-100" w:firstLine="972"/>
        <w:spacing w:after="0" w:line="258" w:lineRule="auto"/>
        <w:tabs>
          <w:tab w:leader="none" w:pos="1112"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Shares</w:t>
      </w:r>
      <w:r>
        <w:rPr>
          <w:rFonts w:ascii="Times New Roman" w:cs="Times New Roman" w:eastAsia="Times New Roman" w:hAnsi="Times New Roman"/>
          <w:sz w:val="18"/>
          <w:szCs w:val="18"/>
          <w:color w:val="auto"/>
        </w:rPr>
        <w:t xml:space="preserve">” shall mean a number of shares of Common Stock issuable upon exercise of this Warrant equal to the product of (i) $100,000,000 divided by (ii) the Exercise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foregoing calculation would result in the issuance of a fractional share, the number of Exercise Shares shall be rounded up to the nearest whole number of shares.</w:t>
      </w:r>
    </w:p>
    <w:p>
      <w:pPr>
        <w:spacing w:after="0" w:line="172" w:lineRule="exact"/>
        <w:rPr>
          <w:rFonts w:ascii="Times New Roman" w:cs="Times New Roman" w:eastAsia="Times New Roman" w:hAnsi="Times New Roman"/>
          <w:sz w:val="18"/>
          <w:szCs w:val="18"/>
          <w:b w:val="1"/>
          <w:bCs w:val="1"/>
          <w:color w:val="auto"/>
        </w:rPr>
      </w:pPr>
    </w:p>
    <w:p>
      <w:pPr>
        <w:ind w:left="-100" w:right="480" w:firstLine="972"/>
        <w:spacing w:after="0" w:line="272" w:lineRule="auto"/>
        <w:tabs>
          <w:tab w:leader="none" w:pos="1122"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 as amended from time to time, and the rules and regulations promulgated thereunder, or any successor statute, rules and regulations thereto.</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40"/>
          </w:cols>
          <w:pgMar w:left="680" w:top="261" w:right="679" w:bottom="1440" w:gutter="0" w:footer="0" w:header="0"/>
        </w:sectPr>
      </w:pPr>
    </w:p>
    <w:bookmarkStart w:id="347" w:name="page348"/>
    <w:bookmarkEnd w:id="347"/>
    <w:p>
      <w:pPr>
        <w:ind w:left="1220" w:hanging="248"/>
        <w:spacing w:after="0"/>
        <w:tabs>
          <w:tab w:leader="none" w:pos="122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shall mean an initial public offering of securities of the Company registered under the Act.</w:t>
      </w:r>
    </w:p>
    <w:p>
      <w:pPr>
        <w:spacing w:after="0" w:line="213" w:lineRule="exact"/>
        <w:rPr>
          <w:rFonts w:ascii="Times New Roman" w:cs="Times New Roman" w:eastAsia="Times New Roman" w:hAnsi="Times New Roman"/>
          <w:sz w:val="18"/>
          <w:szCs w:val="18"/>
          <w:b w:val="1"/>
          <w:bCs w:val="1"/>
          <w:color w:val="auto"/>
        </w:rPr>
      </w:pPr>
    </w:p>
    <w:p>
      <w:pPr>
        <w:ind w:left="1200" w:hanging="228"/>
        <w:spacing w:after="0"/>
        <w:tabs>
          <w:tab w:leader="none" w:pos="120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Price</w:t>
      </w:r>
      <w:r>
        <w:rPr>
          <w:rFonts w:ascii="Times New Roman" w:cs="Times New Roman" w:eastAsia="Times New Roman" w:hAnsi="Times New Roman"/>
          <w:sz w:val="18"/>
          <w:szCs w:val="18"/>
          <w:color w:val="auto"/>
        </w:rPr>
        <w:t>” shall mean the offering price per share of the shares of Common Stock sold to the public in the IPO.</w:t>
      </w:r>
    </w:p>
    <w:p>
      <w:pPr>
        <w:spacing w:after="0" w:line="213" w:lineRule="exact"/>
        <w:rPr>
          <w:rFonts w:ascii="Times New Roman" w:cs="Times New Roman" w:eastAsia="Times New Roman" w:hAnsi="Times New Roman"/>
          <w:sz w:val="18"/>
          <w:szCs w:val="18"/>
          <w:b w:val="1"/>
          <w:bCs w:val="1"/>
          <w:color w:val="auto"/>
        </w:rPr>
      </w:pPr>
    </w:p>
    <w:p>
      <w:pPr>
        <w:ind w:firstLine="972"/>
        <w:spacing w:after="0" w:line="272" w:lineRule="auto"/>
        <w:tabs>
          <w:tab w:leader="none" w:pos="1192"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Last Equity Financing</w:t>
      </w:r>
      <w:r>
        <w:rPr>
          <w:rFonts w:ascii="Times New Roman" w:cs="Times New Roman" w:eastAsia="Times New Roman" w:hAnsi="Times New Roman"/>
          <w:sz w:val="18"/>
          <w:szCs w:val="18"/>
          <w:color w:val="auto"/>
        </w:rPr>
        <w:t>” means the most recent sale or issuance (in one transaction or a series of related transactions) by the Company of its Equity Securities as of the date of delivery by Holder of an Exercise Notice to the Company.</w:t>
      </w:r>
    </w:p>
    <w:p>
      <w:pPr>
        <w:spacing w:after="0" w:line="161" w:lineRule="exact"/>
        <w:rPr>
          <w:rFonts w:ascii="Times New Roman" w:cs="Times New Roman" w:eastAsia="Times New Roman" w:hAnsi="Times New Roman"/>
          <w:sz w:val="18"/>
          <w:szCs w:val="18"/>
          <w:b w:val="1"/>
          <w:bCs w:val="1"/>
          <w:color w:val="auto"/>
        </w:rPr>
      </w:pPr>
    </w:p>
    <w:p>
      <w:pPr>
        <w:ind w:right="80" w:firstLine="972"/>
        <w:spacing w:after="0" w:line="258" w:lineRule="auto"/>
        <w:tabs>
          <w:tab w:leader="none" w:pos="1183"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department or agency of a government.</w:t>
      </w:r>
    </w:p>
    <w:p>
      <w:pPr>
        <w:spacing w:after="0" w:line="280" w:lineRule="exact"/>
        <w:rPr>
          <w:sz w:val="20"/>
          <w:szCs w:val="20"/>
          <w:color w:val="auto"/>
        </w:rPr>
      </w:pPr>
    </w:p>
    <w:p>
      <w:pPr>
        <w:ind w:left="620" w:hanging="184"/>
        <w:spacing w:after="0"/>
        <w:tabs>
          <w:tab w:leader="none" w:pos="62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 xml:space="preserve">2.1 Exercise. </w:t>
      </w:r>
      <w:r>
        <w:rPr>
          <w:rFonts w:ascii="Times New Roman" w:cs="Times New Roman" w:eastAsia="Times New Roman" w:hAnsi="Times New Roman"/>
          <w:sz w:val="16"/>
          <w:szCs w:val="16"/>
          <w:color w:val="auto"/>
        </w:rPr>
        <w:t>The rights represented by this Warrant may be exercised in whole or in part at any time (i) during the Exercise Period, or</w:t>
      </w:r>
    </w:p>
    <w:p>
      <w:pPr>
        <w:spacing w:after="0" w:line="46" w:lineRule="exact"/>
        <w:rPr>
          <w:sz w:val="20"/>
          <w:szCs w:val="20"/>
          <w:color w:val="auto"/>
        </w:rPr>
      </w:pPr>
    </w:p>
    <w:p>
      <w:pPr>
        <w:ind w:right="280" w:firstLine="8"/>
        <w:spacing w:after="0" w:line="247" w:lineRule="auto"/>
        <w:tabs>
          <w:tab w:leader="none" w:pos="25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hereof, by delivery of the following to the Company at its address set forth on the signature page hereto (or at such other address as it may designate by notice in writing to the Holder):</w:t>
      </w:r>
    </w:p>
    <w:p>
      <w:pPr>
        <w:spacing w:after="0" w:line="184"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1"/>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 executed Notice of Exercise in the form attached hereto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b w:val="1"/>
          <w:bCs w:val="1"/>
          <w:color w:val="auto"/>
        </w:rPr>
      </w:pPr>
    </w:p>
    <w:p>
      <w:pPr>
        <w:ind w:left="1220" w:hanging="248"/>
        <w:spacing w:after="0"/>
        <w:tabs>
          <w:tab w:leader="none" w:pos="1220" w:val="left"/>
        </w:tabs>
        <w:numPr>
          <w:ilvl w:val="1"/>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payment of the Exercise Price in cash or by check or wire transfer; and</w:t>
      </w:r>
    </w:p>
    <w:p>
      <w:pPr>
        <w:spacing w:after="0" w:line="213" w:lineRule="exact"/>
        <w:rPr>
          <w:rFonts w:ascii="Times New Roman" w:cs="Times New Roman" w:eastAsia="Times New Roman" w:hAnsi="Times New Roman"/>
          <w:sz w:val="18"/>
          <w:szCs w:val="18"/>
          <w:b w:val="1"/>
          <w:bCs w:val="1"/>
          <w:color w:val="auto"/>
        </w:rPr>
      </w:pPr>
    </w:p>
    <w:p>
      <w:pPr>
        <w:ind w:left="1200" w:hanging="228"/>
        <w:spacing w:after="0"/>
        <w:tabs>
          <w:tab w:leader="none" w:pos="1200" w:val="left"/>
        </w:tabs>
        <w:numPr>
          <w:ilvl w:val="1"/>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Warrant.</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2.2 Net Issue Exercise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firstLine="1400"/>
        <w:spacing w:after="0" w:line="247" w:lineRule="auto"/>
        <w:tabs>
          <w:tab w:leader="none" w:pos="164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Section 2.1(b) above, this Warrant may be exercised by the Holder, in whole or in part, without the payment by the Holder of any cash by the surrender of this Warrant to the Company, together with a duly executed Notice of Exercise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instructing the Company to withhold and cancel a number of Exercise Shares requested to be exercised having an aggregate Fair Market Value equal to the total Exercise Price, as determined below (a “</w:t>
      </w:r>
      <w:r>
        <w:rPr>
          <w:rFonts w:ascii="Times New Roman" w:cs="Times New Roman" w:eastAsia="Times New Roman" w:hAnsi="Times New Roman"/>
          <w:sz w:val="18"/>
          <w:szCs w:val="18"/>
          <w:b w:val="1"/>
          <w:bCs w:val="1"/>
          <w:color w:val="auto"/>
        </w:rPr>
        <w:t>Net Issue Exercise</w:t>
      </w:r>
      <w:r>
        <w:rPr>
          <w:rFonts w:ascii="Times New Roman" w:cs="Times New Roman" w:eastAsia="Times New Roman" w:hAnsi="Times New Roman"/>
          <w:sz w:val="18"/>
          <w:szCs w:val="18"/>
          <w:color w:val="auto"/>
        </w:rPr>
        <w:t>”). The Company agrees that the number of Exercise Shares set forth in the formula below shall be deemed to be issued to the Holder as the record holder of such Warrant Shares as of the close of business on the date on which this Warrant shall have been surrendered as aforesaid. Upon such exercise, the Company shall issue to Holder a number of Exercise Shares computed as of the date of surrender of this Warrant to the Company using the following formula:</w:t>
      </w:r>
    </w:p>
    <w:p>
      <w:pPr>
        <w:spacing w:after="0" w:line="216" w:lineRule="exact"/>
        <w:rPr>
          <w:sz w:val="20"/>
          <w:szCs w:val="20"/>
          <w:color w:val="auto"/>
        </w:rPr>
      </w:pPr>
    </w:p>
    <w:p>
      <w:pPr>
        <w:ind w:left="3840"/>
        <w:spacing w:after="0"/>
        <w:tabs>
          <w:tab w:leader="none" w:pos="426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u w:val="single" w:color="auto"/>
          <w:color w:val="auto"/>
        </w:rPr>
        <w:t>Y(A-B)</w:t>
      </w:r>
    </w:p>
    <w:p>
      <w:pPr>
        <w:spacing w:after="0" w:line="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A</w:t>
      </w: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Where X =</w:t>
      </w:r>
      <w:r>
        <w:rPr>
          <w:sz w:val="20"/>
          <w:szCs w:val="20"/>
          <w:color w:val="auto"/>
        </w:rPr>
        <w:tab/>
      </w:r>
      <w:r>
        <w:rPr>
          <w:rFonts w:ascii="Times New Roman" w:cs="Times New Roman" w:eastAsia="Times New Roman" w:hAnsi="Times New Roman"/>
          <w:sz w:val="16"/>
          <w:szCs w:val="16"/>
          <w:color w:val="auto"/>
        </w:rPr>
        <w:t xml:space="preserve">the number of Exercise Shares to be issued to Holder under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8"/>
          <w:szCs w:val="18"/>
          <w:color w:val="auto"/>
        </w:rPr>
        <w:t>Y =</w:t>
      </w:r>
      <w:r>
        <w:rPr>
          <w:sz w:val="20"/>
          <w:szCs w:val="20"/>
          <w:color w:val="auto"/>
        </w:rPr>
        <w:tab/>
      </w:r>
      <w:r>
        <w:rPr>
          <w:rFonts w:ascii="Times New Roman" w:cs="Times New Roman" w:eastAsia="Times New Roman" w:hAnsi="Times New Roman"/>
          <w:sz w:val="16"/>
          <w:szCs w:val="16"/>
          <w:color w:val="auto"/>
        </w:rPr>
        <w:t>the number of Exercise Shares to be the subject of the Net Issue Exercise;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80"/>
          </w:cols>
          <w:pgMar w:left="580" w:top="262" w:right="639" w:bottom="1440" w:gutter="0" w:footer="0" w:header="0"/>
        </w:sectPr>
      </w:pPr>
    </w:p>
    <w:bookmarkStart w:id="348" w:name="page349"/>
    <w:bookmarkEnd w:id="348"/>
    <w:p>
      <w:pPr>
        <w:ind w:left="520"/>
        <w:spacing w:after="0"/>
        <w:tabs>
          <w:tab w:leader="none" w:pos="12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w:t>
      </w:r>
      <w:r>
        <w:rPr>
          <w:sz w:val="20"/>
          <w:szCs w:val="20"/>
          <w:color w:val="auto"/>
        </w:rPr>
        <w:tab/>
      </w:r>
      <w:r>
        <w:rPr>
          <w:rFonts w:ascii="Times New Roman" w:cs="Times New Roman" w:eastAsia="Times New Roman" w:hAnsi="Times New Roman"/>
          <w:sz w:val="16"/>
          <w:szCs w:val="16"/>
          <w:color w:val="auto"/>
        </w:rPr>
        <w:t>the Fair Market Value (as defined below) of one Exercise Share at the date of such calculation; and</w:t>
      </w:r>
    </w:p>
    <w:p>
      <w:pPr>
        <w:spacing w:after="0" w:line="226" w:lineRule="exact"/>
        <w:rPr>
          <w:sz w:val="20"/>
          <w:szCs w:val="20"/>
          <w:color w:val="auto"/>
        </w:rPr>
      </w:pPr>
    </w:p>
    <w:p>
      <w:pPr>
        <w:ind w:left="540"/>
        <w:spacing w:after="0"/>
        <w:tabs>
          <w:tab w:leader="none" w:pos="128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6"/>
          <w:szCs w:val="16"/>
          <w:color w:val="auto"/>
        </w:rPr>
        <w:t>the Exercise Price.</w:t>
      </w:r>
    </w:p>
    <w:p>
      <w:pPr>
        <w:spacing w:after="0" w:line="222" w:lineRule="exact"/>
        <w:rPr>
          <w:sz w:val="20"/>
          <w:szCs w:val="20"/>
          <w:color w:val="auto"/>
        </w:rPr>
      </w:pPr>
    </w:p>
    <w:p>
      <w:pPr>
        <w:ind w:firstLine="1400"/>
        <w:spacing w:after="0" w:line="247" w:lineRule="auto"/>
        <w:tabs>
          <w:tab w:leader="none" w:pos="165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of one Exercise Share as of any date shall be calculated as follows: (i) if the Warrant is exercised other than in connection with a Change of Control and the Common Stock is then traded or quoted on a nationally recognized securities exchange, inter-dealer quotation system or over-the-counter market, the Fair Market Value of an Exercise Share shall be the closing price of a share of Common Stock reported for the trading day immediately preceding the date on which Holder delivers this Warrant together with its Notice of Exercise to the Company, (ii) if the Warrant is exercised in connection with a Change of Control, the Fair Market Value of an Exercise Share shall be the purchase price per share of Common Stock to be paid by the purchaser in such Change of Control, and (iii) in all other cases, the Fair Market Value of an Exercise Share shall be the fair market value per Exercise Share on the date such notice was received by the Company as reasonably determined in good faith by the Board of Directors of the Company.</w:t>
      </w:r>
    </w:p>
    <w:p>
      <w:pPr>
        <w:spacing w:after="0" w:line="188" w:lineRule="exact"/>
        <w:rPr>
          <w:sz w:val="20"/>
          <w:szCs w:val="20"/>
          <w:color w:val="auto"/>
        </w:rPr>
      </w:pPr>
    </w:p>
    <w:p>
      <w:pPr>
        <w:ind w:right="40" w:firstLine="964"/>
        <w:spacing w:after="0" w:line="280" w:lineRule="auto"/>
        <w:rPr>
          <w:sz w:val="20"/>
          <w:szCs w:val="20"/>
          <w:color w:val="auto"/>
        </w:rPr>
      </w:pPr>
      <w:r>
        <w:rPr>
          <w:rFonts w:ascii="Times New Roman" w:cs="Times New Roman" w:eastAsia="Times New Roman" w:hAnsi="Times New Roman"/>
          <w:sz w:val="16"/>
          <w:szCs w:val="16"/>
          <w:b w:val="1"/>
          <w:bCs w:val="1"/>
          <w:color w:val="auto"/>
        </w:rPr>
        <w:t>2.3 Mechanics of Exercise</w:t>
      </w:r>
      <w:r>
        <w:rPr>
          <w:rFonts w:ascii="Times New Roman" w:cs="Times New Roman" w:eastAsia="Times New Roman" w:hAnsi="Times New Roman"/>
          <w:sz w:val="16"/>
          <w:szCs w:val="16"/>
          <w:color w:val="auto"/>
        </w:rPr>
        <w:t>. Upon the exercise of the rights represented by this Warrant, a certificate or certificates for the Exercise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so purchased, registered in the name of the Holder or Persons affiliated with the Holder, if the Holder so designates, shall be issued and delivered to the Holder within a reasonable time (but no later than fifteen (15) days) after the rights represented by this Warrant shall have been so exercised. In the event that this Warrant is being exercised for less than all of the then-current number of Exercise Shares purchasable hereunder, the Company shall, concurrently with the issuance by the Company of the number of Exercise Shares for which this Warrant is then being exercised, issue a new Warrant exercisable for the remaining number of Exercise Shares purchasable hereunder. The Person in whose name any certificate or certificates for Exercise Shares are to be issued upon exercise of this Warrant shall be deemed to have become the holder of record of such shares on the date on which this Warrant was surrendered and payment of the Exercise Price was made, irrespective of the date of delivery of such certificate or certificates,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269" w:lineRule="exact"/>
        <w:rPr>
          <w:sz w:val="20"/>
          <w:szCs w:val="20"/>
          <w:color w:val="auto"/>
        </w:rPr>
      </w:pPr>
    </w:p>
    <w:p>
      <w:pPr>
        <w:ind w:left="620" w:hanging="184"/>
        <w:spacing w:after="0"/>
        <w:tabs>
          <w:tab w:leader="none" w:pos="62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ind w:right="6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3.1 Covenants as to Exercise Shares. </w:t>
      </w:r>
      <w:r>
        <w:rPr>
          <w:rFonts w:ascii="Times New Roman" w:cs="Times New Roman" w:eastAsia="Times New Roman" w:hAnsi="Times New Roman"/>
          <w:sz w:val="18"/>
          <w:szCs w:val="18"/>
          <w:color w:val="auto"/>
        </w:rPr>
        <w:t>The Company covenants and agrees that all Exercise Shares that may be issued upon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rights represented by this Warrant will, upon issuance, be validly issued and outstanding, fully paid and nonassessable, and free from all taxes, liens and charges with respect to the issuance thereof. The Company further covenants and agrees that the Company will at all times during the Exercise Period have authorized and reserved a sufficient number of shares of the series of equity securities comprising the Exercise Shares to provide for the exercise of the rights represented by this Warrant. The issuance of the Exercise Shares will not be subject to any preemptive rights that have not been properly complied with.</w:t>
      </w:r>
    </w:p>
    <w:p>
      <w:pPr>
        <w:spacing w:after="0" w:line="187" w:lineRule="exact"/>
        <w:rPr>
          <w:sz w:val="20"/>
          <w:szCs w:val="20"/>
          <w:color w:val="auto"/>
        </w:rPr>
      </w:pPr>
    </w:p>
    <w:p>
      <w:pPr>
        <w:jc w:val="both"/>
        <w:ind w:right="1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3.2 Notices of Record Date. </w:t>
      </w:r>
      <w:r>
        <w:rPr>
          <w:rFonts w:ascii="Times New Roman" w:cs="Times New Roman" w:eastAsia="Times New Roman" w:hAnsi="Times New Roman"/>
          <w:sz w:val="18"/>
          <w:szCs w:val="18"/>
          <w:color w:val="auto"/>
        </w:rPr>
        <w:t>In the event of any taking by the Company of a record of the holders of any class and/or series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 of determining the holders thereof who are entitled to receive any dividend or other distribution, the Company shall mail to the Holder, at least ten days prior to the date specified herein, a notice specifying the date on which any such record is to be taken for the purpose of such dividend or distribution.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580" w:top="265" w:right="599" w:bottom="1440" w:gutter="0" w:footer="0" w:header="0"/>
        </w:sectPr>
      </w:pPr>
    </w:p>
    <w:bookmarkStart w:id="349" w:name="page350"/>
    <w:bookmarkEnd w:id="349"/>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3.3 Registration Rights</w:t>
      </w:r>
      <w:r>
        <w:rPr>
          <w:rFonts w:ascii="Times New Roman" w:cs="Times New Roman" w:eastAsia="Times New Roman" w:hAnsi="Times New Roman"/>
          <w:sz w:val="18"/>
          <w:szCs w:val="18"/>
          <w:color w:val="auto"/>
        </w:rPr>
        <w:t>. Upon the earlier of (i) the date that the Company consummates an IPO or a De-SPAC Transaction, and</w:t>
      </w:r>
    </w:p>
    <w:p>
      <w:pPr>
        <w:spacing w:after="0" w:line="23" w:lineRule="exact"/>
        <w:rPr>
          <w:sz w:val="20"/>
          <w:szCs w:val="20"/>
          <w:color w:val="auto"/>
        </w:rPr>
      </w:pPr>
    </w:p>
    <w:p>
      <w:pPr>
        <w:ind w:right="60" w:firstLine="8"/>
        <w:spacing w:after="0" w:line="243" w:lineRule="auto"/>
        <w:tabs>
          <w:tab w:leader="none" w:pos="25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2022, the Company covenants and agrees to grant to the Holder substantially the same registration rights with respect to the Exercise Shares as those granted to holders of Registrable Securities (as defined in the Ninth Amended and Restated Investors’ Rights Agreement, dated November 19, 2020, by and among the Company and the stockholders of the Company party thereto (as the same may be amended and/or restated from time to time, the “</w:t>
      </w:r>
      <w:r>
        <w:rPr>
          <w:rFonts w:ascii="Times New Roman" w:cs="Times New Roman" w:eastAsia="Times New Roman" w:hAnsi="Times New Roman"/>
          <w:sz w:val="18"/>
          <w:szCs w:val="18"/>
          <w:b w:val="1"/>
          <w:bCs w:val="1"/>
          <w:color w:val="auto"/>
        </w:rPr>
        <w:t>Rights Agreement</w:t>
      </w:r>
      <w:r>
        <w:rPr>
          <w:rFonts w:ascii="Times New Roman" w:cs="Times New Roman" w:eastAsia="Times New Roman" w:hAnsi="Times New Roman"/>
          <w:sz w:val="18"/>
          <w:szCs w:val="18"/>
          <w:color w:val="auto"/>
        </w:rPr>
        <w:t>”)) in accordance with, and subject to the limitations set forth in, Section 2 of the Rights Agreement, and the Company shall include the Holder in all notices sent by the Company pursuant to Section 2 of the Rights Agreement. For purposes of determining the Holder’s participation rights in connection with the registration of any Registrable Securities in accordance with the Rights Agreement (i) the Holder shall be deemed to be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under the Rights Agreement for all purposes under Section 2 of the Rights Agreement and (ii) all of the Exercise Shares shall constitute Registrable Securities under the Rights Agreement and shall be deemed to be held by the Holder for purposes of determining the Holder’s participation rights, whether or not the Holder has exercised its purchase rights under this Warrant with respect to any of the Exercise Shares.</w:t>
      </w:r>
    </w:p>
    <w:p>
      <w:pPr>
        <w:spacing w:after="0" w:line="195" w:lineRule="exact"/>
        <w:rPr>
          <w:sz w:val="20"/>
          <w:szCs w:val="20"/>
          <w:color w:val="auto"/>
        </w:rPr>
      </w:pPr>
    </w:p>
    <w:p>
      <w:pPr>
        <w:ind w:firstLine="964"/>
        <w:spacing w:after="0" w:line="285" w:lineRule="auto"/>
        <w:rPr>
          <w:sz w:val="20"/>
          <w:szCs w:val="20"/>
          <w:color w:val="auto"/>
        </w:rPr>
      </w:pPr>
      <w:r>
        <w:rPr>
          <w:rFonts w:ascii="Times New Roman" w:cs="Times New Roman" w:eastAsia="Times New Roman" w:hAnsi="Times New Roman"/>
          <w:sz w:val="16"/>
          <w:szCs w:val="16"/>
          <w:b w:val="1"/>
          <w:bCs w:val="1"/>
          <w:color w:val="auto"/>
        </w:rPr>
        <w:t>3.4 Diligence Cooperation</w:t>
      </w:r>
      <w:r>
        <w:rPr>
          <w:rFonts w:ascii="Times New Roman" w:cs="Times New Roman" w:eastAsia="Times New Roman" w:hAnsi="Times New Roman"/>
          <w:sz w:val="16"/>
          <w:szCs w:val="16"/>
          <w:color w:val="auto"/>
        </w:rPr>
        <w:t>. At any time, and from time to time, prior to the Company consummating an IPO or a De-SPAC Transaction,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if the Holder has determined in good faith that it is contemplating exercising the Warrant in whole or in part, upon written request from the Holder to the Company, the Company shall provide such documents, records and other diligence materials reasonably requested by the Holder to allow the Holder to conduct limited due diligence on the Company reasonably necessary to determine the value of the Exercise Shares, to confirm that the Company is in good standing and to ascertain its corporate structure and capitalization;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following such written request, the Holder shall enter into a customary confidentiality agreement with the Company prior to the Company providing such diligence materials to the Holder.</w:t>
      </w:r>
    </w:p>
    <w:p>
      <w:pPr>
        <w:spacing w:after="0" w:line="159" w:lineRule="exact"/>
        <w:rPr>
          <w:sz w:val="20"/>
          <w:szCs w:val="20"/>
          <w:color w:val="auto"/>
        </w:rPr>
      </w:pPr>
    </w:p>
    <w:p>
      <w:pPr>
        <w:ind w:right="60" w:firstLine="964"/>
        <w:spacing w:after="0" w:line="279" w:lineRule="auto"/>
        <w:rPr>
          <w:sz w:val="20"/>
          <w:szCs w:val="20"/>
          <w:color w:val="auto"/>
        </w:rPr>
      </w:pPr>
      <w:r>
        <w:rPr>
          <w:rFonts w:ascii="Times New Roman" w:cs="Times New Roman" w:eastAsia="Times New Roman" w:hAnsi="Times New Roman"/>
          <w:sz w:val="16"/>
          <w:szCs w:val="16"/>
          <w:b w:val="1"/>
          <w:bCs w:val="1"/>
          <w:color w:val="auto"/>
        </w:rPr>
        <w:t>3.5 Antitrust Approval</w:t>
      </w:r>
      <w:r>
        <w:rPr>
          <w:rFonts w:ascii="Times New Roman" w:cs="Times New Roman" w:eastAsia="Times New Roman" w:hAnsi="Times New Roman"/>
          <w:sz w:val="16"/>
          <w:szCs w:val="16"/>
          <w:color w:val="auto"/>
        </w:rPr>
        <w:t>. If any clearance is required under the HSR Act or such other applicable laws for the exercise of this Warrant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purchase of the Exercise Shares (any such clearance, an “</w:t>
      </w:r>
      <w:r>
        <w:rPr>
          <w:rFonts w:ascii="Times New Roman" w:cs="Times New Roman" w:eastAsia="Times New Roman" w:hAnsi="Times New Roman"/>
          <w:sz w:val="16"/>
          <w:szCs w:val="16"/>
          <w:b w:val="1"/>
          <w:bCs w:val="1"/>
          <w:i w:val="1"/>
          <w:iCs w:val="1"/>
          <w:color w:val="auto"/>
        </w:rPr>
        <w:t>Antitrust Approval</w:t>
      </w:r>
      <w:r>
        <w:rPr>
          <w:rFonts w:ascii="Times New Roman" w:cs="Times New Roman" w:eastAsia="Times New Roman" w:hAnsi="Times New Roman"/>
          <w:sz w:val="16"/>
          <w:szCs w:val="16"/>
          <w:color w:val="auto"/>
        </w:rPr>
        <w:t>”), the Company and the Holder shall cooperate in good faith to as promptly as practicable (i) file with the U.S. Federal Trade Commission and the United States Department of Justice the premerger notification and report form, if any, required as a result of the purchase of the Exercise Shares, and shall include any supplemental information requested in connection therewith, pursuant to the HSR Act and (ii) make such other filings as are necessary or advisable in other jurisdictions in order to comply</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with all applicable laws relating to competition, merger control or antitrust and shall promptly provide any supplemental information requested by applicable governmental authorities relating thereto. The Company and the Holder shall work together and shall furnish to one another such necessary information and reasonable assistance as such other parties may request in connection with its preparation of any filing or submission which is necessary under the HSR Act or such other applicable laws.</w:t>
      </w:r>
    </w:p>
    <w:p>
      <w:pPr>
        <w:spacing w:after="0" w:line="294" w:lineRule="exact"/>
        <w:rPr>
          <w:sz w:val="20"/>
          <w:szCs w:val="20"/>
          <w:color w:val="auto"/>
        </w:rPr>
      </w:pPr>
    </w:p>
    <w:p>
      <w:pPr>
        <w:ind w:left="620" w:hanging="184"/>
        <w:spacing w:after="0"/>
        <w:tabs>
          <w:tab w:leader="none" w:pos="62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jc w:val="both"/>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4.1 Acquisition of Warrant for Personal Account. </w:t>
      </w:r>
      <w:r>
        <w:rPr>
          <w:rFonts w:ascii="Times New Roman" w:cs="Times New Roman" w:eastAsia="Times New Roman" w:hAnsi="Times New Roman"/>
          <w:sz w:val="18"/>
          <w:szCs w:val="18"/>
          <w:color w:val="auto"/>
        </w:rPr>
        <w:t>The Holder represents and warrants that it is acquiring this Warrant and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solely for its account for investment and not with a view to or for sale or distribution of said Warrant or Exercise Shares or any part thereof. The Holder also represents that the entire legal and beneficial interests of this Warrant and Exercise Shares the Holder is acquiring is being acquired for, and will be held for, its account only.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3" w:right="619" w:bottom="1440" w:gutter="0" w:footer="0" w:header="0"/>
        </w:sectPr>
      </w:pPr>
    </w:p>
    <w:bookmarkStart w:id="350" w:name="page351"/>
    <w:bookmarkEnd w:id="350"/>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4.2 Securities Are Not Registered.</w:t>
      </w:r>
    </w:p>
    <w:p>
      <w:pPr>
        <w:spacing w:after="0" w:line="213" w:lineRule="exact"/>
        <w:rPr>
          <w:sz w:val="20"/>
          <w:szCs w:val="20"/>
          <w:color w:val="auto"/>
        </w:rPr>
      </w:pPr>
    </w:p>
    <w:p>
      <w:pPr>
        <w:ind w:right="160" w:firstLine="1400"/>
        <w:spacing w:after="0" w:line="250" w:lineRule="auto"/>
        <w:tabs>
          <w:tab w:leader="none" w:pos="164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Holder understands that this Warrant and the Exercise Shares have not been registered under the Securities Act of 1933, as amended (the “Act”) on the basis that no distribution or public offering of the stock of the Company is to be effected. The Holder realizes that the basis for the exemption may not be present if, notwithstanding its representations, the Holder has a present intention of acquiring the securities for a fixed or determinable period in the future, selling (in connection with a distribution or otherwise), granting any participation in, or otherwise distributing the securities. The Holder has no such present intention.</w:t>
      </w:r>
    </w:p>
    <w:p>
      <w:pPr>
        <w:spacing w:after="0" w:line="184" w:lineRule="exact"/>
        <w:rPr>
          <w:rFonts w:ascii="Times New Roman" w:cs="Times New Roman" w:eastAsia="Times New Roman" w:hAnsi="Times New Roman"/>
          <w:sz w:val="18"/>
          <w:szCs w:val="18"/>
          <w:b w:val="1"/>
          <w:bCs w:val="1"/>
          <w:color w:val="auto"/>
        </w:rPr>
      </w:pPr>
    </w:p>
    <w:p>
      <w:pPr>
        <w:ind w:right="300" w:firstLine="1400"/>
        <w:spacing w:after="0" w:line="302" w:lineRule="auto"/>
        <w:tabs>
          <w:tab w:leader="none" w:pos="1650" w:val="left"/>
        </w:tabs>
        <w:numPr>
          <w:ilvl w:val="0"/>
          <w:numId w:val="2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Holder recognizes that this Warrant and the Exercise Shares must be held indefinitely unless they are subsequently registered under the Act or an exemption from such registration is available. Other than as set forth in Section 3.3, the Holder recognizes that the Company has no obligation to register this Warrant or the Exercise Shares of the Company, or to comply with any exemption from such registration.</w:t>
      </w:r>
    </w:p>
    <w:p>
      <w:pPr>
        <w:spacing w:after="0" w:line="145" w:lineRule="exact"/>
        <w:rPr>
          <w:rFonts w:ascii="Times New Roman" w:cs="Times New Roman" w:eastAsia="Times New Roman" w:hAnsi="Times New Roman"/>
          <w:sz w:val="16"/>
          <w:szCs w:val="16"/>
          <w:b w:val="1"/>
          <w:bCs w:val="1"/>
          <w:color w:val="auto"/>
        </w:rPr>
      </w:pPr>
    </w:p>
    <w:p>
      <w:pPr>
        <w:ind w:right="40" w:firstLine="1400"/>
        <w:spacing w:after="0" w:line="249" w:lineRule="auto"/>
        <w:tabs>
          <w:tab w:leader="none" w:pos="163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aware that neither this Warrant nor the Exercise Shares may be sold pursuant to Rule 144 adopted under the Act unless certain conditions are met, including, among other things, the existence of a public market for the shares, the availability of certain current public information about the Company, the resale following the required holding period under Rule 144 and the number of shares being sold during any three month period not exceeding specified limitations. Holder is aware that the conditions for resale set forth in Rule 144 have not been satisfied and that the Company presently has no plans to satisfy these conditions in the foreseeable future.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4.3 Disposition of Warrant and Exercise Shares.</w:t>
      </w:r>
    </w:p>
    <w:p>
      <w:pPr>
        <w:spacing w:after="0" w:line="215" w:lineRule="exact"/>
        <w:rPr>
          <w:sz w:val="20"/>
          <w:szCs w:val="20"/>
          <w:color w:val="auto"/>
        </w:rPr>
      </w:pPr>
    </w:p>
    <w:p>
      <w:pPr>
        <w:ind w:right="280" w:firstLine="1400"/>
        <w:spacing w:after="0" w:line="267" w:lineRule="auto"/>
        <w:tabs>
          <w:tab w:leader="none" w:pos="164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further agrees not to make any disposition of all or any part of this Warrant or Exercise Shares in any event, other than to an Affiliate of the Holder, unless and until:</w:t>
      </w:r>
    </w:p>
    <w:p>
      <w:pPr>
        <w:spacing w:after="0" w:line="64" w:lineRule="exact"/>
        <w:rPr>
          <w:rFonts w:ascii="Times New Roman" w:cs="Times New Roman" w:eastAsia="Times New Roman" w:hAnsi="Times New Roman"/>
          <w:sz w:val="18"/>
          <w:szCs w:val="18"/>
          <w:b w:val="1"/>
          <w:bCs w:val="1"/>
          <w:color w:val="auto"/>
        </w:rPr>
      </w:pPr>
    </w:p>
    <w:p>
      <w:pPr>
        <w:ind w:left="980" w:right="160" w:firstLine="1259"/>
        <w:spacing w:after="0" w:line="267" w:lineRule="auto"/>
        <w:tabs>
          <w:tab w:leader="none" w:pos="2456" w:val="left"/>
        </w:tabs>
        <w:numPr>
          <w:ilvl w:val="1"/>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received a letter secured by the Holder from the Commission stating that no action will be recommended to the Commission with respect to the proposed disposition;</w:t>
      </w:r>
    </w:p>
    <w:p>
      <w:pPr>
        <w:spacing w:after="0" w:line="64" w:lineRule="exact"/>
        <w:rPr>
          <w:rFonts w:ascii="Times New Roman" w:cs="Times New Roman" w:eastAsia="Times New Roman" w:hAnsi="Times New Roman"/>
          <w:sz w:val="18"/>
          <w:szCs w:val="18"/>
          <w:b w:val="1"/>
          <w:bCs w:val="1"/>
          <w:color w:val="auto"/>
        </w:rPr>
      </w:pPr>
    </w:p>
    <w:p>
      <w:pPr>
        <w:ind w:left="980" w:firstLine="1259"/>
        <w:spacing w:after="0" w:line="267" w:lineRule="auto"/>
        <w:tabs>
          <w:tab w:leader="none" w:pos="2505" w:val="left"/>
        </w:tabs>
        <w:numPr>
          <w:ilvl w:val="1"/>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then in effect a registration statement under the Act covering such proposed disposition and such disposition is made in accordance with said registration statement; or</w:t>
      </w:r>
    </w:p>
    <w:p>
      <w:pPr>
        <w:spacing w:after="0" w:line="64" w:lineRule="exact"/>
        <w:rPr>
          <w:rFonts w:ascii="Times New Roman" w:cs="Times New Roman" w:eastAsia="Times New Roman" w:hAnsi="Times New Roman"/>
          <w:sz w:val="18"/>
          <w:szCs w:val="18"/>
          <w:b w:val="1"/>
          <w:bCs w:val="1"/>
          <w:color w:val="auto"/>
        </w:rPr>
      </w:pPr>
    </w:p>
    <w:p>
      <w:pPr>
        <w:ind w:left="980" w:firstLine="1259"/>
        <w:spacing w:after="0" w:line="248" w:lineRule="auto"/>
        <w:tabs>
          <w:tab w:leader="none" w:pos="2553" w:val="left"/>
        </w:tabs>
        <w:numPr>
          <w:ilvl w:val="1"/>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shall have notified the Company of the proposed disposition and shall have furnished the Company with a detailed statement of the circumstances surrounding the proposed disposition, and if reasonably requested by the Company, the Holder shall have furnished the Company with an opinion of counsel, reasonably satisfactory to the Company, for the Holder to the effect that such disposition will not require registration of such Warrant or Exercise Shares under the Act or any applicable state securities laws. The Company agrees that it will not require an opinion of counsel with respect to transactions under Rule 144 of the Act, except in unusual circumstances, and will not require an opinion of counsel with respect to any transfer to an Affiliate of Holder.</w:t>
      </w:r>
    </w:p>
    <w:p>
      <w:pPr>
        <w:spacing w:after="0" w:line="187" w:lineRule="exact"/>
        <w:rPr>
          <w:rFonts w:ascii="Times New Roman" w:cs="Times New Roman" w:eastAsia="Times New Roman" w:hAnsi="Times New Roman"/>
          <w:sz w:val="18"/>
          <w:szCs w:val="18"/>
          <w:b w:val="1"/>
          <w:bCs w:val="1"/>
          <w:color w:val="auto"/>
        </w:rPr>
      </w:pPr>
    </w:p>
    <w:p>
      <w:pPr>
        <w:ind w:left="1660" w:hanging="260"/>
        <w:spacing w:after="0"/>
        <w:tabs>
          <w:tab w:leader="none" w:pos="1660" w:val="left"/>
        </w:tabs>
        <w:numPr>
          <w:ilvl w:val="0"/>
          <w:numId w:val="2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Holder understands and agrees that all certificates evidencing the shares to be issued to the Holder may bear the following</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legend:</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3" w:right="619" w:bottom="1440" w:gutter="0" w:footer="0" w:header="0"/>
        </w:sectPr>
      </w:pPr>
    </w:p>
    <w:bookmarkStart w:id="351" w:name="page352"/>
    <w:bookmarkEnd w:id="351"/>
    <w:p>
      <w:pPr>
        <w:ind w:left="440" w:right="20"/>
        <w:spacing w:after="0" w:line="29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THESE SECURITIES HAVE NOT BEEN REGISTERED UNDER THE SECURITIES ACT OF 1933, AS AMENDED (THE “</w:t>
      </w:r>
      <w:r>
        <w:rPr>
          <w:rFonts w:ascii="Times New Roman" w:cs="Times New Roman" w:eastAsia="Times New Roman" w:hAnsi="Times New Roman"/>
          <w:sz w:val="16"/>
          <w:szCs w:val="16"/>
          <w:b w:val="1"/>
          <w:bCs w:val="1"/>
          <w:i w:val="1"/>
          <w:iCs w:val="1"/>
          <w:color w:val="auto"/>
        </w:rPr>
        <w:t>ACT</w:t>
      </w:r>
      <w:r>
        <w:rPr>
          <w:rFonts w:ascii="Times New Roman" w:cs="Times New Roman" w:eastAsia="Times New Roman" w:hAnsi="Times New Roman"/>
          <w:sz w:val="16"/>
          <w:szCs w:val="16"/>
          <w:color w:val="auto"/>
        </w:rPr>
        <w:t>”). THEY MAY NOT BE SOLD, OFFERED FOR SALE, PLEDGED OR HYPOTHECATED IN THE ABSENCE OF AN EFFECTIVE REGISTRATION STATEMENT AS TO THE SECURITIES UNDER THE ACT OR AN OPINION OF COUNSEL SATISFACTORY TO THE COMPANY THAT SUCH REGISTRATION IS NOT REQUIRED OR UNLESS SOLD PURSUANT TO RULE 144 UNDER THE ACT.</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4.4 Accredited Investor Status. </w:t>
      </w:r>
      <w:r>
        <w:rPr>
          <w:rFonts w:ascii="Times New Roman" w:cs="Times New Roman" w:eastAsia="Times New Roman" w:hAnsi="Times New Roman"/>
          <w:sz w:val="18"/>
          <w:szCs w:val="18"/>
          <w:color w:val="auto"/>
        </w:rPr>
        <w:t>The Holder is an “accredited investor” as defined in Regulation D promulgated under the Act.</w:t>
      </w:r>
    </w:p>
    <w:p>
      <w:pPr>
        <w:spacing w:after="0" w:line="213" w:lineRule="exact"/>
        <w:rPr>
          <w:sz w:val="20"/>
          <w:szCs w:val="20"/>
          <w:color w:val="auto"/>
        </w:rPr>
      </w:pPr>
    </w:p>
    <w:p>
      <w:pPr>
        <w:ind w:left="620" w:hanging="184"/>
        <w:spacing w:after="0"/>
        <w:tabs>
          <w:tab w:leader="none" w:pos="62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 AND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firstLine="964"/>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5.1 Changes in Securities. </w:t>
      </w:r>
      <w:r>
        <w:rPr>
          <w:rFonts w:ascii="Times New Roman" w:cs="Times New Roman" w:eastAsia="Times New Roman" w:hAnsi="Times New Roman"/>
          <w:sz w:val="16"/>
          <w:szCs w:val="16"/>
          <w:color w:val="auto"/>
        </w:rPr>
        <w:t>In the event of changes in the series of equity securities of the Company comprising the Exercise Shares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reason of stock dividends, splits, recapitalizations, reclassifications, combinations or exchanges of such shares of equity securities, the number and class and/or series of Exercise Shares available under this Warrant in the aggregate and the Exercise Price shall be correspondingly adjusted to give the Holder of this Warrant, on exercise for the same Aggregate Exercise Price, the total number and class and/or series of shares as the Holder would have owned had this Warrant been exercised prior to the event and had the Holder continued to hold such shares until after the event requiring adjustment. The form of this Warrant need not be changed because of any adjustment in the number of Exercise Shares subject to this Warrant.</w:t>
      </w:r>
    </w:p>
    <w:p>
      <w:pPr>
        <w:spacing w:after="0" w:line="159"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5.2 Organic Changes. </w:t>
      </w:r>
      <w:r>
        <w:rPr>
          <w:rFonts w:ascii="Times New Roman" w:cs="Times New Roman" w:eastAsia="Times New Roman" w:hAnsi="Times New Roman"/>
          <w:sz w:val="18"/>
          <w:szCs w:val="18"/>
          <w:color w:val="auto"/>
        </w:rPr>
        <w:t>In the event of, at any time during the Exercise Period, any capital reorganization of the capital stock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(other than (a) a change in par value or from par value to no par value or no par value to par value or as a result of a stock dividend or subdivision, split-up or combination of shares, or (b) a Change in Control) (an “</w:t>
      </w:r>
      <w:r>
        <w:rPr>
          <w:rFonts w:ascii="Times New Roman" w:cs="Times New Roman" w:eastAsia="Times New Roman" w:hAnsi="Times New Roman"/>
          <w:sz w:val="18"/>
          <w:szCs w:val="18"/>
          <w:b w:val="1"/>
          <w:bCs w:val="1"/>
          <w:i w:val="1"/>
          <w:iCs w:val="1"/>
          <w:color w:val="auto"/>
        </w:rPr>
        <w:t>Organic Change</w:t>
      </w:r>
      <w:r>
        <w:rPr>
          <w:rFonts w:ascii="Times New Roman" w:cs="Times New Roman" w:eastAsia="Times New Roman" w:hAnsi="Times New Roman"/>
          <w:sz w:val="18"/>
          <w:szCs w:val="18"/>
          <w:color w:val="auto"/>
        </w:rPr>
        <w:t>”), then, as a condition of such Organic Change, lawful and adequate provisions shall be made by the Company whereby the Holder hereof shall thereafter have the right to purchase and receive (in lieu of the Exercise Shares of the Company immediately theretofore purchasable and receivable upon the exercise of the rights represented hereby) such shares of stock, securities or other assets or property as may be issued or payable with respect to or in exchange for a number of outstanding shares of such Exercise Shares equal to the number of shares of such stock immediately theretofore purchasable and receivable upon the exercise of the rights represented hereby, and the Exercise Price shall be appropriately adjusted so that the Aggregate Exercise Price after such Organic Change shall be equal to the Aggregate Exercise Price immediately prior to such Organic Change.</w:t>
      </w:r>
    </w:p>
    <w:p>
      <w:pPr>
        <w:spacing w:after="0" w:line="191" w:lineRule="exact"/>
        <w:rPr>
          <w:sz w:val="20"/>
          <w:szCs w:val="20"/>
          <w:color w:val="auto"/>
        </w:rPr>
      </w:pPr>
    </w:p>
    <w:p>
      <w:pPr>
        <w:ind w:firstLine="436"/>
        <w:spacing w:after="0" w:line="250" w:lineRule="auto"/>
        <w:tabs>
          <w:tab w:leader="none" w:pos="603"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RACTIONAL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fractional shares shall be issued upon the exercise of this Warrant as a consequence of any adjustment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All Exercise Shares (including fractions) to be issued upon exercise of this Warrant shall be aggregated for purposes of determining whether the exercise would result in the issuance of any fractional share. If, after aggregation, the exercise would result in the issuance of a fractional share, the Company shall, in lieu of issuance of any fractional share, pay the Holder otherwise entitled to such fraction a sum in cash equal to the product resulting from multiplying the then current fair market value of one Exercise Share by such fraction.</w:t>
      </w:r>
    </w:p>
    <w:p>
      <w:pPr>
        <w:spacing w:after="0" w:line="18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ESERVED</w:t>
      </w:r>
      <w:r>
        <w:rPr>
          <w:rFonts w:ascii="Times New Roman" w:cs="Times New Roman" w:eastAsia="Times New Roman" w:hAnsi="Times New Roman"/>
          <w:sz w:val="18"/>
          <w:szCs w:val="18"/>
          <w:b w:val="1"/>
          <w:bCs w:val="1"/>
          <w:color w:val="auto"/>
        </w:rPr>
        <w:t>].</w:t>
      </w:r>
    </w:p>
    <w:p>
      <w:pPr>
        <w:spacing w:after="0" w:line="213"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IPO; V</w:t>
      </w:r>
      <w:r>
        <w:rPr>
          <w:rFonts w:ascii="Times New Roman" w:cs="Times New Roman" w:eastAsia="Times New Roman" w:hAnsi="Times New Roman"/>
          <w:sz w:val="14"/>
          <w:szCs w:val="14"/>
          <w:b w:val="1"/>
          <w:bCs w:val="1"/>
          <w:color w:val="auto"/>
        </w:rPr>
        <w:t>OLUNTARY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 AT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XPIRATION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ANCELLATION</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8.1 [Reserved].</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60"/>
          </w:cols>
          <w:pgMar w:left="580" w:top="261" w:right="659" w:bottom="1440" w:gutter="0" w:footer="0" w:header="0"/>
        </w:sectPr>
      </w:pPr>
    </w:p>
    <w:bookmarkStart w:id="352" w:name="page353"/>
    <w:bookmarkEnd w:id="352"/>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8.2 Voluntary Exercise Upon IPO or De-SPAC Transaction.</w:t>
      </w:r>
    </w:p>
    <w:p>
      <w:pPr>
        <w:spacing w:after="0" w:line="215" w:lineRule="exact"/>
        <w:rPr>
          <w:sz w:val="20"/>
          <w:szCs w:val="20"/>
          <w:color w:val="auto"/>
        </w:rPr>
      </w:pPr>
    </w:p>
    <w:p>
      <w:pPr>
        <w:ind w:right="80" w:firstLine="1400"/>
        <w:spacing w:after="0" w:line="249" w:lineRule="auto"/>
        <w:tabs>
          <w:tab w:leader="none" w:pos="164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(i) the Company consummates an IPO or De-SPAC Transaction prior to December 31, 2024 and prior to the consummation of a Change of Control, and (ii) the average of the closing price of shares of Common Stock during any period of 30 consecutive trading days commencing on any date following the first anniversary of the date on which the Company consummates the IPO or De-SPAC Transaction equals or exceeds two (2) times the IPO Price or De-SPAC Price (the “</w:t>
      </w:r>
      <w:r>
        <w:rPr>
          <w:rFonts w:ascii="Times New Roman" w:cs="Times New Roman" w:eastAsia="Times New Roman" w:hAnsi="Times New Roman"/>
          <w:sz w:val="18"/>
          <w:szCs w:val="18"/>
          <w:b w:val="1"/>
          <w:bCs w:val="1"/>
          <w:i w:val="1"/>
          <w:iCs w:val="1"/>
          <w:color w:val="auto"/>
        </w:rPr>
        <w:t>Relevant Period</w:t>
      </w:r>
      <w:r>
        <w:rPr>
          <w:rFonts w:ascii="Times New Roman" w:cs="Times New Roman" w:eastAsia="Times New Roman" w:hAnsi="Times New Roman"/>
          <w:sz w:val="18"/>
          <w:szCs w:val="18"/>
          <w:color w:val="auto"/>
        </w:rPr>
        <w:t>”), then, the Company shall deliver written notice to the Holder of such event.</w:t>
      </w:r>
    </w:p>
    <w:p>
      <w:pPr>
        <w:spacing w:after="0" w:line="186" w:lineRule="exact"/>
        <w:rPr>
          <w:rFonts w:ascii="Times New Roman" w:cs="Times New Roman" w:eastAsia="Times New Roman" w:hAnsi="Times New Roman"/>
          <w:sz w:val="18"/>
          <w:szCs w:val="18"/>
          <w:b w:val="1"/>
          <w:bCs w:val="1"/>
          <w:color w:val="auto"/>
        </w:rPr>
      </w:pPr>
    </w:p>
    <w:p>
      <w:pPr>
        <w:ind w:firstLine="1400"/>
        <w:spacing w:after="0" w:line="251" w:lineRule="auto"/>
        <w:tabs>
          <w:tab w:leader="none" w:pos="165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Warrant to the contrary, effective as of the last trading day of the Relevant Period, provided that if the closing price of shares of Common Stock on such day is less than two (2) times the IPO Price or De-SPAC Price, then this provision shall not be effective until the first trading day thereafter on which the closing price of shares of Common Stock equals or exceeds two (2) times the IPO Price or De-SPAC Price (such trading day, the “</w:t>
      </w:r>
      <w:r>
        <w:rPr>
          <w:rFonts w:ascii="Times New Roman" w:cs="Times New Roman" w:eastAsia="Times New Roman" w:hAnsi="Times New Roman"/>
          <w:sz w:val="18"/>
          <w:szCs w:val="18"/>
          <w:b w:val="1"/>
          <w:bCs w:val="1"/>
          <w:i w:val="1"/>
          <w:iCs w:val="1"/>
          <w:color w:val="auto"/>
        </w:rPr>
        <w:t>Relevant Trading Day</w:t>
      </w:r>
      <w:r>
        <w:rPr>
          <w:rFonts w:ascii="Times New Roman" w:cs="Times New Roman" w:eastAsia="Times New Roman" w:hAnsi="Times New Roman"/>
          <w:sz w:val="18"/>
          <w:szCs w:val="18"/>
          <w:color w:val="auto"/>
        </w:rPr>
        <w:t>”), the Holder may, at its sole option, elect to either:</w:t>
      </w:r>
    </w:p>
    <w:p>
      <w:pPr>
        <w:spacing w:after="0" w:line="79" w:lineRule="exact"/>
        <w:rPr>
          <w:rFonts w:ascii="Times New Roman" w:cs="Times New Roman" w:eastAsia="Times New Roman" w:hAnsi="Times New Roman"/>
          <w:sz w:val="18"/>
          <w:szCs w:val="18"/>
          <w:b w:val="1"/>
          <w:bCs w:val="1"/>
          <w:color w:val="auto"/>
        </w:rPr>
      </w:pPr>
    </w:p>
    <w:p>
      <w:pPr>
        <w:ind w:right="160" w:firstLine="1936"/>
        <w:spacing w:after="0" w:line="251" w:lineRule="auto"/>
        <w:tabs>
          <w:tab w:leader="none" w:pos="2137" w:val="left"/>
        </w:tabs>
        <w:numPr>
          <w:ilvl w:val="1"/>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Net Issue Exercise this Warrant, in whole or in part,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above, and solely in such event, the number of Exercise Shares issued to the Holder as a result of such Net Issue Exercise shall thereafter be immediately repurchased by the Company from the Holder at a purchase price per share, payable in cash, equal to the closing price of shares of Common Stock on the Relevant Trading Day, and any portion of this Warrant that is not exercised shall remain outstanding subject to the terms hereof; or</w:t>
      </w:r>
    </w:p>
    <w:p>
      <w:pPr>
        <w:spacing w:after="0" w:line="184" w:lineRule="exact"/>
        <w:rPr>
          <w:rFonts w:ascii="Times New Roman" w:cs="Times New Roman" w:eastAsia="Times New Roman" w:hAnsi="Times New Roman"/>
          <w:sz w:val="18"/>
          <w:szCs w:val="18"/>
          <w:b w:val="1"/>
          <w:bCs w:val="1"/>
          <w:color w:val="auto"/>
        </w:rPr>
      </w:pPr>
    </w:p>
    <w:p>
      <w:pPr>
        <w:ind w:left="2200" w:hanging="264"/>
        <w:spacing w:after="0"/>
        <w:tabs>
          <w:tab w:leader="none" w:pos="2200" w:val="left"/>
        </w:tabs>
        <w:numPr>
          <w:ilvl w:val="1"/>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continue to hold this Warrant and exercise it in Holder’s sole discretion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above;</w:t>
      </w:r>
    </w:p>
    <w:p>
      <w:pPr>
        <w:spacing w:after="0" w:line="10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either case, effective as of the Relevant Trading Day, the Holder shall be obligated to exercise the MC Extension Option (as defined in and pursuant to the Collaboration Agreement) pursuant to the terms of the Collaboration Agreement.</w:t>
      </w:r>
    </w:p>
    <w:p>
      <w:pPr>
        <w:spacing w:after="0" w:line="168" w:lineRule="exact"/>
        <w:rPr>
          <w:sz w:val="20"/>
          <w:szCs w:val="20"/>
          <w:color w:val="auto"/>
        </w:rPr>
      </w:pPr>
    </w:p>
    <w:p>
      <w:pPr>
        <w:ind w:right="24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8.3 Voluntary Exercise at Expiration. </w:t>
      </w:r>
      <w:r>
        <w:rPr>
          <w:rFonts w:ascii="Times New Roman" w:cs="Times New Roman" w:eastAsia="Times New Roman" w:hAnsi="Times New Roman"/>
          <w:sz w:val="18"/>
          <w:szCs w:val="18"/>
          <w:color w:val="auto"/>
        </w:rPr>
        <w:t>Notwithstanding anything in this Warrant to the contrary, if as of the conclusion of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the Holder has exercised the MC Extension Option and this Warrant remains outstanding, then the Company shall send a written notice to the Holder of the conclusion of the Exercise Period, and the Holder shall have fifteen (15) Business Days following receipt of such written notice to exercise the Warrant.</w:t>
      </w:r>
    </w:p>
    <w:p>
      <w:pPr>
        <w:spacing w:after="0" w:line="181" w:lineRule="exact"/>
        <w:rPr>
          <w:sz w:val="20"/>
          <w:szCs w:val="20"/>
          <w:color w:val="auto"/>
        </w:rPr>
      </w:pPr>
    </w:p>
    <w:p>
      <w:pPr>
        <w:ind w:right="160" w:firstLine="96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8.4 Voluntary Early Termination or Cancellation. </w:t>
      </w:r>
      <w:r>
        <w:rPr>
          <w:rFonts w:ascii="Times New Roman" w:cs="Times New Roman" w:eastAsia="Times New Roman" w:hAnsi="Times New Roman"/>
          <w:sz w:val="18"/>
          <w:szCs w:val="18"/>
          <w:color w:val="auto"/>
        </w:rPr>
        <w:t>Notwithstanding anything in this Warrant to the contrary, at any time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an IPO or De-SPAC Transaction, the Holder may, in its sole discretion, terminate and cancel this Warrant and all of the Holder’s and the Company’s obligations hereunder in their entirety (but not partially) (such event, a “</w:t>
      </w:r>
      <w:r>
        <w:rPr>
          <w:rFonts w:ascii="Times New Roman" w:cs="Times New Roman" w:eastAsia="Times New Roman" w:hAnsi="Times New Roman"/>
          <w:sz w:val="18"/>
          <w:szCs w:val="18"/>
          <w:b w:val="1"/>
          <w:bCs w:val="1"/>
          <w:i w:val="1"/>
          <w:iCs w:val="1"/>
          <w:color w:val="auto"/>
        </w:rPr>
        <w:t>Voluntary Early Termination</w:t>
      </w:r>
      <w:r>
        <w:rPr>
          <w:rFonts w:ascii="Times New Roman" w:cs="Times New Roman" w:eastAsia="Times New Roman" w:hAnsi="Times New Roman"/>
          <w:sz w:val="18"/>
          <w:szCs w:val="18"/>
          <w:color w:val="auto"/>
        </w:rPr>
        <w:t>”), and such Voluntary Early Termination shall not otherwise affect the Holder’s right to decide in its sole discretion whether to exercise the MC Extension Option pursuant to the Collaboration Agreement.</w:t>
      </w:r>
    </w:p>
    <w:p>
      <w:pPr>
        <w:spacing w:after="0" w:line="182" w:lineRule="exact"/>
        <w:rPr>
          <w:sz w:val="20"/>
          <w:szCs w:val="20"/>
          <w:color w:val="auto"/>
        </w:rPr>
      </w:pPr>
    </w:p>
    <w:p>
      <w:pPr>
        <w:jc w:val="both"/>
        <w:ind w:right="48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8.5 Automatic Early Termination or Cancellation. </w:t>
      </w:r>
      <w:r>
        <w:rPr>
          <w:rFonts w:ascii="Times New Roman" w:cs="Times New Roman" w:eastAsia="Times New Roman" w:hAnsi="Times New Roman"/>
          <w:sz w:val="18"/>
          <w:szCs w:val="18"/>
          <w:color w:val="auto"/>
        </w:rPr>
        <w:t>Notwithstanding anything in this Warrant to the contrary, if the Holder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the MC Extension Option on or before December 31, 2024 in accordance with the Collaboration Agreement such that the Holder is not obligated</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3" w:right="619" w:bottom="1440" w:gutter="0" w:footer="0" w:header="0"/>
        </w:sectPr>
      </w:pPr>
    </w:p>
    <w:bookmarkStart w:id="353" w:name="page354"/>
    <w:bookmarkEnd w:id="353"/>
    <w:p>
      <w:pPr>
        <w:ind w:right="2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commit the final $100,000,000 in funding pursuant to the terms of the Collaboration Agreement, then this Warrant shall automatically be cancelled and terminated for no consideration.</w:t>
      </w:r>
    </w:p>
    <w:p>
      <w:pPr>
        <w:spacing w:after="0" w:line="168" w:lineRule="exact"/>
        <w:rPr>
          <w:sz w:val="20"/>
          <w:szCs w:val="20"/>
          <w:color w:val="auto"/>
        </w:rPr>
      </w:pPr>
    </w:p>
    <w:p>
      <w:pPr>
        <w:ind w:right="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8.6 Collaboration Agreement. </w:t>
      </w:r>
      <w:r>
        <w:rPr>
          <w:rFonts w:ascii="Times New Roman" w:cs="Times New Roman" w:eastAsia="Times New Roman" w:hAnsi="Times New Roman"/>
          <w:sz w:val="18"/>
          <w:szCs w:val="18"/>
          <w:color w:val="auto"/>
        </w:rPr>
        <w:t>Notwithstanding anything in this Warrant to the contrary, the Holder hereby agrees that in the event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has exercised this Warrant in whole or in part at any time pursuant to the terms set forth herein, the Holder shall be deemed to have exercised the MC Extension Option pursuant to the terms of the Collaboration Agreement.</w:t>
      </w:r>
    </w:p>
    <w:p>
      <w:pPr>
        <w:spacing w:after="0" w:line="178" w:lineRule="exact"/>
        <w:rPr>
          <w:sz w:val="20"/>
          <w:szCs w:val="20"/>
          <w:color w:val="auto"/>
        </w:rPr>
      </w:pPr>
    </w:p>
    <w:p>
      <w:pPr>
        <w:ind w:firstLine="436"/>
        <w:spacing w:after="0" w:line="245" w:lineRule="auto"/>
        <w:tabs>
          <w:tab w:leader="none" w:pos="603"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ARKET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TAND</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hereby agrees that it will not, without the prior written consent of the managing underwriter,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period commencing on the date of the final prospectus relating to the registration by the Company of shares of its Common Stock or any other equity securities under the Act on a registration statement on Form S-1 in connection with the IPO, and ending on the date specified by the Company (as determined by the holders of capital stock of the Company representing a majority of the voting power of all then-outstanding shares of capital stock of the Company) and the managing underwriter (which period may exceed 180 days),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not apply to the sale of any shares to an underwriter pursuant to an underwriting agreement and shall be applicable to the Holder only if all executive officers and directors of the Company are subject to the same restrictions.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that are necessary to give further effect thereto.</w:t>
      </w:r>
    </w:p>
    <w:p>
      <w:pPr>
        <w:spacing w:after="0" w:line="191" w:lineRule="exact"/>
        <w:rPr>
          <w:rFonts w:ascii="Times New Roman" w:cs="Times New Roman" w:eastAsia="Times New Roman" w:hAnsi="Times New Roman"/>
          <w:sz w:val="18"/>
          <w:szCs w:val="18"/>
          <w:b w:val="1"/>
          <w:bCs w:val="1"/>
          <w:color w:val="auto"/>
        </w:rPr>
      </w:pPr>
    </w:p>
    <w:p>
      <w:pPr>
        <w:ind w:right="100" w:firstLine="436"/>
        <w:spacing w:after="0" w:line="282" w:lineRule="auto"/>
        <w:tabs>
          <w:tab w:leader="none" w:pos="691" w:val="left"/>
        </w:tabs>
        <w:numPr>
          <w:ilvl w:val="0"/>
          <w:numId w:val="2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3"/>
          <w:szCs w:val="13"/>
          <w:b w:val="1"/>
          <w:bCs w:val="1"/>
          <w:color w:val="auto"/>
        </w:rPr>
        <w:t>TOCKHOLDER</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Warrant in and of itself shall not entitle the Holder to vote or receive dividends or other distributions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respect to, or be deemed the holder of, the Exercise Shares or any other securities of the Company that may at any time be issuable upon the exercise hereof for any purpose, nor shall anything contained herein be construed to confer upon the Holder, as such, any of the rights of a stockholder of the Company or any right to vote for the election of directors or upon any other matter submitted to the stockholders of the Company at any meeting thereof, or to give or withhold consent to any corporate action (whether upon any recapitalization, issuance or reclassification of equity securities, consolidation, merger, conveyance or otherwise) or to receive notice of meetings, or to receive purchase or subscription rights or otherwise, until the Warrant shall have been exercised as provided herein. For clarity,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shall be construed as limiting the rights of the Holder only with respect to the Warrant, the Exercise Shares and other securities of the Company that may at any time be issuable upon the exercise hereof for any purpose, and shall not be construed as limiting the rights of the Holder with respect to any other securities of the Company.</w:t>
      </w:r>
    </w:p>
    <w:p>
      <w:pPr>
        <w:spacing w:after="0" w:line="371" w:lineRule="exact"/>
        <w:rPr>
          <w:rFonts w:ascii="Times New Roman" w:cs="Times New Roman" w:eastAsia="Times New Roman" w:hAnsi="Times New Roman"/>
          <w:sz w:val="16"/>
          <w:szCs w:val="16"/>
          <w:b w:val="1"/>
          <w:bCs w:val="1"/>
          <w:color w:val="auto"/>
        </w:rPr>
      </w:pPr>
    </w:p>
    <w:p>
      <w:pPr>
        <w:ind w:right="60" w:firstLine="436"/>
        <w:spacing w:after="0" w:line="250" w:lineRule="auto"/>
        <w:tabs>
          <w:tab w:leader="none" w:pos="681"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 OF</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Warrant is not transferable, in whole or in part, by the Holder (other than to an Affiliate of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prior written consent of the Company, and any attempted assignment without such consent shall be void. A change in control of the Holder, for example by merger, sale of stock or sale of assets, shall not be deemed to be an assignment under this Warrant. Subject to the foregoing restrictions, applicable laws and the restriction on transfer set forth on the first page of this Warrant, in connection with any transfer of this Warrant, the Holder shall deliver this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00"/>
          </w:cols>
          <w:pgMar w:left="580" w:top="265" w:right="619" w:bottom="1440" w:gutter="0" w:footer="0" w:header="0"/>
        </w:sectPr>
      </w:pPr>
    </w:p>
    <w:bookmarkStart w:id="354" w:name="page355"/>
    <w:bookmarkEnd w:id="354"/>
    <w:p>
      <w:pPr>
        <w:ind w:right="160"/>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Warrant and the form of assignment attached hereto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to the Company, and the transferee shall sign an investment representation letter in form and substance satisfactory to the Company.</w:t>
      </w:r>
    </w:p>
    <w:p>
      <w:pPr>
        <w:spacing w:after="0" w:line="164" w:lineRule="exact"/>
        <w:rPr>
          <w:sz w:val="20"/>
          <w:szCs w:val="20"/>
          <w:color w:val="auto"/>
        </w:rPr>
      </w:pPr>
    </w:p>
    <w:p>
      <w:pPr>
        <w:ind w:right="60" w:firstLine="436"/>
        <w:spacing w:after="0" w:line="250" w:lineRule="auto"/>
        <w:tabs>
          <w:tab w:leader="none" w:pos="6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OST</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TOLEN</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4"/>
          <w:szCs w:val="14"/>
          <w:b w:val="1"/>
          <w:bCs w:val="1"/>
          <w:color w:val="auto"/>
        </w:rPr>
        <w:t>UTILATED OR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ESTROYED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this Warrant is lost, stolen, mutilated or destroyed, the Company may,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182" w:lineRule="exact"/>
        <w:rPr>
          <w:rFonts w:ascii="Times New Roman" w:cs="Times New Roman" w:eastAsia="Times New Roman" w:hAnsi="Times New Roman"/>
          <w:sz w:val="18"/>
          <w:szCs w:val="18"/>
          <w:b w:val="1"/>
          <w:bCs w:val="1"/>
          <w:color w:val="auto"/>
        </w:rPr>
      </w:pPr>
    </w:p>
    <w:p>
      <w:pPr>
        <w:ind w:right="220" w:firstLine="436"/>
        <w:spacing w:after="0" w:line="270" w:lineRule="auto"/>
        <w:tabs>
          <w:tab w:leader="none" w:pos="6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UMULATIVE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EMEDIES</w:t>
      </w:r>
      <w:r>
        <w:rPr>
          <w:rFonts w:ascii="Times New Roman" w:cs="Times New Roman" w:eastAsia="Times New Roman" w:hAnsi="Times New Roman"/>
          <w:sz w:val="18"/>
          <w:szCs w:val="18"/>
          <w:color w:val="auto"/>
        </w:rPr>
        <w:t>. The rights and remedies provided in this Warrant are cumulative and are not exclusive of, and are 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in substitution for, any other rights or remedies available at law, in equity or otherwise.</w:t>
      </w:r>
    </w:p>
    <w:p>
      <w:pPr>
        <w:spacing w:after="0" w:line="164" w:lineRule="exact"/>
        <w:rPr>
          <w:rFonts w:ascii="Times New Roman" w:cs="Times New Roman" w:eastAsia="Times New Roman" w:hAnsi="Times New Roman"/>
          <w:sz w:val="18"/>
          <w:szCs w:val="18"/>
          <w:b w:val="1"/>
          <w:bCs w:val="1"/>
          <w:color w:val="auto"/>
        </w:rPr>
      </w:pPr>
    </w:p>
    <w:p>
      <w:pPr>
        <w:ind w:right="380" w:firstLine="436"/>
        <w:spacing w:after="0" w:line="288" w:lineRule="auto"/>
        <w:tabs>
          <w:tab w:leader="none" w:pos="691" w:val="left"/>
        </w:tabs>
        <w:numPr>
          <w:ilvl w:val="0"/>
          <w:numId w:val="2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3"/>
          <w:szCs w:val="13"/>
          <w:b w:val="1"/>
          <w:bCs w:val="1"/>
          <w:color w:val="auto"/>
        </w:rPr>
        <w:t>QUITABLE</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3"/>
          <w:szCs w:val="13"/>
          <w:b w:val="1"/>
          <w:bCs w:val="1"/>
          <w:color w:val="auto"/>
        </w:rPr>
        <w:t>ELIEF</w:t>
      </w:r>
      <w:r>
        <w:rPr>
          <w:rFonts w:ascii="Times New Roman" w:cs="Times New Roman" w:eastAsia="Times New Roman" w:hAnsi="Times New Roman"/>
          <w:sz w:val="16"/>
          <w:szCs w:val="16"/>
          <w:color w:val="auto"/>
        </w:rPr>
        <w:t>. Each of the Company and the Holder acknowledges that a breach or threatened breach by such party of any of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obligations under this Warrant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w:t>
      </w:r>
    </w:p>
    <w:p>
      <w:pPr>
        <w:spacing w:after="0" w:line="156" w:lineRule="exact"/>
        <w:rPr>
          <w:rFonts w:ascii="Times New Roman" w:cs="Times New Roman" w:eastAsia="Times New Roman" w:hAnsi="Times New Roman"/>
          <w:sz w:val="16"/>
          <w:szCs w:val="16"/>
          <w:b w:val="1"/>
          <w:bCs w:val="1"/>
          <w:color w:val="auto"/>
        </w:rPr>
      </w:pPr>
    </w:p>
    <w:p>
      <w:pPr>
        <w:ind w:right="140" w:firstLine="436"/>
        <w:spacing w:after="0" w:line="248" w:lineRule="auto"/>
        <w:tabs>
          <w:tab w:leader="none" w:pos="6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required or permitted hereunder shall be in writing and shall be deemed effectively given: (a) upon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to the party to be notified, (b) when sent by electronic transmission or facsimile if sent during normal business hours of the recipient, if not, then on the next business day, (c) five days after having been sent by registered or certified mail, return receipt requested, postage prepaid, or (d) one day after deposit with a nationally recognized overnight courier, specifying next day delivery, with written verification of receipt. All communications shall be sent to each of the Company and the Holder at the address listed on their respective signature pages hereto or at such other address as the Company or Holder may designate by ten days’ advance written notice to the other party.</w:t>
      </w:r>
    </w:p>
    <w:p>
      <w:pPr>
        <w:spacing w:after="0" w:line="187" w:lineRule="exact"/>
        <w:rPr>
          <w:rFonts w:ascii="Times New Roman" w:cs="Times New Roman" w:eastAsia="Times New Roman" w:hAnsi="Times New Roman"/>
          <w:sz w:val="18"/>
          <w:szCs w:val="18"/>
          <w:b w:val="1"/>
          <w:bCs w:val="1"/>
          <w:color w:val="auto"/>
        </w:rPr>
      </w:pPr>
    </w:p>
    <w:p>
      <w:pPr>
        <w:ind w:right="200" w:firstLine="436"/>
        <w:spacing w:after="0" w:line="256" w:lineRule="auto"/>
        <w:tabs>
          <w:tab w:leader="none" w:pos="6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UCCESSOR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SSIGNS</w:t>
      </w:r>
      <w:r>
        <w:rPr>
          <w:rFonts w:ascii="Times New Roman" w:cs="Times New Roman" w:eastAsia="Times New Roman" w:hAnsi="Times New Roman"/>
          <w:sz w:val="18"/>
          <w:szCs w:val="18"/>
          <w:color w:val="auto"/>
        </w:rPr>
        <w:t>. This Warrant and the rights evidenced hereby shall be binding upon and shall inure to the benefit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 successors of the Company and the successors and permitted assigns of the Holder. Such successors and/or permitted assigns of the Holder shall be deemed to be a Holder for all purposes hereunder.</w:t>
      </w:r>
    </w:p>
    <w:p>
      <w:pPr>
        <w:spacing w:after="0" w:line="177" w:lineRule="exact"/>
        <w:rPr>
          <w:rFonts w:ascii="Times New Roman" w:cs="Times New Roman" w:eastAsia="Times New Roman" w:hAnsi="Times New Roman"/>
          <w:sz w:val="18"/>
          <w:szCs w:val="18"/>
          <w:b w:val="1"/>
          <w:bCs w:val="1"/>
          <w:color w:val="auto"/>
        </w:rPr>
      </w:pPr>
    </w:p>
    <w:p>
      <w:pPr>
        <w:ind w:right="80" w:firstLine="436"/>
        <w:spacing w:after="0" w:line="256" w:lineRule="auto"/>
        <w:tabs>
          <w:tab w:leader="none" w:pos="6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ENEFICIARIES</w:t>
      </w:r>
      <w:r>
        <w:rPr>
          <w:rFonts w:ascii="Times New Roman" w:cs="Times New Roman" w:eastAsia="Times New Roman" w:hAnsi="Times New Roman"/>
          <w:sz w:val="18"/>
          <w:szCs w:val="18"/>
          <w:color w:val="auto"/>
        </w:rPr>
        <w:t>. This Warrant is for the sole benefit of the Company and the Holder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the Holder, permitted assigns and nothing herein, express or implied, is intended to or shall confer upon any other Person any legal or equitable right, benefit or remedy of any nature whatsoever, under or by reason of this Warrant.</w:t>
      </w:r>
    </w:p>
    <w:p>
      <w:pPr>
        <w:spacing w:after="0" w:line="177"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18"/>
          <w:szCs w:val="18"/>
          <w:color w:val="auto"/>
        </w:rPr>
        <w:t>. The headings in this Warrant are for reference only and shall not affect the interpretation of this Warrant.</w:t>
      </w:r>
    </w:p>
    <w:p>
      <w:pPr>
        <w:spacing w:after="0" w:line="213" w:lineRule="exact"/>
        <w:rPr>
          <w:rFonts w:ascii="Times New Roman" w:cs="Times New Roman" w:eastAsia="Times New Roman" w:hAnsi="Times New Roman"/>
          <w:sz w:val="18"/>
          <w:szCs w:val="18"/>
          <w:b w:val="1"/>
          <w:bCs w:val="1"/>
          <w:color w:val="auto"/>
        </w:rPr>
      </w:pPr>
    </w:p>
    <w:p>
      <w:pPr>
        <w:ind w:firstLine="436"/>
        <w:spacing w:after="0" w:line="252" w:lineRule="auto"/>
        <w:tabs>
          <w:tab w:leader="none" w:pos="69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ODIFICATION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AIVER</w:t>
      </w:r>
      <w:r>
        <w:rPr>
          <w:rFonts w:ascii="Times New Roman" w:cs="Times New Roman" w:eastAsia="Times New Roman" w:hAnsi="Times New Roman"/>
          <w:sz w:val="18"/>
          <w:szCs w:val="18"/>
          <w:color w:val="auto"/>
        </w:rPr>
        <w:t>. Except as otherwise provided herein, this Warrant may only be amended, modified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60"/>
          </w:cols>
          <w:pgMar w:left="580" w:top="263" w:right="659" w:bottom="1440" w:gutter="0" w:footer="0" w:header="0"/>
        </w:sectPr>
      </w:pPr>
    </w:p>
    <w:bookmarkStart w:id="355" w:name="page356"/>
    <w:bookmarkEnd w:id="355"/>
    <w:p>
      <w:pPr>
        <w:ind w:right="3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2" w:lineRule="exact"/>
        <w:rPr>
          <w:sz w:val="20"/>
          <w:szCs w:val="20"/>
          <w:color w:val="auto"/>
        </w:rPr>
      </w:pPr>
    </w:p>
    <w:p>
      <w:pPr>
        <w:ind w:right="240" w:firstLine="436"/>
        <w:spacing w:after="0" w:line="256" w:lineRule="auto"/>
        <w:tabs>
          <w:tab w:leader="none" w:pos="691"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any term or provision of this Warrant is invalid, illegal or unenforceable in any jurisdiction, such invalidity, illegality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unenforceability shall not affect any other term or provision of this Warrant or invalidate or render unenforceable such term or provision in any other jurisdiction.</w:t>
      </w:r>
    </w:p>
    <w:p>
      <w:pPr>
        <w:spacing w:after="0" w:line="177"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2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3"/>
          <w:szCs w:val="13"/>
          <w:b w:val="1"/>
          <w:bCs w:val="1"/>
          <w:color w:val="auto"/>
        </w:rPr>
        <w:t>CCEPTANCE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Receipt of this Warrant by the Holder shall constitute acceptance of and agreement to all of the terms and conditions contained</w:t>
      </w:r>
    </w:p>
    <w:p>
      <w:pPr>
        <w:spacing w:after="0" w:line="45"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herein.</w:t>
      </w:r>
    </w:p>
    <w:p>
      <w:pPr>
        <w:spacing w:after="0" w:line="193" w:lineRule="exact"/>
        <w:rPr>
          <w:rFonts w:ascii="Times New Roman" w:cs="Times New Roman" w:eastAsia="Times New Roman" w:hAnsi="Times New Roman"/>
          <w:sz w:val="16"/>
          <w:szCs w:val="16"/>
          <w:b w:val="1"/>
          <w:bCs w:val="1"/>
          <w:color w:val="auto"/>
        </w:rPr>
      </w:pPr>
    </w:p>
    <w:p>
      <w:pPr>
        <w:ind w:right="60" w:firstLine="436"/>
        <w:spacing w:after="0" w:line="256" w:lineRule="auto"/>
        <w:tabs>
          <w:tab w:leader="none" w:pos="691"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Warrant and all rights, obligations and liabilities hereunder shall be governed by and construed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as applied to agreements among Delaware residents, made and to be performed entirely within the State of Delaware without giving effect to conflicts of laws principles.</w:t>
      </w:r>
    </w:p>
    <w:p>
      <w:pPr>
        <w:spacing w:after="0" w:line="177" w:lineRule="exact"/>
        <w:rPr>
          <w:rFonts w:ascii="Times New Roman" w:cs="Times New Roman" w:eastAsia="Times New Roman" w:hAnsi="Times New Roman"/>
          <w:sz w:val="18"/>
          <w:szCs w:val="18"/>
          <w:b w:val="1"/>
          <w:bCs w:val="1"/>
          <w:color w:val="auto"/>
        </w:rPr>
      </w:pPr>
    </w:p>
    <w:p>
      <w:pPr>
        <w:ind w:right="40" w:firstLine="436"/>
        <w:spacing w:after="0" w:line="252" w:lineRule="auto"/>
        <w:tabs>
          <w:tab w:leader="none" w:pos="691"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OUNTERPARTS</w:t>
      </w:r>
      <w:r>
        <w:rPr>
          <w:rFonts w:ascii="Times New Roman" w:cs="Times New Roman" w:eastAsia="Times New Roman" w:hAnsi="Times New Roman"/>
          <w:sz w:val="18"/>
          <w:szCs w:val="18"/>
          <w:color w:val="auto"/>
        </w:rPr>
        <w:t>. This Warrant may be executed in counterparts, each of which shall be deemed an original, but all of which together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one and the same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80"/>
          </w:cols>
          <w:pgMar w:left="580" w:top="265" w:right="63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caused this Warrant to be executed as of the date first written above.</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Jim Rogers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-130175</wp:posOffset>
            </wp:positionV>
            <wp:extent cx="252603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jc w:val="right"/>
        <w:ind w:right="1399"/>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Address:</w:t>
      </w:r>
    </w:p>
    <w:p>
      <w:pPr>
        <w:spacing w:after="0" w:line="2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600 West Chicago Ave.</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Suite 510</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19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ASTRAZENECA AB</w:t>
      </w:r>
    </w:p>
    <w:p>
      <w:pPr>
        <w:spacing w:after="0" w:line="2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Yvonne Bertlin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Yvonne Bertlin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-130175</wp:posOffset>
            </wp:positionV>
            <wp:extent cx="252603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8"/>
          <w:szCs w:val="18"/>
          <w:color w:val="auto"/>
        </w:rPr>
        <w:t>Title: CFO</w:t>
      </w:r>
    </w:p>
    <w:p>
      <w:pPr>
        <w:spacing w:after="0" w:line="19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Address:</w:t>
      </w:r>
    </w:p>
    <w:p>
      <w:pPr>
        <w:spacing w:after="0" w:line="2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SE-432 83 Mölndal</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Sweden</w:t>
      </w:r>
    </w:p>
    <w:p>
      <w:pPr>
        <w:sectPr>
          <w:pgSz w:w="11900" w:h="16838" w:orient="portrait"/>
          <w:cols w:equalWidth="0" w:num="1">
            <w:col w:w="9439"/>
          </w:cols>
          <w:pgMar w:left="1020" w:top="263" w:right="1440" w:bottom="1440" w:gutter="0" w:footer="0" w:header="0"/>
        </w:sectPr>
      </w:pPr>
    </w:p>
    <w:bookmarkStart w:id="357" w:name="page358"/>
    <w:bookmarkEnd w:id="3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06" w:lineRule="exact"/>
        <w:rPr>
          <w:sz w:val="20"/>
          <w:szCs w:val="20"/>
          <w:color w:val="auto"/>
        </w:rPr>
      </w:pPr>
    </w:p>
    <w:p>
      <w:pPr>
        <w:ind w:right="200" w:firstLine="436"/>
        <w:spacing w:after="0" w:line="272" w:lineRule="auto"/>
        <w:tabs>
          <w:tab w:leader="none" w:pos="676"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undersigned hereby elects to purchase _____________ shares of Class A Common Stock (the “</w:t>
      </w:r>
      <w:r>
        <w:rPr>
          <w:rFonts w:ascii="Times New Roman" w:cs="Times New Roman" w:eastAsia="Times New Roman" w:hAnsi="Times New Roman"/>
          <w:sz w:val="18"/>
          <w:szCs w:val="18"/>
          <w:b w:val="1"/>
          <w:bCs w:val="1"/>
          <w:i w:val="1"/>
          <w:iCs w:val="1"/>
          <w:color w:val="auto"/>
        </w:rPr>
        <w:t>Exercise Shares</w:t>
      </w:r>
      <w:r>
        <w:rPr>
          <w:rFonts w:ascii="Times New Roman" w:cs="Times New Roman" w:eastAsia="Times New Roman" w:hAnsi="Times New Roman"/>
          <w:sz w:val="18"/>
          <w:szCs w:val="18"/>
          <w:color w:val="auto"/>
        </w:rPr>
        <w:t>”) of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terms of the attached Warrant, and tenders herewith payment of the exercise price in full.</w:t>
      </w:r>
    </w:p>
    <w:p>
      <w:pPr>
        <w:spacing w:after="0" w:line="165" w:lineRule="exact"/>
        <w:rPr>
          <w:rFonts w:ascii="Times New Roman" w:cs="Times New Roman" w:eastAsia="Times New Roman" w:hAnsi="Times New Roman"/>
          <w:sz w:val="18"/>
          <w:szCs w:val="18"/>
          <w:b w:val="1"/>
          <w:bCs w:val="1"/>
          <w:color w:val="auto"/>
        </w:rPr>
      </w:pPr>
    </w:p>
    <w:p>
      <w:pPr>
        <w:ind w:right="160" w:firstLine="436"/>
        <w:spacing w:after="0" w:line="267" w:lineRule="auto"/>
        <w:tabs>
          <w:tab w:leader="none" w:pos="676"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issue a certificate or certificates representing said Exercise Shares, if applicable,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127635</wp:posOffset>
            </wp:positionV>
            <wp:extent cx="143383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w:t>
      </w:r>
    </w:p>
    <w:p>
      <w:pPr>
        <w:spacing w:after="0" w:line="213" w:lineRule="exact"/>
        <w:rPr>
          <w:sz w:val="20"/>
          <w:szCs w:val="20"/>
          <w:color w:val="auto"/>
        </w:rPr>
      </w:pPr>
    </w:p>
    <w:p>
      <w:pPr>
        <w:ind w:right="400" w:firstLine="436"/>
        <w:spacing w:after="0" w:line="267" w:lineRule="auto"/>
        <w:tabs>
          <w:tab w:leader="none" w:pos="676"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issue a new Warrant for the unexercised portion of the attached Warrant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135890</wp:posOffset>
            </wp:positionV>
            <wp:extent cx="143383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w:t>
      </w:r>
    </w:p>
    <w:p>
      <w:pPr>
        <w:spacing w:after="0" w:line="213" w:lineRule="exact"/>
        <w:rPr>
          <w:sz w:val="20"/>
          <w:szCs w:val="20"/>
          <w:color w:val="auto"/>
        </w:rPr>
      </w:pPr>
    </w:p>
    <w:p>
      <w:pPr>
        <w:ind w:firstLine="436"/>
        <w:spacing w:after="0" w:line="245" w:lineRule="auto"/>
        <w:tabs>
          <w:tab w:leader="none" w:pos="676"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undersigned represents that (i) the aforesaid Exercise Shares are being acquired for the account of the undersigned for investment and not with a view to, or for resale in connection with, the distribution thereof and that the undersigned has no present intention of distributing or reselling such shares; (ii) the undersigned is aware of the Company’s business affairs and financial condition and has acquired sufficient information about the Company to reach an informed and knowledgeable decision regarding its investment in the Company; (iii) the undersigned is experienced in making investments of this type and has such knowledge and background in financial and business matters that the undersigned is capable of evaluating the merits and risks of this investment and protecting the undersigned’s own interests; (iv) the undersigned understands that Exercise Shares issuable upon exercise of this Warrant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by reason of a specific exemption from the registration provisions of the Act, which exemption depends upon, among other things, the bona fide nature of the investment intent as expressed herein, and, because such securities have not been registered under the Act, they must be held indefinitely unless subsequently registered under the Act or an exemption from such registration is available; (v) the undersigned is aware that the aforesaid Exercise Shares may not be sold pursuant to Rule 144 adopted under the Act unless certain conditions are met and until the undersigned has held the shares for the number of years prescribed by Rule 144, that the conditions for use of the Rule may include the availability of current information to the public about the Company and the Company has not made such information available and has no present plans to do so; and (vi) the undersigned agrees not to make any disposition of all or any part of the aforesaid shares of Exercise Shares unless and until there is then in effect a registration statement under the Act covering such proposed disposition and such disposition is made in accordance with said registration statement, or, if reasonably requested by the Company, the undersigned has provided the Company with an opinion of counsel satisfactory to the Company, stating that such registration is not required, subject to any exceptions set forth in the attached Warrant.</w:t>
      </w:r>
    </w:p>
    <w:p>
      <w:pPr>
        <w:spacing w:after="0" w:line="188" w:lineRule="exact"/>
        <w:rPr>
          <w:rFonts w:ascii="Times New Roman" w:cs="Times New Roman" w:eastAsia="Times New Roman" w:hAnsi="Times New Roman"/>
          <w:sz w:val="18"/>
          <w:szCs w:val="18"/>
          <w:b w:val="1"/>
          <w:bCs w:val="1"/>
          <w:color w:val="auto"/>
        </w:rPr>
      </w:pPr>
    </w:p>
    <w:p>
      <w:pPr>
        <w:ind w:right="240" w:firstLine="436"/>
        <w:spacing w:after="0" w:line="255" w:lineRule="auto"/>
        <w:tabs>
          <w:tab w:leader="none" w:pos="676"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undersigned acknowledges and agrees that, if requested by the Company, the undersigned shall execute and deliver any applicable securityholders’ agreement, investor rights agreement, voting agreement, drag along agreement, right of first refusal and co-sale agreement or similar agreement (or a joinder to any existing agreement) that the Company and/or the holders of its securities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00"/>
          </w:cols>
          <w:pgMar w:left="580" w:top="264" w:right="619" w:bottom="1440" w:gutter="0" w:footer="0" w:header="0"/>
        </w:sectPr>
      </w:pPr>
    </w:p>
    <w:bookmarkStart w:id="358" w:name="page359"/>
    <w:bookmarkEnd w:id="358"/>
    <w:p>
      <w:pPr>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may enter into or that otherwise that may be in effect from time to time (and which may contain, among other provisions, additional restrictions on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68027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02755" cy="8255"/>
                    </a:xfrm>
                    <a:prstGeom prst="rect">
                      <a:avLst/>
                    </a:prstGeom>
                    <a:noFill/>
                  </pic:spPr>
                </pic:pic>
              </a:graphicData>
            </a:graphic>
          </wp:anchor>
        </w:drawing>
      </w:r>
    </w:p>
    <w:p>
      <w:pPr>
        <w:spacing w:after="0" w:line="347"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163830</wp:posOffset>
            </wp:positionV>
            <wp:extent cx="32594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(Print name)</w:t>
      </w:r>
    </w:p>
    <w:p>
      <w:pPr>
        <w:spacing w:after="0" w:line="16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80"/>
          </w:cols>
          <w:pgMar w:left="580" w:top="265" w:right="1039" w:bottom="1440" w:gutter="0" w:footer="0" w:header="0"/>
        </w:sectPr>
      </w:pPr>
    </w:p>
    <w:bookmarkStart w:id="359" w:name="page360"/>
    <w:bookmarkEnd w:id="3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purchase shares.)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ALUE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ECEIVED</w:t>
      </w:r>
      <w:r>
        <w:rPr>
          <w:rFonts w:ascii="Times New Roman" w:cs="Times New Roman" w:eastAsia="Times New Roman" w:hAnsi="Times New Roman"/>
          <w:sz w:val="18"/>
          <w:szCs w:val="18"/>
          <w:color w:val="auto"/>
        </w:rPr>
        <w:t>, the foregoing Warrant and all rights evidenced thereby are hereby assigned to</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-130175</wp:posOffset>
            </wp:positionV>
            <wp:extent cx="64611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46112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-130175</wp:posOffset>
            </wp:positionV>
            <wp:extent cx="631888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31888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-130175</wp:posOffset>
            </wp:positionV>
            <wp:extent cx="63944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3944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2540</wp:posOffset>
            </wp:positionV>
            <wp:extent cx="312610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 20__</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2540</wp:posOffset>
            </wp:positionV>
            <wp:extent cx="31261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2540</wp:posOffset>
            </wp:positionV>
            <wp:extent cx="31261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signature to this Assignment Form must correspond with the name as it appears on the face of this Warrant, without alteration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enlargement or any change whatever. Officers of corporations and those acting in a fiduciary or other representative capacity should file proper evidence of authority to assign the foregoing Warrant.</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As a condition to the assignment of this Warrant, if requested by the Company, the assignee of this Warrant shall execute and deliver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securityholders’ agreement, investor rights agreement, voting agreement, drag along agreement, right of first refusal and co-sale agreement or similar agreement (or a joinder to any existing agreement) that the Company and/or the holders of its securities may enter into or that otherwise that may be in effect from time to time (and which may contain, among other provisions, additional restrictions on transfer).</w:t>
      </w:r>
    </w:p>
    <w:p>
      <w:pPr>
        <w:spacing w:after="0" w:line="18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assignee of this Warrant agrees to be bound by all the terms and obligations of this Warrant as if assignee were the original Holder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w:t>
      </w:r>
    </w:p>
    <w:sectPr>
      <w:pgSz w:w="11900" w:h="16838" w:orient="portrait"/>
      <w:cols w:equalWidth="0" w:num="1">
        <w:col w:w="10700"/>
      </w:cols>
      <w:pgMar w:left="580" w:top="26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46B5A9"/>
    <w:multiLevelType w:val="hybridMultilevel"/>
    <w:lvl w:ilvl="0">
      <w:lvlJc w:val="left"/>
      <w:lvlText w:val="(%1)"/>
      <w:numFmt w:val="decimal"/>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
      <w:numFmt w:val="bullet"/>
      <w:start w:val="1"/>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
      <w:numFmt w:val="bullet"/>
      <w:start w:val="1"/>
    </w:lvl>
  </w:abstractNum>
  <w:abstractNum w:abstractNumId="11">
    <w:nsid w:val="2157F6BC"/>
    <w:multiLevelType w:val="hybridMultilevel"/>
    <w:lvl w:ilvl="0">
      <w:lvlJc w:val="left"/>
      <w:lvlText w:val="•"/>
      <w:numFmt w:val="bullet"/>
      <w:start w:val="1"/>
    </w:lvl>
  </w:abstractNum>
  <w:abstractNum w:abstractNumId="12">
    <w:nsid w:val="704E1DD5"/>
    <w:multiLevelType w:val="hybridMultilevel"/>
    <w:lvl w:ilvl="0">
      <w:lvlJc w:val="left"/>
      <w:lvlText w:val="•"/>
      <w:numFmt w:val="bullet"/>
      <w:start w:val="1"/>
    </w:lvl>
  </w:abstractNum>
  <w:abstractNum w:abstractNumId="13">
    <w:nsid w:val="57D2F10E"/>
    <w:multiLevelType w:val="hybridMultilevel"/>
    <w:lvl w:ilvl="0">
      <w:lvlJc w:val="left"/>
      <w:lvlText w:val="•"/>
      <w:numFmt w:val="bullet"/>
      <w:start w:val="1"/>
    </w:lvl>
  </w:abstractNum>
  <w:abstractNum w:abstractNumId="14">
    <w:nsid w:val="BFFAE18"/>
    <w:multiLevelType w:val="hybridMultilevel"/>
    <w:lvl w:ilvl="0">
      <w:lvlJc w:val="left"/>
      <w:lvlText w:val="(%1)"/>
      <w:numFmt w:val="decimal"/>
      <w:start w:val="1"/>
    </w:lvl>
  </w:abstractNum>
  <w:abstractNum w:abstractNumId="15">
    <w:nsid w:val="E3E47A8"/>
    <w:multiLevelType w:val="hybridMultilevel"/>
    <w:lvl w:ilvl="0">
      <w:lvlJc w:val="left"/>
      <w:lvlText w:val="(%1)"/>
      <w:numFmt w:val="decimal"/>
      <w:start w:val="1"/>
    </w:lvl>
  </w:abstractNum>
  <w:abstractNum w:abstractNumId="16">
    <w:nsid w:val="2E48F044"/>
    <w:multiLevelType w:val="hybridMultilevel"/>
    <w:lvl w:ilvl="0">
      <w:lvlJc w:val="left"/>
      <w:lvlText w:val="(%1)"/>
      <w:numFmt w:val="decimal"/>
      <w:start w:val="2"/>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
      <w:numFmt w:val="bullet"/>
      <w:start w:val="1"/>
    </w:lvl>
  </w:abstractNum>
  <w:abstractNum w:abstractNumId="19">
    <w:nsid w:val="5551B9F3"/>
    <w:multiLevelType w:val="hybridMultilevel"/>
    <w:lvl w:ilvl="0">
      <w:lvlJc w:val="left"/>
      <w:lvlText w:val="(%1)"/>
      <w:numFmt w:val="decimal"/>
      <w:start w:val="4"/>
    </w:lvl>
  </w:abstractNum>
  <w:abstractNum w:abstractNumId="20">
    <w:nsid w:val="24F6AB8E"/>
    <w:multiLevelType w:val="hybridMultilevel"/>
    <w:lvl w:ilvl="0">
      <w:lvlJc w:val="left"/>
      <w:lvlText w:val="•"/>
      <w:numFmt w:val="bullet"/>
      <w:start w:val="1"/>
    </w:lvl>
  </w:abstractNum>
  <w:abstractNum w:abstractNumId="21">
    <w:nsid w:val="634C574C"/>
    <w:multiLevelType w:val="hybridMultilevel"/>
    <w:lvl w:ilvl="0">
      <w:lvlJc w:val="left"/>
      <w:lvlText w:val="•"/>
      <w:numFmt w:val="bullet"/>
      <w:start w:val="1"/>
    </w:lvl>
  </w:abstractNum>
  <w:abstractNum w:abstractNumId="22">
    <w:nsid w:val="24E99DD7"/>
    <w:multiLevelType w:val="hybridMultilevel"/>
    <w:lvl w:ilvl="0">
      <w:lvlJc w:val="left"/>
      <w:lvlText w:val="•"/>
      <w:numFmt w:val="bullet"/>
      <w:start w:val="1"/>
    </w:lvl>
  </w:abstractNum>
  <w:abstractNum w:abstractNumId="23">
    <w:nsid w:val="2A31B62D"/>
    <w:multiLevelType w:val="hybridMultilevel"/>
    <w:lvl w:ilvl="0">
      <w:lvlJc w:val="left"/>
      <w:lvlText w:val="•"/>
      <w:numFmt w:val="bullet"/>
      <w:start w:val="1"/>
    </w:lvl>
  </w:abstractNum>
  <w:abstractNum w:abstractNumId="24">
    <w:nsid w:val="1849C29B"/>
    <w:multiLevelType w:val="hybridMultilevel"/>
    <w:lvl w:ilvl="0">
      <w:lvlJc w:val="left"/>
      <w:lvlText w:val="•"/>
      <w:numFmt w:val="bullet"/>
      <w:start w:val="1"/>
    </w:lvl>
  </w:abstractNum>
  <w:abstractNum w:abstractNumId="25">
    <w:nsid w:val="7DFF9D09"/>
    <w:multiLevelType w:val="hybridMultilevel"/>
    <w:lvl w:ilvl="0">
      <w:lvlJc w:val="left"/>
      <w:lvlText w:val="•"/>
      <w:numFmt w:val="bullet"/>
      <w:start w:val="1"/>
    </w:lvl>
  </w:abstractNum>
  <w:abstractNum w:abstractNumId="26">
    <w:nsid w:val="754342"/>
    <w:multiLevelType w:val="hybridMultilevel"/>
    <w:lvl w:ilvl="0">
      <w:lvlJc w:val="left"/>
      <w:lvlText w:val="•"/>
      <w:numFmt w:val="bullet"/>
      <w:start w:val="1"/>
    </w:lvl>
  </w:abstractNum>
  <w:abstractNum w:abstractNumId="27">
    <w:nsid w:val="69E7F3E5"/>
    <w:multiLevelType w:val="hybridMultilevel"/>
    <w:lvl w:ilvl="0">
      <w:lvlJc w:val="left"/>
      <w:lvlText w:val="•"/>
      <w:numFmt w:val="bullet"/>
      <w:start w:val="1"/>
    </w:lvl>
  </w:abstractNum>
  <w:abstractNum w:abstractNumId="28">
    <w:nsid w:val="2A6DE806"/>
    <w:multiLevelType w:val="hybridMultilevel"/>
    <w:lvl w:ilvl="0">
      <w:lvlJc w:val="left"/>
      <w:lvlText w:val="•"/>
      <w:numFmt w:val="bullet"/>
      <w:start w:val="1"/>
    </w:lvl>
  </w:abstractNum>
  <w:abstractNum w:abstractNumId="29">
    <w:nsid w:val="1816F8C4"/>
    <w:multiLevelType w:val="hybridMultilevel"/>
    <w:lvl w:ilvl="0">
      <w:lvlJc w:val="left"/>
      <w:lvlText w:val="•"/>
      <w:numFmt w:val="bullet"/>
      <w:start w:val="1"/>
    </w:lvl>
  </w:abstractNum>
  <w:abstractNum w:abstractNumId="30">
    <w:nsid w:val="37DF2233"/>
    <w:multiLevelType w:val="hybridMultilevel"/>
    <w:lvl w:ilvl="0">
      <w:lvlJc w:val="left"/>
      <w:lvlText w:val="•"/>
      <w:numFmt w:val="bullet"/>
      <w:start w:val="1"/>
    </w:lvl>
  </w:abstractNum>
  <w:abstractNum w:abstractNumId="31">
    <w:nsid w:val="7AB49DAF"/>
    <w:multiLevelType w:val="hybridMultilevel"/>
    <w:lvl w:ilvl="0">
      <w:lvlJc w:val="left"/>
      <w:lvlText w:val="•"/>
      <w:numFmt w:val="bullet"/>
      <w:start w:val="1"/>
    </w:lvl>
  </w:abstractNum>
  <w:abstractNum w:abstractNumId="32">
    <w:nsid w:val="759F82CD"/>
    <w:multiLevelType w:val="hybridMultilevel"/>
    <w:lvl w:ilvl="0">
      <w:lvlJc w:val="left"/>
      <w:lvlText w:val="•"/>
      <w:numFmt w:val="bullet"/>
      <w:start w:val="1"/>
    </w:lvl>
  </w:abstractNum>
  <w:abstractNum w:abstractNumId="33">
    <w:nsid w:val="61E74EA3"/>
    <w:multiLevelType w:val="hybridMultilevel"/>
    <w:lvl w:ilvl="0">
      <w:lvlJc w:val="left"/>
      <w:lvlText w:val="•"/>
      <w:numFmt w:val="bullet"/>
      <w:start w:val="1"/>
    </w:lvl>
  </w:abstractNum>
  <w:abstractNum w:abstractNumId="34">
    <w:nsid w:val="597B4D84"/>
    <w:multiLevelType w:val="hybridMultilevel"/>
    <w:lvl w:ilvl="0">
      <w:lvlJc w:val="left"/>
      <w:lvlText w:val="•"/>
      <w:numFmt w:val="bullet"/>
      <w:start w:val="1"/>
    </w:lvl>
  </w:abstractNum>
  <w:abstractNum w:abstractNumId="35">
    <w:nsid w:val="F819E7F"/>
    <w:multiLevelType w:val="hybridMultilevel"/>
    <w:lvl w:ilvl="0">
      <w:lvlJc w:val="left"/>
      <w:lvlText w:val="•"/>
      <w:numFmt w:val="bullet"/>
      <w:start w:val="1"/>
    </w:lvl>
  </w:abstractNum>
  <w:abstractNum w:abstractNumId="36">
    <w:nsid w:val="57C7D42D"/>
    <w:multiLevelType w:val="hybridMultilevel"/>
    <w:lvl w:ilvl="0">
      <w:lvlJc w:val="left"/>
      <w:lvlText w:val="•"/>
      <w:numFmt w:val="bullet"/>
      <w:start w:val="1"/>
    </w:lvl>
  </w:abstractNum>
  <w:abstractNum w:abstractNumId="37">
    <w:nsid w:val="312167AD"/>
    <w:multiLevelType w:val="hybridMultilevel"/>
    <w:lvl w:ilvl="0">
      <w:lvlJc w:val="left"/>
      <w:lvlText w:val="•"/>
      <w:numFmt w:val="bullet"/>
      <w:start w:val="1"/>
    </w:lvl>
  </w:abstractNum>
  <w:abstractNum w:abstractNumId="38">
    <w:nsid w:val="631B64D4"/>
    <w:multiLevelType w:val="hybridMultilevel"/>
    <w:lvl w:ilvl="0">
      <w:lvlJc w:val="left"/>
      <w:lvlText w:val="•"/>
      <w:numFmt w:val="bullet"/>
      <w:start w:val="1"/>
    </w:lvl>
  </w:abstractNum>
  <w:abstractNum w:abstractNumId="39">
    <w:nsid w:val="78B5E776"/>
    <w:multiLevelType w:val="hybridMultilevel"/>
    <w:lvl w:ilvl="0">
      <w:lvlJc w:val="left"/>
      <w:lvlText w:val="•"/>
      <w:numFmt w:val="bullet"/>
      <w:start w:val="1"/>
    </w:lvl>
  </w:abstractNum>
  <w:abstractNum w:abstractNumId="40">
    <w:nsid w:val="75486E47"/>
    <w:multiLevelType w:val="hybridMultilevel"/>
    <w:lvl w:ilvl="0">
      <w:lvlJc w:val="left"/>
      <w:lvlText w:val="•"/>
      <w:numFmt w:val="bullet"/>
      <w:start w:val="1"/>
    </w:lvl>
  </w:abstractNum>
  <w:abstractNum w:abstractNumId="41">
    <w:nsid w:val="6E534CDE"/>
    <w:multiLevelType w:val="hybridMultilevel"/>
    <w:lvl w:ilvl="0">
      <w:lvlJc w:val="left"/>
      <w:lvlText w:val="•"/>
      <w:numFmt w:val="bullet"/>
      <w:start w:val="1"/>
    </w:lvl>
  </w:abstractNum>
  <w:abstractNum w:abstractNumId="42">
    <w:nsid w:val="1A0DDE32"/>
    <w:multiLevelType w:val="hybridMultilevel"/>
    <w:lvl w:ilvl="0">
      <w:lvlJc w:val="left"/>
      <w:lvlText w:val="•"/>
      <w:numFmt w:val="bullet"/>
      <w:start w:val="1"/>
    </w:lvl>
  </w:abstractNum>
  <w:abstractNum w:abstractNumId="43">
    <w:nsid w:val="65968C1C"/>
    <w:multiLevelType w:val="hybridMultilevel"/>
    <w:lvl w:ilvl="0">
      <w:lvlJc w:val="left"/>
      <w:lvlText w:val="•"/>
      <w:numFmt w:val="bullet"/>
      <w:start w:val="1"/>
    </w:lvl>
  </w:abstractNum>
  <w:abstractNum w:abstractNumId="44">
    <w:nsid w:val="46263DEC"/>
    <w:multiLevelType w:val="hybridMultilevel"/>
    <w:lvl w:ilvl="0">
      <w:lvlJc w:val="left"/>
      <w:lvlText w:val="•"/>
      <w:numFmt w:val="bullet"/>
      <w:start w:val="1"/>
    </w:lvl>
  </w:abstractNum>
  <w:abstractNum w:abstractNumId="45">
    <w:nsid w:val="260D8C4A"/>
    <w:multiLevelType w:val="hybridMultilevel"/>
    <w:lvl w:ilvl="0">
      <w:lvlJc w:val="left"/>
      <w:lvlText w:val="•"/>
      <w:numFmt w:val="bullet"/>
      <w:start w:val="1"/>
    </w:lvl>
  </w:abstractNum>
  <w:abstractNum w:abstractNumId="46">
    <w:nsid w:val="73D4D3C4"/>
    <w:multiLevelType w:val="hybridMultilevel"/>
    <w:lvl w:ilvl="0">
      <w:lvlJc w:val="left"/>
      <w:lvlText w:val="•"/>
      <w:numFmt w:val="bullet"/>
      <w:start w:val="1"/>
    </w:lvl>
  </w:abstractNum>
  <w:abstractNum w:abstractNumId="47">
    <w:nsid w:val="746F2E30"/>
    <w:multiLevelType w:val="hybridMultilevel"/>
    <w:lvl w:ilvl="0">
      <w:lvlJc w:val="left"/>
      <w:lvlText w:val="•"/>
      <w:numFmt w:val="bullet"/>
      <w:start w:val="1"/>
    </w:lvl>
  </w:abstractNum>
  <w:abstractNum w:abstractNumId="48">
    <w:nsid w:val="6FDE8AF6"/>
    <w:multiLevelType w:val="hybridMultilevel"/>
    <w:lvl w:ilvl="0">
      <w:lvlJc w:val="left"/>
      <w:lvlText w:val="•"/>
      <w:numFmt w:val="bullet"/>
      <w:start w:val="1"/>
    </w:lvl>
  </w:abstractNum>
  <w:abstractNum w:abstractNumId="49">
    <w:nsid w:val="3FC32E20"/>
    <w:multiLevelType w:val="hybridMultilevel"/>
    <w:lvl w:ilvl="0">
      <w:lvlJc w:val="left"/>
      <w:lvlText w:val="•"/>
      <w:numFmt w:val="bullet"/>
      <w:start w:val="1"/>
    </w:lvl>
  </w:abstractNum>
  <w:abstractNum w:abstractNumId="50">
    <w:nsid w:val="49C0E823"/>
    <w:multiLevelType w:val="hybridMultilevel"/>
    <w:lvl w:ilvl="0">
      <w:lvlJc w:val="left"/>
      <w:lvlText w:val="$"/>
      <w:numFmt w:val="bullet"/>
      <w:start w:val="1"/>
    </w:lvl>
  </w:abstractNum>
  <w:abstractNum w:abstractNumId="51">
    <w:nsid w:val="14D53685"/>
    <w:multiLevelType w:val="hybridMultilevel"/>
    <w:lvl w:ilvl="0">
      <w:lvlJc w:val="left"/>
      <w:lvlText w:val="$"/>
      <w:numFmt w:val="bullet"/>
      <w:start w:val="1"/>
    </w:lvl>
  </w:abstractNum>
  <w:abstractNum w:abstractNumId="52">
    <w:nsid w:val="230F856C"/>
    <w:multiLevelType w:val="hybridMultilevel"/>
    <w:lvl w:ilvl="0">
      <w:lvlJc w:val="left"/>
      <w:lvlText w:val="•"/>
      <w:numFmt w:val="bullet"/>
      <w:start w:val="1"/>
    </w:lvl>
  </w:abstractNum>
  <w:abstractNum w:abstractNumId="53">
    <w:nsid w:val="6EAA85FB"/>
    <w:multiLevelType w:val="hybridMultilevel"/>
    <w:lvl w:ilvl="0">
      <w:lvlJc w:val="left"/>
      <w:lvlText w:val="•"/>
      <w:numFmt w:val="bullet"/>
      <w:start w:val="1"/>
    </w:lvl>
  </w:abstractNum>
  <w:abstractNum w:abstractNumId="54">
    <w:nsid w:val="3F06ECB2"/>
    <w:multiLevelType w:val="hybridMultilevel"/>
    <w:lvl w:ilvl="0">
      <w:lvlJc w:val="left"/>
      <w:lvlText w:val="•"/>
      <w:numFmt w:val="bullet"/>
      <w:start w:val="1"/>
    </w:lvl>
  </w:abstractNum>
  <w:abstractNum w:abstractNumId="55">
    <w:nsid w:val="3B594807"/>
    <w:multiLevelType w:val="hybridMultilevel"/>
    <w:lvl w:ilvl="0">
      <w:lvlJc w:val="left"/>
      <w:lvlText w:val="$"/>
      <w:numFmt w:val="bullet"/>
      <w:start w:val="1"/>
    </w:lvl>
  </w:abstractNum>
  <w:abstractNum w:abstractNumId="56">
    <w:nsid w:val="6CAA2304"/>
    <w:multiLevelType w:val="hybridMultilevel"/>
    <w:lvl w:ilvl="0">
      <w:lvlJc w:val="left"/>
      <w:lvlText w:val="$"/>
      <w:numFmt w:val="bullet"/>
      <w:start w:val="1"/>
    </w:lvl>
  </w:abstractNum>
  <w:abstractNum w:abstractNumId="57">
    <w:nsid w:val="3F7C2FF4"/>
    <w:multiLevelType w:val="hybridMultilevel"/>
    <w:lvl w:ilvl="0">
      <w:lvlJc w:val="left"/>
      <w:lvlText w:val="•"/>
      <w:numFmt w:val="bullet"/>
      <w:start w:val="1"/>
    </w:lvl>
  </w:abstractNum>
  <w:abstractNum w:abstractNumId="58">
    <w:nsid w:val="25413BEC"/>
    <w:multiLevelType w:val="hybridMultilevel"/>
    <w:lvl w:ilvl="0">
      <w:lvlJc w:val="left"/>
      <w:lvlText w:val="•"/>
      <w:numFmt w:val="bullet"/>
      <w:start w:val="1"/>
    </w:lvl>
  </w:abstractNum>
  <w:abstractNum w:abstractNumId="59">
    <w:nsid w:val="17180B0B"/>
    <w:multiLevelType w:val="hybridMultilevel"/>
    <w:lvl w:ilvl="0">
      <w:lvlJc w:val="left"/>
      <w:lvlText w:val="•"/>
      <w:numFmt w:val="bullet"/>
      <w:start w:val="1"/>
    </w:lvl>
  </w:abstractNum>
  <w:abstractNum w:abstractNumId="60">
    <w:nsid w:val="579328B9"/>
    <w:multiLevelType w:val="hybridMultilevel"/>
    <w:lvl w:ilvl="0">
      <w:lvlJc w:val="left"/>
      <w:lvlText w:val="$"/>
      <w:numFmt w:val="bullet"/>
      <w:start w:val="1"/>
    </w:lvl>
  </w:abstractNum>
  <w:abstractNum w:abstractNumId="61">
    <w:nsid w:val="5D205E20"/>
    <w:multiLevelType w:val="hybridMultilevel"/>
    <w:lvl w:ilvl="0">
      <w:lvlJc w:val="left"/>
      <w:lvlText w:val="*"/>
      <w:numFmt w:val="bullet"/>
      <w:start w:val="1"/>
    </w:lvl>
  </w:abstractNum>
  <w:abstractNum w:abstractNumId="62">
    <w:nsid w:val="11CCA8BA"/>
    <w:multiLevelType w:val="hybridMultilevel"/>
    <w:lvl w:ilvl="0">
      <w:lvlJc w:val="left"/>
      <w:lvlText w:val="*"/>
      <w:numFmt w:val="bullet"/>
      <w:start w:val="1"/>
    </w:lvl>
  </w:abstractNum>
  <w:abstractNum w:abstractNumId="63">
    <w:nsid w:val="4D32AB86"/>
    <w:multiLevelType w:val="hybridMultilevel"/>
    <w:lvl w:ilvl="0">
      <w:lvlJc w:val="left"/>
      <w:lvlText w:val="•"/>
      <w:numFmt w:val="bullet"/>
      <w:start w:val="1"/>
    </w:lvl>
  </w:abstractNum>
  <w:abstractNum w:abstractNumId="64">
    <w:nsid w:val="3F07ACC3"/>
    <w:multiLevelType w:val="hybridMultilevel"/>
    <w:lvl w:ilvl="0">
      <w:lvlJc w:val="left"/>
      <w:lvlText w:val="(%1)"/>
      <w:numFmt w:val="lowerRoman"/>
      <w:start w:val="2"/>
    </w:lvl>
  </w:abstractNum>
  <w:abstractNum w:abstractNumId="65">
    <w:nsid w:val="6B47F63E"/>
    <w:multiLevelType w:val="hybridMultilevel"/>
    <w:lvl w:ilvl="0">
      <w:lvlJc w:val="left"/>
      <w:lvlText w:val="(%1)"/>
      <w:numFmt w:val="lowerRoman"/>
      <w:start w:val="5"/>
    </w:lvl>
  </w:abstractNum>
  <w:abstractNum w:abstractNumId="66">
    <w:nsid w:val="5CB44A05"/>
    <w:multiLevelType w:val="hybridMultilevel"/>
    <w:lvl w:ilvl="0">
      <w:lvlJc w:val="left"/>
      <w:lvlText w:val="(%1)"/>
      <w:numFmt w:val="lowerRoman"/>
      <w:start w:val="2"/>
    </w:lvl>
  </w:abstractNum>
  <w:abstractNum w:abstractNumId="67">
    <w:nsid w:val="16CF80F1"/>
    <w:multiLevelType w:val="hybridMultilevel"/>
    <w:lvl w:ilvl="0">
      <w:lvlJc w:val="left"/>
      <w:lvlText w:val="(%1)"/>
      <w:numFmt w:val="lowerRoman"/>
      <w:start w:val="1"/>
    </w:lvl>
  </w:abstractNum>
  <w:abstractNum w:abstractNumId="68">
    <w:nsid w:val="1C695DEC"/>
    <w:multiLevelType w:val="hybridMultilevel"/>
    <w:lvl w:ilvl="0">
      <w:lvlJc w:val="left"/>
      <w:lvlText w:val="(%1)"/>
      <w:numFmt w:val="lowerRoman"/>
      <w:start w:val="4"/>
    </w:lvl>
  </w:abstractNum>
  <w:abstractNum w:abstractNumId="69">
    <w:nsid w:val="3FCFAED9"/>
    <w:multiLevelType w:val="hybridMultilevel"/>
    <w:lvl w:ilvl="0">
      <w:lvlJc w:val="left"/>
      <w:lvlText w:val="•"/>
      <w:numFmt w:val="bullet"/>
      <w:start w:val="1"/>
    </w:lvl>
  </w:abstractNum>
  <w:abstractNum w:abstractNumId="70">
    <w:nsid w:val="F856867"/>
    <w:multiLevelType w:val="hybridMultilevel"/>
    <w:lvl w:ilvl="0">
      <w:lvlJc w:val="left"/>
      <w:lvlText w:val="•"/>
      <w:numFmt w:val="bullet"/>
      <w:start w:val="1"/>
    </w:lvl>
  </w:abstractNum>
  <w:abstractNum w:abstractNumId="71">
    <w:nsid w:val="11B1CC33"/>
    <w:multiLevelType w:val="hybridMultilevel"/>
    <w:lvl w:ilvl="0">
      <w:lvlJc w:val="left"/>
      <w:lvlText w:val="•"/>
      <w:numFmt w:val="bullet"/>
      <w:start w:val="1"/>
    </w:lvl>
  </w:abstractNum>
  <w:abstractNum w:abstractNumId="72">
    <w:nsid w:val="2E22FBB7"/>
    <w:multiLevelType w:val="hybridMultilevel"/>
    <w:lvl w:ilvl="0">
      <w:lvlJc w:val="left"/>
      <w:lvlText w:val="•"/>
      <w:numFmt w:val="bullet"/>
      <w:start w:val="1"/>
    </w:lvl>
  </w:abstractNum>
  <w:abstractNum w:abstractNumId="73">
    <w:nsid w:val="29934699"/>
    <w:multiLevelType w:val="hybridMultilevel"/>
    <w:lvl w:ilvl="0">
      <w:lvlJc w:val="left"/>
      <w:lvlText w:val="•"/>
      <w:numFmt w:val="bullet"/>
      <w:start w:val="1"/>
    </w:lvl>
  </w:abstractNum>
  <w:abstractNum w:abstractNumId="74">
    <w:nsid w:val="77485850"/>
    <w:multiLevelType w:val="hybridMultilevel"/>
    <w:lvl w:ilvl="0">
      <w:lvlJc w:val="left"/>
      <w:lvlText w:val="•"/>
      <w:numFmt w:val="bullet"/>
      <w:start w:val="1"/>
    </w:lvl>
  </w:abstractNum>
  <w:abstractNum w:abstractNumId="75">
    <w:nsid w:val="744939A3"/>
    <w:multiLevelType w:val="hybridMultilevel"/>
    <w:lvl w:ilvl="0">
      <w:lvlJc w:val="left"/>
      <w:lvlText w:val="•"/>
      <w:numFmt w:val="bullet"/>
      <w:start w:val="1"/>
    </w:lvl>
  </w:abstractNum>
  <w:abstractNum w:abstractNumId="76">
    <w:nsid w:val="4FA0D2E3"/>
    <w:multiLevelType w:val="hybridMultilevel"/>
    <w:lvl w:ilvl="0">
      <w:lvlJc w:val="left"/>
      <w:lvlText w:val="•"/>
      <w:numFmt w:val="bullet"/>
      <w:start w:val="1"/>
    </w:lvl>
  </w:abstractNum>
  <w:abstractNum w:abstractNumId="77">
    <w:nsid w:val="6B1D2C14"/>
    <w:multiLevelType w:val="hybridMultilevel"/>
    <w:lvl w:ilvl="0">
      <w:lvlJc w:val="left"/>
      <w:lvlText w:val=","/>
      <w:numFmt w:val="bullet"/>
      <w:start w:val="1"/>
    </w:lvl>
  </w:abstractNum>
  <w:abstractNum w:abstractNumId="78">
    <w:nsid w:val="68B867D3"/>
    <w:multiLevelType w:val="hybridMultilevel"/>
    <w:lvl w:ilvl="0">
      <w:lvlJc w:val="left"/>
      <w:lvlText w:val="•"/>
      <w:numFmt w:val="bullet"/>
      <w:start w:val="1"/>
    </w:lvl>
  </w:abstractNum>
  <w:abstractNum w:abstractNumId="79">
    <w:nsid w:val="3F7F5DD9"/>
    <w:multiLevelType w:val="hybridMultilevel"/>
    <w:lvl w:ilvl="0">
      <w:lvlJc w:val="left"/>
      <w:lvlText w:val="•"/>
      <w:numFmt w:val="bullet"/>
      <w:start w:val="1"/>
    </w:lvl>
  </w:abstractNum>
  <w:abstractNum w:abstractNumId="80">
    <w:nsid w:val="2AE05A34"/>
    <w:multiLevelType w:val="hybridMultilevel"/>
    <w:lvl w:ilvl="0">
      <w:lvlJc w:val="left"/>
      <w:lvlText w:val="•"/>
      <w:numFmt w:val="bullet"/>
      <w:start w:val="1"/>
    </w:lvl>
  </w:abstractNum>
  <w:abstractNum w:abstractNumId="81">
    <w:nsid w:val="32794FF7"/>
    <w:multiLevelType w:val="hybridMultilevel"/>
    <w:lvl w:ilvl="0">
      <w:lvlJc w:val="left"/>
      <w:lvlText w:val="•"/>
      <w:numFmt w:val="bullet"/>
      <w:start w:val="1"/>
    </w:lvl>
  </w:abstractNum>
  <w:abstractNum w:abstractNumId="82">
    <w:nsid w:val="5454945E"/>
    <w:multiLevelType w:val="hybridMultilevel"/>
    <w:lvl w:ilvl="0">
      <w:lvlJc w:val="left"/>
      <w:lvlText w:val="(%1)"/>
      <w:numFmt w:val="decimal"/>
      <w:start w:val="1"/>
    </w:lvl>
  </w:abstractNum>
  <w:abstractNum w:abstractNumId="83">
    <w:nsid w:val="4DEFDFA0"/>
    <w:multiLevelType w:val="hybridMultilevel"/>
    <w:lvl w:ilvl="0">
      <w:lvlJc w:val="left"/>
      <w:lvlText w:val="•"/>
      <w:numFmt w:val="bullet"/>
      <w:start w:val="1"/>
    </w:lvl>
  </w:abstractNum>
  <w:abstractNum w:abstractNumId="84">
    <w:nsid w:val="2123D5F2"/>
    <w:multiLevelType w:val="hybridMultilevel"/>
    <w:lvl w:ilvl="0">
      <w:lvlJc w:val="left"/>
      <w:lvlText w:val="(%1)"/>
      <w:numFmt w:val="decimal"/>
      <w:start w:val="1"/>
    </w:lvl>
  </w:abstractNum>
  <w:abstractNum w:abstractNumId="85">
    <w:nsid w:val="135B8110"/>
    <w:multiLevelType w:val="hybridMultilevel"/>
    <w:lvl w:ilvl="0">
      <w:lvlJc w:val="left"/>
      <w:lvlText w:val="(%1)"/>
      <w:numFmt w:val="decimal"/>
      <w:start w:val="1"/>
    </w:lvl>
  </w:abstractNum>
  <w:abstractNum w:abstractNumId="86">
    <w:nsid w:val="94927A8"/>
    <w:multiLevelType w:val="hybridMultilevel"/>
    <w:lvl w:ilvl="0">
      <w:lvlJc w:val="left"/>
      <w:lvlText w:val="(%1)"/>
      <w:numFmt w:val="decimal"/>
      <w:start w:val="2"/>
    </w:lvl>
  </w:abstractNum>
  <w:abstractNum w:abstractNumId="87">
    <w:nsid w:val="DCDF8F6"/>
    <w:multiLevelType w:val="hybridMultilevel"/>
    <w:lvl w:ilvl="0">
      <w:lvlJc w:val="left"/>
      <w:lvlText w:val="•"/>
      <w:numFmt w:val="bullet"/>
      <w:start w:val="1"/>
    </w:lvl>
  </w:abstractNum>
  <w:abstractNum w:abstractNumId="88">
    <w:nsid w:val="52D7B105"/>
    <w:multiLevelType w:val="hybridMultilevel"/>
    <w:lvl w:ilvl="0">
      <w:lvlJc w:val="left"/>
      <w:lvlText w:val="•"/>
      <w:numFmt w:val="bullet"/>
      <w:start w:val="1"/>
    </w:lvl>
  </w:abstractNum>
  <w:abstractNum w:abstractNumId="89">
    <w:nsid w:val="2E8A6394"/>
    <w:multiLevelType w:val="hybridMultilevel"/>
    <w:lvl w:ilvl="0">
      <w:lvlJc w:val="left"/>
      <w:lvlText w:val="•"/>
      <w:numFmt w:val="bullet"/>
      <w:start w:val="1"/>
    </w:lvl>
  </w:abstractNum>
  <w:abstractNum w:abstractNumId="90">
    <w:nsid w:val="24E60401"/>
    <w:multiLevelType w:val="hybridMultilevel"/>
    <w:lvl w:ilvl="0">
      <w:lvlJc w:val="left"/>
      <w:lvlText w:val="•"/>
      <w:numFmt w:val="bullet"/>
      <w:start w:val="1"/>
    </w:lvl>
  </w:abstractNum>
  <w:abstractNum w:abstractNumId="91">
    <w:nsid w:val="2A6AD9BE"/>
    <w:multiLevelType w:val="hybridMultilevel"/>
    <w:lvl w:ilvl="0">
      <w:lvlJc w:val="left"/>
      <w:lvlText w:val="(%1)"/>
      <w:numFmt w:val="decimal"/>
      <w:start w:val="1"/>
    </w:lvl>
  </w:abstractNum>
  <w:abstractNum w:abstractNumId="92">
    <w:nsid w:val="BAAC1B4"/>
    <w:multiLevelType w:val="hybridMultilevel"/>
    <w:lvl w:ilvl="0">
      <w:lvlJc w:val="left"/>
      <w:lvlText w:val="(%1)"/>
      <w:numFmt w:val="decimal"/>
      <w:start w:val="1"/>
    </w:lvl>
  </w:abstractNum>
  <w:abstractNum w:abstractNumId="93">
    <w:nsid w:val="36B2ACBC"/>
    <w:multiLevelType w:val="hybridMultilevel"/>
    <w:lvl w:ilvl="0">
      <w:lvlJc w:val="left"/>
      <w:lvlText w:val="(%1)"/>
      <w:numFmt w:val="decimal"/>
      <w:start w:val="1"/>
    </w:lvl>
  </w:abstractNum>
  <w:abstractNum w:abstractNumId="94">
    <w:nsid w:val="779D8544"/>
    <w:multiLevelType w:val="hybridMultilevel"/>
    <w:lvl w:ilvl="0">
      <w:lvlJc w:val="left"/>
      <w:lvlText w:val="(%1)"/>
      <w:numFmt w:val="decimal"/>
      <w:start w:val="1"/>
    </w:lvl>
  </w:abstractNum>
  <w:abstractNum w:abstractNumId="95">
    <w:nsid w:val="4AB26E78"/>
    <w:multiLevelType w:val="hybridMultilevel"/>
    <w:lvl w:ilvl="0">
      <w:lvlJc w:val="left"/>
      <w:lvlText w:val="(%1)"/>
      <w:numFmt w:val="decimal"/>
      <w:start w:val="1"/>
    </w:lvl>
  </w:abstractNum>
  <w:abstractNum w:abstractNumId="96">
    <w:nsid w:val="21FAA2FA"/>
    <w:multiLevelType w:val="hybridMultilevel"/>
    <w:lvl w:ilvl="0">
      <w:lvlJc w:val="left"/>
      <w:lvlText w:val="•"/>
      <w:numFmt w:val="bullet"/>
      <w:start w:val="1"/>
    </w:lvl>
  </w:abstractNum>
  <w:abstractNum w:abstractNumId="97">
    <w:nsid w:val="5451CF49"/>
    <w:multiLevelType w:val="hybridMultilevel"/>
    <w:lvl w:ilvl="0">
      <w:lvlJc w:val="left"/>
      <w:lvlText w:val="(%1)"/>
      <w:numFmt w:val="decimal"/>
      <w:start w:val="2"/>
    </w:lvl>
  </w:abstractNum>
  <w:abstractNum w:abstractNumId="98">
    <w:nsid w:val="6181EF69"/>
    <w:multiLevelType w:val="hybridMultilevel"/>
    <w:lvl w:ilvl="0">
      <w:lvlJc w:val="left"/>
      <w:lvlText w:val="*"/>
      <w:numFmt w:val="bullet"/>
      <w:start w:val="1"/>
    </w:lvl>
  </w:abstractNum>
  <w:abstractNum w:abstractNumId="99">
    <w:nsid w:val="3E6400E6"/>
    <w:multiLevelType w:val="hybridMultilevel"/>
    <w:lvl w:ilvl="0">
      <w:lvlJc w:val="left"/>
      <w:lvlText w:val="†"/>
      <w:numFmt w:val="bullet"/>
      <w:start w:val="1"/>
    </w:lvl>
  </w:abstractNum>
  <w:abstractNum w:abstractNumId="100">
    <w:nsid w:val="14217E23"/>
    <w:multiLevelType w:val="hybridMultilevel"/>
    <w:lvl w:ilvl="0">
      <w:lvlJc w:val="left"/>
      <w:lvlText w:val="•"/>
      <w:numFmt w:val="bullet"/>
      <w:start w:val="1"/>
    </w:lvl>
  </w:abstractNum>
  <w:abstractNum w:abstractNumId="101">
    <w:nsid w:val="710757D0"/>
    <w:multiLevelType w:val="hybridMultilevel"/>
    <w:lvl w:ilvl="0">
      <w:lvlJc w:val="left"/>
      <w:lvlText w:val="•"/>
      <w:numFmt w:val="bullet"/>
      <w:start w:val="1"/>
    </w:lvl>
  </w:abstractNum>
  <w:abstractNum w:abstractNumId="102">
    <w:nsid w:val="5015CD1A"/>
    <w:multiLevelType w:val="hybridMultilevel"/>
    <w:lvl w:ilvl="0">
      <w:lvlJc w:val="left"/>
      <w:lvlText w:val="•"/>
      <w:numFmt w:val="bullet"/>
      <w:start w:val="1"/>
    </w:lvl>
  </w:abstractNum>
  <w:abstractNum w:abstractNumId="103">
    <w:nsid w:val="424479DA"/>
    <w:multiLevelType w:val="hybridMultilevel"/>
    <w:lvl w:ilvl="0">
      <w:lvlJc w:val="left"/>
      <w:lvlText w:val="•"/>
      <w:numFmt w:val="bullet"/>
      <w:start w:val="1"/>
    </w:lvl>
  </w:abstractNum>
  <w:abstractNum w:abstractNumId="104">
    <w:nsid w:val="1A9A9E69"/>
    <w:multiLevelType w:val="hybridMultilevel"/>
    <w:lvl w:ilvl="0">
      <w:lvlJc w:val="left"/>
      <w:lvlText w:val="•"/>
      <w:numFmt w:val="bullet"/>
      <w:start w:val="1"/>
    </w:lvl>
  </w:abstractNum>
  <w:abstractNum w:abstractNumId="105">
    <w:nsid w:val="475E256A"/>
    <w:multiLevelType w:val="hybridMultilevel"/>
    <w:lvl w:ilvl="0">
      <w:lvlJc w:val="left"/>
      <w:lvlText w:val="•"/>
      <w:numFmt w:val="bullet"/>
      <w:start w:val="1"/>
    </w:lvl>
  </w:abstractNum>
  <w:abstractNum w:abstractNumId="106">
    <w:nsid w:val="368DB37E"/>
    <w:multiLevelType w:val="hybridMultilevel"/>
    <w:lvl w:ilvl="0">
      <w:lvlJc w:val="left"/>
      <w:lvlText w:val="(%1)"/>
      <w:numFmt w:val="lowerLetter"/>
      <w:start w:val="1"/>
    </w:lvl>
  </w:abstractNum>
  <w:abstractNum w:abstractNumId="107">
    <w:nsid w:val="6A3B714C"/>
    <w:multiLevelType w:val="hybridMultilevel"/>
    <w:lvl w:ilvl="0">
      <w:lvlJc w:val="left"/>
      <w:lvlText w:val="(%1)"/>
      <w:numFmt w:val="lowerLetter"/>
      <w:start w:val="1"/>
    </w:lvl>
  </w:abstractNum>
  <w:abstractNum w:abstractNumId="108">
    <w:nsid w:val="327B517E"/>
    <w:multiLevelType w:val="hybridMultilevel"/>
    <w:lvl w:ilvl="0">
      <w:lvlJc w:val="left"/>
      <w:lvlText w:val="(%1)"/>
      <w:numFmt w:val="lowerLetter"/>
      <w:start w:val="1"/>
    </w:lvl>
  </w:abstractNum>
  <w:abstractNum w:abstractNumId="109">
    <w:nsid w:val="1F461B51"/>
    <w:multiLevelType w:val="hybridMultilevel"/>
    <w:lvl w:ilvl="0">
      <w:lvlJc w:val="left"/>
      <w:lvlText w:val="%1."/>
      <w:numFmt w:val="decimal"/>
      <w:start w:val="1"/>
    </w:lvl>
  </w:abstractNum>
  <w:abstractNum w:abstractNumId="110">
    <w:nsid w:val="29BACF25"/>
    <w:multiLevelType w:val="hybridMultilevel"/>
    <w:lvl w:ilvl="0">
      <w:lvlJc w:val="left"/>
      <w:lvlText w:val="%1."/>
      <w:numFmt w:val="decimal"/>
      <w:start w:val="2"/>
    </w:lvl>
  </w:abstractNum>
  <w:abstractNum w:abstractNumId="111">
    <w:nsid w:val="5D5BABB3"/>
    <w:multiLevelType w:val="hybridMultilevel"/>
    <w:lvl w:ilvl="0">
      <w:lvlJc w:val="left"/>
      <w:lvlText w:val="(%1)"/>
      <w:numFmt w:val="lowerRoman"/>
      <w:start w:val="1"/>
    </w:lvl>
  </w:abstractNum>
  <w:abstractNum w:abstractNumId="112">
    <w:nsid w:val="51BF6B48"/>
    <w:multiLevelType w:val="hybridMultilevel"/>
    <w:lvl w:ilvl="0">
      <w:lvlJc w:val="left"/>
      <w:lvlText w:val="%1."/>
      <w:numFmt w:val="decimal"/>
      <w:start w:val="3"/>
    </w:lvl>
  </w:abstractNum>
  <w:abstractNum w:abstractNumId="113">
    <w:nsid w:val="7E0F6384"/>
    <w:multiLevelType w:val="hybridMultilevel"/>
    <w:lvl w:ilvl="0">
      <w:lvlJc w:val="left"/>
      <w:lvlText w:val="%1."/>
      <w:numFmt w:val="decimal"/>
      <w:start w:val="4"/>
    </w:lvl>
  </w:abstractNum>
  <w:abstractNum w:abstractNumId="114">
    <w:nsid w:val="2B4B8B53"/>
    <w:multiLevelType w:val="hybridMultilevel"/>
    <w:lvl w:ilvl="0">
      <w:lvlJc w:val="left"/>
      <w:lvlText w:val="%1."/>
      <w:numFmt w:val="decimal"/>
      <w:start w:val="5"/>
    </w:lvl>
  </w:abstractNum>
  <w:abstractNum w:abstractNumId="115">
    <w:nsid w:val="72E3413A"/>
    <w:multiLevelType w:val="hybridMultilevel"/>
    <w:lvl w:ilvl="0">
      <w:lvlJc w:val="left"/>
      <w:lvlText w:val="%1."/>
      <w:numFmt w:val="decimal"/>
      <w:start w:val="6"/>
    </w:lvl>
  </w:abstractNum>
  <w:abstractNum w:abstractNumId="116">
    <w:nsid w:val="116AE494"/>
    <w:multiLevelType w:val="hybridMultilevel"/>
    <w:lvl w:ilvl="0">
      <w:lvlJc w:val="left"/>
      <w:lvlText w:val="%1."/>
      <w:numFmt w:val="decimal"/>
      <w:start w:val="7"/>
    </w:lvl>
  </w:abstractNum>
  <w:abstractNum w:abstractNumId="117">
    <w:nsid w:val="3494B2FB"/>
    <w:multiLevelType w:val="hybridMultilevel"/>
    <w:lvl w:ilvl="0">
      <w:lvlJc w:val="left"/>
      <w:lvlText w:val="%1."/>
      <w:numFmt w:val="decimal"/>
      <w:start w:val="8"/>
    </w:lvl>
  </w:abstractNum>
  <w:abstractNum w:abstractNumId="118">
    <w:nsid w:val="B13A31"/>
    <w:multiLevelType w:val="hybridMultilevel"/>
    <w:lvl w:ilvl="0">
      <w:lvlJc w:val="left"/>
      <w:lvlText w:val="%1."/>
      <w:numFmt w:val="decimal"/>
      <w:start w:val="9"/>
    </w:lvl>
  </w:abstractNum>
  <w:abstractNum w:abstractNumId="119">
    <w:nsid w:val="64429599"/>
    <w:multiLevelType w:val="hybridMultilevel"/>
    <w:lvl w:ilvl="0">
      <w:lvlJc w:val="left"/>
      <w:lvlText w:val="%1."/>
      <w:numFmt w:val="decimal"/>
      <w:start w:val="10"/>
    </w:lvl>
  </w:abstractNum>
  <w:abstractNum w:abstractNumId="120">
    <w:nsid w:val="631F1690"/>
    <w:multiLevelType w:val="hybridMultilevel"/>
    <w:lvl w:ilvl="0">
      <w:lvlJc w:val="left"/>
      <w:lvlText w:val="%1."/>
      <w:numFmt w:val="decimal"/>
      <w:start w:val="11"/>
    </w:lvl>
  </w:abstractNum>
  <w:abstractNum w:abstractNumId="121">
    <w:nsid w:val="25973E32"/>
    <w:multiLevelType w:val="hybridMultilevel"/>
    <w:lvl w:ilvl="0">
      <w:lvlJc w:val="left"/>
      <w:lvlText w:val="%1."/>
      <w:numFmt w:val="decimal"/>
      <w:start w:val="13"/>
    </w:lvl>
  </w:abstractNum>
  <w:abstractNum w:abstractNumId="122">
    <w:nsid w:val="EAD6F57"/>
    <w:multiLevelType w:val="hybridMultilevel"/>
    <w:lvl w:ilvl="0">
      <w:lvlJc w:val="left"/>
      <w:lvlText w:val="%1."/>
      <w:numFmt w:val="decimal"/>
      <w:start w:val="14"/>
    </w:lvl>
  </w:abstractNum>
  <w:abstractNum w:abstractNumId="123">
    <w:nsid w:val="6EC9D844"/>
    <w:multiLevelType w:val="hybridMultilevel"/>
    <w:lvl w:ilvl="0">
      <w:lvlJc w:val="left"/>
      <w:lvlText w:val="%1."/>
      <w:numFmt w:val="decimal"/>
      <w:start w:val="15"/>
    </w:lvl>
  </w:abstractNum>
  <w:abstractNum w:abstractNumId="124">
    <w:nsid w:val="5C49EAEE"/>
    <w:multiLevelType w:val="hybridMultilevel"/>
    <w:lvl w:ilvl="0">
      <w:lvlJc w:val="left"/>
      <w:lvlText w:val="$"/>
      <w:numFmt w:val="bullet"/>
      <w:start w:val="1"/>
    </w:lvl>
  </w:abstractNum>
  <w:abstractNum w:abstractNumId="125">
    <w:nsid w:val="64AF49B"/>
    <w:multiLevelType w:val="hybridMultilevel"/>
    <w:lvl w:ilvl="0">
      <w:lvlJc w:val="left"/>
      <w:lvlText w:val="$"/>
      <w:numFmt w:val="bullet"/>
      <w:start w:val="1"/>
    </w:lvl>
  </w:abstractNum>
  <w:abstractNum w:abstractNumId="126">
    <w:nsid w:val="397C46BC"/>
    <w:multiLevelType w:val="hybridMultilevel"/>
    <w:lvl w:ilvl="0">
      <w:lvlJc w:val="left"/>
      <w:lvlText w:val="(%1)"/>
      <w:numFmt w:val="decimal"/>
      <w:start w:val="1"/>
    </w:lvl>
  </w:abstractNum>
  <w:abstractNum w:abstractNumId="127">
    <w:nsid w:val="7E448DE9"/>
    <w:multiLevelType w:val="hybridMultilevel"/>
    <w:lvl w:ilvl="0">
      <w:lvlJc w:val="left"/>
      <w:lvlText w:val="(%1)"/>
      <w:numFmt w:val="decimal"/>
      <w:start w:val="2"/>
    </w:lvl>
  </w:abstractNum>
  <w:abstractNum w:abstractNumId="128">
    <w:nsid w:val="5A9CC3E5"/>
    <w:multiLevelType w:val="hybridMultilevel"/>
    <w:lvl w:ilvl="0">
      <w:lvlJc w:val="left"/>
      <w:lvlText w:val="(%1)"/>
      <w:numFmt w:val="decimal"/>
      <w:start w:val="3"/>
    </w:lvl>
  </w:abstractNum>
  <w:abstractNum w:abstractNumId="129">
    <w:nsid w:val="1AFE3625"/>
    <w:multiLevelType w:val="hybridMultilevel"/>
    <w:lvl w:ilvl="0">
      <w:lvlJc w:val="left"/>
      <w:lvlText w:val="(%1)"/>
      <w:numFmt w:val="decimal"/>
      <w:start w:val="4"/>
    </w:lvl>
  </w:abstractNum>
  <w:abstractNum w:abstractNumId="130">
    <w:nsid w:val="3CA88ECF"/>
    <w:multiLevelType w:val="hybridMultilevel"/>
    <w:lvl w:ilvl="0">
      <w:lvlJc w:val="left"/>
      <w:lvlText w:val="(%1)"/>
      <w:numFmt w:val="decimal"/>
      <w:start w:val="11"/>
    </w:lvl>
  </w:abstractNum>
  <w:abstractNum w:abstractNumId="131">
    <w:nsid w:val="6EBE4208"/>
    <w:multiLevelType w:val="hybridMultilevel"/>
    <w:lvl w:ilvl="0">
      <w:lvlJc w:val="left"/>
      <w:lvlText w:val="(%1)"/>
      <w:numFmt w:val="lowerLetter"/>
      <w:start w:val="1"/>
    </w:lvl>
  </w:abstractNum>
  <w:abstractNum w:abstractNumId="132">
    <w:nsid w:val="C058DF5"/>
    <w:multiLevelType w:val="hybridMultilevel"/>
    <w:lvl w:ilvl="0">
      <w:lvlJc w:val="left"/>
      <w:lvlText w:val="(%1)"/>
      <w:numFmt w:val="lowerLetter"/>
      <w:start w:val="2"/>
    </w:lvl>
  </w:abstractNum>
  <w:abstractNum w:abstractNumId="133">
    <w:nsid w:val="CBE5BE9"/>
    <w:multiLevelType w:val="hybridMultilevel"/>
    <w:lvl w:ilvl="0">
      <w:lvlJc w:val="left"/>
      <w:lvlText w:val="(%1)"/>
      <w:numFmt w:val="decimal"/>
      <w:start w:val="1"/>
    </w:lvl>
  </w:abstractNum>
  <w:abstractNum w:abstractNumId="134">
    <w:nsid w:val="3102BBE2"/>
    <w:multiLevelType w:val="hybridMultilevel"/>
    <w:lvl w:ilvl="0">
      <w:lvlJc w:val="left"/>
      <w:lvlText w:val="*"/>
      <w:numFmt w:val="bullet"/>
      <w:start w:val="1"/>
    </w:lvl>
  </w:abstractNum>
  <w:abstractNum w:abstractNumId="135">
    <w:nsid w:val="26A02C5E"/>
    <w:multiLevelType w:val="hybridMultilevel"/>
    <w:lvl w:ilvl="0">
      <w:lvlJc w:val="left"/>
      <w:lvlText w:val="%1."/>
      <w:numFmt w:val="decimal"/>
      <w:start w:val="1"/>
    </w:lvl>
  </w:abstractNum>
  <w:abstractNum w:abstractNumId="136">
    <w:nsid w:val="541C8153"/>
    <w:multiLevelType w:val="hybridMultilevel"/>
    <w:lvl w:ilvl="0">
      <w:lvlJc w:val="left"/>
      <w:lvlText w:val="(%1)"/>
      <w:numFmt w:val="lowerRoman"/>
      <w:start w:val="1"/>
    </w:lvl>
  </w:abstractNum>
  <w:abstractNum w:abstractNumId="137">
    <w:nsid w:val="67906F60"/>
    <w:multiLevelType w:val="hybridMultilevel"/>
    <w:lvl w:ilvl="0">
      <w:lvlJc w:val="left"/>
      <w:lvlText w:val="(%1)"/>
      <w:numFmt w:val="lowerRoman"/>
      <w:start w:val="1"/>
    </w:lvl>
  </w:abstractNum>
  <w:abstractNum w:abstractNumId="138">
    <w:nsid w:val="10DB9DAA"/>
    <w:multiLevelType w:val="hybridMultilevel"/>
    <w:lvl w:ilvl="0">
      <w:lvlJc w:val="left"/>
      <w:lvlText w:val="(%1)"/>
      <w:numFmt w:val="lowerLetter"/>
      <w:start w:val="1"/>
    </w:lvl>
  </w:abstractNum>
  <w:abstractNum w:abstractNumId="139">
    <w:nsid w:val="697D2D2"/>
    <w:multiLevelType w:val="hybridMultilevel"/>
    <w:lvl w:ilvl="0">
      <w:lvlJc w:val="left"/>
      <w:lvlText w:val="(%1)"/>
      <w:numFmt w:val="lowerLetter"/>
      <w:start w:val="1"/>
    </w:lvl>
  </w:abstractNum>
  <w:abstractNum w:abstractNumId="140">
    <w:nsid w:val="6D68AB2"/>
    <w:multiLevelType w:val="hybridMultilevel"/>
    <w:lvl w:ilvl="0">
      <w:lvlJc w:val="left"/>
      <w:lvlText w:val="(%1)"/>
      <w:numFmt w:val="lowerLetter"/>
      <w:start w:val="1"/>
    </w:lvl>
  </w:abstractNum>
  <w:abstractNum w:abstractNumId="141">
    <w:nsid w:val="3A966CD0"/>
    <w:multiLevelType w:val="hybridMultilevel"/>
    <w:lvl w:ilvl="0">
      <w:lvlJc w:val="left"/>
      <w:lvlText w:val="%1."/>
      <w:numFmt w:val="decimal"/>
      <w:start w:val="2"/>
    </w:lvl>
  </w:abstractNum>
  <w:abstractNum w:abstractNumId="142">
    <w:nsid w:val="63F37E85"/>
    <w:multiLevelType w:val="hybridMultilevel"/>
    <w:lvl w:ilvl="0">
      <w:lvlJc w:val="left"/>
      <w:lvlText w:val="(%1)"/>
      <w:numFmt w:val="lowerLetter"/>
      <w:start w:val="1"/>
    </w:lvl>
    <w:lvl w:ilvl="1">
      <w:lvlJc w:val="left"/>
      <w:lvlText w:val="(%2)"/>
      <w:numFmt w:val="lowerLetter"/>
      <w:start w:val="9"/>
    </w:lvl>
  </w:abstractNum>
  <w:abstractNum w:abstractNumId="143">
    <w:nsid w:val="5895F5FA"/>
    <w:multiLevelType w:val="hybridMultilevel"/>
    <w:lvl w:ilvl="0">
      <w:lvlJc w:val="left"/>
      <w:lvlText w:val="(%1)"/>
      <w:numFmt w:val="lowerRoman"/>
      <w:start w:val="2"/>
    </w:lvl>
  </w:abstractNum>
  <w:abstractNum w:abstractNumId="144">
    <w:nsid w:val="38A5D05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5">
    <w:nsid w:val="F3F09D8"/>
    <w:multiLevelType w:val="hybridMultilevel"/>
    <w:lvl w:ilvl="0">
      <w:lvlJc w:val="left"/>
      <w:lvlText w:val="(%1)"/>
      <w:numFmt w:val="lowerLetter"/>
      <w:start w:val="2"/>
    </w:lvl>
    <w:lvl w:ilvl="1">
      <w:lvlJc w:val="left"/>
      <w:lvlText w:val="(%2)"/>
      <w:numFmt w:val="lowerRoman"/>
      <w:start w:val="1"/>
    </w:lvl>
  </w:abstractNum>
  <w:abstractNum w:abstractNumId="146">
    <w:nsid w:val="4B793735"/>
    <w:multiLevelType w:val="hybridMultilevel"/>
    <w:lvl w:ilvl="0">
      <w:lvlJc w:val="left"/>
      <w:lvlText w:val="(%1)"/>
      <w:numFmt w:val="lowerLetter"/>
      <w:start w:val="1"/>
    </w:lvl>
    <w:lvl w:ilvl="1">
      <w:lvlJc w:val="left"/>
      <w:lvlText w:val="(%2)"/>
      <w:numFmt w:val="lowerRoman"/>
      <w:start w:val="1"/>
    </w:lvl>
  </w:abstractNum>
  <w:abstractNum w:abstractNumId="147">
    <w:nsid w:val="4A10B4E8"/>
    <w:multiLevelType w:val="hybridMultilevel"/>
    <w:lvl w:ilvl="0">
      <w:lvlJc w:val="left"/>
      <w:lvlText w:val="(%1)"/>
      <w:numFmt w:val="lowerLetter"/>
      <w:start w:val="1"/>
    </w:lvl>
    <w:lvl w:ilvl="1">
      <w:lvlJc w:val="left"/>
      <w:lvlText w:val="(%2)"/>
      <w:numFmt w:val="lowerRoman"/>
      <w:start w:val="1"/>
    </w:lvl>
  </w:abstractNum>
  <w:abstractNum w:abstractNumId="148">
    <w:nsid w:val="43D3BCD4"/>
    <w:multiLevelType w:val="hybridMultilevel"/>
    <w:lvl w:ilvl="0">
      <w:lvlJc w:val="left"/>
      <w:lvlText w:val="%1."/>
      <w:numFmt w:val="decimal"/>
      <w:start w:val="4"/>
    </w:lvl>
  </w:abstractNum>
  <w:abstractNum w:abstractNumId="149">
    <w:nsid w:val="4C2A7166"/>
    <w:multiLevelType w:val="hybridMultilevel"/>
    <w:lvl w:ilvl="0">
      <w:lvlJc w:val="left"/>
      <w:lvlText w:val="(%1)"/>
      <w:numFmt w:val="lowerLetter"/>
      <w:start w:val="1"/>
    </w:lvl>
  </w:abstractNum>
  <w:abstractNum w:abstractNumId="150">
    <w:nsid w:val="2E534A82"/>
    <w:multiLevelType w:val="hybridMultilevel"/>
    <w:lvl w:ilvl="0">
      <w:lvlJc w:val="left"/>
      <w:lvlText w:val="%1."/>
      <w:numFmt w:val="decimal"/>
      <w:start w:val="5"/>
    </w:lvl>
  </w:abstractNum>
  <w:abstractNum w:abstractNumId="151">
    <w:nsid w:val="26F2D364"/>
    <w:multiLevelType w:val="hybridMultilevel"/>
    <w:lvl w:ilvl="0">
      <w:lvlJc w:val="left"/>
      <w:lvlText w:val="(%1)"/>
      <w:numFmt w:val="lowerLetter"/>
      <w:start w:val="1"/>
    </w:lvl>
  </w:abstractNum>
  <w:abstractNum w:abstractNumId="152">
    <w:nsid w:val="71C1AF98"/>
    <w:multiLevelType w:val="hybridMultilevel"/>
    <w:lvl w:ilvl="0">
      <w:lvlJc w:val="left"/>
      <w:lvlText w:val="%1."/>
      <w:numFmt w:val="decimal"/>
      <w:start w:val="6"/>
    </w:lvl>
  </w:abstractNum>
  <w:abstractNum w:abstractNumId="153">
    <w:nsid w:val="3D00B9D9"/>
    <w:multiLevelType w:val="hybridMultilevel"/>
    <w:lvl w:ilvl="0">
      <w:lvlJc w:val="left"/>
      <w:lvlText w:val="(%1)"/>
      <w:numFmt w:val="lowerLetter"/>
      <w:start w:val="1"/>
    </w:lvl>
  </w:abstractNum>
  <w:abstractNum w:abstractNumId="154">
    <w:nsid w:val="15BCABA8"/>
    <w:multiLevelType w:val="hybridMultilevel"/>
    <w:lvl w:ilvl="0">
      <w:lvlJc w:val="left"/>
      <w:lvlText w:val="%1."/>
      <w:numFmt w:val="decimal"/>
      <w:start w:val="7"/>
    </w:lvl>
  </w:abstractNum>
  <w:abstractNum w:abstractNumId="155">
    <w:nsid w:val="4E0B9A87"/>
    <w:multiLevelType w:val="hybridMultilevel"/>
    <w:lvl w:ilvl="0">
      <w:lvlJc w:val="left"/>
      <w:lvlText w:val="(%1)"/>
      <w:numFmt w:val="lowerLetter"/>
      <w:start w:val="1"/>
    </w:lvl>
  </w:abstractNum>
  <w:abstractNum w:abstractNumId="156">
    <w:nsid w:val="434BAE75"/>
    <w:multiLevelType w:val="hybridMultilevel"/>
    <w:lvl w:ilvl="0">
      <w:lvlJc w:val="left"/>
      <w:lvlText w:val="%1."/>
      <w:numFmt w:val="decimal"/>
      <w:start w:val="8"/>
    </w:lvl>
  </w:abstractNum>
  <w:abstractNum w:abstractNumId="157">
    <w:nsid w:val="4F38F265"/>
    <w:multiLevelType w:val="hybridMultilevel"/>
    <w:lvl w:ilvl="0">
      <w:lvlJc w:val="left"/>
      <w:lvlText w:val="%1."/>
      <w:numFmt w:val="decimal"/>
      <w:start w:val="9"/>
    </w:lvl>
  </w:abstractNum>
  <w:abstractNum w:abstractNumId="158">
    <w:nsid w:val="4C502870"/>
    <w:multiLevelType w:val="hybridMultilevel"/>
    <w:lvl w:ilvl="0">
      <w:lvlJc w:val="left"/>
      <w:lvlText w:val="(%1)"/>
      <w:numFmt w:val="lowerRoman"/>
      <w:start w:val="2"/>
    </w:lvl>
  </w:abstractNum>
  <w:abstractNum w:abstractNumId="159">
    <w:nsid w:val="1DE8725A"/>
    <w:multiLevelType w:val="hybridMultilevel"/>
    <w:lvl w:ilvl="0">
      <w:lvlJc w:val="left"/>
      <w:lvlText w:val="(%1)"/>
      <w:numFmt w:val="lowerRoman"/>
      <w:start w:val="3"/>
    </w:lvl>
  </w:abstractNum>
  <w:abstractNum w:abstractNumId="160">
    <w:nsid w:val="6A37288A"/>
    <w:multiLevelType w:val="hybridMultilevel"/>
    <w:lvl w:ilvl="0">
      <w:lvlJc w:val="left"/>
      <w:lvlText w:val="%1."/>
      <w:numFmt w:val="decimal"/>
      <w:start w:val="10"/>
    </w:lvl>
  </w:abstractNum>
  <w:abstractNum w:abstractNumId="161">
    <w:nsid w:val="8F8B73F"/>
    <w:multiLevelType w:val="hybridMultilevel"/>
    <w:lvl w:ilvl="0">
      <w:lvlJc w:val="left"/>
      <w:lvlText w:val="%1."/>
      <w:numFmt w:val="decimal"/>
      <w:start w:val="11"/>
    </w:lvl>
  </w:abstractNum>
  <w:abstractNum w:abstractNumId="162">
    <w:nsid w:val="CA6B462"/>
    <w:multiLevelType w:val="hybridMultilevel"/>
    <w:lvl w:ilvl="0">
      <w:lvlJc w:val="left"/>
      <w:lvlText w:val="(%1)"/>
      <w:numFmt w:val="lowerLetter"/>
      <w:start w:val="1"/>
    </w:lvl>
  </w:abstractNum>
  <w:abstractNum w:abstractNumId="163">
    <w:nsid w:val="763CB680"/>
    <w:multiLevelType w:val="hybridMultilevel"/>
    <w:lvl w:ilvl="0">
      <w:lvlJc w:val="left"/>
      <w:lvlText w:val="(%1)"/>
      <w:numFmt w:val="lowerLetter"/>
      <w:start w:val="4"/>
    </w:lvl>
  </w:abstractNum>
  <w:abstractNum w:abstractNumId="164">
    <w:nsid w:val="15B71329"/>
    <w:multiLevelType w:val="hybridMultilevel"/>
    <w:lvl w:ilvl="0">
      <w:lvlJc w:val="left"/>
      <w:lvlText w:val="%1."/>
      <w:numFmt w:val="decimal"/>
      <w:start w:val="12"/>
    </w:lvl>
  </w:abstractNum>
  <w:abstractNum w:abstractNumId="165">
    <w:nsid w:val="3DA97044"/>
    <w:multiLevelType w:val="hybridMultilevel"/>
    <w:lvl w:ilvl="0">
      <w:lvlJc w:val="left"/>
      <w:lvlText w:val="(%1)"/>
      <w:numFmt w:val="lowerRoman"/>
      <w:start w:val="3"/>
    </w:lvl>
  </w:abstractNum>
  <w:abstractNum w:abstractNumId="166">
    <w:nsid w:val="1CDCE2DE"/>
    <w:multiLevelType w:val="hybridMultilevel"/>
    <w:lvl w:ilvl="0">
      <w:lvlJc w:val="left"/>
      <w:lvlText w:val="%1."/>
      <w:numFmt w:val="decimal"/>
      <w:start w:val="13"/>
    </w:lvl>
  </w:abstractNum>
  <w:abstractNum w:abstractNumId="167">
    <w:nsid w:val="69D3947C"/>
    <w:multiLevelType w:val="hybridMultilevel"/>
    <w:lvl w:ilvl="0">
      <w:lvlJc w:val="left"/>
      <w:lvlText w:val="(%1)"/>
      <w:numFmt w:val="lowerLetter"/>
      <w:start w:val="2"/>
    </w:lvl>
  </w:abstractNum>
  <w:abstractNum w:abstractNumId="168">
    <w:nsid w:val="2539DFA5"/>
    <w:multiLevelType w:val="hybridMultilevel"/>
    <w:lvl w:ilvl="0">
      <w:lvlJc w:val="left"/>
      <w:lvlText w:val="(%1)"/>
      <w:numFmt w:val="lowerLetter"/>
      <w:start w:val="1"/>
    </w:lvl>
  </w:abstractNum>
  <w:abstractNum w:abstractNumId="169">
    <w:nsid w:val="2DB88089"/>
    <w:multiLevelType w:val="hybridMultilevel"/>
    <w:lvl w:ilvl="0">
      <w:lvlJc w:val="left"/>
      <w:lvlText w:val="(%1)"/>
      <w:numFmt w:val="lowerLetter"/>
      <w:start w:val="1"/>
    </w:lvl>
  </w:abstractNum>
  <w:abstractNum w:abstractNumId="170">
    <w:nsid w:val="706B674E"/>
    <w:multiLevelType w:val="hybridMultilevel"/>
    <w:lvl w:ilvl="0">
      <w:lvlJc w:val="left"/>
      <w:lvlText w:val="(%1)"/>
      <w:numFmt w:val="lowerLetter"/>
      <w:start w:val="2"/>
    </w:lvl>
  </w:abstractNum>
  <w:abstractNum w:abstractNumId="171">
    <w:nsid w:val="2C106A57"/>
    <w:multiLevelType w:val="hybridMultilevel"/>
    <w:lvl w:ilvl="0">
      <w:lvlJc w:val="left"/>
      <w:lvlText w:val="%1."/>
      <w:numFmt w:val="decimal"/>
      <w:start w:val="14"/>
    </w:lvl>
  </w:abstractNum>
  <w:abstractNum w:abstractNumId="172">
    <w:nsid w:val="684EED59"/>
    <w:multiLevelType w:val="hybridMultilevel"/>
    <w:lvl w:ilvl="0">
      <w:lvlJc w:val="left"/>
      <w:lvlText w:val="(%1)"/>
      <w:numFmt w:val="lowerLetter"/>
      <w:start w:val="1"/>
    </w:lvl>
  </w:abstractNum>
  <w:abstractNum w:abstractNumId="173">
    <w:nsid w:val="545EE5D3"/>
    <w:multiLevelType w:val="hybridMultilevel"/>
    <w:lvl w:ilvl="0">
      <w:lvlJc w:val="left"/>
      <w:lvlText w:val="(%1)"/>
      <w:numFmt w:val="lowerLetter"/>
      <w:start w:val="1"/>
    </w:lvl>
  </w:abstractNum>
  <w:abstractNum w:abstractNumId="174">
    <w:nsid w:val="4A66051"/>
    <w:multiLevelType w:val="hybridMultilevel"/>
    <w:lvl w:ilvl="0">
      <w:lvlJc w:val="left"/>
      <w:lvlText w:val="%1."/>
      <w:numFmt w:val="decimal"/>
      <w:start w:val="15"/>
    </w:lvl>
  </w:abstractNum>
  <w:abstractNum w:abstractNumId="175">
    <w:nsid w:val="20F4BDAD"/>
    <w:multiLevelType w:val="hybridMultilevel"/>
    <w:lvl w:ilvl="0">
      <w:lvlJc w:val="left"/>
      <w:lvlText w:val="%1."/>
      <w:numFmt w:val="decimal"/>
      <w:start w:val="16"/>
    </w:lvl>
  </w:abstractNum>
  <w:abstractNum w:abstractNumId="176">
    <w:nsid w:val="639DEFAC"/>
    <w:multiLevelType w:val="hybridMultilevel"/>
    <w:lvl w:ilvl="0">
      <w:lvlJc w:val="left"/>
      <w:lvlText w:val="(%1)"/>
      <w:numFmt w:val="lowerLetter"/>
      <w:start w:val="1"/>
    </w:lvl>
  </w:abstractNum>
  <w:abstractNum w:abstractNumId="177">
    <w:nsid w:val="501F9786"/>
    <w:multiLevelType w:val="hybridMultilevel"/>
    <w:lvl w:ilvl="0">
      <w:lvlJc w:val="left"/>
      <w:lvlText w:val="(%1)"/>
      <w:numFmt w:val="lowerLetter"/>
      <w:start w:val="4"/>
    </w:lvl>
  </w:abstractNum>
  <w:abstractNum w:abstractNumId="178">
    <w:nsid w:val="6B057295"/>
    <w:multiLevelType w:val="hybridMultilevel"/>
    <w:lvl w:ilvl="0">
      <w:lvlJc w:val="left"/>
      <w:lvlText w:val="(%1)"/>
      <w:numFmt w:val="lowerLetter"/>
      <w:start w:val="1"/>
    </w:lvl>
  </w:abstractNum>
  <w:abstractNum w:abstractNumId="179">
    <w:nsid w:val="2771AC80"/>
    <w:multiLevelType w:val="hybridMultilevel"/>
    <w:lvl w:ilvl="0">
      <w:lvlJc w:val="left"/>
      <w:lvlText w:val="(%1)"/>
      <w:numFmt w:val="lowerRoman"/>
      <w:start w:val="1"/>
    </w:lvl>
  </w:abstractNum>
  <w:abstractNum w:abstractNumId="180">
    <w:nsid w:val="1C4A08EC"/>
    <w:multiLevelType w:val="hybridMultilevel"/>
    <w:lvl w:ilvl="0">
      <w:lvlJc w:val="left"/>
      <w:lvlText w:val="(%1)"/>
      <w:numFmt w:val="lowerLetter"/>
      <w:start w:val="1"/>
    </w:lvl>
  </w:abstractNum>
  <w:abstractNum w:abstractNumId="181">
    <w:nsid w:val="1958BD17"/>
    <w:multiLevelType w:val="hybridMultilevel"/>
    <w:lvl w:ilvl="0">
      <w:lvlJc w:val="left"/>
      <w:lvlText w:val="(%1)"/>
      <w:numFmt w:val="lowerLetter"/>
      <w:start w:val="1"/>
    </w:lvl>
  </w:abstractNum>
  <w:abstractNum w:abstractNumId="182">
    <w:nsid w:val="4E647FE4"/>
    <w:multiLevelType w:val="hybridMultilevel"/>
    <w:lvl w:ilvl="0">
      <w:lvlJc w:val="left"/>
      <w:lvlText w:val="(%1)"/>
      <w:numFmt w:val="lowerLetter"/>
      <w:start w:val="2"/>
    </w:lvl>
  </w:abstractNum>
  <w:abstractNum w:abstractNumId="183">
    <w:nsid w:val="E0BB885"/>
    <w:multiLevelType w:val="hybridMultilevel"/>
    <w:lvl w:ilvl="0">
      <w:lvlJc w:val="left"/>
      <w:lvlText w:val="%1."/>
      <w:numFmt w:val="decimal"/>
      <w:start w:val="17"/>
    </w:lvl>
  </w:abstractNum>
  <w:abstractNum w:abstractNumId="184">
    <w:nsid w:val="565976F1"/>
    <w:multiLevelType w:val="hybridMultilevel"/>
    <w:lvl w:ilvl="0">
      <w:lvlJc w:val="left"/>
      <w:lvlText w:val="%1."/>
      <w:numFmt w:val="decimal"/>
      <w:start w:val="18"/>
    </w:lvl>
  </w:abstractNum>
  <w:abstractNum w:abstractNumId="185">
    <w:nsid w:val="64212B8C"/>
    <w:multiLevelType w:val="hybridMultilevel"/>
    <w:lvl w:ilvl="0">
      <w:lvlJc w:val="left"/>
      <w:lvlText w:val="(%1)"/>
      <w:numFmt w:val="lowerLetter"/>
      <w:start w:val="1"/>
    </w:lvl>
  </w:abstractNum>
  <w:abstractNum w:abstractNumId="186">
    <w:nsid w:val="5C17530C"/>
    <w:multiLevelType w:val="hybridMultilevel"/>
    <w:lvl w:ilvl="0">
      <w:lvlJc w:val="left"/>
      <w:lvlText w:val="(%1)"/>
      <w:numFmt w:val="lowerLetter"/>
      <w:start w:val="1"/>
    </w:lvl>
  </w:abstractNum>
  <w:abstractNum w:abstractNumId="187">
    <w:nsid w:val="19A52566"/>
    <w:multiLevelType w:val="hybridMultilevel"/>
    <w:lvl w:ilvl="0">
      <w:lvlJc w:val="left"/>
      <w:lvlText w:val="(%1)"/>
      <w:numFmt w:val="lowerRoman"/>
      <w:start w:val="1"/>
    </w:lvl>
  </w:abstractNum>
  <w:abstractNum w:abstractNumId="188">
    <w:nsid w:val="335A1DF1"/>
    <w:multiLevelType w:val="hybridMultilevel"/>
    <w:lvl w:ilvl="0">
      <w:lvlJc w:val="left"/>
      <w:lvlText w:val="(%1)"/>
      <w:numFmt w:val="lowerRoman"/>
      <w:start w:val="5"/>
    </w:lvl>
  </w:abstractNum>
  <w:abstractNum w:abstractNumId="189">
    <w:nsid w:val="28677B7C"/>
    <w:multiLevelType w:val="hybridMultilevel"/>
    <w:lvl w:ilvl="0">
      <w:lvlJc w:val="left"/>
      <w:lvlText w:val="(%1)"/>
      <w:numFmt w:val="lowerLetter"/>
      <w:start w:val="3"/>
    </w:lvl>
  </w:abstractNum>
  <w:abstractNum w:abstractNumId="190">
    <w:nsid w:val="378D97C0"/>
    <w:multiLevelType w:val="hybridMultilevel"/>
    <w:lvl w:ilvl="0">
      <w:lvlJc w:val="left"/>
      <w:lvlText w:val="(%1)"/>
      <w:numFmt w:val="lowerLetter"/>
      <w:start w:val="9"/>
    </w:lvl>
  </w:abstractNum>
  <w:abstractNum w:abstractNumId="191">
    <w:nsid w:val="1D91467C"/>
    <w:multiLevelType w:val="hybridMultilevel"/>
    <w:lvl w:ilvl="0">
      <w:lvlJc w:val="left"/>
      <w:lvlText w:val="%1."/>
      <w:numFmt w:val="decimal"/>
      <w:start w:val="19"/>
    </w:lvl>
  </w:abstractNum>
  <w:abstractNum w:abstractNumId="192">
    <w:nsid w:val="316032BB"/>
    <w:multiLevelType w:val="hybridMultilevel"/>
    <w:lvl w:ilvl="0">
      <w:lvlJc w:val="left"/>
      <w:lvlText w:val="%1."/>
      <w:numFmt w:val="decimal"/>
      <w:start w:val="20"/>
    </w:lvl>
  </w:abstractNum>
  <w:abstractNum w:abstractNumId="193">
    <w:nsid w:val="44344C22"/>
    <w:multiLevelType w:val="hybridMultilevel"/>
    <w:lvl w:ilvl="0">
      <w:lvlJc w:val="left"/>
      <w:lvlText w:val="%1."/>
      <w:numFmt w:val="decimal"/>
      <w:start w:val="21"/>
    </w:lvl>
  </w:abstractNum>
  <w:abstractNum w:abstractNumId="194">
    <w:nsid w:val="13CDFCFC"/>
    <w:multiLevelType w:val="hybridMultilevel"/>
    <w:lvl w:ilvl="0">
      <w:lvlJc w:val="left"/>
      <w:lvlText w:val="%1."/>
      <w:numFmt w:val="decimal"/>
      <w:start w:val="22"/>
    </w:lvl>
  </w:abstractNum>
  <w:abstractNum w:abstractNumId="195">
    <w:nsid w:val="471745E4"/>
    <w:multiLevelType w:val="hybridMultilevel"/>
    <w:lvl w:ilvl="0">
      <w:lvlJc w:val="left"/>
      <w:lvlText w:val="(%1)"/>
      <w:numFmt w:val="lowerLetter"/>
      <w:start w:val="1"/>
    </w:lvl>
  </w:abstractNum>
  <w:abstractNum w:abstractNumId="196">
    <w:nsid w:val="1DDBC66"/>
    <w:multiLevelType w:val="hybridMultilevel"/>
    <w:lvl w:ilvl="0">
      <w:lvlJc w:val="left"/>
      <w:lvlText w:val="(%1)"/>
      <w:numFmt w:val="lowerLetter"/>
      <w:start w:val="3"/>
    </w:lvl>
  </w:abstractNum>
  <w:abstractNum w:abstractNumId="197">
    <w:nsid w:val="30AADFDA"/>
    <w:multiLevelType w:val="hybridMultilevel"/>
    <w:lvl w:ilvl="0">
      <w:lvlJc w:val="left"/>
      <w:lvlText w:val="%1."/>
      <w:numFmt w:val="decimal"/>
      <w:start w:val="23"/>
    </w:lvl>
  </w:abstractNum>
  <w:abstractNum w:abstractNumId="198">
    <w:nsid w:val="30EADA61"/>
    <w:multiLevelType w:val="hybridMultilevel"/>
    <w:lvl w:ilvl="0">
      <w:lvlJc w:val="left"/>
      <w:lvlText w:val="%1."/>
      <w:numFmt w:val="decimal"/>
      <w:start w:val="24"/>
    </w:lvl>
  </w:abstractNum>
  <w:abstractNum w:abstractNumId="199">
    <w:nsid w:val="27179C0B"/>
    <w:multiLevelType w:val="hybridMultilevel"/>
    <w:lvl w:ilvl="0">
      <w:lvlJc w:val="left"/>
      <w:lvlText w:val="(%1)"/>
      <w:numFmt w:val="lowerRoman"/>
      <w:start w:val="1"/>
    </w:lvl>
  </w:abstractNum>
  <w:abstractNum w:abstractNumId="200">
    <w:nsid w:val="5E636063"/>
    <w:multiLevelType w:val="hybridMultilevel"/>
    <w:lvl w:ilvl="0">
      <w:lvlJc w:val="left"/>
      <w:lvlText w:val="(%1)"/>
      <w:numFmt w:val="lowerLetter"/>
      <w:start w:val="1"/>
    </w:lvl>
  </w:abstractNum>
  <w:abstractNum w:abstractNumId="201">
    <w:nsid w:val="215641AF"/>
    <w:multiLevelType w:val="hybridMultilevel"/>
    <w:lvl w:ilvl="0">
      <w:lvlJc w:val="left"/>
      <w:lvlText w:val="%1."/>
      <w:numFmt w:val="decimal"/>
      <w:start w:val="25"/>
    </w:lvl>
  </w:abstractNum>
  <w:abstractNum w:abstractNumId="202">
    <w:nsid w:val="53280662"/>
    <w:multiLevelType w:val="hybridMultilevel"/>
    <w:lvl w:ilvl="0">
      <w:lvlJc w:val="left"/>
      <w:lvlText w:val="(%1)"/>
      <w:numFmt w:val="lowerLetter"/>
      <w:start w:val="1"/>
    </w:lvl>
  </w:abstractNum>
  <w:abstractNum w:abstractNumId="203">
    <w:nsid w:val="46B24DBC"/>
    <w:multiLevelType w:val="hybridMultilevel"/>
    <w:lvl w:ilvl="0">
      <w:lvlJc w:val="left"/>
      <w:lvlText w:val="%1."/>
      <w:numFmt w:val="decimal"/>
      <w:start w:val="27"/>
    </w:lvl>
  </w:abstractNum>
  <w:abstractNum w:abstractNumId="204">
    <w:nsid w:val="75B52783"/>
    <w:multiLevelType w:val="hybridMultilevel"/>
    <w:lvl w:ilvl="0">
      <w:lvlJc w:val="left"/>
      <w:lvlText w:val="(%1)"/>
      <w:numFmt w:val="lowerLetter"/>
      <w:start w:val="3"/>
    </w:lvl>
  </w:abstractNum>
  <w:abstractNum w:abstractNumId="205">
    <w:nsid w:val="57CE66B4"/>
    <w:multiLevelType w:val="hybridMultilevel"/>
    <w:lvl w:ilvl="0">
      <w:lvlJc w:val="left"/>
      <w:lvlText w:val="%1."/>
      <w:numFmt w:val="decimal"/>
      <w:start w:val="28"/>
    </w:lvl>
  </w:abstractNum>
  <w:abstractNum w:abstractNumId="206">
    <w:nsid w:val="67A70B69"/>
    <w:multiLevelType w:val="hybridMultilevel"/>
    <w:lvl w:ilvl="0">
      <w:lvlJc w:val="left"/>
      <w:lvlText w:val="%1."/>
      <w:numFmt w:val="decimal"/>
      <w:start w:val="29"/>
    </w:lvl>
  </w:abstractNum>
  <w:abstractNum w:abstractNumId="207">
    <w:nsid w:val="5953172F"/>
    <w:multiLevelType w:val="hybridMultilevel"/>
    <w:lvl w:ilvl="0">
      <w:lvlJc w:val="left"/>
      <w:lvlText w:val="%1."/>
      <w:numFmt w:val="decimal"/>
      <w:start w:val="30"/>
    </w:lvl>
  </w:abstractNum>
  <w:abstractNum w:abstractNumId="208">
    <w:nsid w:val="27EDFE3A"/>
    <w:multiLevelType w:val="hybridMultilevel"/>
    <w:lvl w:ilvl="0">
      <w:lvlJc w:val="left"/>
      <w:lvlText w:val="%1."/>
      <w:numFmt w:val="decimal"/>
      <w:start w:val="1"/>
    </w:lvl>
  </w:abstractNum>
  <w:abstractNum w:abstractNumId="209">
    <w:nsid w:val="52AC7DFF"/>
    <w:multiLevelType w:val="hybridMultilevel"/>
    <w:lvl w:ilvl="0">
      <w:lvlJc w:val="left"/>
      <w:lvlText w:val="%1."/>
      <w:numFmt w:val="decimal"/>
      <w:start w:val="2"/>
    </w:lvl>
  </w:abstractNum>
  <w:abstractNum w:abstractNumId="210">
    <w:nsid w:val="C4C3AF"/>
    <w:multiLevelType w:val="hybridMultilevel"/>
    <w:lvl w:ilvl="0">
      <w:lvlJc w:val="left"/>
      <w:lvlText w:val="%1."/>
      <w:numFmt w:val="decimal"/>
      <w:start w:val="3"/>
    </w:lvl>
  </w:abstractNum>
  <w:abstractNum w:abstractNumId="211">
    <w:nsid w:val="44380727"/>
    <w:multiLevelType w:val="hybridMultilevel"/>
    <w:lvl w:ilvl="0">
      <w:lvlJc w:val="left"/>
      <w:lvlText w:val="(%1)"/>
      <w:numFmt w:val="lowerLetter"/>
      <w:start w:val="1"/>
    </w:lvl>
  </w:abstractNum>
  <w:abstractNum w:abstractNumId="212">
    <w:nsid w:val="6C053B16"/>
    <w:multiLevelType w:val="hybridMultilevel"/>
    <w:lvl w:ilvl="0">
      <w:lvlJc w:val="left"/>
      <w:lvlText w:val="(%1)"/>
      <w:numFmt w:val="lowerLetter"/>
      <w:start w:val="7"/>
    </w:lvl>
  </w:abstractNum>
  <w:abstractNum w:abstractNumId="213">
    <w:nsid w:val="4F294393"/>
    <w:multiLevelType w:val="hybridMultilevel"/>
    <w:lvl w:ilvl="0">
      <w:lvlJc w:val="left"/>
      <w:lvlText w:val="(%1)"/>
      <w:numFmt w:val="lowerLetter"/>
      <w:start w:val="1"/>
    </w:lvl>
  </w:abstractNum>
  <w:abstractNum w:abstractNumId="214">
    <w:nsid w:val="5243BFAC"/>
    <w:multiLevelType w:val="hybridMultilevel"/>
    <w:lvl w:ilvl="0">
      <w:lvlJc w:val="left"/>
      <w:lvlText w:val="o"/>
      <w:numFmt w:val="bullet"/>
      <w:start w:val="1"/>
    </w:lvl>
  </w:abstractNum>
  <w:abstractNum w:abstractNumId="215">
    <w:nsid w:val="425EB207"/>
    <w:multiLevelType w:val="hybridMultilevel"/>
    <w:lvl w:ilvl="0">
      <w:lvlJc w:val="left"/>
      <w:lvlText w:val="%1."/>
      <w:numFmt w:val="decimal"/>
      <w:start w:val="6"/>
    </w:lvl>
  </w:abstractNum>
  <w:abstractNum w:abstractNumId="216">
    <w:nsid w:val="334A6F1F"/>
    <w:multiLevelType w:val="hybridMultilevel"/>
    <w:lvl w:ilvl="0">
      <w:lvlJc w:val="left"/>
      <w:lvlText w:val="(%1)"/>
      <w:numFmt w:val="lowerLetter"/>
      <w:start w:val="1"/>
    </w:lvl>
  </w:abstractNum>
  <w:abstractNum w:abstractNumId="217">
    <w:nsid w:val="2E5B12B8"/>
    <w:multiLevelType w:val="hybridMultilevel"/>
    <w:lvl w:ilvl="0">
      <w:lvlJc w:val="left"/>
      <w:lvlText w:val="%1."/>
      <w:numFmt w:val="decimal"/>
      <w:start w:val="1"/>
    </w:lvl>
  </w:abstractNum>
  <w:abstractNum w:abstractNumId="218">
    <w:nsid w:val="5C03D76D"/>
    <w:multiLevelType w:val="hybridMultilevel"/>
    <w:lvl w:ilvl="0">
      <w:lvlJc w:val="left"/>
      <w:lvlText w:val="%1."/>
      <w:numFmt w:val="decimal"/>
      <w:start w:val="2"/>
    </w:lvl>
  </w:abstractNum>
  <w:abstractNum w:abstractNumId="219">
    <w:nsid w:val="66A48D11"/>
    <w:multiLevelType w:val="hybridMultilevel"/>
    <w:lvl w:ilvl="0">
      <w:lvlJc w:val="left"/>
      <w:lvlText w:val="%1."/>
      <w:numFmt w:val="decimal"/>
      <w:start w:val="3"/>
    </w:lvl>
  </w:abstractNum>
  <w:abstractNum w:abstractNumId="220">
    <w:nsid w:val="56C28E34"/>
    <w:multiLevelType w:val="hybridMultilevel"/>
    <w:lvl w:ilvl="0">
      <w:lvlJc w:val="left"/>
      <w:lvlText w:val="%1."/>
      <w:numFmt w:val="decimal"/>
      <w:start w:val="4"/>
    </w:lvl>
  </w:abstractNum>
  <w:abstractNum w:abstractNumId="221">
    <w:nsid w:val="13916F2D"/>
    <w:multiLevelType w:val="hybridMultilevel"/>
    <w:lvl w:ilvl="0">
      <w:lvlJc w:val="left"/>
      <w:lvlText w:val="%1."/>
      <w:numFmt w:val="decimal"/>
      <w:start w:val="5"/>
    </w:lvl>
  </w:abstractNum>
  <w:abstractNum w:abstractNumId="222">
    <w:nsid w:val="435D38D"/>
    <w:multiLevelType w:val="hybridMultilevel"/>
    <w:lvl w:ilvl="0">
      <w:lvlJc w:val="left"/>
      <w:lvlText w:val="(%1)"/>
      <w:numFmt w:val="lowerRoman"/>
      <w:start w:val="1"/>
    </w:lvl>
  </w:abstractNum>
  <w:abstractNum w:abstractNumId="223">
    <w:nsid w:val="822C0EF"/>
    <w:multiLevelType w:val="hybridMultilevel"/>
    <w:lvl w:ilvl="0">
      <w:lvlJc w:val="left"/>
      <w:lvlText w:val="(%1)"/>
      <w:numFmt w:val="lowerLetter"/>
      <w:start w:val="3"/>
    </w:lvl>
  </w:abstractNum>
  <w:abstractNum w:abstractNumId="224">
    <w:nsid w:val="57C5BB4F"/>
    <w:multiLevelType w:val="hybridMultilevel"/>
    <w:lvl w:ilvl="0">
      <w:lvlJc w:val="left"/>
      <w:lvlText w:val="%1."/>
      <w:numFmt w:val="decimal"/>
      <w:start w:val="1"/>
    </w:lvl>
  </w:abstractNum>
  <w:abstractNum w:abstractNumId="225">
    <w:nsid w:val="1803D089"/>
    <w:multiLevelType w:val="hybridMultilevel"/>
    <w:lvl w:ilvl="0">
      <w:lvlJc w:val="left"/>
      <w:lvlText w:val="(%1)"/>
      <w:numFmt w:val="lowerLetter"/>
      <w:start w:val="1"/>
    </w:lvl>
  </w:abstractNum>
  <w:abstractNum w:abstractNumId="226">
    <w:nsid w:val="4F3A06D4"/>
    <w:multiLevelType w:val="hybridMultilevel"/>
    <w:lvl w:ilvl="0">
      <w:lvlJc w:val="left"/>
      <w:lvlText w:val="(%1)"/>
      <w:numFmt w:val="lowerLetter"/>
      <w:start w:val="2"/>
    </w:lvl>
  </w:abstractNum>
  <w:abstractNum w:abstractNumId="227">
    <w:nsid w:val="59A377B6"/>
    <w:multiLevelType w:val="hybridMultilevel"/>
    <w:lvl w:ilvl="0">
      <w:lvlJc w:val="left"/>
      <w:lvlText w:val="o"/>
      <w:numFmt w:val="bullet"/>
      <w:start w:val="1"/>
    </w:lvl>
  </w:abstractNum>
  <w:abstractNum w:abstractNumId="228">
    <w:nsid w:val="48AEB063"/>
    <w:multiLevelType w:val="hybridMultilevel"/>
    <w:lvl w:ilvl="0">
      <w:lvlJc w:val="left"/>
      <w:lvlText w:val="o"/>
      <w:numFmt w:val="bullet"/>
      <w:start w:val="1"/>
    </w:lvl>
  </w:abstractNum>
  <w:abstractNum w:abstractNumId="229">
    <w:nsid w:val="24E135"/>
    <w:multiLevelType w:val="hybridMultilevel"/>
    <w:lvl w:ilvl="0">
      <w:lvlJc w:val="left"/>
      <w:lvlText w:val="(%1)"/>
      <w:numFmt w:val="lowerLetter"/>
      <w:start w:val="5"/>
    </w:lvl>
  </w:abstractNum>
  <w:abstractNum w:abstractNumId="230">
    <w:nsid w:val="BB13C1"/>
    <w:multiLevelType w:val="hybridMultilevel"/>
    <w:lvl w:ilvl="0">
      <w:lvlJc w:val="left"/>
      <w:lvlText w:val="%1."/>
      <w:numFmt w:val="decimal"/>
      <w:start w:val="1"/>
    </w:lvl>
  </w:abstractNum>
  <w:abstractNum w:abstractNumId="231">
    <w:nsid w:val="271210C7"/>
    <w:multiLevelType w:val="hybridMultilevel"/>
    <w:lvl w:ilvl="0">
      <w:lvlJc w:val="left"/>
      <w:lvlText w:val="%1."/>
      <w:numFmt w:val="decimal"/>
      <w:start w:val="2"/>
    </w:lvl>
  </w:abstractNum>
  <w:abstractNum w:abstractNumId="232">
    <w:nsid w:val="217B22E4"/>
    <w:multiLevelType w:val="hybridMultilevel"/>
    <w:lvl w:ilvl="0">
      <w:lvlJc w:val="left"/>
      <w:lvlText w:val="%1."/>
      <w:numFmt w:val="decimal"/>
      <w:start w:val="3"/>
    </w:lvl>
  </w:abstractNum>
  <w:abstractNum w:abstractNumId="233">
    <w:nsid w:val="53E31A2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4">
    <w:nsid w:val="6DC45E8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5">
    <w:nsid w:val="17304A67"/>
    <w:multiLevelType w:val="hybridMultilevel"/>
    <w:lvl w:ilvl="0">
      <w:lvlJc w:val="left"/>
      <w:lvlText w:val="(%1)"/>
      <w:numFmt w:val="lowerLetter"/>
      <w:start w:val="5"/>
    </w:lvl>
  </w:abstractNum>
  <w:abstractNum w:abstractNumId="236">
    <w:nsid w:val="2BB180D8"/>
    <w:multiLevelType w:val="hybridMultilevel"/>
    <w:lvl w:ilvl="0">
      <w:lvlJc w:val="left"/>
      <w:lvlText w:val="(%1)"/>
      <w:numFmt w:val="lowerLetter"/>
      <w:start w:val="17"/>
    </w:lvl>
  </w:abstractNum>
  <w:abstractNum w:abstractNumId="237">
    <w:nsid w:val="556B69ED"/>
    <w:multiLevelType w:val="hybridMultilevel"/>
    <w:lvl w:ilvl="0">
      <w:lvlJc w:val="left"/>
      <w:lvlText w:val="%1."/>
      <w:numFmt w:val="decimal"/>
      <w:start w:val="2"/>
    </w:lvl>
  </w:abstractNum>
  <w:abstractNum w:abstractNumId="238">
    <w:nsid w:val="70836196"/>
    <w:multiLevelType w:val="hybridMultilevel"/>
    <w:lvl w:ilvl="0">
      <w:lvlJc w:val="left"/>
      <w:lvlText w:val="(%1)"/>
      <w:numFmt w:val="lowerLetter"/>
      <w:start w:val="35"/>
    </w:lvl>
    <w:lvl w:ilvl="1">
      <w:lvlJc w:val="left"/>
      <w:lvlText w:val="(%2)"/>
      <w:numFmt w:val="lowerLetter"/>
      <w:start w:val="1"/>
    </w:lvl>
  </w:abstractNum>
  <w:abstractNum w:abstractNumId="239">
    <w:nsid w:val="539F7F12"/>
    <w:multiLevelType w:val="hybridMultilevel"/>
    <w:lvl w:ilvl="0">
      <w:lvlJc w:val="left"/>
      <w:lvlText w:val="(%1)"/>
      <w:numFmt w:val="lowerLetter"/>
      <w:start w:val="1"/>
    </w:lvl>
  </w:abstractNum>
  <w:abstractNum w:abstractNumId="240">
    <w:nsid w:val="2817E7EC"/>
    <w:multiLevelType w:val="hybridMultilevel"/>
    <w:lvl w:ilvl="0">
      <w:lvlJc w:val="left"/>
      <w:lvlText w:val="(%1)"/>
      <w:numFmt w:val="lowerLetter"/>
      <w:start w:val="2"/>
    </w:lvl>
  </w:abstractNum>
  <w:abstractNum w:abstractNumId="241">
    <w:nsid w:val="71482545"/>
    <w:multiLevelType w:val="hybridMultilevel"/>
    <w:lvl w:ilvl="0">
      <w:lvlJc w:val="left"/>
      <w:lvlText w:val="%1."/>
      <w:numFmt w:val="decimal"/>
      <w:start w:val="3"/>
    </w:lvl>
  </w:abstractNum>
  <w:abstractNum w:abstractNumId="242">
    <w:nsid w:val="17D78639"/>
    <w:multiLevelType w:val="hybridMultilevel"/>
    <w:lvl w:ilvl="0">
      <w:lvlJc w:val="left"/>
      <w:lvlText w:val="(%1)"/>
      <w:numFmt w:val="lowerRoman"/>
      <w:start w:val="2"/>
    </w:lvl>
  </w:abstractNum>
  <w:abstractNum w:abstractNumId="243">
    <w:nsid w:val="141D2302"/>
    <w:multiLevelType w:val="hybridMultilevel"/>
    <w:lvl w:ilvl="0">
      <w:lvlJc w:val="left"/>
      <w:lvlText w:val="%1."/>
      <w:numFmt w:val="decimal"/>
      <w:start w:val="4"/>
    </w:lvl>
  </w:abstractNum>
  <w:abstractNum w:abstractNumId="244">
    <w:nsid w:val="407168D8"/>
    <w:multiLevelType w:val="hybridMultilevel"/>
    <w:lvl w:ilvl="0">
      <w:lvlJc w:val="left"/>
      <w:lvlText w:val="(%1)"/>
      <w:numFmt w:val="lowerLetter"/>
      <w:start w:val="1"/>
    </w:lvl>
  </w:abstractNum>
  <w:abstractNum w:abstractNumId="245">
    <w:nsid w:val="6A1B45E5"/>
    <w:multiLevelType w:val="hybridMultilevel"/>
    <w:lvl w:ilvl="0">
      <w:lvlJc w:val="left"/>
      <w:lvlText w:val="(%1)"/>
      <w:numFmt w:val="lowerLetter"/>
      <w:start w:val="1"/>
    </w:lvl>
    <w:lvl w:ilvl="1">
      <w:lvlJc w:val="left"/>
      <w:lvlText w:val="(%2)"/>
      <w:numFmt w:val="lowerRoman"/>
      <w:start w:val="1"/>
    </w:lvl>
  </w:abstractNum>
  <w:abstractNum w:abstractNumId="246">
    <w:nsid w:val="567BD50A"/>
    <w:multiLevelType w:val="hybridMultilevel"/>
    <w:lvl w:ilvl="0">
      <w:lvlJc w:val="left"/>
      <w:lvlText w:val="%1."/>
      <w:numFmt w:val="decimal"/>
      <w:start w:val="5"/>
    </w:lvl>
  </w:abstractNum>
  <w:abstractNum w:abstractNumId="247">
    <w:nsid w:val="73BBD7F8"/>
    <w:multiLevelType w:val="hybridMultilevel"/>
    <w:lvl w:ilvl="0">
      <w:lvlJc w:val="left"/>
      <w:lvlText w:val="%1."/>
      <w:numFmt w:val="decimal"/>
      <w:start w:val="6"/>
    </w:lvl>
  </w:abstractNum>
  <w:abstractNum w:abstractNumId="248">
    <w:nsid w:val="1876589D"/>
    <w:multiLevelType w:val="hybridMultilevel"/>
    <w:lvl w:ilvl="0">
      <w:lvlJc w:val="left"/>
      <w:lvlText w:val="(%1)"/>
      <w:numFmt w:val="lowerLetter"/>
      <w:start w:val="1"/>
    </w:lvl>
    <w:lvl w:ilvl="1">
      <w:lvlJc w:val="left"/>
      <w:lvlText w:val="(%2)"/>
      <w:numFmt w:val="lowerRoman"/>
      <w:start w:val="1"/>
    </w:lvl>
  </w:abstractNum>
  <w:abstractNum w:abstractNumId="249">
    <w:nsid w:val="327FAC77"/>
    <w:multiLevelType w:val="hybridMultilevel"/>
    <w:lvl w:ilvl="0">
      <w:lvlJc w:val="left"/>
      <w:lvlText w:val="%1."/>
      <w:numFmt w:val="decimal"/>
      <w:start w:val="9"/>
    </w:lvl>
  </w:abstractNum>
  <w:abstractNum w:abstractNumId="250">
    <w:nsid w:val="5A606509"/>
    <w:multiLevelType w:val="hybridMultilevel"/>
    <w:lvl w:ilvl="0">
      <w:lvlJc w:val="left"/>
      <w:lvlText w:val="%1."/>
      <w:numFmt w:val="decimal"/>
      <w:start w:val="12"/>
    </w:lvl>
  </w:abstractNum>
  <w:abstractNum w:abstractNumId="251">
    <w:nsid w:val="6F38E6D1"/>
    <w:multiLevelType w:val="hybridMultilevel"/>
    <w:lvl w:ilvl="0">
      <w:lvlJc w:val="left"/>
      <w:lvlText w:val="%1."/>
      <w:numFmt w:val="decimal"/>
      <w:start w:val="20"/>
    </w:lvl>
  </w:abstractNum>
  <w:abstractNum w:abstractNumId="252">
    <w:nsid w:val="46111BA5"/>
    <w:multiLevelType w:val="hybridMultilevel"/>
    <w:lvl w:ilvl="0">
      <w:lvlJc w:val="left"/>
      <w:lvlText w:val="(%1)"/>
      <w:numFmt w:val="decimal"/>
      <w:start w:val="1"/>
    </w:lvl>
  </w:abstractNum>
  <w:abstractNum w:abstractNumId="253">
    <w:nsid w:val="5E963896"/>
    <w:multiLevelType w:val="hybridMultilevel"/>
    <w:lvl w:ilvl="0">
      <w:lvlJc w:val="left"/>
      <w:lvlText w:val="(%1)"/>
      <w:numFmt w:val="decimal"/>
      <w:start w:val="3"/>
    </w:lvl>
  </w:abstractNum>
  <w:abstractNum w:abstractNumId="254">
    <w:nsid w:val="775BA7C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2026-06-01T17:37:25Z</dcterms:created>
  <dcterms:modified xsi:type="dcterms:W3CDTF">2026-06-01T17:37:25Z</dcterms:modified>
</cp:coreProperties>
</file>