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Times New Roman" w:cs="Times New Roman" w:eastAsia="Times New Roman" w:hAnsi="Times New Roman"/>
          <w:sz w:val="18"/>
          <w:szCs w:val="18"/>
          <w:color w:val="auto"/>
        </w:rPr>
        <w:t>Tempus AI, Inc.</w:t>
      </w:r>
    </w:p>
    <w:p>
      <w:pPr>
        <w:spacing w:after="0" w:line="27"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600 West Chicago Avenue, Suite 510</w:t>
      </w:r>
    </w:p>
    <w:p>
      <w:pPr>
        <w:spacing w:after="0" w:line="9"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Chicago, IL 60654</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June 11, 2024</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3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Attn: Jan Woo, Kyle Wiley, Robert Littlepage, Claire DeLabar</w:t>
      </w:r>
    </w:p>
    <w:p>
      <w:pPr>
        <w:spacing w:after="0" w:line="20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 Tempus AI, Inc.</w:t>
      </w:r>
    </w:p>
    <w:p>
      <w:pPr>
        <w:spacing w:after="0" w:line="3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Registration Statement on Form S-1, as amended (File No. 333-279558)</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Request for Acceleration of Effective Date</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Pursuant to Rule 461 of the General Rules and Regulations under the Securities Act of 1933, as amended, Tempus AI,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requests that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accelerate the effective date of the above-referenced Registration Statement on Form S-1 (as amended to date,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declare the Registration Statement effective as of 4:00 p.m. Eastern time, on June 13, 2024, or as soon thereafter as possible, or at such other time as its legal counsel, Cooley LLP, may request by telephone to the staff of the Commission.</w:t>
      </w:r>
    </w:p>
    <w:p>
      <w:pPr>
        <w:spacing w:after="0" w:line="183" w:lineRule="exact"/>
        <w:rPr>
          <w:sz w:val="24"/>
          <w:szCs w:val="24"/>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Once the Registration Statement has been declared effective, please orally confirm that event with Christina Roupas of Cooley LLP at (312) 881-6670 or, in her absence, Courtney Tygesson of Cooley LLP at (312) 881-6680.</w:t>
      </w:r>
    </w:p>
    <w:p>
      <w:pPr>
        <w:spacing w:after="0" w:line="162" w:lineRule="exact"/>
        <w:rPr>
          <w:sz w:val="24"/>
          <w:szCs w:val="24"/>
          <w:color w:val="auto"/>
        </w:rPr>
      </w:pPr>
    </w:p>
    <w:p>
      <w:pPr>
        <w:ind w:left="4" w:right="380"/>
        <w:spacing w:after="0" w:line="282" w:lineRule="auto"/>
        <w:rPr>
          <w:sz w:val="20"/>
          <w:szCs w:val="20"/>
          <w:color w:val="auto"/>
        </w:rPr>
      </w:pPr>
      <w:r>
        <w:rPr>
          <w:rFonts w:ascii="Times New Roman" w:cs="Times New Roman" w:eastAsia="Times New Roman" w:hAnsi="Times New Roman"/>
          <w:sz w:val="18"/>
          <w:szCs w:val="18"/>
          <w:color w:val="auto"/>
        </w:rPr>
        <w:t>Under separate cover, you will receive today a letter from the managing underwriters of the proposed offering joining in the Company’s request for acceleration of the effectiveness of the Registration Statement.</w:t>
      </w:r>
    </w:p>
    <w:p>
      <w:pPr>
        <w:spacing w:after="0" w:line="18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Tempus AI, Inc.</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 Eric Lefkofsky</w:t>
      </w:r>
    </w:p>
    <w:p>
      <w:pPr>
        <w:spacing w:after="0" w:line="1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By: Eric Lefkofsky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27946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Title: Chief Executive Officer, Founder and Chairman</w:t>
      </w:r>
    </w:p>
    <w:p>
      <w:pPr>
        <w:spacing w:after="0" w:line="207" w:lineRule="exact"/>
        <w:rPr>
          <w:sz w:val="24"/>
          <w:szCs w:val="24"/>
          <w:color w:val="auto"/>
        </w:rPr>
      </w:pPr>
    </w:p>
    <w:p>
      <w:pPr>
        <w:ind w:left="4" w:right="8560" w:hanging="4"/>
        <w:spacing w:after="0" w:line="253" w:lineRule="auto"/>
        <w:tabs>
          <w:tab w:leader="none" w:pos="25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Jim Rogers, Tempus AI, Inc. Erik Phelps, Tempus AI, Inc. Andy Polovin, Tempus AI, Inc. Ryan Bartolucci, Tempus AI, Inc. Eric Jensen, Cooley LLP Christina Roupas, Cooley LLP Courtney Tygesson, Cooley LLP</w:t>
      </w:r>
    </w:p>
    <w:p>
      <w:pPr>
        <w:spacing w:after="0" w:line="2" w:lineRule="exact"/>
        <w:rPr>
          <w:rFonts w:ascii="Times New Roman" w:cs="Times New Roman" w:eastAsia="Times New Roman" w:hAnsi="Times New Roman"/>
          <w:sz w:val="18"/>
          <w:szCs w:val="18"/>
          <w:color w:val="auto"/>
        </w:rPr>
      </w:pPr>
    </w:p>
    <w:p>
      <w:pPr>
        <w:ind w:left="4" w:right="758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Alan F. Denenberg, Davis Polk &amp; Wardell LLP Yasin Keshvargar, Davis Polk &amp; Wardell LLP</w:t>
      </w:r>
    </w:p>
    <w:sectPr>
      <w:pgSz w:w="11900" w:h="16838" w:orient="portrait"/>
      <w:cols w:equalWidth="0" w:num="1">
        <w:col w:w="10984"/>
      </w:cols>
      <w:pgMar w:left="436" w:top="22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2024-07-17T23:10:18Z</dcterms:created>
  <dcterms:modified xsi:type="dcterms:W3CDTF">2024-07-17T23:10:18Z</dcterms:modified>
</cp:coreProperties>
</file>