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em-20260730.htm"/>
      <w:bookmarkStart w:id="1" w:name="kstem2026073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30,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Tempus AI,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51"/>
        <w:gridCol w:w="860"/>
        <w:gridCol w:w="873"/>
        <w:gridCol w:w="1846"/>
        <w:gridCol w:w="1336"/>
      </w:tblGrid>
      <w:tr>
        <w:trPr/>
        <w:tc>
          <w:tcPr>
            <w:tcW w:w="95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Nevada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001-42130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47-4903308</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600 West Chicago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510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60654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800</w:t>
            </w:r>
            <w:r>
              <w:rPr>
                <w:rFonts w:ascii="Times New Roman" w:hAnsi="Times New Roman"/>
                <w:color w:val="000000"/>
                <w:sz w:val="20"/>
              </w:rPr>
              <w:t xml:space="preserve"> </w:t>
            </w:r>
            <w:r>
              <w:rPr>
                <w:rFonts w:ascii="Times New Roman" w:hAnsi="Times New Roman"/>
                <w:b/>
                <w:color w:val="000000"/>
                <w:sz w:val="20"/>
              </w:rPr>
              <w:t>976-5448</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355" w:type="dxa"/>
        <w:jc w:val="left"/>
        <w:tblInd w:w="0" w:type="dxa"/>
        <w:tblLayout w:type="fixed"/>
        <w:tblCellMar>
          <w:top w:w="28" w:type="dxa"/>
          <w:left w:w="28" w:type="dxa"/>
          <w:bottom w:w="28" w:type="dxa"/>
          <w:right w:w="28" w:type="dxa"/>
        </w:tblCellMar>
      </w:tblPr>
      <w:tblGrid>
        <w:gridCol w:w="4291"/>
        <w:gridCol w:w="146"/>
        <w:gridCol w:w="946"/>
        <w:gridCol w:w="146"/>
        <w:gridCol w:w="382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30, 2026, Tempus AI, Inc. (the “Company”) issued a press release regarding its financial results for the quarter ended June 30, 2026. A copy of the press release is furnished as Exhibit 99.1 to this Current Report on Form 8-K.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Item 2.02 of this Current Report on Form 8-K, including the accompanying Exhibit 99.1, is intended to be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except as expressly set forth by specific reference in such filling.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30, 2026, the Company made available on the “Events” page of its investor relations website at http://investors.tempus.com supplemental financial information for the quarter ended June 30, 2026 and a letter from its Chief Executive Officer and Chief Financial Officer. The contents of the Company’s website referenced in this Current Report on Form 8-K are not incorporated into this Current Report on Form 8-K. The information in Item 7.01 of this Current Report on Form 8-K is intended to be furnished and shall not be deemed “filed” for purposes of Section 18 of the Exchange Act, or otherwise subject to the liabilities of that section, nor shall it be deemed incorporated by reference into any filing under the Securities Act or the Exchange Act, except as expressly set forth by specific reference in such filling.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routinely uses its investor relations website (http://investors.tempus.com) to post presentations to investors and other important information, including information that may be material. Accordingly, the Company encourages investors and others interested in the Company to review the information it makes public on its investor relations website.</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7436" w:type="dxa"/>
        <w:jc w:val="left"/>
        <w:tblInd w:w="0" w:type="dxa"/>
        <w:tblLayout w:type="fixed"/>
        <w:tblCellMar>
          <w:top w:w="28" w:type="dxa"/>
          <w:left w:w="28" w:type="dxa"/>
          <w:bottom w:w="28" w:type="dxa"/>
          <w:right w:w="28" w:type="dxa"/>
        </w:tblCellMar>
      </w:tblPr>
      <w:tblGrid>
        <w:gridCol w:w="646"/>
        <w:gridCol w:w="6790"/>
      </w:tblGrid>
      <w:tr>
        <w:trPr/>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6790" w:type="dxa"/>
            <w:tcBorders/>
            <w:shd w:fill="FFFFFF" w:val="cle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No.</w:t>
            </w:r>
          </w:p>
        </w:tc>
        <w:tc>
          <w:tcPr>
            <w:tcW w:w="6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99.1</w:t>
            </w:r>
          </w:p>
        </w:tc>
        <w:tc>
          <w:tcPr>
            <w:tcW w:w="679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tem-ex99_1.htm">
              <w:r>
                <w:rPr>
                  <w:rStyle w:val="InternetLink"/>
                  <w:rFonts w:ascii="Times New Roman" w:hAnsi="Times New Roman"/>
                  <w:color w:val="0000FF"/>
                  <w:sz w:val="20"/>
                  <w:u w:val="single"/>
                </w:rPr>
                <w:t>Press release issued by Tempus AI, Inc. dated July 30, 2026.</w:t>
              </w:r>
            </w:hyperlink>
            <w:hyperlink w:anchor="tem-ex99_1.htm">
              <w:r>
                <w:rPr>
                  <w:rStyle w:val="InternetLink"/>
                  <w:rFonts w:ascii="Times New Roman" w:hAnsi="Times New Roman"/>
                  <w:color w:val="0000FF"/>
                  <w:sz w:val="20"/>
                </w:rPr>
                <w:t xml:space="preserve"> </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104</w:t>
            </w:r>
          </w:p>
        </w:tc>
        <w:tc>
          <w:tcPr>
            <w:tcW w:w="6790"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294" w:type="dxa"/>
        <w:jc w:val="left"/>
        <w:tblInd w:w="0" w:type="dxa"/>
        <w:tblLayout w:type="fixed"/>
        <w:tblCellMar>
          <w:top w:w="28" w:type="dxa"/>
          <w:left w:w="28" w:type="dxa"/>
          <w:bottom w:w="28" w:type="dxa"/>
          <w:right w:w="28" w:type="dxa"/>
        </w:tblCellMar>
      </w:tblPr>
      <w:tblGrid>
        <w:gridCol w:w="556"/>
        <w:gridCol w:w="1276"/>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Tempus AI,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76" w:type="dxa"/>
            <w:tcBorders/>
            <w:tcMar>
              <w:top w:w="0" w:type="dxa"/>
              <w:left w:w="0" w:type="dxa"/>
              <w:bottom w:w="0" w:type="dxa"/>
              <w:right w:w="0" w:type="dxa"/>
            </w:tcMar>
            <w:vAlign w:val="center"/>
          </w:tcPr>
          <w:p>
            <w:pPr>
              <w:pStyle w:val="TableContents"/>
              <w:bidi w:val="0"/>
              <w:spacing w:before="86" w:after="283"/>
              <w:jc w:val="left"/>
              <w:rPr>
                <w:color w:val="000000"/>
              </w:rPr>
            </w:pPr>
            <w:r>
              <w:rPr>
                <w:color w:val="000000"/>
              </w:rPr>
              <w:t> </w:t>
            </w:r>
            <w:r>
              <w:rPr>
                <w:rFonts w:ascii="Times New Roman" w:hAnsi="Times New Roman"/>
                <w:color w:val="000000"/>
                <w:sz w:val="20"/>
              </w:rPr>
              <w:t>July 30,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James Rogers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James Rogers</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tem-ex99_1.htm"/>
      <w:bookmarkStart w:id="3" w:name="kstemex99_1"/>
      <w:bookmarkEnd w:id="2"/>
      <w:bookmarkEnd w:id="3"/>
      <w:r>
        <w:rPr>
          <w:rFonts w:ascii="Times New Roman" w:hAnsi="Times New Roman"/>
          <w:b/>
          <w:color w:val="000000"/>
          <w:sz w:val="20"/>
        </w:rPr>
        <w:t>Exhibit 99.1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Tempus Reports Second Quarter 2026 Results</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CHICAGO, July 30, 2026 </w:t>
      </w:r>
      <w:r>
        <w:rPr>
          <w:rFonts w:ascii="Times New Roman" w:hAnsi="Times New Roman"/>
          <w:color w:val="000000"/>
          <w:sz w:val="20"/>
        </w:rPr>
        <w:t xml:space="preserve">— Tempus AI, Inc. (NASDAQ: TEM), a technology company leading the adoption of AI to advance precision medicine, today reported financial results for the quarter ended June 30, 2026. </w:t>
      </w:r>
    </w:p>
    <w:p>
      <w:pPr>
        <w:pStyle w:val="TextBody"/>
        <w:bidi w:val="0"/>
        <w:spacing w:before="240" w:after="283"/>
        <w:jc w:val="left"/>
        <w:rPr>
          <w:color w:val="000000"/>
        </w:rPr>
      </w:pPr>
      <w:r>
        <w:rPr>
          <w:color w:val="000000"/>
        </w:rPr>
        <w:t>“</w:t>
      </w:r>
      <w:r>
        <w:rPr>
          <w:rFonts w:ascii="Times New Roman" w:hAnsi="Times New Roman"/>
          <w:color w:val="000000"/>
          <w:sz w:val="20"/>
        </w:rPr>
        <w:t>Q2 was another exceptional quarter for us,” said Eric Lefkofsky, Founder and CEO of Tempus. “Our strategy is working given the investments we have made in AI over the past several years are driving some of the best growth rates we have seen in our two largest businesses - Oncology Diagnostics and Data Licensing.”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Second Quarter 2026 Highlights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 Total revenue of $382.5 million, up 22% year-over-year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Oncology volume growth of 31% year-over-year, up from 28% last quarter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 Molecular residual disease (MRD) volume was 9,000 tests, up from 6,500 last quarter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Data Licensing &amp; Modeling (Insights) revenue up 36% year-over-year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 Signed ~$200 million in new Data and Applications licenses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FDA approved xT Tumor Only which will migrate tissue testing to ADLT pricing</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Successfully delivered our first oncology foundation model to AstraZeneca</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Completed a $460 million offering of 0.0% convertible senior notes due 2032</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GAAP net income of $5.6 million and Adjusted EBITDA of $8.0 million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Cash and marketable securities of $820.7 million as of June 30, 2026</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Increasing revenue guidance to $1.595 to $1.605 billion for 2026 and expect full year Adjusted EBITDA of ~$65 million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On July 20, 2026, Tempus also announced an agreement to acquire Personalis, a leader in the tumor-informed MRD space. “Through our existing collaboration with Personalis, we have already demonstrated the strength of combining highly sensitive MRD technology with our commercial infrastructure,” said Mr. Lefkofsky. “With clinical adoption and reimbursement momentum building, we believe we are collectively well positioned to capture this opportunity, which makes this acquisition particularly exciting.”</w:t>
        <w:br/>
        <w:br/>
      </w:r>
      <w:r>
        <w:rPr>
          <w:rFonts w:ascii="Times New Roman" w:hAnsi="Times New Roman"/>
          <w:b/>
          <w:color w:val="000000"/>
          <w:sz w:val="20"/>
        </w:rPr>
        <w:t>Second Quarter 2026 Summary Results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Revenue increased 22% year-over-year to $382.5 million.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Diagnostics generated $289.3 million of revenue, representing 20% year-over-year growth, driven by Oncology volume growth of 31%, offset by Hereditary revenue growth of 5%.</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Data and Applications generated $93.2 million of revenue, representing 28% year-over-year growth, with Insights growing 36%.</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Gross profit increased 26% year-over-year to $246.5 million, led by growth in Data and Applications.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Net income was $5.6 million, which included $55.6 million of stock compensation expense and related employer payroll taxes and $98.5 million in unrealized gains on marketable securities, compared to a net loss of $(42.8 million) in Q2 of 2025.</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Adjusted EBITDA was $8.0 million, compared to ($5.6 million) in Q2 of 2025.</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$820.7 million in cash and marketable securities as of June 30,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Operational Highlights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Entered into a definitive agreement to acquire Personalis for $16.25 per share (~$1.5 billion enterprise value), tightly integrating its ultrasensitive NeXT Personal® MRD technology into Tempus' diagnostic platform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Received FDA approval for tumor-only xT CDx assay, becoming the first laboratory to hold FDA companion diagnostic (CDx) approval for both tumor-only and tumor-normal comprehensive genomic profiling</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Launched digital pathology IMS Open-Source Consortium along with Yale New Haven Hospital (YNHH) and Memorial Sloan Kettering Cancer Center (MSK) to accelerate the democratization and standardization of digital pathology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 Introduced Tempus Preview to provide preliminary results for high impact biomarkers within ~24 hours of tissue receipt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Announced a strategic collaboration with the Keck School of Medicine of USC to integrate Tempus' AI platform, molecular diagnostics, and clinical trial matching across more than 1.5 million annual patient visits to accelerate precision oncology care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Introduced initial results from and successfully delivered the first version of our foundation model to AstraZeneca</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Signed large deals with BioNTech, Daiichi Sankyo, Level Set Bio, and Incyte Pharmaceuticals, contributing to ~$200 million in total bookings this quarter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Second Quarter Financial Results</w:t>
      </w:r>
      <w:r>
        <w:rPr>
          <w:rFonts w:ascii="Times New Roman" w:hAnsi="Times New Roman"/>
          <w:color w:val="000000"/>
          <w:sz w:val="20"/>
        </w:rPr>
        <w:t xml:space="preserve"> </w:t>
      </w:r>
    </w:p>
    <w:p>
      <w:pPr>
        <w:pStyle w:val="TextBody"/>
        <w:bidi w:val="0"/>
        <w:jc w:val="left"/>
        <w:rPr/>
      </w:pPr>
      <w:r>
        <w:rPr/>
        <w:t> </w:t>
      </w:r>
    </w:p>
    <w:tbl>
      <w:tblPr>
        <w:tblW w:w="8738" w:type="dxa"/>
        <w:jc w:val="left"/>
        <w:tblInd w:w="0" w:type="dxa"/>
        <w:tblLayout w:type="fixed"/>
        <w:tblCellMar>
          <w:top w:w="28" w:type="dxa"/>
          <w:left w:w="28" w:type="dxa"/>
          <w:bottom w:w="28" w:type="dxa"/>
          <w:right w:w="28" w:type="dxa"/>
        </w:tblCellMar>
      </w:tblPr>
      <w:tblGrid>
        <w:gridCol w:w="2971"/>
        <w:gridCol w:w="146"/>
        <w:gridCol w:w="392"/>
        <w:gridCol w:w="1454"/>
        <w:gridCol w:w="309"/>
        <w:gridCol w:w="271"/>
        <w:gridCol w:w="392"/>
        <w:gridCol w:w="1454"/>
        <w:gridCol w:w="166"/>
        <w:gridCol w:w="146"/>
        <w:gridCol w:w="170"/>
        <w:gridCol w:w="491"/>
        <w:gridCol w:w="376"/>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 and per share amounts)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382,486</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246,498</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(75,913</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5,642</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(7,726</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8,044</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loss per share,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Financial Outlook and Guidance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Tempus is increasing its full year 2026 revenue guidance to $1.595 to $1.605 billion, which represents ~25% annual growth. We continue to expect 2026 Adjusted EBITDA to be ~$65 million. Guidance assumes no impact from the Personalis transaction, which is expected to close in late Q4 2026 or early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additional information on the quarter, including a letter from our CEO and CFO, please visit our investor relations site at investors.tempus.com.</w:t>
      </w:r>
    </w:p>
    <w:p>
      <w:pPr>
        <w:pStyle w:val="TextBody"/>
        <w:bidi w:val="0"/>
        <w:spacing w:before="360" w:after="283"/>
        <w:jc w:val="left"/>
        <w:rPr>
          <w:rFonts w:ascii="Times New Roman" w:hAnsi="Times New Roman"/>
          <w:sz w:val="20"/>
        </w:rPr>
      </w:pPr>
      <w:r>
        <w:rPr>
          <w:rFonts w:ascii="Times New Roman" w:hAnsi="Times New Roman"/>
          <w:b/>
          <w:color w:val="000000"/>
          <w:sz w:val="20"/>
        </w:rPr>
        <w:t>Webcast and Conference Call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conference call and webcast will begin today, July 30, 2026 after market close at 4:30 p.m. Eastern Time. Interested parties may access details at:</w:t>
      </w:r>
    </w:p>
    <w:p>
      <w:pPr>
        <w:pStyle w:val="TextBody"/>
        <w:bidi w:val="0"/>
        <w:jc w:val="left"/>
        <w:rPr>
          <w:rFonts w:ascii="Times New Roman" w:hAnsi="Times New Roman"/>
          <w:sz w:val="20"/>
        </w:rPr>
      </w:pPr>
      <w:r>
        <w:rPr>
          <w:rFonts w:ascii="Times New Roman" w:hAnsi="Times New Roman"/>
          <w:color w:val="000000"/>
          <w:sz w:val="20"/>
        </w:rPr>
        <w:t>Conference ID: 9053038</w:t>
      </w:r>
      <w:r>
        <w:rPr>
          <w:rFonts w:ascii="Times New Roman" w:hAnsi="Times New Roman"/>
          <w:color w:val="222222"/>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United States - New York: (646) 307-1963</w:t>
      </w:r>
    </w:p>
    <w:p>
      <w:pPr>
        <w:pStyle w:val="TextBody"/>
        <w:bidi w:val="0"/>
        <w:jc w:val="left"/>
        <w:rPr>
          <w:rFonts w:ascii="Times New Roman" w:hAnsi="Times New Roman"/>
          <w:color w:val="000000"/>
          <w:sz w:val="20"/>
        </w:rPr>
      </w:pPr>
      <w:r>
        <w:rPr>
          <w:rFonts w:ascii="Times New Roman" w:hAnsi="Times New Roman"/>
          <w:color w:val="000000"/>
          <w:sz w:val="20"/>
        </w:rPr>
        <w:t>USA &amp; Canada - Toll-Free: (800) 715-9871</w:t>
      </w:r>
    </w:p>
    <w:p>
      <w:pPr>
        <w:pStyle w:val="TextBody"/>
        <w:bidi w:val="0"/>
        <w:jc w:val="left"/>
        <w:rPr>
          <w:rFonts w:ascii="Times New Roman" w:hAnsi="Times New Roman"/>
          <w:sz w:val="20"/>
        </w:rPr>
      </w:pPr>
      <w:r>
        <w:rPr>
          <w:rFonts w:ascii="Times New Roman" w:hAnsi="Times New Roman"/>
          <w:color w:val="000000"/>
          <w:sz w:val="20"/>
        </w:rPr>
        <w:t xml:space="preserve">Live webcast can be accessed </w:t>
      </w:r>
      <w:r>
        <w:rPr>
          <w:rFonts w:ascii="Times New Roman" w:hAnsi="Times New Roman"/>
          <w:sz w:val="20"/>
        </w:rPr>
        <w:t>here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webcast may be accessed on the company’s investor relations website at investors.tempus.com. For those unable to listen to the live webcast, a recording will be made available on the company’s website after the event and will be accessible for one year. Visit the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investor relations website to find the company’s latest deck, and commentary on the quarter by Eric Lefkofsky, Founder and CEO, and Jim Rogers, CFO, which will be discussed on the conference call and webcast.</w:t>
      </w:r>
    </w:p>
    <w:p>
      <w:pPr>
        <w:pStyle w:val="TextBody"/>
        <w:bidi w:val="0"/>
        <w:spacing w:before="360" w:after="283"/>
        <w:jc w:val="left"/>
        <w:rPr>
          <w:rFonts w:ascii="Times New Roman" w:hAnsi="Times New Roman"/>
          <w:sz w:val="20"/>
        </w:rPr>
      </w:pPr>
      <w:r>
        <w:rPr>
          <w:rFonts w:ascii="Times New Roman" w:hAnsi="Times New Roman"/>
          <w:b/>
          <w:color w:val="000000"/>
          <w:sz w:val="20"/>
        </w:rPr>
        <w:t>About Tempus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Tempus is a technology company advancing precision medicine through the practical application of artificial intelligence in healthcare. With one of the world’s largest libraries of multimodal data, and an operating system to make that data accessible and useful, Tempus provides AI-enabled precision medicine solutions to physicians to deliver personalized patient care and in parallel facilitates discovery, development and delivery of optimal therapeutics. The goal is for each patient to benefit from the treatment of others who came before by providing physicians with tools that learn as the company gathers more data. For more information, visit tempus.com.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Non-GAAP Financial Measures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financial information presented in this release in accordance with accounting principles generally accepted in the United States of America (GAAP), Tempus also presents adjusted non-GAAP financial measures. </w:t>
      </w:r>
    </w:p>
    <w:p>
      <w:pPr>
        <w:pStyle w:val="TextBody"/>
        <w:bidi w:val="0"/>
        <w:spacing w:before="240" w:after="283"/>
        <w:jc w:val="left"/>
        <w:rPr>
          <w:rFonts w:ascii="Times New Roman" w:hAnsi="Times New Roman"/>
          <w:sz w:val="20"/>
        </w:rPr>
      </w:pPr>
      <w:r>
        <w:rPr>
          <w:rFonts w:ascii="Times New Roman" w:hAnsi="Times New Roman"/>
          <w:b/>
          <w:color w:val="000000"/>
          <w:sz w:val="20"/>
        </w:rPr>
        <w:t>Non-GAAP gross profit</w:t>
      </w:r>
      <w:r>
        <w:rPr>
          <w:rFonts w:ascii="Times New Roman" w:hAnsi="Times New Roman"/>
          <w:color w:val="000000"/>
          <w:sz w:val="20"/>
        </w:rPr>
        <w:t xml:space="preserve"> is defined as GAAP gross profit, excluding stock-based compensation expense and employer payroll tax related to stock-based compensation (collectively, the “stock-based compensation adjustments”). </w:t>
      </w:r>
      <w:r>
        <w:rPr>
          <w:rFonts w:ascii="Times New Roman" w:hAnsi="Times New Roman"/>
          <w:b/>
          <w:color w:val="000000"/>
          <w:sz w:val="20"/>
        </w:rPr>
        <w:t>Non-GAAP gross margin</w:t>
      </w:r>
      <w:r>
        <w:rPr>
          <w:rFonts w:ascii="Times New Roman" w:hAnsi="Times New Roman"/>
          <w:color w:val="000000"/>
          <w:sz w:val="20"/>
        </w:rPr>
        <w:t xml:space="preserve"> is defined as gross profit, excluding the stock-based compensation adjustments, as a percentage of revenue. </w:t>
      </w:r>
      <w:r>
        <w:rPr>
          <w:rFonts w:ascii="Times New Roman" w:hAnsi="Times New Roman"/>
          <w:b/>
          <w:color w:val="000000"/>
          <w:sz w:val="20"/>
        </w:rPr>
        <w:t>Non-GAAP operating expenses</w:t>
      </w:r>
      <w:r>
        <w:rPr>
          <w:rFonts w:ascii="Times New Roman" w:hAnsi="Times New Roman"/>
          <w:color w:val="000000"/>
          <w:sz w:val="20"/>
        </w:rPr>
        <w:t xml:space="preserve"> are calculated as the sum of technology research and development expense, research and development expense, and selling, general and administrative expense, excluding the stock-based compensation adjustments, acquisition-related expenses, amortization of intangibles due to acquisition, and franchise taxes related to IPO. </w:t>
      </w:r>
      <w:r>
        <w:rPr>
          <w:rFonts w:ascii="Times New Roman" w:hAnsi="Times New Roman"/>
          <w:b/>
          <w:color w:val="000000"/>
          <w:sz w:val="20"/>
        </w:rPr>
        <w:t>Non-GAAP loss from operations</w:t>
      </w:r>
      <w:r>
        <w:rPr>
          <w:rFonts w:ascii="Times New Roman" w:hAnsi="Times New Roman"/>
          <w:color w:val="000000"/>
          <w:sz w:val="20"/>
        </w:rPr>
        <w:t xml:space="preserve"> is defined as loss from operations, adjusted to exclude (i) the stock-based compensation adjustments, (ii) acquisition-related expenses, (iii) franchise taxes related to IPO, and (iv) amortization of intangibles due to acquisition. </w:t>
      </w:r>
      <w:r>
        <w:rPr>
          <w:rFonts w:ascii="Times New Roman" w:hAnsi="Times New Roman"/>
          <w:b/>
          <w:color w:val="000000"/>
          <w:sz w:val="20"/>
        </w:rPr>
        <w:t>Non-GAAP net loss</w:t>
      </w:r>
      <w:r>
        <w:rPr>
          <w:rFonts w:ascii="Times New Roman" w:hAnsi="Times New Roman"/>
          <w:color w:val="000000"/>
          <w:sz w:val="20"/>
        </w:rPr>
        <w:t xml:space="preserve"> is defined as net income (loss), adjusted to exclude (i) changes in fair value of our marketable equity securities and indemnity-related holdback liabilities, (ii) the stock-based compensation adjustments, (iii) acquisition-related expenses, (iv) amortization of intangibles due to acquisition, (v) losses from equity method investments, (vi) provision for (benefit from) income taxes, (vii) franchise taxes related to IPO, and (viii) amortization of deferred other income from our IP License Agreement with SB Tempus, and (ix) loss on debt extinguishment. </w:t>
      </w:r>
      <w:r>
        <w:rPr>
          <w:rFonts w:ascii="Times New Roman" w:hAnsi="Times New Roman"/>
          <w:b/>
          <w:color w:val="000000"/>
          <w:sz w:val="20"/>
        </w:rPr>
        <w:t>Non-GAAP net loss per share</w:t>
      </w:r>
      <w:r>
        <w:rPr>
          <w:rFonts w:ascii="Times New Roman" w:hAnsi="Times New Roman"/>
          <w:color w:val="000000"/>
          <w:sz w:val="20"/>
        </w:rPr>
        <w:t xml:space="preserve"> is defined as non-GAAP net loss divided by weighted average common shares outstanding, basic.</w:t>
      </w:r>
    </w:p>
    <w:p>
      <w:pPr>
        <w:pStyle w:val="TextBody"/>
        <w:bidi w:val="0"/>
        <w:spacing w:before="240" w:after="283"/>
        <w:jc w:val="left"/>
        <w:rPr>
          <w:rFonts w:ascii="Times New Roman" w:hAnsi="Times New Roman"/>
          <w:sz w:val="20"/>
        </w:rPr>
      </w:pPr>
      <w:r>
        <w:rPr>
          <w:rFonts w:ascii="Times New Roman" w:hAnsi="Times New Roman"/>
          <w:b/>
          <w:color w:val="000000"/>
          <w:sz w:val="20"/>
        </w:rPr>
        <w:t>Adjusted EBITDA</w:t>
      </w:r>
      <w:r>
        <w:rPr>
          <w:rFonts w:ascii="Times New Roman" w:hAnsi="Times New Roman"/>
          <w:color w:val="000000"/>
          <w:sz w:val="20"/>
        </w:rPr>
        <w:t xml:space="preserve"> is defined as net (income) loss, adjusted to exclude (i) interest income, (ii) interest expense, (iii) depreciation and amortization, (iv) provision for (benefit from) income taxes, (v) losses from equity method investments, (vi) changes in fair value of our marketable equity securities and indemnity-related holdback liabilities, (vii) the stock-based compensation adjustments, (viii) </w:t>
      </w:r>
      <w:r>
        <w:rPr>
          <w:rFonts w:ascii="Times New Roman" w:hAnsi="Times New Roman"/>
          <w:color w:val="231F20"/>
          <w:sz w:val="20"/>
        </w:rPr>
        <w:t>acquisition-related expenses</w:t>
      </w:r>
      <w:r>
        <w:rPr>
          <w:rFonts w:ascii="Times New Roman" w:hAnsi="Times New Roman"/>
          <w:color w:val="000000"/>
          <w:sz w:val="20"/>
        </w:rPr>
        <w:t>, and (ix) amortization of deferred other income from our IP License Agreement with SB Tempus, (x) franchise taxes related to our IPO, and (xi) loss on debt extinguishment.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Tempus believes these non-GAAP financial measures are useful to investors and others because they allow for additional information with respect to financial measures used by management in its financial and operational decision-making and they may be used by institutional investors and the analyst community to help them analyze the health of Tempus’ business. In particular, Adjusted EBITDA is a key measurement used by Tempus management to make operating decisions, including those related to analyzing operating expenses, evaluating performance, and performing strategic planning and annual budgeting.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Tempus does not provide guidance for net (income) loss, the most directly comparable GAAP measure to Adjusted EBITDA, and similarly cannot provide a reconciliation between Tempus’ forecasted Adjusted EBITDA and net loss without unreasonable effort due to the unavailability of reliable estimates for certain components of net loss and the respective reconciliations. These forecasted items are not within Tempus’ control, may vary greatly between periods, and could significantly impact future financial results.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Key Metrics</w:t>
      </w:r>
    </w:p>
    <w:p>
      <w:pPr>
        <w:pStyle w:val="TextBody"/>
        <w:bidi w:val="0"/>
        <w:spacing w:before="240" w:after="283"/>
        <w:jc w:val="left"/>
        <w:rPr>
          <w:rFonts w:ascii="Times New Roman" w:hAnsi="Times New Roman"/>
          <w:sz w:val="20"/>
        </w:rPr>
      </w:pPr>
      <w:r>
        <w:rPr>
          <w:rFonts w:ascii="Times New Roman" w:hAnsi="Times New Roman"/>
          <w:b/>
          <w:color w:val="000000"/>
          <w:sz w:val="20"/>
        </w:rPr>
        <w:t>Total Remaining Contract Value (TCV)</w:t>
      </w:r>
      <w:r>
        <w:rPr>
          <w:rFonts w:ascii="Times New Roman" w:hAnsi="Times New Roman"/>
          <w:color w:val="000000"/>
          <w:sz w:val="20"/>
        </w:rPr>
        <w:t xml:space="preserve"> is equal to the total potential value of signed contracts and assumes the exercise of all contract options, all discretionary opt-ins, and no early termination. Remaining TCV excludes any revenue recognized to date on these contracts or any future adjustments made to the contractual value as a result of amendments or terminations.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Net Revenue Retention </w:t>
      </w:r>
      <w:r>
        <w:rPr>
          <w:rFonts w:ascii="Times New Roman" w:hAnsi="Times New Roman"/>
          <w:color w:val="000000"/>
          <w:sz w:val="20"/>
        </w:rPr>
        <w:t>compares the annual Insights product revenue generated from all customers that made an Insights purchase in one year to the annual Insights product revenue generated from the same cohort of customers in the subsequent year.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Forward 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press release contains forward-looking statements within the meaning of Section 27A of the Securities Act of 1933, as amended, and Section 21E of the Securities Exchange Act of 1934, as amended, about Tempus and its industry that involve substantial risks and uncertainties. All statements other than statements of historical facts contained in this press release are forward-looking statements, including, but not limited to, Tempus’ expected financial results for full year 2026; expectations concerning Tempus' collaborations and partnerships; Tempus' growth expectations; and the pending acquisition of Personalis. In some cases, you can identify forward-looking statements because they contain words such as “anticipate,” “believe,” “contemplate,” “continue,” “could,” “estimate,” “expect,” “going to,” “intend,” “may,” “plan,” “potential,” “predict,” “project,” “should,” “target,” “will,” or “would” or the negative of these words or other similar terms or expressions. Tempus cautions you that the foregoing may not include all of the forward-looking statements made in this press release.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not rely on forward-looking statements as predictions of future events. Tempus has based the forward-looking statements contained in this press release primarily on its current expectations and projections about future events and trends that it believes may affect Tempus’ business, financial condition, results of operations and prospects. These forward-looking statements are subject to risks and uncertainties related to: the intended use of Tempus’ products and services; Tempus’ financial performance; the ability to attract and retain customers and partners; managing Tempus’ growth and future expenses; competition and new market entrants; compliance with new laws, regulations and executive actions, including any evolving regulations in the artificial intelligence space; the ability to maintain, protect and enhance Tempus’ intellectual property; the ability to attract and retain qualified team members and key personnel; the ability to repay or refinance outstanding debt, or to access additional financing; future acquisitions, divestitures or investments, including Tempus' ability to consummate the acquisition of Personalis on the contemplated terms or at all and Tempus’ ability to realize the expected benefits of the acquisition of Paige AI, Ambry Genetics, Deep 6 AI and, if consummated, Personalis; the potential adverse impact of climate change, natural disasters, health epidemics, macroeconomic conditions, trade tensions and tariffs, and war or other armed conflict, as well as risks, uncertainties, and other factors described in the section titled “Risk Factors” in Tempus’ Form 10-K for the year ended December 31, 2025, filed with the Securities and Exchange Commission (“the SEC”) on February 24, 2026, as well as in other filings Tempus may make with the SEC from time to time. In addition, any forward-looking statements contained in this press release are based on assumptions that Tempus believes to be reasonable as of this date. Tempus undertakes no obligation to update any forward-looking statements to reflect events or circumstances after the date of this press release or to reflect new information or the occurrence of unanticipated events, except as required by law.</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Investors</w:t>
      </w:r>
    </w:p>
    <w:p>
      <w:pPr>
        <w:pStyle w:val="TextBody"/>
        <w:bidi w:val="0"/>
        <w:jc w:val="left"/>
        <w:rPr>
          <w:rFonts w:ascii="Times New Roman" w:hAnsi="Times New Roman"/>
          <w:color w:val="000000"/>
          <w:sz w:val="20"/>
        </w:rPr>
      </w:pPr>
      <w:r>
        <w:rPr>
          <w:rFonts w:ascii="Times New Roman" w:hAnsi="Times New Roman"/>
          <w:color w:val="000000"/>
          <w:sz w:val="20"/>
        </w:rPr>
        <w:t>Elizabeth Krutoholow</w:t>
      </w:r>
    </w:p>
    <w:p>
      <w:pPr>
        <w:pStyle w:val="TextBody"/>
        <w:bidi w:val="0"/>
        <w:jc w:val="left"/>
        <w:rPr>
          <w:rFonts w:ascii="Times New Roman" w:hAnsi="Times New Roman"/>
          <w:color w:val="000000"/>
          <w:sz w:val="20"/>
        </w:rPr>
      </w:pPr>
      <w:r>
        <w:rPr>
          <w:rFonts w:ascii="Times New Roman" w:hAnsi="Times New Roman"/>
          <w:color w:val="000000"/>
          <w:sz w:val="20"/>
        </w:rPr>
        <w:t>Kendra Webster</w:t>
      </w:r>
    </w:p>
    <w:p>
      <w:pPr>
        <w:pStyle w:val="TextBody"/>
        <w:bidi w:val="0"/>
        <w:jc w:val="left"/>
        <w:rPr>
          <w:rFonts w:ascii="Times New Roman" w:hAnsi="Times New Roman"/>
          <w:color w:val="000000"/>
          <w:sz w:val="20"/>
        </w:rPr>
      </w:pPr>
      <w:r>
        <w:rPr>
          <w:rFonts w:ascii="Times New Roman" w:hAnsi="Times New Roman"/>
          <w:color w:val="000000"/>
          <w:sz w:val="20"/>
        </w:rPr>
        <w:t>investorrelations@tempus.com</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Media</w:t>
      </w:r>
    </w:p>
    <w:p>
      <w:pPr>
        <w:pStyle w:val="TextBody"/>
        <w:bidi w:val="0"/>
        <w:jc w:val="left"/>
        <w:rPr>
          <w:rFonts w:ascii="Times New Roman" w:hAnsi="Times New Roman"/>
          <w:color w:val="000000"/>
          <w:sz w:val="20"/>
        </w:rPr>
      </w:pPr>
      <w:r>
        <w:rPr>
          <w:rFonts w:ascii="Times New Roman" w:hAnsi="Times New Roman"/>
          <w:color w:val="000000"/>
          <w:sz w:val="20"/>
        </w:rPr>
        <w:t>Kelli Manalli</w:t>
      </w:r>
    </w:p>
    <w:p>
      <w:pPr>
        <w:pStyle w:val="TextBody"/>
        <w:bidi w:val="0"/>
        <w:jc w:val="left"/>
        <w:rPr>
          <w:rFonts w:ascii="Times New Roman" w:hAnsi="Times New Roman"/>
          <w:color w:val="000000"/>
          <w:sz w:val="20"/>
        </w:rPr>
      </w:pPr>
      <w:r>
        <w:rPr>
          <w:rFonts w:ascii="Times New Roman" w:hAnsi="Times New Roman"/>
          <w:color w:val="000000"/>
          <w:sz w:val="20"/>
        </w:rPr>
        <w:t xml:space="preserve">kelli.manalli@tempus.com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Source: Tempus AI, Inc.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 AND COMPREHENSIVE INCOME (LOSS)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24"/>
        <w:gridCol w:w="146"/>
        <w:gridCol w:w="211"/>
        <w:gridCol w:w="781"/>
        <w:gridCol w:w="166"/>
        <w:gridCol w:w="146"/>
        <w:gridCol w:w="211"/>
        <w:gridCol w:w="781"/>
        <w:gridCol w:w="166"/>
        <w:gridCol w:w="146"/>
        <w:gridCol w:w="211"/>
        <w:gridCol w:w="841"/>
        <w:gridCol w:w="166"/>
        <w:gridCol w:w="146"/>
        <w:gridCol w:w="211"/>
        <w:gridCol w:w="841"/>
        <w:gridCol w:w="611"/>
      </w:tblGrid>
      <w:tr>
        <w:trPr/>
        <w:tc>
          <w:tcPr>
            <w:tcW w:w="4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Diagnostics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Data and applications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134,725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570,372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diagnostics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184,539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data and applications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77,493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335,339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458,399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700,835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(130,463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(loss) before (provision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from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outstanding used to compute 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171,960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171,960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(102,526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Includes related party revenue of $40 and $0 for the three months ended June 30, 2026 and 2025, respectively. Includes related party revenue of $190 and $1 for the six months ended June 30, 2026 and 2025, respectively.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Includes related party revenue of $21,984 and $15,908 for the three months ended June 30, 2026 and 2025, respectively. Includes related party revenue of $43,657 and $16,538 for the six months ended June 30, 2026 and 2025, respectively.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78"/>
        <w:gridCol w:w="146"/>
        <w:gridCol w:w="211"/>
        <w:gridCol w:w="931"/>
        <w:gridCol w:w="146"/>
        <w:gridCol w:w="146"/>
        <w:gridCol w:w="250"/>
        <w:gridCol w:w="1105"/>
        <w:gridCol w:w="792"/>
      </w:tblGrid>
      <w:tr>
        <w:trPr/>
        <w:tc>
          <w:tcPr>
            <w:tcW w:w="6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604,787</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Accounts receivable</w:t>
            </w:r>
            <w:r>
              <w:rPr>
                <w:rFonts w:ascii="Times New Roman" w:hAnsi="Times New Roman"/>
                <w:color w:val="000000"/>
                <w:sz w:val="13"/>
              </w:rPr>
              <w:t>(1)</w:t>
            </w:r>
            <w:r>
              <w:rPr>
                <w:rFonts w:ascii="Times New Roman" w:hAnsi="Times New Roman"/>
                <w:color w:val="000000"/>
                <w:sz w:val="20"/>
              </w:rPr>
              <w:t>, net of allowances of $2,794 and $2,755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311,170</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51,724</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8,785</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40,498</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150,211</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1,167,175</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89,156</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470,211</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349,202</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software,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6,051</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21,111</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86,557</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asset,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16,215</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64,496</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4,664</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2,365,911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2,274,838</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Convertible redeemable preferred stock,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81,994</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155,370</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Deferred revenue</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92,673</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15,955</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8,680</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13,355</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data licensing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4,361</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372,388</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74,272</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208,672</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56,600</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12,393</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202,753</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senior notes,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728,078</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other income,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20,379</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1,920,977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1,783,512</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Includes related party accounts receivable of $10,924 and $6,428 as of June 30, 2026 and December 31, 2025, respectively.</w:t>
      </w:r>
    </w:p>
    <w:p>
      <w:pPr>
        <w:pStyle w:val="TextBody"/>
        <w:bidi w:val="0"/>
        <w:jc w:val="left"/>
        <w:rPr>
          <w:rFonts w:ascii="Times New Roman" w:hAnsi="Times New Roman"/>
          <w:sz w:val="20"/>
        </w:rPr>
      </w:pPr>
      <w:r>
        <w:rPr>
          <w:rFonts w:ascii="Times New Roman" w:hAnsi="Times New Roman"/>
          <w:color w:val="000000"/>
          <w:sz w:val="13"/>
        </w:rPr>
        <w:t xml:space="preserve">(2) </w:t>
      </w:r>
      <w:r>
        <w:rPr>
          <w:rFonts w:ascii="Times New Roman" w:hAnsi="Times New Roman"/>
          <w:color w:val="000000"/>
          <w:sz w:val="20"/>
        </w:rPr>
        <w:t>Includes related party deferred revenue of $403 and $3,938 as of June 30, 2026 and December 31, 2025, respectively.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32"/>
        <w:gridCol w:w="146"/>
        <w:gridCol w:w="211"/>
        <w:gridCol w:w="991"/>
        <w:gridCol w:w="166"/>
        <w:gridCol w:w="146"/>
        <w:gridCol w:w="211"/>
        <w:gridCol w:w="991"/>
        <w:gridCol w:w="411"/>
      </w:tblGrid>
      <w:tr>
        <w:trPr/>
        <w:tc>
          <w:tcPr>
            <w:tcW w:w="6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redeemable preferred stock, $0.0001 par value, 20,000,000 shares authorized at June 30, 2026 and December 31, 2025, respectively, no shares issued and outstanding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$0.0001 par value, 1,000,000,000 shares authorized at June 30, 2026 and December 31, 2025, respectively; 175,200,077 and 173,235,428 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 $0.0001 par value, 5,500,000 shares authorized at June 30, 2026 and December 31, 2025, respectively; 5,043,789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183,229 shares at June 30, 2026 and December 31, 2025, respectively,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2,892,910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(2,395,862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491,326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Convertible redeemable preferred stock,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2,365,911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2,274,838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Condensed Consolidated Statements of Cash Flows</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left"/>
        <w:rPr/>
      </w:pPr>
      <w:r>
        <w:rPr/>
        <w:t> </w:t>
      </w:r>
    </w:p>
    <w:tbl>
      <w:tblPr>
        <w:tblW w:w="9144" w:type="dxa"/>
        <w:jc w:val="left"/>
        <w:tblInd w:w="0" w:type="dxa"/>
        <w:tblLayout w:type="fixed"/>
        <w:tblCellMar>
          <w:top w:w="28" w:type="dxa"/>
          <w:left w:w="28" w:type="dxa"/>
          <w:bottom w:w="28" w:type="dxa"/>
          <w:right w:w="28" w:type="dxa"/>
        </w:tblCellMar>
      </w:tblPr>
      <w:tblGrid>
        <w:gridCol w:w="5971"/>
        <w:gridCol w:w="146"/>
        <w:gridCol w:w="211"/>
        <w:gridCol w:w="841"/>
        <w:gridCol w:w="166"/>
        <w:gridCol w:w="146"/>
        <w:gridCol w:w="211"/>
        <w:gridCol w:w="841"/>
        <w:gridCol w:w="611"/>
      </w:tblGrid>
      <w:tr>
        <w:trPr/>
        <w:tc>
          <w:tcPr>
            <w:tcW w:w="5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marketable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original issue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deferred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holdback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48,385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bad debt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obsolete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operating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Minimum accretion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PIK interest added to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Accounts receivable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Investments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Related party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Deferred revenue</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data licensing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&amp;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(61,460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Includes increase in related party accounts receivable of $4,496 for the six months ended June 30, 2026. Includes decrease in related party accounts receivable of $2,089 for the six months ended June 30,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Includes decrease in related party deferred revenue of $3,535 for the six months ended June 30, 2026. Includes increase in related party deferred revenue of $36,685 for the six months ended June 30, 2025.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Condensed Consolidated Statements of Cash Flows</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left"/>
        <w:rPr/>
      </w:pPr>
      <w:r>
        <w:rPr/>
        <w:t> </w:t>
      </w:r>
    </w:p>
    <w:tbl>
      <w:tblPr>
        <w:tblW w:w="9234" w:type="dxa"/>
        <w:jc w:val="left"/>
        <w:tblInd w:w="0" w:type="dxa"/>
        <w:tblLayout w:type="fixed"/>
        <w:tblCellMar>
          <w:top w:w="28" w:type="dxa"/>
          <w:left w:w="28" w:type="dxa"/>
          <w:bottom w:w="28" w:type="dxa"/>
          <w:right w:w="28" w:type="dxa"/>
        </w:tblCellMar>
      </w:tblPr>
      <w:tblGrid>
        <w:gridCol w:w="6261"/>
        <w:gridCol w:w="146"/>
        <w:gridCol w:w="211"/>
        <w:gridCol w:w="841"/>
        <w:gridCol w:w="166"/>
        <w:gridCol w:w="146"/>
        <w:gridCol w:w="211"/>
        <w:gridCol w:w="841"/>
        <w:gridCol w:w="411"/>
      </w:tblGrid>
      <w:tr>
        <w:trPr/>
        <w:tc>
          <w:tcPr>
            <w:tcW w:w="6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marketable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combinations, net of cash acquired (Note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(380,762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(385,329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convertible senior notes, net of initial purchasers'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payments on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payments on 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Prepayment premium on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deferred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capped call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revolving credit facility, net of original issue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long-term debt, net of original issue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deferred financing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foreign exchange rates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(153,784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341,835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188,051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are Comprised of: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188,051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during the year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Preferred stock received on accounts receivable</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 accrued but not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Redemption of convertible 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financing fees, accrued but not yet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offering costs, accrued but not yet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arising from obtaining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software costs, accrued but not yet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issued in connection with business combinations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310,320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promissory note principal reset due to amendment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72,488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Includes related party preferred stock of $8,750 for the six months ended June 30,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Reconciliation of GAAP to Non-GAAP Financial Measures</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percentages and per share amounts)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Diagnostics Gross Profit &amp; Gross Margin</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24"/>
        <w:gridCol w:w="146"/>
        <w:gridCol w:w="211"/>
        <w:gridCol w:w="781"/>
        <w:gridCol w:w="271"/>
        <w:gridCol w:w="146"/>
        <w:gridCol w:w="211"/>
        <w:gridCol w:w="781"/>
        <w:gridCol w:w="271"/>
        <w:gridCol w:w="146"/>
        <w:gridCol w:w="211"/>
        <w:gridCol w:w="781"/>
        <w:gridCol w:w="271"/>
        <w:gridCol w:w="146"/>
        <w:gridCol w:w="211"/>
        <w:gridCol w:w="781"/>
        <w:gridCol w:w="516"/>
      </w:tblGrid>
      <w:tr>
        <w:trPr/>
        <w:tc>
          <w:tcPr>
            <w:tcW w:w="4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Diagnostics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550,431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435,647</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diagnostics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108,233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99,756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209,193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184,539</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diagnostics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251,108</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 diagnostics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184,860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143,761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347,454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253,865</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Diagnostics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 diagnostics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Data and applications Gross Profit &amp; Gross Margin</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72"/>
        <w:gridCol w:w="146"/>
        <w:gridCol w:w="216"/>
        <w:gridCol w:w="695"/>
        <w:gridCol w:w="278"/>
        <w:gridCol w:w="149"/>
        <w:gridCol w:w="216"/>
        <w:gridCol w:w="695"/>
        <w:gridCol w:w="271"/>
        <w:gridCol w:w="146"/>
        <w:gridCol w:w="211"/>
        <w:gridCol w:w="781"/>
        <w:gridCol w:w="271"/>
        <w:gridCol w:w="146"/>
        <w:gridCol w:w="211"/>
        <w:gridCol w:w="781"/>
        <w:gridCol w:w="520"/>
      </w:tblGrid>
      <w:tr>
        <w:trPr/>
        <w:tc>
          <w:tcPr>
            <w:tcW w:w="4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4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4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Data and applications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93,153</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134,725</w:t>
            </w:r>
          </w:p>
        </w:tc>
        <w:tc>
          <w:tcPr>
            <w:tcW w:w="5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data and applications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27,755</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35,591</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data and applications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65,398</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99,134</w:t>
            </w:r>
          </w:p>
        </w:tc>
        <w:tc>
          <w:tcPr>
            <w:tcW w:w="5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5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 data and applications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66,419</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53,759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130,059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100,596</w:t>
            </w:r>
          </w:p>
        </w:tc>
        <w:tc>
          <w:tcPr>
            <w:tcW w:w="5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data and applications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5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 data and applications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5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Total Gross Profit &amp; Gross Margin</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24"/>
        <w:gridCol w:w="146"/>
        <w:gridCol w:w="211"/>
        <w:gridCol w:w="781"/>
        <w:gridCol w:w="271"/>
        <w:gridCol w:w="146"/>
        <w:gridCol w:w="211"/>
        <w:gridCol w:w="781"/>
        <w:gridCol w:w="271"/>
        <w:gridCol w:w="146"/>
        <w:gridCol w:w="211"/>
        <w:gridCol w:w="781"/>
        <w:gridCol w:w="271"/>
        <w:gridCol w:w="146"/>
        <w:gridCol w:w="211"/>
        <w:gridCol w:w="781"/>
        <w:gridCol w:w="516"/>
      </w:tblGrid>
      <w:tr>
        <w:trPr/>
        <w:tc>
          <w:tcPr>
            <w:tcW w:w="4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730,602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570,372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135,988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119,596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262,063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468,539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350,242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3,759</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251,279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197,521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477,513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354,461</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24"/>
        <w:gridCol w:w="146"/>
        <w:gridCol w:w="211"/>
        <w:gridCol w:w="781"/>
        <w:gridCol w:w="146"/>
        <w:gridCol w:w="146"/>
        <w:gridCol w:w="211"/>
        <w:gridCol w:w="781"/>
        <w:gridCol w:w="146"/>
        <w:gridCol w:w="146"/>
        <w:gridCol w:w="211"/>
        <w:gridCol w:w="781"/>
        <w:gridCol w:w="146"/>
        <w:gridCol w:w="146"/>
        <w:gridCol w:w="211"/>
        <w:gridCol w:w="781"/>
        <w:gridCol w:w="391"/>
      </w:tblGrid>
      <w:tr>
        <w:trPr/>
        <w:tc>
          <w:tcPr>
            <w:tcW w:w="4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67,873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technology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60,513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77,493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72,765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Acquisition related expenses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intangibles due to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Franchise taxes related to IPO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263,996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480,705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41,670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Acquisition related expenses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intangibles due to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Franchise taxes related to IPO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491,800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397,274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0"/>
        </w:rPr>
        <w:t>(1)</w:t>
      </w:r>
      <w:r>
        <w:rPr>
          <w:rFonts w:ascii="Times New Roman" w:hAnsi="Times New Roman"/>
          <w:color w:val="000000"/>
          <w:sz w:val="20"/>
        </w:rPr>
        <w:t xml:space="preserve"> Acquisition related expenses consist of legal, diligence, accounting, and financing costs incurred for acquisitions during the three and six months ended June 30, 2026 and 2025.</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Loss from Operations</w:t>
      </w:r>
    </w:p>
    <w:p>
      <w:pPr>
        <w:pStyle w:val="TextBody"/>
        <w:bidi w:val="0"/>
        <w:jc w:val="left"/>
        <w:rPr/>
      </w:pPr>
      <w:r>
        <w:rPr/>
        <w:t> </w:t>
      </w:r>
    </w:p>
    <w:tbl>
      <w:tblPr>
        <w:tblW w:w="10194" w:type="dxa"/>
        <w:jc w:val="left"/>
        <w:tblInd w:w="0" w:type="dxa"/>
        <w:tblLayout w:type="fixed"/>
        <w:tblCellMar>
          <w:top w:w="28" w:type="dxa"/>
          <w:left w:w="28" w:type="dxa"/>
          <w:bottom w:w="28" w:type="dxa"/>
          <w:right w:w="28" w:type="dxa"/>
        </w:tblCellMar>
      </w:tblPr>
      <w:tblGrid>
        <w:gridCol w:w="4846"/>
        <w:gridCol w:w="146"/>
        <w:gridCol w:w="216"/>
        <w:gridCol w:w="756"/>
        <w:gridCol w:w="170"/>
        <w:gridCol w:w="149"/>
        <w:gridCol w:w="216"/>
        <w:gridCol w:w="756"/>
        <w:gridCol w:w="166"/>
        <w:gridCol w:w="146"/>
        <w:gridCol w:w="211"/>
        <w:gridCol w:w="841"/>
        <w:gridCol w:w="166"/>
        <w:gridCol w:w="146"/>
        <w:gridCol w:w="211"/>
        <w:gridCol w:w="841"/>
        <w:gridCol w:w="21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(75,913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54,121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Acquisition related expenses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 taxes related to IPO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intangibles due to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16,601</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(42,813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0"/>
        </w:rPr>
        <w:t>(1)</w:t>
      </w:r>
      <w:r>
        <w:rPr>
          <w:rFonts w:ascii="Times New Roman" w:hAnsi="Times New Roman"/>
          <w:color w:val="000000"/>
          <w:sz w:val="20"/>
        </w:rPr>
        <w:t xml:space="preserve"> Acquisition related expenses consist of legal, diligence, accounting, and financing costs incurred for acquisitions during the three and six months ended June 30, 2026 and 2025.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i/>
          <w:color w:val="000000"/>
          <w:sz w:val="20"/>
        </w:rPr>
        <w:t>Earnings per Share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24"/>
        <w:gridCol w:w="146"/>
        <w:gridCol w:w="211"/>
        <w:gridCol w:w="781"/>
        <w:gridCol w:w="166"/>
        <w:gridCol w:w="146"/>
        <w:gridCol w:w="211"/>
        <w:gridCol w:w="781"/>
        <w:gridCol w:w="166"/>
        <w:gridCol w:w="146"/>
        <w:gridCol w:w="211"/>
        <w:gridCol w:w="841"/>
        <w:gridCol w:w="166"/>
        <w:gridCol w:w="146"/>
        <w:gridCol w:w="211"/>
        <w:gridCol w:w="841"/>
        <w:gridCol w:w="211"/>
      </w:tblGrid>
      <w:tr>
        <w:trPr/>
        <w:tc>
          <w:tcPr>
            <w:tcW w:w="4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Fair value changes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Acquisition related expenses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intangibles due to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Losses from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 taxes related to IPO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technology license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loss per share,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171,960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0"/>
        </w:rPr>
        <w:t>(1)</w:t>
      </w:r>
      <w:r>
        <w:rPr>
          <w:rFonts w:ascii="Times New Roman" w:hAnsi="Times New Roman"/>
          <w:color w:val="000000"/>
          <w:sz w:val="20"/>
        </w:rPr>
        <w:t xml:space="preserve"> Fair value changes include gains and losses related to quarterly fair value adjustments of our marketable equity securities and indemnity-related holdback liabilities.  </w:t>
      </w:r>
    </w:p>
    <w:p>
      <w:pPr>
        <w:pStyle w:val="TextBody"/>
        <w:bidi w:val="0"/>
        <w:jc w:val="left"/>
        <w:rPr>
          <w:rFonts w:ascii="Times New Roman" w:hAnsi="Times New Roman"/>
          <w:sz w:val="20"/>
        </w:rPr>
      </w:pPr>
      <w:r>
        <w:rPr>
          <w:rFonts w:ascii="Times New Roman" w:hAnsi="Times New Roman"/>
          <w:color w:val="000000"/>
          <w:sz w:val="10"/>
        </w:rPr>
        <w:t>(2)</w:t>
      </w:r>
      <w:r>
        <w:rPr>
          <w:rFonts w:ascii="Times New Roman" w:hAnsi="Times New Roman"/>
          <w:color w:val="000000"/>
          <w:sz w:val="20"/>
        </w:rPr>
        <w:t xml:space="preserve"> Acquisition related expenses consist of legal, diligence, accounting, and financing costs incurred for acquisitions during the three and six months ended June 30, 2026 and 2025.</w:t>
      </w:r>
    </w:p>
    <w:p>
      <w:pPr>
        <w:pStyle w:val="TextBody"/>
        <w:bidi w:val="0"/>
        <w:jc w:val="left"/>
        <w:rPr>
          <w:rFonts w:ascii="Times New Roman" w:hAnsi="Times New Roman"/>
          <w:sz w:val="20"/>
        </w:rPr>
      </w:pPr>
      <w:r>
        <w:rPr>
          <w:rFonts w:ascii="Times New Roman" w:hAnsi="Times New Roman"/>
          <w:b/>
          <w:i/>
          <w:color w:val="000000"/>
          <w:sz w:val="20"/>
        </w:rPr>
        <w:t>Adjusted EBITDA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63"/>
        <w:gridCol w:w="146"/>
        <w:gridCol w:w="215"/>
        <w:gridCol w:w="753"/>
        <w:gridCol w:w="169"/>
        <w:gridCol w:w="148"/>
        <w:gridCol w:w="215"/>
        <w:gridCol w:w="753"/>
        <w:gridCol w:w="166"/>
        <w:gridCol w:w="146"/>
        <w:gridCol w:w="211"/>
        <w:gridCol w:w="841"/>
        <w:gridCol w:w="166"/>
        <w:gridCol w:w="146"/>
        <w:gridCol w:w="211"/>
        <w:gridCol w:w="841"/>
        <w:gridCol w:w="415"/>
      </w:tblGrid>
      <w:tr>
        <w:trPr/>
        <w:tc>
          <w:tcPr>
            <w:tcW w:w="46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4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(110,880</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39,582</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16,230</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32,155</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(45,968</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(71,787</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Fair value changes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(97,401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(5,696</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54,121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45,429</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7,126</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Acquisition related expenses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technology license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Franchise taxes related to IPO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11,643</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8,044</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(21,754</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0"/>
        </w:rPr>
        <w:t>(1)</w:t>
      </w:r>
      <w:r>
        <w:rPr>
          <w:rFonts w:ascii="Times New Roman" w:hAnsi="Times New Roman"/>
          <w:color w:val="000000"/>
          <w:sz w:val="20"/>
        </w:rPr>
        <w:t xml:space="preserve"> Fair value changes include gains and losses related to quarterly fair value adjustments of our marketable equity securities and indemnity-related holdback liabilities.  </w:t>
      </w:r>
    </w:p>
    <w:p>
      <w:pPr>
        <w:pStyle w:val="TextBody"/>
        <w:bidi w:val="0"/>
        <w:jc w:val="left"/>
        <w:rPr>
          <w:rFonts w:ascii="Times New Roman" w:hAnsi="Times New Roman"/>
          <w:sz w:val="20"/>
        </w:rPr>
      </w:pPr>
      <w:r>
        <w:rPr>
          <w:rFonts w:ascii="Times New Roman" w:hAnsi="Times New Roman"/>
          <w:color w:val="000000"/>
          <w:sz w:val="10"/>
        </w:rPr>
        <w:t>(2)</w:t>
      </w:r>
      <w:r>
        <w:rPr>
          <w:rFonts w:ascii="Times New Roman" w:hAnsi="Times New Roman"/>
          <w:color w:val="000000"/>
          <w:sz w:val="20"/>
        </w:rPr>
        <w:t xml:space="preserve"> Acquisition related expenses consist of legal, diligence, accounting, and financing costs incurred for acquisitions during the three and six months ended June 30, 2026 and 2025.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5704</Words>
  <Characters>31528</Characters>
  <CharactersWithSpaces>37880</CharactersWithSpaces>
  <Paragraphs>3724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