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24,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153035</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153035</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Tempus AI,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162560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1340" w:type="dxa"/>
        <w:tblCellMar>
          <w:top w:w="0" w:type="dxa"/>
          <w:left w:w="0" w:type="dxa"/>
          <w:bottom w:w="0" w:type="dxa"/>
          <w:right w:w="0" w:type="dxa"/>
        </w:tblCellMar>
      </w:tblPr>
      <w:tr>
        <w:trPr>
          <w:trHeight w:val="203"/>
        </w:trPr>
        <w:tc>
          <w:tcPr>
            <w:tcW w:w="5840" w:type="dxa"/>
            <w:vAlign w:val="bottom"/>
          </w:tcPr>
          <w:p>
            <w:pPr>
              <w:jc w:val="center"/>
              <w:ind w:right="3102"/>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rPr>
              <w:t>47-4903308</w:t>
            </w:r>
          </w:p>
        </w:tc>
      </w:tr>
      <w:tr>
        <w:trPr>
          <w:trHeight w:val="142"/>
        </w:trPr>
        <w:tc>
          <w:tcPr>
            <w:tcW w:w="5840" w:type="dxa"/>
            <w:vAlign w:val="bottom"/>
          </w:tcPr>
          <w:p>
            <w:pPr>
              <w:jc w:val="center"/>
              <w:ind w:right="3102"/>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360" w:type="dxa"/>
            <w:vAlign w:val="bottom"/>
          </w:tcPr>
          <w:p>
            <w:pPr>
              <w:jc w:val="center"/>
              <w:ind w:left="204"/>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5840" w:type="dxa"/>
            <w:vAlign w:val="bottom"/>
          </w:tcPr>
          <w:p>
            <w:pPr>
              <w:jc w:val="center"/>
              <w:ind w:right="312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3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91"/>
        </w:trPr>
        <w:tc>
          <w:tcPr>
            <w:tcW w:w="5840" w:type="dxa"/>
            <w:vAlign w:val="bottom"/>
          </w:tcPr>
          <w:p>
            <w:pPr>
              <w:jc w:val="center"/>
              <w:ind w:right="3102"/>
              <w:spacing w:after="0"/>
              <w:rPr>
                <w:sz w:val="20"/>
                <w:szCs w:val="20"/>
                <w:color w:val="auto"/>
              </w:rPr>
            </w:pPr>
            <w:r>
              <w:rPr>
                <w:rFonts w:ascii="Times New Roman" w:cs="Times New Roman" w:eastAsia="Times New Roman" w:hAnsi="Times New Roman"/>
                <w:sz w:val="17"/>
                <w:szCs w:val="17"/>
                <w:b w:val="1"/>
                <w:bCs w:val="1"/>
                <w:color w:val="auto"/>
              </w:rPr>
              <w:t>600 West Chicago Avenue, Suite 510</w:t>
            </w:r>
          </w:p>
        </w:tc>
        <w:tc>
          <w:tcPr>
            <w:tcW w:w="1360" w:type="dxa"/>
            <w:vAlign w:val="bottom"/>
          </w:tcPr>
          <w:p>
            <w:pPr>
              <w:spacing w:after="0"/>
              <w:rPr>
                <w:sz w:val="24"/>
                <w:szCs w:val="24"/>
                <w:color w:val="auto"/>
              </w:rPr>
            </w:pPr>
          </w:p>
        </w:tc>
      </w:tr>
      <w:tr>
        <w:trPr>
          <w:trHeight w:val="216"/>
        </w:trPr>
        <w:tc>
          <w:tcPr>
            <w:tcW w:w="5840" w:type="dxa"/>
            <w:vAlign w:val="bottom"/>
          </w:tcPr>
          <w:p>
            <w:pPr>
              <w:jc w:val="center"/>
              <w:ind w:right="3122"/>
              <w:spacing w:after="0"/>
              <w:rPr>
                <w:sz w:val="20"/>
                <w:szCs w:val="20"/>
                <w:color w:val="auto"/>
              </w:rPr>
            </w:pPr>
            <w:r>
              <w:rPr>
                <w:rFonts w:ascii="Times New Roman" w:cs="Times New Roman" w:eastAsia="Times New Roman" w:hAnsi="Times New Roman"/>
                <w:sz w:val="17"/>
                <w:szCs w:val="17"/>
                <w:b w:val="1"/>
                <w:bCs w:val="1"/>
                <w:color w:val="auto"/>
              </w:rPr>
              <w:t>Chicago, Illinois</w:t>
            </w:r>
          </w:p>
        </w:tc>
        <w:tc>
          <w:tcPr>
            <w:tcW w:w="1360" w:type="dxa"/>
            <w:vAlign w:val="bottom"/>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rPr>
              <w:t>60654</w:t>
            </w:r>
          </w:p>
        </w:tc>
      </w:tr>
      <w:tr>
        <w:trPr>
          <w:trHeight w:val="183"/>
        </w:trPr>
        <w:tc>
          <w:tcPr>
            <w:tcW w:w="5840" w:type="dxa"/>
            <w:vAlign w:val="bottom"/>
          </w:tcPr>
          <w:p>
            <w:pPr>
              <w:jc w:val="center"/>
              <w:ind w:right="3122"/>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3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96"/>
        </w:trPr>
        <w:tc>
          <w:tcPr>
            <w:tcW w:w="5840" w:type="dxa"/>
            <w:vAlign w:val="bottom"/>
          </w:tcPr>
          <w:p>
            <w:pPr>
              <w:jc w:val="center"/>
              <w:ind w:left="1982"/>
              <w:spacing w:after="0"/>
              <w:rPr>
                <w:sz w:val="20"/>
                <w:szCs w:val="20"/>
                <w:color w:val="auto"/>
              </w:rPr>
            </w:pPr>
            <w:r>
              <w:rPr>
                <w:rFonts w:ascii="Times New Roman" w:cs="Times New Roman" w:eastAsia="Times New Roman" w:hAnsi="Times New Roman"/>
                <w:sz w:val="17"/>
                <w:szCs w:val="17"/>
                <w:b w:val="1"/>
                <w:bCs w:val="1"/>
                <w:color w:val="auto"/>
              </w:rPr>
              <w:t>Tempus AI, Inc. 2024 Equity Incentive Plan</w:t>
            </w:r>
          </w:p>
        </w:tc>
        <w:tc>
          <w:tcPr>
            <w:tcW w:w="1360" w:type="dxa"/>
            <w:vAlign w:val="bottom"/>
          </w:tcPr>
          <w:p>
            <w:pPr>
              <w:spacing w:after="0"/>
              <w:rPr>
                <w:sz w:val="24"/>
                <w:szCs w:val="24"/>
                <w:color w:val="auto"/>
              </w:rPr>
            </w:pPr>
          </w:p>
        </w:tc>
      </w:tr>
      <w:tr>
        <w:trPr>
          <w:trHeight w:val="183"/>
        </w:trPr>
        <w:tc>
          <w:tcPr>
            <w:tcW w:w="584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w w:val="98"/>
              </w:rPr>
              <w:t>(Full titles of the plans)</w:t>
            </w:r>
          </w:p>
        </w:tc>
        <w:tc>
          <w:tcPr>
            <w:tcW w:w="1360" w:type="dxa"/>
            <w:vAlign w:val="bottom"/>
          </w:tcPr>
          <w:p>
            <w:pPr>
              <w:spacing w:after="0"/>
              <w:rPr>
                <w:sz w:val="15"/>
                <w:szCs w:val="15"/>
                <w:color w:val="auto"/>
              </w:rPr>
            </w:pPr>
          </w:p>
        </w:tc>
      </w:tr>
    </w:tbl>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Eric Lefkofsky</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Chief Executive Officer, Founder and Chairman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600 West Chicago Avenue, Suite 510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Chicago, Illinois 60654</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(800) 976-5448 (Name,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148590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Christina T. Roupas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Courtney M.W. Tygesson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Cooley LLP</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110 North Wacker Drive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Suite 4200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Chicago, IL 60606</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 (312) 881-6500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163830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5" w:lineRule="exact"/>
        <w:rPr>
          <w:sz w:val="24"/>
          <w:szCs w:val="24"/>
          <w:color w:val="auto"/>
        </w:rPr>
      </w:pPr>
    </w:p>
    <w:p>
      <w:pPr>
        <w:ind w:firstLine="422"/>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5" w:lineRule="exact"/>
        <w:rPr>
          <w:sz w:val="24"/>
          <w:szCs w:val="24"/>
          <w:color w:val="auto"/>
        </w:rPr>
      </w:pPr>
    </w:p>
    <w:p>
      <w:pPr>
        <w:ind w:right="120" w:firstLine="422"/>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132080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40"/>
          </w:cols>
          <w:pgMar w:left="660" w:top="223" w:right="69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REGISTRATION OF ADDITIONAL SHARES PURSUANT TO GENERAL INSTRUCTION E</w:t>
      </w:r>
    </w:p>
    <w:p>
      <w:pPr>
        <w:spacing w:after="0" w:line="221" w:lineRule="exact"/>
        <w:rPr>
          <w:sz w:val="20"/>
          <w:szCs w:val="20"/>
          <w:color w:val="auto"/>
        </w:rPr>
      </w:pPr>
    </w:p>
    <w:p>
      <w:pPr>
        <w:ind w:right="40" w:firstLine="422"/>
        <w:spacing w:after="0" w:line="261" w:lineRule="auto"/>
        <w:rPr>
          <w:sz w:val="20"/>
          <w:szCs w:val="20"/>
          <w:color w:val="auto"/>
        </w:rPr>
      </w:pPr>
      <w:r>
        <w:rPr>
          <w:rFonts w:ascii="Times New Roman" w:cs="Times New Roman" w:eastAsia="Times New Roman" w:hAnsi="Times New Roman"/>
          <w:sz w:val="17"/>
          <w:szCs w:val="17"/>
          <w:color w:val="auto"/>
        </w:rPr>
        <w:t>Pursuant to General Instruction E of Form S-8, Tempus AI, Inc. (the “Registrant”) is filing this Registration Statement with the Securities and Exchange Commission (the “Commission”) to register 5,993,794 additional shares of its Class A common stock, $0.0001 par value per share (“Class A Common Stock”), under the Registrant’s 2024 Equity Incentive Plan (the “2024 Plan”), pursuant to the provisions of the 2024 Plan providing for an automatic increase in the number of shares of Class A Common Stock reserved and available for issuance under the 2024 Plan on January 1, 2026. In accordance with the instructional note to Part I of Form S-8 as promulgated by the Commission, the information specified by Part I of the Form S-8 has been omitted from this Registration Statement.</w:t>
      </w:r>
    </w:p>
    <w:p>
      <w:pPr>
        <w:spacing w:after="0" w:line="175" w:lineRule="exact"/>
        <w:rPr>
          <w:sz w:val="20"/>
          <w:szCs w:val="20"/>
          <w:color w:val="auto"/>
        </w:rPr>
      </w:pPr>
    </w:p>
    <w:p>
      <w:pPr>
        <w:ind w:firstLine="422"/>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previously registered shares of its Class A Common Stock for issuance under the 2024 Plan on Registration Statements on Form S-8 filed with the Commission on June 17, 2024 (</w:t>
      </w:r>
      <w:hyperlink r:id="rId18">
        <w:r>
          <w:rPr>
            <w:rFonts w:ascii="Times New Roman" w:cs="Times New Roman" w:eastAsia="Times New Roman" w:hAnsi="Times New Roman"/>
            <w:sz w:val="17"/>
            <w:szCs w:val="17"/>
            <w:u w:val="single" w:color="auto"/>
            <w:color w:val="0000EE"/>
          </w:rPr>
          <w:t>File No. 333-280270</w:t>
        </w:r>
      </w:hyperlink>
      <w:r>
        <w:rPr>
          <w:rFonts w:ascii="Times New Roman" w:cs="Times New Roman" w:eastAsia="Times New Roman" w:hAnsi="Times New Roman"/>
          <w:sz w:val="17"/>
          <w:szCs w:val="17"/>
          <w:color w:val="auto"/>
        </w:rPr>
        <w:t>) and February 24, 2025 (</w:t>
      </w:r>
      <w:hyperlink r:id="rId19">
        <w:r>
          <w:rPr>
            <w:rFonts w:ascii="Times New Roman" w:cs="Times New Roman" w:eastAsia="Times New Roman" w:hAnsi="Times New Roman"/>
            <w:sz w:val="17"/>
            <w:szCs w:val="17"/>
            <w:u w:val="single" w:color="auto"/>
            <w:color w:val="0000EE"/>
          </w:rPr>
          <w:t>File No. 333-285174</w:t>
        </w:r>
      </w:hyperlink>
      <w:r>
        <w:rPr>
          <w:rFonts w:ascii="Times New Roman" w:cs="Times New Roman" w:eastAsia="Times New Roman" w:hAnsi="Times New Roman"/>
          <w:sz w:val="17"/>
          <w:szCs w:val="17"/>
          <w:color w:val="auto"/>
        </w:rPr>
        <w:t xml:space="preserve">), each as amended by the Post-Effective Amendment to Form S-8 filed on August 8, 2025 (File Nos. </w:t>
      </w:r>
      <w:hyperlink r:id="rId20">
        <w:r>
          <w:rPr>
            <w:rFonts w:ascii="Times New Roman" w:cs="Times New Roman" w:eastAsia="Times New Roman" w:hAnsi="Times New Roman"/>
            <w:sz w:val="17"/>
            <w:szCs w:val="17"/>
            <w:u w:val="single" w:color="auto"/>
            <w:color w:val="0000EE"/>
          </w:rPr>
          <w:t>333-280270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21">
        <w:r>
          <w:rPr>
            <w:rFonts w:ascii="Times New Roman" w:cs="Times New Roman" w:eastAsia="Times New Roman" w:hAnsi="Times New Roman"/>
            <w:sz w:val="17"/>
            <w:szCs w:val="17"/>
            <w:u w:val="single" w:color="auto"/>
            <w:color w:val="0000EE"/>
          </w:rPr>
          <w:t>333-285174</w:t>
        </w:r>
      </w:hyperlink>
      <w:r>
        <w:rPr>
          <w:rFonts w:ascii="Times New Roman" w:cs="Times New Roman" w:eastAsia="Times New Roman" w:hAnsi="Times New Roman"/>
          <w:sz w:val="17"/>
          <w:szCs w:val="17"/>
          <w:color w:val="auto"/>
        </w:rPr>
        <w:t>) (the “Prior Registration Statements”). Pursuant to General Instruction E to Form S-8, this Registration Statement hereby incorporates by reference the contents of the Prior Registration Statements except as set forth below.</w:t>
      </w:r>
    </w:p>
    <w:p>
      <w:pPr>
        <w:sectPr>
          <w:pgSz w:w="11900" w:h="16838" w:orient="portrait"/>
          <w:cols w:equalWidth="0" w:num="1">
            <w:col w:w="10520"/>
          </w:cols>
          <w:pgMar w:left="660" w:top="262" w:right="7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II</w:t>
      </w:r>
    </w:p>
    <w:p>
      <w:pPr>
        <w:spacing w:after="0" w:line="21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21" w:lineRule="exact"/>
        <w:rPr>
          <w:sz w:val="20"/>
          <w:szCs w:val="20"/>
          <w:color w:val="auto"/>
        </w:rPr>
      </w:pPr>
    </w:p>
    <w:p>
      <w:pPr>
        <w:ind w:right="100" w:firstLine="422"/>
        <w:spacing w:after="0" w:line="291" w:lineRule="auto"/>
        <w:rPr>
          <w:sz w:val="20"/>
          <w:szCs w:val="20"/>
          <w:color w:val="auto"/>
        </w:rPr>
      </w:pPr>
      <w:r>
        <w:rPr>
          <w:rFonts w:ascii="Times New Roman" w:cs="Times New Roman" w:eastAsia="Times New Roman" w:hAnsi="Times New Roman"/>
          <w:sz w:val="17"/>
          <w:szCs w:val="17"/>
          <w:color w:val="auto"/>
        </w:rPr>
        <w:t>The Registrant hereby incorporates by reference into this Registration Statement the following documents previously filed by the Registrant with the Commission:</w:t>
      </w:r>
    </w:p>
    <w:p>
      <w:pPr>
        <w:spacing w:after="0" w:line="148" w:lineRule="exact"/>
        <w:rPr>
          <w:sz w:val="20"/>
          <w:szCs w:val="20"/>
          <w:color w:val="auto"/>
        </w:rPr>
      </w:pPr>
    </w:p>
    <w:p>
      <w:pPr>
        <w:ind w:left="240" w:hanging="240"/>
        <w:spacing w:after="0"/>
        <w:tabs>
          <w:tab w:leader="none" w:pos="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w:t>
      </w:r>
      <w:hyperlink r:id="rId2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 filed with the SEC on February 24, 2026; and</w:t>
      </w:r>
    </w:p>
    <w:p>
      <w:pPr>
        <w:spacing w:after="0" w:line="218" w:lineRule="exact"/>
        <w:rPr>
          <w:rFonts w:ascii="Times New Roman" w:cs="Times New Roman" w:eastAsia="Times New Roman" w:hAnsi="Times New Roman"/>
          <w:sz w:val="17"/>
          <w:szCs w:val="17"/>
          <w:color w:val="auto"/>
        </w:rPr>
      </w:pPr>
    </w:p>
    <w:p>
      <w:pPr>
        <w:jc w:val="both"/>
        <w:spacing w:after="0" w:line="266" w:lineRule="auto"/>
        <w:tabs>
          <w:tab w:leader="none" w:pos="2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Class A Common Stock contained in the Registrant’s Registration Statement on </w:t>
      </w:r>
      <w:hyperlink r:id="rId24">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on June 11, 2024 under Section 12(b) of the Securities Exchange Act of 1934, as amended (the “Exchange Act”), including any amendment or report filed for the purpose of updating such description, including </w:t>
      </w:r>
      <w:hyperlink r:id="rId25">
        <w:r>
          <w:rPr>
            <w:rFonts w:ascii="Times New Roman" w:cs="Times New Roman" w:eastAsia="Times New Roman" w:hAnsi="Times New Roman"/>
            <w:sz w:val="17"/>
            <w:szCs w:val="17"/>
            <w:u w:val="single" w:color="auto"/>
            <w:color w:val="0000EE"/>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the Registrant’s Quarterly Report on Form 10-Q for the period ended June 30, 2025, filed with the Commission on August 8, 2025.</w:t>
      </w:r>
    </w:p>
    <w:p>
      <w:pPr>
        <w:spacing w:after="0" w:line="169" w:lineRule="exact"/>
        <w:rPr>
          <w:rFonts w:ascii="Times New Roman" w:cs="Times New Roman" w:eastAsia="Times New Roman" w:hAnsi="Times New Roman"/>
          <w:sz w:val="17"/>
          <w:szCs w:val="17"/>
          <w:color w:val="auto"/>
        </w:rPr>
      </w:pPr>
    </w:p>
    <w:p>
      <w:pPr>
        <w:ind w:right="80" w:firstLine="422"/>
        <w:spacing w:after="0" w:line="259" w:lineRule="auto"/>
        <w:rPr>
          <w:sz w:val="20"/>
          <w:szCs w:val="20"/>
          <w:color w:val="auto"/>
        </w:rPr>
      </w:pPr>
      <w:r>
        <w:rPr>
          <w:rFonts w:ascii="Times New Roman" w:cs="Times New Roman" w:eastAsia="Times New Roman" w:hAnsi="Times New Roman"/>
          <w:sz w:val="17"/>
          <w:szCs w:val="17"/>
          <w:color w:val="auto"/>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ectPr>
          <w:pgSz w:w="11900" w:h="16838" w:orient="portrait"/>
          <w:cols w:equalWidth="0" w:num="1">
            <w:col w:w="10540"/>
          </w:cols>
          <w:pgMar w:left="660" w:top="262"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8. Exhibits.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exhibits to this Registration Statement are listed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80" w:type="dxa"/>
            <w:vAlign w:val="bottom"/>
            <w:gridSpan w:val="1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500" w:type="dxa"/>
            <w:vAlign w:val="bottom"/>
          </w:tcPr>
          <w:p>
            <w:pPr>
              <w:spacing w:after="0"/>
              <w:rPr>
                <w:sz w:val="21"/>
                <w:szCs w:val="21"/>
                <w:color w:val="auto"/>
              </w:rPr>
            </w:pPr>
          </w:p>
        </w:tc>
        <w:tc>
          <w:tcPr>
            <w:tcW w:w="944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Amended and Restated Articles of Incorporation of the Registrant (incorporated by reference to Exhibit 3.2 to the Registrant’s Quarterly</w:t>
              </w:r>
            </w:hyperlink>
          </w:p>
        </w:tc>
        <w:tc>
          <w:tcPr>
            <w:tcW w:w="1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gridSpan w:val="18"/>
          </w:tcPr>
          <w:p>
            <w:pPr>
              <w:spacing w:after="0" w:line="187" w:lineRule="exact"/>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Report on Form 10-Q (File No. 001-42130), filed with the Commission on November 4, 2025).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500" w:type="dxa"/>
            <w:vAlign w:val="bottom"/>
          </w:tcPr>
          <w:p>
            <w:pPr>
              <w:spacing w:after="0"/>
              <w:rPr>
                <w:sz w:val="24"/>
                <w:szCs w:val="24"/>
                <w:color w:val="auto"/>
              </w:rPr>
            </w:pPr>
          </w:p>
        </w:tc>
        <w:tc>
          <w:tcPr>
            <w:tcW w:w="9560" w:type="dxa"/>
            <w:vAlign w:val="bottom"/>
            <w:gridSpan w:val="18"/>
          </w:tcPr>
          <w:p>
            <w:pPr>
              <w:spacing w:after="0"/>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Amended and Restated Bylaws of the Registrant (incorporated by reference to Exhibit 3.2 to the Registrant’s Quarterly Report on Form</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60" w:type="dxa"/>
            <w:vAlign w:val="bottom"/>
            <w:tcBorders>
              <w:top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10-Q (File No. 001-42130), filed with the Commission on August 8, 2025).</w:t>
              </w:r>
            </w:hyperlink>
          </w:p>
        </w:tc>
        <w:tc>
          <w:tcPr>
            <w:tcW w:w="2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500" w:type="dxa"/>
            <w:vAlign w:val="bottom"/>
          </w:tcPr>
          <w:p>
            <w:pPr>
              <w:spacing w:after="0"/>
              <w:rPr>
                <w:sz w:val="24"/>
                <w:szCs w:val="24"/>
                <w:color w:val="auto"/>
              </w:rPr>
            </w:pPr>
          </w:p>
        </w:tc>
        <w:tc>
          <w:tcPr>
            <w:tcW w:w="9560" w:type="dxa"/>
            <w:vAlign w:val="bottom"/>
            <w:gridSpan w:val="18"/>
          </w:tcPr>
          <w:p>
            <w:pPr>
              <w:spacing w:after="0"/>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Form of Class A Common Stock Certificate of the Registrant (incorporated by reference to Exhibit 4.4 to the Registrant’s Quarterly</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0" w:type="dxa"/>
            <w:vAlign w:val="bottom"/>
            <w:tcBorders>
              <w:top w:val="single" w:sz="8" w:color="0000EE"/>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Report on Form 10-Q (File No. 001-42130), filed with the Commission on August 8, 2025).</w:t>
              </w:r>
            </w:hyperlink>
          </w:p>
        </w:tc>
        <w:tc>
          <w:tcPr>
            <w:tcW w:w="2720" w:type="dxa"/>
            <w:vAlign w:val="bottom"/>
            <w:tcBorders>
              <w:top w:val="single" w:sz="8" w:color="0000EE"/>
            </w:tcBorders>
            <w:gridSpan w:val="2"/>
          </w:tcPr>
          <w:p>
            <w:pPr>
              <w:spacing w:after="0"/>
              <w:rPr>
                <w:sz w:val="16"/>
                <w:szCs w:val="16"/>
                <w:color w:val="auto"/>
              </w:rPr>
            </w:pPr>
          </w:p>
        </w:tc>
        <w:tc>
          <w:tcPr>
            <w:tcW w:w="4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50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Opinion of Brownstein Hyatt Farber Schreck,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50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Consent of Independent Registered Public Accounting Firm.</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50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Consent of Brownstein Hyatt Farber Schreck, LLP (included in Exhibit 5.1).</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50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w:t>
            </w:r>
          </w:p>
        </w:tc>
        <w:tc>
          <w:tcPr>
            <w:tcW w:w="1680" w:type="dxa"/>
            <w:vAlign w:val="bottom"/>
            <w:tcBorders>
              <w:top w:val="single" w:sz="8" w:color="0000EE"/>
            </w:tcBorders>
            <w:gridSpan w:val="3"/>
          </w:tcPr>
          <w:p>
            <w:pPr>
              <w:spacing w:after="0"/>
              <w:rPr>
                <w:sz w:val="24"/>
                <w:szCs w:val="24"/>
                <w:color w:val="auto"/>
              </w:rPr>
            </w:pPr>
          </w:p>
        </w:tc>
        <w:tc>
          <w:tcPr>
            <w:tcW w:w="4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500" w:type="dxa"/>
            <w:vAlign w:val="bottom"/>
          </w:tcPr>
          <w:p>
            <w:pPr>
              <w:spacing w:after="0"/>
              <w:rPr>
                <w:sz w:val="24"/>
                <w:szCs w:val="24"/>
                <w:color w:val="auto"/>
              </w:rPr>
            </w:pPr>
          </w:p>
        </w:tc>
        <w:tc>
          <w:tcPr>
            <w:tcW w:w="956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The Registrant’s 2024 Equity Incentive Plan (incorporated by reference to Exhibit 10.4 to the Registrant’s Registration Statement on Form</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gridSpan w:val="18"/>
          </w:tcPr>
          <w:p>
            <w:pPr>
              <w:spacing w:after="0" w:line="187"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S-1/A (File No. 333-279558), filed with the Commission on June 5,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500" w:type="dxa"/>
            <w:vAlign w:val="bottom"/>
          </w:tcPr>
          <w:p>
            <w:pPr>
              <w:spacing w:after="0"/>
              <w:rPr>
                <w:sz w:val="24"/>
                <w:szCs w:val="24"/>
                <w:color w:val="auto"/>
              </w:rPr>
            </w:pPr>
          </w:p>
        </w:tc>
        <w:tc>
          <w:tcPr>
            <w:tcW w:w="9560" w:type="dxa"/>
            <w:vAlign w:val="bottom"/>
            <w:gridSpan w:val="18"/>
          </w:tcPr>
          <w:p>
            <w:pPr>
              <w:spacing w:after="0"/>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Forms of Restricted Stock Unit Grant Notice and Award Agreement under the Registrant’s 2024 Equity Incentive Plan (incorporated by</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60" w:type="dxa"/>
            <w:vAlign w:val="bottom"/>
            <w:tcBorders>
              <w:top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reference to Exhibit 10.6 to the Registrant’s Registration Statement on Form S-1 (File No. 333-279558), filed with the Commission on</w:t>
              </w:r>
            </w:hyperlink>
          </w:p>
        </w:tc>
        <w:tc>
          <w:tcPr>
            <w:tcW w:w="2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80" w:type="dxa"/>
            <w:vAlign w:val="bottom"/>
            <w:tcBorders>
              <w:top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May 20, 2024).</w:t>
              </w:r>
            </w:hyperlink>
          </w:p>
        </w:tc>
        <w:tc>
          <w:tcPr>
            <w:tcW w:w="2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99.3</w:t>
            </w:r>
          </w:p>
        </w:tc>
        <w:tc>
          <w:tcPr>
            <w:tcW w:w="50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32">
              <w:r>
                <w:rPr>
                  <w:rFonts w:ascii="Times New Roman" w:cs="Times New Roman" w:eastAsia="Times New Roman" w:hAnsi="Times New Roman"/>
                  <w:sz w:val="17"/>
                  <w:szCs w:val="17"/>
                  <w:color w:val="0000EE"/>
                </w:rPr>
                <w:t>Forms of Grant Notice, Stock Option Agreement and Notice of Exercise under the Registrant’s 2024 Equity Incentive Plan (incorporated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gridSpan w:val="18"/>
          </w:tcPr>
          <w:p>
            <w:pPr>
              <w:spacing w:after="0" w:line="187" w:lineRule="exact"/>
              <w:rPr>
                <w:rFonts w:ascii="Times New Roman" w:cs="Times New Roman" w:eastAsia="Times New Roman" w:hAnsi="Times New Roman"/>
                <w:sz w:val="17"/>
                <w:szCs w:val="17"/>
                <w:color w:val="0000EE"/>
              </w:rPr>
            </w:pPr>
            <w:hyperlink r:id="rId32">
              <w:r>
                <w:rPr>
                  <w:rFonts w:ascii="Times New Roman" w:cs="Times New Roman" w:eastAsia="Times New Roman" w:hAnsi="Times New Roman"/>
                  <w:sz w:val="17"/>
                  <w:szCs w:val="17"/>
                  <w:color w:val="0000EE"/>
                </w:rPr>
                <w:t>by reference to Exhibit 10.5 to the Registrant’s Registration Statement on Form S-1 (File No. 333-279558), filed with the Commission on</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00" w:type="dxa"/>
            <w:vAlign w:val="bottom"/>
            <w:tcBorders>
              <w:top w:val="single" w:sz="8" w:color="0000EE"/>
            </w:tcBorders>
            <w:gridSpan w:val="16"/>
          </w:tcPr>
          <w:p>
            <w:pPr>
              <w:spacing w:after="0" w:line="187" w:lineRule="exact"/>
              <w:rPr>
                <w:rFonts w:ascii="Times New Roman" w:cs="Times New Roman" w:eastAsia="Times New Roman" w:hAnsi="Times New Roman"/>
                <w:sz w:val="17"/>
                <w:szCs w:val="17"/>
                <w:color w:val="0000EE"/>
              </w:rPr>
            </w:pPr>
            <w:hyperlink r:id="rId32">
              <w:r>
                <w:rPr>
                  <w:rFonts w:ascii="Times New Roman" w:cs="Times New Roman" w:eastAsia="Times New Roman" w:hAnsi="Times New Roman"/>
                  <w:sz w:val="17"/>
                  <w:szCs w:val="17"/>
                  <w:color w:val="0000EE"/>
                </w:rPr>
                <w:t>May 20, 2024).</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8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99.4</w:t>
            </w:r>
          </w:p>
        </w:tc>
        <w:tc>
          <w:tcPr>
            <w:tcW w:w="50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33">
              <w:r>
                <w:rPr>
                  <w:rFonts w:ascii="Times New Roman" w:cs="Times New Roman" w:eastAsia="Times New Roman" w:hAnsi="Times New Roman"/>
                  <w:sz w:val="17"/>
                  <w:szCs w:val="17"/>
                  <w:color w:val="0000EE"/>
                </w:rPr>
                <w:t>Forms of Restricted Stock Award Grant Notice and Award Agreement under the Registrant’s 2024 Equity Incentive Plan (incorporated by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gridSpan w:val="18"/>
          </w:tcPr>
          <w:p>
            <w:pPr>
              <w:spacing w:after="0" w:line="187" w:lineRule="exact"/>
              <w:rPr>
                <w:rFonts w:ascii="Times New Roman" w:cs="Times New Roman" w:eastAsia="Times New Roman" w:hAnsi="Times New Roman"/>
                <w:sz w:val="17"/>
                <w:szCs w:val="17"/>
                <w:color w:val="0000EE"/>
              </w:rPr>
            </w:pPr>
            <w:hyperlink r:id="rId33">
              <w:r>
                <w:rPr>
                  <w:rFonts w:ascii="Times New Roman" w:cs="Times New Roman" w:eastAsia="Times New Roman" w:hAnsi="Times New Roman"/>
                  <w:sz w:val="17"/>
                  <w:szCs w:val="17"/>
                  <w:color w:val="0000EE"/>
                </w:rPr>
                <w:t>reference to Exhibit 10.2 to the Registrant’s Quarterly Report on Form 10-Q (File No. 001-42130), filed with the Commission on May 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0" w:type="dxa"/>
            <w:vAlign w:val="bottom"/>
          </w:tcPr>
          <w:p>
            <w:pPr>
              <w:spacing w:after="0"/>
              <w:rPr>
                <w:sz w:val="16"/>
                <w:szCs w:val="16"/>
                <w:color w:val="auto"/>
              </w:rPr>
            </w:pPr>
          </w:p>
        </w:tc>
        <w:tc>
          <w:tcPr>
            <w:tcW w:w="1560" w:type="dxa"/>
            <w:vAlign w:val="bottom"/>
            <w:gridSpan w:val="3"/>
          </w:tcPr>
          <w:p>
            <w:pPr>
              <w:ind w:left="500"/>
              <w:spacing w:after="0" w:line="187" w:lineRule="exact"/>
              <w:rPr>
                <w:rFonts w:ascii="Times New Roman" w:cs="Times New Roman" w:eastAsia="Times New Roman" w:hAnsi="Times New Roman"/>
                <w:sz w:val="17"/>
                <w:szCs w:val="17"/>
                <w:color w:val="0000EE"/>
              </w:rPr>
            </w:pPr>
            <w:hyperlink r:id="rId33">
              <w:r>
                <w:rPr>
                  <w:rFonts w:ascii="Times New Roman" w:cs="Times New Roman" w:eastAsia="Times New Roman" w:hAnsi="Times New Roman"/>
                  <w:sz w:val="17"/>
                  <w:szCs w:val="17"/>
                  <w:color w:val="0000EE"/>
                </w:rPr>
                <w:t>2025).</w:t>
              </w:r>
            </w:hyperlink>
          </w:p>
        </w:tc>
        <w:tc>
          <w:tcPr>
            <w:tcW w:w="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50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40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69" w:lineRule="exact"/>
        <w:rPr>
          <w:sz w:val="20"/>
          <w:szCs w:val="20"/>
          <w:color w:val="auto"/>
        </w:rPr>
      </w:pPr>
    </w:p>
    <w:p>
      <w:pPr>
        <w:ind w:left="420" w:hanging="420"/>
        <w:spacing w:after="0"/>
        <w:tabs>
          <w:tab w:leader="none" w:pos="4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ectPr>
          <w:pgSz w:w="11900" w:h="16838" w:orient="portrait"/>
          <w:cols w:equalWidth="0" w:num="1">
            <w:col w:w="10560"/>
          </w:cols>
          <w:pgMar w:left="660" w:top="262" w:right="6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32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February 24, 2026.</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19050</wp:posOffset>
            </wp:positionV>
            <wp:extent cx="2458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Eric Lefkofsky</w:t>
      </w:r>
    </w:p>
    <w:p>
      <w:pPr>
        <w:spacing w:after="0" w:line="3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Chief Executive Officer, Founder and Chairman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100" w:firstLine="422"/>
        <w:spacing w:after="0" w:line="260" w:lineRule="auto"/>
        <w:rPr>
          <w:sz w:val="20"/>
          <w:szCs w:val="20"/>
          <w:color w:val="auto"/>
        </w:rPr>
      </w:pPr>
      <w:r>
        <w:rPr>
          <w:rFonts w:ascii="Times New Roman" w:cs="Times New Roman" w:eastAsia="Times New Roman" w:hAnsi="Times New Roman"/>
          <w:sz w:val="17"/>
          <w:szCs w:val="17"/>
          <w:color w:val="auto"/>
        </w:rPr>
        <w:t>KNOW ALL BY THESE PRESENTS, that each person whose signature appears below constitutes and appoints Eric Lefkofsky, James Rogers and Andrew Polovin, and each of them, as his or her true and lawful attorney-in-fact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or his substitute or substitutes, may lawfully do or cause to be done by virtue hereof.</w:t>
      </w:r>
    </w:p>
    <w:p>
      <w:pPr>
        <w:spacing w:after="0" w:line="175" w:lineRule="exact"/>
        <w:rPr>
          <w:sz w:val="20"/>
          <w:szCs w:val="20"/>
          <w:color w:val="auto"/>
        </w:rPr>
      </w:pPr>
    </w:p>
    <w:p>
      <w:pPr>
        <w:ind w:right="40" w:firstLine="4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9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Eric Lefkofsky</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Executive Officer, Founder and Chairman</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Eric Lefkofsky</w:t>
            </w:r>
          </w:p>
        </w:tc>
        <w:tc>
          <w:tcPr>
            <w:tcW w:w="120" w:type="dxa"/>
            <w:vAlign w:val="bottom"/>
          </w:tcPr>
          <w:p>
            <w:pPr>
              <w:spacing w:after="0"/>
              <w:rPr>
                <w:sz w:val="19"/>
                <w:szCs w:val="19"/>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James Rogers</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James Rogers</w:t>
            </w:r>
          </w:p>
        </w:tc>
        <w:tc>
          <w:tcPr>
            <w:tcW w:w="120" w:type="dxa"/>
            <w:vAlign w:val="bottom"/>
          </w:tcPr>
          <w:p>
            <w:pPr>
              <w:spacing w:after="0"/>
              <w:rPr>
                <w:sz w:val="19"/>
                <w:szCs w:val="19"/>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Ryan Bartolucci</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Accounting Officer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Ryan Bartolucci</w:t>
            </w:r>
          </w:p>
        </w:tc>
        <w:tc>
          <w:tcPr>
            <w:tcW w:w="120" w:type="dxa"/>
            <w:vAlign w:val="bottom"/>
          </w:tcPr>
          <w:p>
            <w:pPr>
              <w:spacing w:after="0"/>
              <w:rPr>
                <w:sz w:val="19"/>
                <w:szCs w:val="19"/>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Peter J. Barris</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Peter J. Barris</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Eric D. Belcher</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Eric D. Belcher</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Jennifer A. Doudna, Ph.D.</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Jennifer A. Doudna, Ph.D.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R. Epstein</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R. Epstein</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Wayne A.I. Frederick, M.D.</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Wayne A.I. Frederick, M.D.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Scott Gottlieb, M.D.</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Scott Gottlieb, M.D.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bl>
    <w:p>
      <w:pPr>
        <w:sectPr>
          <w:pgSz w:w="11900" w:h="16838" w:orient="portrait"/>
          <w:cols w:equalWidth="0" w:num="1">
            <w:col w:w="10560"/>
          </w:cols>
          <w:pgMar w:left="660" w:top="262" w:right="6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9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Theodore J. Leonsis</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Theodore J. Leonsis</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Nadja West</w:t>
            </w:r>
          </w:p>
        </w:tc>
        <w:tc>
          <w:tcPr>
            <w:tcW w:w="120" w:type="dxa"/>
            <w:vAlign w:val="bottom"/>
          </w:tcPr>
          <w:p>
            <w:pPr>
              <w:spacing w:after="0"/>
              <w:rPr>
                <w:sz w:val="24"/>
                <w:szCs w:val="24"/>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Nadja West, M.D.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bl>
    <w:p>
      <w:pPr>
        <w:sectPr>
          <w:pgSz w:w="11900" w:h="16838" w:orient="portrait"/>
          <w:cols w:equalWidth="0" w:num="1">
            <w:col w:w="10560"/>
          </w:cols>
          <w:pgMar w:left="660" w:top="258" w:right="679" w:bottom="1440" w:gutter="0" w:footer="0" w:header="0"/>
        </w:sectPr>
      </w:pPr>
    </w:p>
    <w:bookmarkStart w:id="6" w:name="page7"/>
    <w:bookmarkEnd w:id="6"/>
    <w:p>
      <w:pPr>
        <w:ind w:left="97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b w:val="1"/>
          <w:bCs w:val="1"/>
          <w:color w:val="auto"/>
        </w:rPr>
        <w:t>Brownstein Hyatt Farber Schreck,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1694180" cy="254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1694180" cy="254635"/>
                    </a:xfrm>
                    <a:prstGeom prst="rect">
                      <a:avLst/>
                    </a:prstGeom>
                    <a:noFill/>
                  </pic:spPr>
                </pic:pic>
              </a:graphicData>
            </a:graphic>
          </wp:anchor>
        </w:drawing>
      </w:r>
    </w:p>
    <w:p>
      <w:pPr>
        <w:spacing w:after="0" w:line="11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702.382.2101 main</w:t>
      </w:r>
    </w:p>
    <w:p>
      <w:pPr>
        <w:spacing w:after="0" w:line="3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100 North City Parkway, Suite 1600</w:t>
      </w:r>
    </w:p>
    <w:p>
      <w:pPr>
        <w:spacing w:after="0" w:line="1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Las Vegas, Nevada 89106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Tempus AI,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600 West Chicago Avenue, Suite 510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 60654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addressee set forth above:</w:t>
      </w:r>
    </w:p>
    <w:p>
      <w:pPr>
        <w:spacing w:after="0" w:line="115" w:lineRule="exact"/>
        <w:rPr>
          <w:sz w:val="20"/>
          <w:szCs w:val="20"/>
          <w:color w:val="auto"/>
        </w:rPr>
      </w:pPr>
    </w:p>
    <w:p>
      <w:pPr>
        <w:ind w:right="60" w:firstLine="422"/>
        <w:spacing w:after="0" w:line="263" w:lineRule="auto"/>
        <w:rPr>
          <w:sz w:val="20"/>
          <w:szCs w:val="20"/>
          <w:color w:val="auto"/>
        </w:rPr>
      </w:pPr>
      <w:r>
        <w:rPr>
          <w:rFonts w:ascii="Times New Roman" w:cs="Times New Roman" w:eastAsia="Times New Roman" w:hAnsi="Times New Roman"/>
          <w:sz w:val="17"/>
          <w:szCs w:val="17"/>
          <w:color w:val="auto"/>
        </w:rPr>
        <w:t>We have acted as local Nevada counsel to Tempus AI, Inc.,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filing by the Company of a Registration Statement on Form S-8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relating to the registration of 5,993,794 additional shares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the Company’s Class A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issuable under the Tempus AI, Inc. 2024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This opinion letter is being delivered at your request pursuant to the requirements of Item 601(b)(5) of Regulation S-K under the Act.</w:t>
      </w:r>
    </w:p>
    <w:p>
      <w:pPr>
        <w:spacing w:after="0" w:line="172" w:lineRule="exact"/>
        <w:rPr>
          <w:sz w:val="20"/>
          <w:szCs w:val="20"/>
          <w:color w:val="auto"/>
        </w:rPr>
      </w:pPr>
    </w:p>
    <w:p>
      <w:pPr>
        <w:ind w:right="100" w:firstLine="422"/>
        <w:spacing w:after="0" w:line="266" w:lineRule="auto"/>
        <w:rPr>
          <w:sz w:val="20"/>
          <w:szCs w:val="20"/>
          <w:color w:val="auto"/>
        </w:rPr>
      </w:pPr>
      <w:r>
        <w:rPr>
          <w:rFonts w:ascii="Times New Roman" w:cs="Times New Roman" w:eastAsia="Times New Roman" w:hAnsi="Times New Roman"/>
          <w:sz w:val="17"/>
          <w:szCs w:val="17"/>
          <w:color w:val="auto"/>
        </w:rPr>
        <w:t>In our capacity as such counsel, we are familiar with the proceedings taken and proposed to be taken by the Company in connection with the authorization and issuance of the Shares as contemplated by the Plan and as described in the Registration Statement. For purposes of this opinion letter, and except to the extent set forth in the opinion expressed below, we have assumed that all such proceedings have been or will be timely completed in the manner contemplated by the Plan, and as presently proposed in the Registration Statement.</w:t>
      </w:r>
    </w:p>
    <w:p>
      <w:pPr>
        <w:spacing w:after="0" w:line="169" w:lineRule="exact"/>
        <w:rPr>
          <w:sz w:val="20"/>
          <w:szCs w:val="20"/>
          <w:color w:val="auto"/>
        </w:rPr>
      </w:pPr>
    </w:p>
    <w:p>
      <w:pPr>
        <w:ind w:firstLine="422"/>
        <w:spacing w:after="0" w:line="261" w:lineRule="auto"/>
        <w:rPr>
          <w:sz w:val="20"/>
          <w:szCs w:val="20"/>
          <w:color w:val="auto"/>
        </w:rPr>
      </w:pPr>
      <w:r>
        <w:rPr>
          <w:rFonts w:ascii="Times New Roman" w:cs="Times New Roman" w:eastAsia="Times New Roman" w:hAnsi="Times New Roman"/>
          <w:sz w:val="17"/>
          <w:szCs w:val="17"/>
          <w:color w:val="auto"/>
        </w:rPr>
        <w:t>For the purpose of issuing this opinion letter, we have (a) made such legal and factual examinations and inquiries, including an examination of originals or copies certified or otherwise identified to our satisfaction as being true copies of (i) the Registration Statement, (ii) the Plan, (iii) the Company’s articles of incorporation and bylaws, and (iv) such other agreements, instruments, corporate records (including resolutions of the board of directors and any committee thereof) and other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spacing w:after="0" w:line="175" w:lineRule="exact"/>
        <w:rPr>
          <w:sz w:val="20"/>
          <w:szCs w:val="20"/>
          <w:color w:val="auto"/>
        </w:rPr>
      </w:pPr>
    </w:p>
    <w:p>
      <w:pPr>
        <w:ind w:right="140" w:firstLine="422"/>
        <w:spacing w:after="0" w:line="261" w:lineRule="auto"/>
        <w:rPr>
          <w:sz w:val="20"/>
          <w:szCs w:val="20"/>
          <w:color w:val="auto"/>
        </w:rPr>
      </w:pPr>
      <w:r>
        <w:rPr>
          <w:rFonts w:ascii="Times New Roman" w:cs="Times New Roman" w:eastAsia="Times New Roman" w:hAnsi="Times New Roman"/>
          <w:sz w:val="17"/>
          <w:szCs w:val="17"/>
          <w:color w:val="auto"/>
        </w:rPr>
        <w:t>Without limiting the generality of the foregoing, we have, with your permission, assumed without independent verification that (i) each natural person executing a document at all relevant times had, has or will have sufficient legal capacity to do so; (ii) all documents submitted to us as originals are authentic, the signatures on all documents we reviewed are genuine, and all documents submitted to us as certified, conformed, photostatic, electronic or facsimile copies conform to the original document; (iii) all corporate records made available to us by the Company, and all public records we have reviewed, are accurate and complete; (iv) the statements of fact and all representations and warranties set forth in the documents we have reviewed are, or at all relevant times will be, true and correct as to factual matters; and (v) after any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www.bhfs.com</w:t>
      </w:r>
    </w:p>
    <w:p>
      <w:pPr>
        <w:sectPr>
          <w:pgSz w:w="11900" w:h="16838" w:orient="portrait"/>
          <w:cols w:equalWidth="0" w:num="1">
            <w:col w:w="10560"/>
          </w:cols>
          <w:pgMar w:left="660" w:top="119"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Tempus AI,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issuance of any Shares, the total number of issued and outstanding shares of Common Stock, together with the total number of shares of Common Stock then reserved for issuance or obligated to be issued by the Company pursuant to any agreement or arrangement, or otherwise, including pursuant to the Plan, will not exceed the total number of shares of Common Stock then authorized under the Company’s articles of incorporation.</w:t>
      </w:r>
    </w:p>
    <w:p>
      <w:pPr>
        <w:spacing w:after="0" w:line="162" w:lineRule="exact"/>
        <w:rPr>
          <w:sz w:val="20"/>
          <w:szCs w:val="20"/>
          <w:color w:val="auto"/>
        </w:rPr>
      </w:pPr>
    </w:p>
    <w:p>
      <w:pPr>
        <w:ind w:right="60" w:firstLine="422"/>
        <w:spacing w:after="0" w:line="263" w:lineRule="auto"/>
        <w:rPr>
          <w:sz w:val="20"/>
          <w:szCs w:val="20"/>
          <w:color w:val="auto"/>
        </w:rPr>
      </w:pPr>
      <w:r>
        <w:rPr>
          <w:rFonts w:ascii="Times New Roman" w:cs="Times New Roman" w:eastAsia="Times New Roman" w:hAnsi="Times New Roman"/>
          <w:sz w:val="17"/>
          <w:szCs w:val="17"/>
          <w:color w:val="auto"/>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72" w:lineRule="exact"/>
        <w:rPr>
          <w:sz w:val="20"/>
          <w:szCs w:val="20"/>
          <w:color w:val="auto"/>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Plan and in exchange for the consideration required thereunder, and as described in the Registration Statement, such Shares will be validly issued, fully paid and non-assessable.</w:t>
      </w:r>
    </w:p>
    <w:p>
      <w:pPr>
        <w:spacing w:after="0" w:line="169" w:lineRule="exact"/>
        <w:rPr>
          <w:sz w:val="20"/>
          <w:szCs w:val="20"/>
          <w:color w:val="auto"/>
        </w:rPr>
      </w:pPr>
    </w:p>
    <w:p>
      <w:pPr>
        <w:ind w:right="40" w:firstLine="422"/>
        <w:spacing w:after="0" w:line="266" w:lineRule="auto"/>
        <w:rPr>
          <w:sz w:val="20"/>
          <w:szCs w:val="20"/>
          <w:color w:val="auto"/>
        </w:rPr>
      </w:pPr>
      <w:r>
        <w:rPr>
          <w:rFonts w:ascii="Times New Roman" w:cs="Times New Roman" w:eastAsia="Times New Roman" w:hAnsi="Times New Roman"/>
          <w:sz w:val="17"/>
          <w:szCs w:val="17"/>
          <w:color w:val="auto"/>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Registration Statement. No opinion is offered or implied as to any matter, and no inference may be drawn, beyond the strict scope of the specific issues expressly addressed by the opinion set forth herein.</w:t>
      </w:r>
    </w:p>
    <w:p>
      <w:pPr>
        <w:spacing w:after="0" w:line="169" w:lineRule="exact"/>
        <w:rPr>
          <w:sz w:val="20"/>
          <w:szCs w:val="20"/>
          <w:color w:val="auto"/>
        </w:rPr>
      </w:pPr>
    </w:p>
    <w:p>
      <w:pPr>
        <w:ind w:right="200" w:firstLine="422"/>
        <w:spacing w:after="0" w:line="273" w:lineRule="auto"/>
        <w:rPr>
          <w:sz w:val="20"/>
          <w:szCs w:val="20"/>
          <w:color w:val="auto"/>
        </w:rPr>
      </w:pPr>
      <w:r>
        <w:rPr>
          <w:rFonts w:ascii="Times New Roman" w:cs="Times New Roman" w:eastAsia="Times New Roman" w:hAnsi="Times New Roman"/>
          <w:sz w:val="17"/>
          <w:szCs w:val="17"/>
          <w:color w:val="auto"/>
        </w:rPr>
        <w:t>We hereby consent to the filing of this opinion letter as an exhibit to the Registration Statement. In giving this consent, we do not admit that we are within the category of persons whose consent is required under Section 7 of the Act or the rules and regulations of the Commission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Brownstein Hyatt Farber Schreck, LLP</w:t>
      </w:r>
    </w:p>
    <w:p>
      <w:pPr>
        <w:sectPr>
          <w:pgSz w:w="11900" w:h="16838" w:orient="portrait"/>
          <w:cols w:equalWidth="0" w:num="1">
            <w:col w:w="10520"/>
          </w:cols>
          <w:pgMar w:left="660" w:top="264" w:right="7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9" w:lineRule="exact"/>
        <w:rPr>
          <w:sz w:val="20"/>
          <w:szCs w:val="20"/>
          <w:color w:val="auto"/>
        </w:rPr>
      </w:pPr>
    </w:p>
    <w:p>
      <w:pPr>
        <w:jc w:val="both"/>
        <w:ind w:right="280"/>
        <w:spacing w:after="0" w:line="273"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Tempus AI, Inc. of our report dated February 24, 2026 relating to the financial statements and the effectiveness of internal control over financial reporting, which appears in Tempus AI, Inc.‘s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ectPr>
          <w:pgSz w:w="11900" w:h="16838" w:orient="portrait"/>
          <w:cols w:equalWidth="0" w:num="1">
            <w:col w:w="10560"/>
          </w:cols>
          <w:pgMar w:left="660" w:top="119" w:right="679" w:bottom="1440" w:gutter="0" w:footer="0" w:header="0"/>
        </w:sectPr>
      </w:pPr>
    </w:p>
    <w:bookmarkStart w:id="9" w:name="page10"/>
    <w:bookmarkEnd w:id="9"/>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Tempus AI,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shd w:val="clear" w:color="auto" w:fill="9ADAF6"/>
          </w:tcPr>
          <w:p>
            <w:pPr>
              <w:jc w:val="right"/>
              <w:ind w:right="76"/>
              <w:spacing w:after="0" w:line="208"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4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$0.0001</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per</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10"/>
                <w:szCs w:val="1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5,993,794</w:t>
            </w:r>
          </w:p>
        </w:tc>
        <w:tc>
          <w:tcPr>
            <w:tcW w:w="20" w:type="dxa"/>
            <w:vAlign w:val="bottom"/>
          </w:tcPr>
          <w:p>
            <w:pPr>
              <w:spacing w:after="0"/>
              <w:rPr>
                <w:sz w:val="10"/>
                <w:szCs w:val="1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$ 55.815</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10"/>
                <w:szCs w:val="1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$ 46,200.48</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334,543,612.11</w:t>
            </w:r>
          </w:p>
        </w:tc>
        <w:tc>
          <w:tcPr>
            <w:tcW w:w="20" w:type="dxa"/>
            <w:vAlign w:val="bottom"/>
          </w:tcPr>
          <w:p>
            <w:pPr>
              <w:spacing w:after="0"/>
              <w:rPr>
                <w:sz w:val="18"/>
                <w:szCs w:val="18"/>
                <w:color w:val="auto"/>
              </w:rPr>
            </w:pPr>
          </w:p>
        </w:tc>
        <w:tc>
          <w:tcPr>
            <w:tcW w:w="10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share,</w:t>
            </w: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2024</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$ 46,200.48</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334,543,612.11</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$ 46,200.48</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40" w:hanging="214"/>
        <w:spacing w:after="0" w:line="230" w:lineRule="auto"/>
        <w:tabs>
          <w:tab w:leader="none" w:pos="820" w:val="left"/>
        </w:tabs>
        <w:numPr>
          <w:ilvl w:val="0"/>
          <w:numId w:val="3"/>
        </w:numPr>
        <w:rPr>
          <w:rFonts w:ascii="Arial" w:cs="Arial" w:eastAsia="Arial" w:hAnsi="Arial"/>
          <w:sz w:val="26"/>
          <w:szCs w:val="26"/>
          <w:color w:val="auto"/>
          <w:vertAlign w:val="superscript"/>
        </w:rPr>
      </w:pPr>
      <w:r>
        <w:rPr>
          <w:rFonts w:ascii="Arial" w:cs="Arial" w:eastAsia="Arial" w:hAnsi="Arial"/>
          <w:sz w:val="21"/>
          <w:szCs w:val="21"/>
          <w:color w:val="auto"/>
        </w:rPr>
        <w:t>(1) Pursuant to Rule 416(a) under the Securities Act of 1933, as amended (the "Securities Act"), this Registration Statement shall also cover any additional shares of Class A common stock, $0.0001 par value per share ("Class A Common Stock"), of Tempus AI, Inc. (the "Registrant") that become issuable under the Registrant's 2024 Equity Incentive Plan (the "2024 Plan") by reason of any stock dividend, stock split, recapitalization or other similar transaction. (2) Estimated in accordance with Rule 457(c) and (h) of the Securities Act solely for the purpose of calculating the registration fee on the basis of the average of the high and low prices of the Registrant's Class A Common Stock as reported on the Nasdaq Global Select Market on February 18, 2026. (3) Represents the automatic increase to the number of shares of the Registrant's Class A Common Stock available for issuance under the 2024 Plan effective January 1, 2026, as provided for under the 2024 Plan. The 2024 Plan provides that an additional number of shares will automatically be added annually to the shares authorized for issuance under the 2024 Plan on January 1st of each year, commencing on January 1, 2025 and ending on (and including) January 1, 2034, in an amount equal to a number of shares of Class A Common Stock (the "Evergreen Increase") such that the sum of (x) the remaining number of shares available under the 2024 Plan and (y) the Evergreen Increase is equal to 5% of the total number of shares of Class A Common Stock and Class B Common Stock outstanding on December 31 of the preceding year; provided, however, that the Registrant's board of directors may act prior to January 1st of a given year to provide that the Evergreen Increase for such year will be a lesser 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86995</wp:posOffset>
            </wp:positionV>
            <wp:extent cx="6398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12"/>
                <w:szCs w:val="12"/>
                <w:color w:val="auto"/>
              </w:rPr>
            </w:pPr>
          </w:p>
        </w:tc>
        <w:tc>
          <w:tcPr>
            <w:tcW w:w="58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shd w:val="clear" w:color="auto" w:fill="9ADAF6"/>
          </w:tcPr>
          <w:p>
            <w:pPr>
              <w:ind w:left="120"/>
              <w:spacing w:after="0"/>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vMerge w:val="continue"/>
            <w:shd w:val="clear" w:color="auto" w:fill="9ADAF6"/>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6"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18" Type="http://schemas.openxmlformats.org/officeDocument/2006/relationships/hyperlink" Target="http://www.sec.gov/Archives/edgar/data/1717115/000119312524162651/d689266ds8.htm" TargetMode="External"/><Relationship Id="rId19" Type="http://schemas.openxmlformats.org/officeDocument/2006/relationships/hyperlink" Target="http://www.sec.gov/Archives/edgar/data/1717115/000119312525033507/d830983ds8.htm" TargetMode="External"/><Relationship Id="rId20" Type="http://schemas.openxmlformats.org/officeDocument/2006/relationships/hyperlink" Target="http://www.sec.gov/Archives/edgar/data/1717115/000119312525176040/d80262ds8pos.htm" TargetMode="External"/><Relationship Id="rId21" Type="http://schemas.openxmlformats.org/officeDocument/2006/relationships/hyperlink" Target="http://www.sec.gov/Archives/edgar/data/1717115/000119312525176041/d80262ds8pos.htm" TargetMode="External"/><Relationship Id="rId23" Type="http://schemas.openxmlformats.org/officeDocument/2006/relationships/hyperlink" Target="http://www.sec.gov/ix?doc=/Archives/edgar/data/1717115/000119312526066961/tem-20251231.htm" TargetMode="External"/><Relationship Id="rId24" Type="http://schemas.openxmlformats.org/officeDocument/2006/relationships/hyperlink" Target="http://www.sec.gov/Archives/edgar/data/1717115/000119312524159105/d806693d8a12b.htm" TargetMode="External"/><Relationship Id="rId25" Type="http://schemas.openxmlformats.org/officeDocument/2006/relationships/hyperlink" Target="http://www.sec.gov/Archives/edgar/data/1717115/000095017025105449/tem-ex4_3.htm" TargetMode="External"/><Relationship Id="rId27" Type="http://schemas.openxmlformats.org/officeDocument/2006/relationships/hyperlink" Target="http://www.sec.gov/Archives/edgar/data/1717115/000119312525264652/tem-ex3_2.htm" TargetMode="External"/><Relationship Id="rId28" Type="http://schemas.openxmlformats.org/officeDocument/2006/relationships/hyperlink" Target="http://www.sec.gov/Archives/edgar/data/1717115/000095017025105449/tem-ex3_2.htm" TargetMode="External"/><Relationship Id="rId29" Type="http://schemas.openxmlformats.org/officeDocument/2006/relationships/hyperlink" Target="http://www.sec.gov/Archives/edgar/data/1717115/000095017025105449/tem-ex4_4.htm" TargetMode="External"/><Relationship Id="rId30" Type="http://schemas.openxmlformats.org/officeDocument/2006/relationships/hyperlink" Target="http://www.sec.gov/Archives/edgar/data/1717115/000119312524154635/d221145dex104.htm" TargetMode="External"/><Relationship Id="rId31" Type="http://schemas.openxmlformats.org/officeDocument/2006/relationships/hyperlink" Target="http://www.sec.gov/Archives/edgar/data/1717115/000119312524142956/d221145dex106.htm" TargetMode="External"/><Relationship Id="rId32" Type="http://schemas.openxmlformats.org/officeDocument/2006/relationships/hyperlink" Target="http://www.sec.gov/Archives/edgar/data/1717115/000119312524142956/d221145dex105.htm" TargetMode="External"/><Relationship Id="rId33" Type="http://schemas.openxmlformats.org/officeDocument/2006/relationships/hyperlink" Target="http://www.sec.gov/Archives/edgar/data/1717115/000095017025064447/te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2026-02-24T16:07:10Z</dcterms:created>
  <dcterms:modified xsi:type="dcterms:W3CDTF">2026-02-24T16:07:10Z</dcterms:modified>
</cp:coreProperties>
</file>