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August 8, 2025</w:t>
      </w:r>
    </w:p>
    <w:p>
      <w:pPr>
        <w:spacing w:after="0" w:line="1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333-280270</w:t>
      </w: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333-285174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55245</wp:posOffset>
            </wp:positionV>
            <wp:extent cx="62198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93345</wp:posOffset>
            </wp:positionV>
            <wp:extent cx="62198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160655</wp:posOffset>
            </wp:positionV>
            <wp:extent cx="13036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336" w:lineRule="exact"/>
        <w:rPr>
          <w:sz w:val="24"/>
          <w:szCs w:val="24"/>
          <w:color w:val="auto"/>
        </w:rPr>
      </w:pPr>
    </w:p>
    <w:p>
      <w:pPr>
        <w:ind w:left="540" w:right="540"/>
        <w:spacing w:after="0" w:line="268" w:lineRule="auto"/>
        <w:rPr>
          <w:sz w:val="20"/>
          <w:szCs w:val="20"/>
          <w:color w:val="auto"/>
        </w:rPr>
      </w:pPr>
      <w:r>
        <w:rPr>
          <w:rFonts w:ascii="Times New Roman" w:cs="Times New Roman" w:eastAsia="Times New Roman" w:hAnsi="Times New Roman"/>
          <w:sz w:val="22"/>
          <w:szCs w:val="22"/>
          <w:b w:val="1"/>
          <w:bCs w:val="1"/>
          <w:color w:val="auto"/>
        </w:rPr>
        <w:t>Post-Effective Amendment No. 1 to Form S-8 Registration Statement File No. 333-280270 Post-Effective Amendment No. 1 to Form S-8 Registration Statement File No. 333-285174</w:t>
      </w: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UNDER</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160655</wp:posOffset>
            </wp:positionV>
            <wp:extent cx="1303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Tempus AI, Inc.</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154305</wp:posOffset>
            </wp:positionV>
            <wp:extent cx="1303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398" w:lineRule="exact"/>
        <w:rPr>
          <w:sz w:val="24"/>
          <w:szCs w:val="24"/>
          <w:color w:val="auto"/>
        </w:rPr>
      </w:pPr>
    </w:p>
    <w:tbl>
      <w:tblPr>
        <w:tblLayout w:type="fixed"/>
        <w:tblInd w:w="1260" w:type="dxa"/>
        <w:tblCellMar>
          <w:top w:w="0" w:type="dxa"/>
          <w:left w:w="0" w:type="dxa"/>
          <w:bottom w:w="0" w:type="dxa"/>
          <w:right w:w="0" w:type="dxa"/>
        </w:tblCellMar>
      </w:tblPr>
      <w:tr>
        <w:trPr>
          <w:trHeight w:val="184"/>
        </w:trPr>
        <w:tc>
          <w:tcPr>
            <w:tcW w:w="5360" w:type="dxa"/>
            <w:vAlign w:val="bottom"/>
          </w:tcPr>
          <w:p>
            <w:pPr>
              <w:jc w:val="center"/>
              <w:ind w:right="2868"/>
              <w:spacing w:after="0"/>
              <w:rPr>
                <w:sz w:val="20"/>
                <w:szCs w:val="20"/>
                <w:color w:val="auto"/>
              </w:rPr>
            </w:pPr>
            <w:r>
              <w:rPr>
                <w:rFonts w:ascii="Times New Roman" w:cs="Times New Roman" w:eastAsia="Times New Roman" w:hAnsi="Times New Roman"/>
                <w:sz w:val="16"/>
                <w:szCs w:val="16"/>
                <w:b w:val="1"/>
                <w:bCs w:val="1"/>
                <w:color w:val="auto"/>
                <w:w w:val="96"/>
              </w:rPr>
              <w:t>Nevada</w:t>
            </w:r>
          </w:p>
        </w:tc>
        <w:tc>
          <w:tcPr>
            <w:tcW w:w="1300" w:type="dxa"/>
            <w:vAlign w:val="bottom"/>
          </w:tcPr>
          <w:p>
            <w:pPr>
              <w:jc w:val="right"/>
              <w:ind w:right="69"/>
              <w:spacing w:after="0"/>
              <w:rPr>
                <w:sz w:val="20"/>
                <w:szCs w:val="20"/>
                <w:color w:val="auto"/>
              </w:rPr>
            </w:pPr>
            <w:r>
              <w:rPr>
                <w:rFonts w:ascii="Times New Roman" w:cs="Times New Roman" w:eastAsia="Times New Roman" w:hAnsi="Times New Roman"/>
                <w:sz w:val="16"/>
                <w:szCs w:val="16"/>
                <w:b w:val="1"/>
                <w:bCs w:val="1"/>
                <w:color w:val="auto"/>
              </w:rPr>
              <w:t>47-4903308</w:t>
            </w:r>
          </w:p>
        </w:tc>
      </w:tr>
      <w:tr>
        <w:trPr>
          <w:trHeight w:val="156"/>
        </w:trPr>
        <w:tc>
          <w:tcPr>
            <w:tcW w:w="5360" w:type="dxa"/>
            <w:vAlign w:val="bottom"/>
          </w:tcPr>
          <w:p>
            <w:pPr>
              <w:jc w:val="center"/>
              <w:ind w:right="2888"/>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1300" w:type="dxa"/>
            <w:vAlign w:val="bottom"/>
          </w:tcPr>
          <w:p>
            <w:pPr>
              <w:jc w:val="center"/>
              <w:ind w:left="209"/>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4"/>
        </w:trPr>
        <w:tc>
          <w:tcPr>
            <w:tcW w:w="5360" w:type="dxa"/>
            <w:vAlign w:val="bottom"/>
          </w:tcPr>
          <w:p>
            <w:pPr>
              <w:jc w:val="center"/>
              <w:ind w:right="2888"/>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1300" w:type="dxa"/>
            <w:vAlign w:val="bottom"/>
          </w:tcPr>
          <w:p>
            <w:pPr>
              <w:jc w:val="center"/>
              <w:ind w:left="209"/>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65"/>
        </w:trPr>
        <w:tc>
          <w:tcPr>
            <w:tcW w:w="5360" w:type="dxa"/>
            <w:vAlign w:val="bottom"/>
          </w:tcPr>
          <w:p>
            <w:pPr>
              <w:jc w:val="center"/>
              <w:ind w:right="2868"/>
              <w:spacing w:after="0"/>
              <w:rPr>
                <w:sz w:val="20"/>
                <w:szCs w:val="20"/>
                <w:color w:val="auto"/>
              </w:rPr>
            </w:pPr>
            <w:r>
              <w:rPr>
                <w:rFonts w:ascii="Times New Roman" w:cs="Times New Roman" w:eastAsia="Times New Roman" w:hAnsi="Times New Roman"/>
                <w:sz w:val="16"/>
                <w:szCs w:val="16"/>
                <w:b w:val="1"/>
                <w:bCs w:val="1"/>
                <w:color w:val="auto"/>
                <w:w w:val="97"/>
              </w:rPr>
              <w:t>600 West Chicago Avenue, Suite 510</w:t>
            </w:r>
          </w:p>
        </w:tc>
        <w:tc>
          <w:tcPr>
            <w:tcW w:w="1300" w:type="dxa"/>
            <w:vAlign w:val="bottom"/>
          </w:tcPr>
          <w:p>
            <w:pPr>
              <w:spacing w:after="0"/>
              <w:rPr>
                <w:sz w:val="24"/>
                <w:szCs w:val="24"/>
                <w:color w:val="auto"/>
              </w:rPr>
            </w:pPr>
          </w:p>
        </w:tc>
      </w:tr>
      <w:tr>
        <w:trPr>
          <w:trHeight w:val="193"/>
        </w:trPr>
        <w:tc>
          <w:tcPr>
            <w:tcW w:w="5360" w:type="dxa"/>
            <w:vAlign w:val="bottom"/>
          </w:tcPr>
          <w:p>
            <w:pPr>
              <w:jc w:val="center"/>
              <w:ind w:right="2888"/>
              <w:spacing w:after="0"/>
              <w:rPr>
                <w:sz w:val="20"/>
                <w:szCs w:val="20"/>
                <w:color w:val="auto"/>
              </w:rPr>
            </w:pPr>
            <w:r>
              <w:rPr>
                <w:rFonts w:ascii="Times New Roman" w:cs="Times New Roman" w:eastAsia="Times New Roman" w:hAnsi="Times New Roman"/>
                <w:sz w:val="16"/>
                <w:szCs w:val="16"/>
                <w:b w:val="1"/>
                <w:bCs w:val="1"/>
                <w:color w:val="auto"/>
                <w:w w:val="97"/>
              </w:rPr>
              <w:t>Chicago, Illinois</w:t>
            </w: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6"/>
                <w:szCs w:val="16"/>
                <w:b w:val="1"/>
                <w:bCs w:val="1"/>
                <w:color w:val="auto"/>
              </w:rPr>
              <w:t>60654</w:t>
            </w:r>
          </w:p>
        </w:tc>
      </w:tr>
      <w:tr>
        <w:trPr>
          <w:trHeight w:val="174"/>
        </w:trPr>
        <w:tc>
          <w:tcPr>
            <w:tcW w:w="5360" w:type="dxa"/>
            <w:vAlign w:val="bottom"/>
          </w:tcPr>
          <w:p>
            <w:pPr>
              <w:jc w:val="center"/>
              <w:ind w:right="290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1300" w:type="dxa"/>
            <w:vAlign w:val="bottom"/>
          </w:tcPr>
          <w:p>
            <w:pPr>
              <w:jc w:val="center"/>
              <w:ind w:left="209"/>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318"/>
        </w:trPr>
        <w:tc>
          <w:tcPr>
            <w:tcW w:w="5360" w:type="dxa"/>
            <w:vAlign w:val="bottom"/>
          </w:tcPr>
          <w:p>
            <w:pPr>
              <w:jc w:val="center"/>
              <w:ind w:left="1808"/>
              <w:spacing w:after="0"/>
              <w:rPr>
                <w:sz w:val="20"/>
                <w:szCs w:val="20"/>
                <w:color w:val="auto"/>
              </w:rPr>
            </w:pPr>
            <w:r>
              <w:rPr>
                <w:rFonts w:ascii="Times New Roman" w:cs="Times New Roman" w:eastAsia="Times New Roman" w:hAnsi="Times New Roman"/>
                <w:sz w:val="16"/>
                <w:szCs w:val="16"/>
                <w:b w:val="1"/>
                <w:bCs w:val="1"/>
                <w:color w:val="auto"/>
                <w:w w:val="97"/>
              </w:rPr>
              <w:t>Tempus AI, Inc. 2024 Equity Incentive Plan</w:t>
            </w:r>
          </w:p>
        </w:tc>
        <w:tc>
          <w:tcPr>
            <w:tcW w:w="1300" w:type="dxa"/>
            <w:vAlign w:val="bottom"/>
          </w:tcPr>
          <w:p>
            <w:pPr>
              <w:spacing w:after="0"/>
              <w:rPr>
                <w:sz w:val="24"/>
                <w:szCs w:val="24"/>
                <w:color w:val="auto"/>
              </w:rPr>
            </w:pPr>
          </w:p>
        </w:tc>
      </w:tr>
      <w:tr>
        <w:trPr>
          <w:trHeight w:val="174"/>
        </w:trPr>
        <w:tc>
          <w:tcPr>
            <w:tcW w:w="5360" w:type="dxa"/>
            <w:vAlign w:val="bottom"/>
          </w:tcPr>
          <w:p>
            <w:pPr>
              <w:jc w:val="center"/>
              <w:ind w:left="1828"/>
              <w:spacing w:after="0"/>
              <w:rPr>
                <w:sz w:val="20"/>
                <w:szCs w:val="20"/>
                <w:color w:val="auto"/>
              </w:rPr>
            </w:pPr>
            <w:r>
              <w:rPr>
                <w:rFonts w:ascii="Times New Roman" w:cs="Times New Roman" w:eastAsia="Times New Roman" w:hAnsi="Times New Roman"/>
                <w:sz w:val="13"/>
                <w:szCs w:val="13"/>
                <w:b w:val="1"/>
                <w:bCs w:val="1"/>
                <w:color w:val="auto"/>
              </w:rPr>
              <w:t>(Full titles of the plans)</w:t>
            </w:r>
          </w:p>
        </w:tc>
        <w:tc>
          <w:tcPr>
            <w:tcW w:w="1300" w:type="dxa"/>
            <w:vAlign w:val="bottom"/>
          </w:tcPr>
          <w:p>
            <w:pPr>
              <w:spacing w:after="0"/>
              <w:rPr>
                <w:sz w:val="15"/>
                <w:szCs w:val="15"/>
                <w:color w:val="auto"/>
              </w:rPr>
            </w:pPr>
          </w:p>
        </w:tc>
      </w:tr>
    </w:tbl>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Eric Lefkofsky</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Chief Executive Officer, Founder and Chairman</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Tempus AI, Inc.</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600 West Chicago Avenue, Suite 510</w:t>
      </w:r>
    </w:p>
    <w:p>
      <w:pPr>
        <w:jc w:val="center"/>
        <w:spacing w:after="0" w:line="232" w:lineRule="auto"/>
        <w:rPr>
          <w:sz w:val="20"/>
          <w:szCs w:val="20"/>
          <w:color w:val="auto"/>
        </w:rPr>
      </w:pPr>
      <w:r>
        <w:rPr>
          <w:rFonts w:ascii="Times New Roman" w:cs="Times New Roman" w:eastAsia="Times New Roman" w:hAnsi="Times New Roman"/>
          <w:sz w:val="16"/>
          <w:szCs w:val="16"/>
          <w:b w:val="1"/>
          <w:bCs w:val="1"/>
          <w:color w:val="auto"/>
        </w:rPr>
        <w:t>Chicago, Illinois 60654</w:t>
      </w:r>
    </w:p>
    <w:p>
      <w:pPr>
        <w:jc w:val="center"/>
        <w:spacing w:after="0"/>
        <w:rPr>
          <w:sz w:val="20"/>
          <w:szCs w:val="20"/>
          <w:color w:val="auto"/>
        </w:rPr>
      </w:pPr>
      <w:r>
        <w:rPr>
          <w:rFonts w:ascii="Times New Roman" w:cs="Times New Roman" w:eastAsia="Times New Roman" w:hAnsi="Times New Roman"/>
          <w:sz w:val="13"/>
          <w:szCs w:val="13"/>
          <w:b w:val="1"/>
          <w:bCs w:val="1"/>
          <w:color w:val="auto"/>
        </w:rPr>
        <w:t>(800) 976-5448 (Name, address, including zip code, and telephone number, including area code, of agent for service)</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Christina T. Roupas</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Courtney M.W. Tygesson</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Cooley LLP</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110 North Wacker Drive</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Suite 4200</w:t>
      </w:r>
    </w:p>
    <w:p>
      <w:pPr>
        <w:jc w:val="center"/>
        <w:spacing w:after="0" w:line="235" w:lineRule="auto"/>
        <w:rPr>
          <w:sz w:val="20"/>
          <w:szCs w:val="20"/>
          <w:color w:val="auto"/>
        </w:rPr>
      </w:pPr>
      <w:r>
        <w:rPr>
          <w:rFonts w:ascii="Times New Roman" w:cs="Times New Roman" w:eastAsia="Times New Roman" w:hAnsi="Times New Roman"/>
          <w:sz w:val="16"/>
          <w:szCs w:val="16"/>
          <w:b w:val="1"/>
          <w:bCs w:val="1"/>
          <w:color w:val="auto"/>
        </w:rPr>
        <w:t>Chicago, IL 60606</w:t>
      </w:r>
    </w:p>
    <w:p>
      <w:pPr>
        <w:jc w:val="center"/>
        <w:spacing w:after="0"/>
        <w:rPr>
          <w:sz w:val="20"/>
          <w:szCs w:val="20"/>
          <w:color w:val="auto"/>
        </w:rPr>
      </w:pPr>
      <w:r>
        <w:rPr>
          <w:rFonts w:ascii="Times New Roman" w:cs="Times New Roman" w:eastAsia="Times New Roman" w:hAnsi="Times New Roman"/>
          <w:sz w:val="16"/>
          <w:szCs w:val="16"/>
          <w:b w:val="1"/>
          <w:bCs w:val="1"/>
          <w:color w:val="auto"/>
        </w:rPr>
        <w:t>Tel: (312) 881-6500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154305</wp:posOffset>
            </wp:positionV>
            <wp:extent cx="13036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342" w:lineRule="exact"/>
        <w:rPr>
          <w:sz w:val="24"/>
          <w:szCs w:val="24"/>
          <w:color w:val="auto"/>
        </w:rPr>
      </w:pPr>
    </w:p>
    <w:p>
      <w:pPr>
        <w:ind w:right="60" w:firstLine="384"/>
        <w:spacing w:after="0" w:line="24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anon-accelerated filer,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8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6"/>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8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6"/>
        </w:trPr>
        <w:tc>
          <w:tcPr>
            <w:tcW w:w="16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70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5" w:lineRule="exact"/>
        <w:rPr>
          <w:sz w:val="24"/>
          <w:szCs w:val="24"/>
          <w:color w:val="auto"/>
        </w:rPr>
      </w:pPr>
    </w:p>
    <w:p>
      <w:pPr>
        <w:ind w:right="100" w:firstLine="384"/>
        <w:spacing w:after="0" w:line="201"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104140</wp:posOffset>
            </wp:positionV>
            <wp:extent cx="62198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142240</wp:posOffset>
            </wp:positionV>
            <wp:extent cx="62198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ectPr>
          <w:pgSz w:w="11900" w:h="16840" w:orient="portrait"/>
          <w:cols w:equalWidth="0" w:num="1">
            <w:col w:w="9780"/>
          </w:cols>
          <w:pgMar w:left="1060" w:top="555" w:right="106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EXPLANATORY NOTE</w:t>
      </w:r>
    </w:p>
    <w:p>
      <w:pPr>
        <w:spacing w:after="0" w:line="190" w:lineRule="exact"/>
        <w:rPr>
          <w:sz w:val="20"/>
          <w:szCs w:val="20"/>
          <w:color w:val="auto"/>
        </w:rPr>
      </w:pPr>
    </w:p>
    <w:p>
      <w:pPr>
        <w:ind w:right="40" w:firstLine="384"/>
        <w:spacing w:after="0" w:line="273"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This Post- Effective Amendment No. 1 (this “Amendment”) constitutes an amendment to the Registration Statements on Form S-8, File Nos. </w:t>
      </w:r>
      <w:hyperlink r:id="rId17">
        <w:r>
          <w:rPr>
            <w:rFonts w:ascii="Times New Roman" w:cs="Times New Roman" w:eastAsia="Times New Roman" w:hAnsi="Times New Roman"/>
            <w:sz w:val="14"/>
            <w:szCs w:val="14"/>
            <w:u w:val="single" w:color="auto"/>
            <w:color w:val="0000EE"/>
          </w:rPr>
          <w:t>333-280270</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18">
        <w:r>
          <w:rPr>
            <w:rFonts w:ascii="Times New Roman" w:cs="Times New Roman" w:eastAsia="Times New Roman" w:hAnsi="Times New Roman"/>
            <w:sz w:val="14"/>
            <w:szCs w:val="14"/>
            <w:u w:val="single" w:color="auto"/>
            <w:color w:val="0000EE"/>
          </w:rPr>
          <w:t xml:space="preserve">333-285174 </w:t>
        </w:r>
      </w:hyperlink>
      <w:r>
        <w:rPr>
          <w:rFonts w:ascii="Times New Roman" w:cs="Times New Roman" w:eastAsia="Times New Roman" w:hAnsi="Times New Roman"/>
          <w:sz w:val="14"/>
          <w:szCs w:val="14"/>
          <w:color w:val="000000"/>
        </w:rPr>
        <w:t>(the</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“Registration Statements”), filed by Tempus AI, Inc. (the “Registrant”). On August 7, 2025, the Registrant filed (i) a</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certificate of conversion with the Secretary of State of the State of Delaware and (ii) articles of conversion with the Nevada Secretary of State, pursuant to which the reincorporation of the Registrant from the State of Delaware to the State of Nevada (the “Reincorporation”) became effective on August 7, 2025 at 11:59 p.m. Eastern Time. At the Effective Time, each outstanding share of Class A common stock, par value $0.0001 per share, of the Delaware corporation (the “Delaware Corporation Class A Common Stock”) automatically converted into one outstanding share of Class A common stock, par value $0.0001 per share, of the Nevada corporation (“Nevada Corporation Class A Common Stock” or “Class A Common Stock”), and each outstanding share of Class B common stock of the Delaware corporation, par value $ 0.0001 per share (“Delaware Corporation Class B Common Stock”), automatically converted into one outstanding share of Class B common stock, par value $0.0001 per share, of the Nevada corporation (“Nevada Corporation Class B Common Stock”). At the Effective Time, each outstanding restricted stock award, restricted stock unit (including performance units), option, warrant or other right to acquire shares of Delaware Corporation Class A Common Stock or Delaware Corporation Class B Common Stock automatically became a restricted stock award, restricted stock unit (including performance units), option, warrant or other right to acquire an equal number of shares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Nevada Corporation Class A Common Stock or Nevada Corporation Class B Common Stock, as applicable, under the same terms and conditions.</w:t>
      </w:r>
    </w:p>
    <w:p>
      <w:pPr>
        <w:spacing w:after="0" w:line="170" w:lineRule="exact"/>
        <w:rPr>
          <w:sz w:val="20"/>
          <w:szCs w:val="20"/>
          <w:color w:val="auto"/>
        </w:rPr>
      </w:pPr>
    </w:p>
    <w:p>
      <w:pPr>
        <w:ind w:firstLine="384"/>
        <w:spacing w:after="0" w:line="259" w:lineRule="auto"/>
        <w:rPr>
          <w:sz w:val="20"/>
          <w:szCs w:val="20"/>
          <w:color w:val="auto"/>
        </w:rPr>
      </w:pPr>
      <w:r>
        <w:rPr>
          <w:rFonts w:ascii="Times New Roman" w:cs="Times New Roman" w:eastAsia="Times New Roman" w:hAnsi="Times New Roman"/>
          <w:sz w:val="16"/>
          <w:szCs w:val="16"/>
          <w:color w:val="auto"/>
        </w:rPr>
        <w:t>No additional shares of Class A common stock are being registered by this Amendment and registration fees were paid upon filing of the Registration Statements.</w:t>
      </w:r>
    </w:p>
    <w:p>
      <w:pPr>
        <w:sectPr>
          <w:pgSz w:w="11900" w:h="16840" w:orient="portrait"/>
          <w:cols w:equalWidth="0" w:num="1">
            <w:col w:w="9720"/>
          </w:cols>
          <w:pgMar w:left="1060" w:top="687" w:right="112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PART I</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INFORMATION REQUIRED IN THE SECTION 10(A) PROSPECTUS</w:t>
      </w:r>
    </w:p>
    <w:p>
      <w:pPr>
        <w:spacing w:after="0" w:line="190" w:lineRule="exact"/>
        <w:rPr>
          <w:sz w:val="20"/>
          <w:szCs w:val="20"/>
          <w:color w:val="auto"/>
        </w:rPr>
      </w:pPr>
    </w:p>
    <w:p>
      <w:pPr>
        <w:ind w:right="340" w:firstLine="384"/>
        <w:spacing w:after="0" w:line="243" w:lineRule="auto"/>
        <w:rPr>
          <w:sz w:val="20"/>
          <w:szCs w:val="20"/>
          <w:color w:val="auto"/>
        </w:rPr>
      </w:pPr>
      <w:r>
        <w:rPr>
          <w:rFonts w:ascii="Times New Roman" w:cs="Times New Roman" w:eastAsia="Times New Roman" w:hAnsi="Times New Roman"/>
          <w:sz w:val="16"/>
          <w:szCs w:val="16"/>
          <w:color w:val="auto"/>
        </w:rPr>
        <w:t>The information called for by Part I of Form S-8 is omitted from this Registration Statement in accordance with Rule 428 of the Securities Act of 1933, as amended (the “Securities Act”), and the instructions to Form S- 8. In accordance with the rules and regulations of the Securities and Exchange Commission (the “Commission”) and the instructions to Form S-8, such documents are not being filed with the Commission either as part of this Amendment or as prospectuses or prospectus supplements pursuant to Rule 424 of the Securities Act.</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8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6"/>
          <w:szCs w:val="16"/>
          <w:b w:val="1"/>
          <w:bCs w:val="1"/>
          <w:color w:val="auto"/>
        </w:rPr>
        <w:t>INFORMATION REQUIRED IN THE REGISTRATION STATEMENT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3. Incorporation of Documents by Reference.</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Registrant hereby incorporates by reference into this Registration Statement the following documents previously filed by the Registrant with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Commission:</w:t>
      </w:r>
    </w:p>
    <w:p>
      <w:pPr>
        <w:spacing w:after="0" w:line="98" w:lineRule="exact"/>
        <w:rPr>
          <w:sz w:val="20"/>
          <w:szCs w:val="20"/>
          <w:color w:val="auto"/>
        </w:rPr>
      </w:pPr>
    </w:p>
    <w:p>
      <w:pPr>
        <w:ind w:left="860" w:hanging="486"/>
        <w:spacing w:after="0"/>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Annual Report on </w:t>
      </w:r>
      <w:hyperlink r:id="rId20">
        <w:r>
          <w:rPr>
            <w:rFonts w:ascii="Times New Roman" w:cs="Times New Roman" w:eastAsia="Times New Roman" w:hAnsi="Times New Roman"/>
            <w:sz w:val="16"/>
            <w:szCs w:val="16"/>
            <w:u w:val="single" w:color="auto"/>
            <w:color w:val="0000EE"/>
          </w:rPr>
          <w:t>Form 10-K</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the year ended December 31, 2024, filed with the SEC on February 24, 2025;</w:t>
      </w:r>
    </w:p>
    <w:p>
      <w:pPr>
        <w:spacing w:after="0" w:line="116" w:lineRule="exact"/>
        <w:rPr>
          <w:rFonts w:ascii="Times New Roman" w:cs="Times New Roman" w:eastAsia="Times New Roman" w:hAnsi="Times New Roman"/>
          <w:sz w:val="16"/>
          <w:szCs w:val="16"/>
          <w:color w:val="auto"/>
        </w:rPr>
      </w:pPr>
    </w:p>
    <w:p>
      <w:pPr>
        <w:ind w:left="860" w:right="60" w:hanging="486"/>
        <w:spacing w:after="0" w:line="259"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Quarterly Reports on Form 10-Q for the quarter ended March 31, 2025, filed with the SEC on </w:t>
      </w:r>
      <w:hyperlink r:id="rId21">
        <w:r>
          <w:rPr>
            <w:rFonts w:ascii="Times New Roman" w:cs="Times New Roman" w:eastAsia="Times New Roman" w:hAnsi="Times New Roman"/>
            <w:sz w:val="16"/>
            <w:szCs w:val="16"/>
            <w:u w:val="single" w:color="auto"/>
            <w:color w:val="0000EE"/>
          </w:rPr>
          <w:t>May 6, 2025</w:t>
        </w:r>
      </w:hyperlink>
      <w:r>
        <w:rPr>
          <w:rFonts w:ascii="Times New Roman" w:cs="Times New Roman" w:eastAsia="Times New Roman" w:hAnsi="Times New Roman"/>
          <w:sz w:val="16"/>
          <w:szCs w:val="16"/>
          <w:color w:val="auto"/>
        </w:rPr>
        <w:t xml:space="preserve">, and for the quarter ended June 30, 2025, filed with the SEC on </w:t>
      </w:r>
      <w:hyperlink r:id="rId22">
        <w:r>
          <w:rPr>
            <w:rFonts w:ascii="Times New Roman" w:cs="Times New Roman" w:eastAsia="Times New Roman" w:hAnsi="Times New Roman"/>
            <w:sz w:val="16"/>
            <w:szCs w:val="16"/>
            <w:u w:val="single" w:color="auto"/>
            <w:color w:val="0000EE"/>
          </w:rPr>
          <w:t>August 8, 2025</w:t>
        </w:r>
      </w:hyperlink>
      <w:r>
        <w:rPr>
          <w:rFonts w:ascii="Times New Roman" w:cs="Times New Roman" w:eastAsia="Times New Roman" w:hAnsi="Times New Roman"/>
          <w:sz w:val="16"/>
          <w:szCs w:val="16"/>
          <w:color w:val="auto"/>
        </w:rPr>
        <w:t>;</w:t>
      </w:r>
    </w:p>
    <w:p>
      <w:pPr>
        <w:spacing w:after="0" w:line="83" w:lineRule="exact"/>
        <w:rPr>
          <w:rFonts w:ascii="Times New Roman" w:cs="Times New Roman" w:eastAsia="Times New Roman" w:hAnsi="Times New Roman"/>
          <w:sz w:val="16"/>
          <w:szCs w:val="16"/>
          <w:color w:val="auto"/>
        </w:rPr>
      </w:pPr>
    </w:p>
    <w:p>
      <w:pPr>
        <w:ind w:left="860" w:right="420" w:hanging="486"/>
        <w:spacing w:after="0" w:line="259" w:lineRule="auto"/>
        <w:tabs>
          <w:tab w:leader="none" w:pos="860" w:val="left"/>
        </w:tabs>
        <w:numPr>
          <w:ilvl w:val="0"/>
          <w:numId w:val="1"/>
        </w:numPr>
        <w:rPr>
          <w:rFonts w:ascii="Times New Roman" w:cs="Times New Roman" w:eastAsia="Times New Roman" w:hAnsi="Times New Roman"/>
          <w:sz w:val="16"/>
          <w:szCs w:val="16"/>
          <w:color w:val="000000"/>
        </w:rPr>
      </w:pPr>
      <w:hyperlink r:id="rId23">
        <w:r>
          <w:rPr>
            <w:rFonts w:ascii="Times New Roman" w:cs="Times New Roman" w:eastAsia="Times New Roman" w:hAnsi="Times New Roman"/>
            <w:sz w:val="16"/>
            <w:szCs w:val="16"/>
            <w:u w:val="single" w:color="auto"/>
            <w:color w:val="0000EE"/>
          </w:rPr>
          <w:t>Definitive Proxy Statement on Schedule 14A</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filed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with the SEC on April 7, 2025 (solely with respect to those portions incorporated by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 xml:space="preserve">reference into our Annual Report on </w:t>
      </w:r>
      <w:hyperlink r:id="rId20">
        <w:r>
          <w:rPr>
            <w:rFonts w:ascii="Times New Roman" w:cs="Times New Roman" w:eastAsia="Times New Roman" w:hAnsi="Times New Roman"/>
            <w:sz w:val="16"/>
            <w:szCs w:val="16"/>
            <w:u w:val="single" w:color="auto"/>
            <w:color w:val="0000EE"/>
          </w:rPr>
          <w:t>Form 10-K</w:t>
        </w:r>
        <w:r>
          <w:rPr>
            <w:rFonts w:ascii="Times New Roman" w:cs="Times New Roman" w:eastAsia="Times New Roman" w:hAnsi="Times New Roman"/>
            <w:sz w:val="16"/>
            <w:szCs w:val="16"/>
            <w:u w:val="single" w:color="auto"/>
            <w:color w:val="000000"/>
          </w:rPr>
          <w:t xml:space="preserve"> </w:t>
        </w:r>
      </w:hyperlink>
      <w:r>
        <w:rPr>
          <w:rFonts w:ascii="Times New Roman" w:cs="Times New Roman" w:eastAsia="Times New Roman" w:hAnsi="Times New Roman"/>
          <w:sz w:val="16"/>
          <w:szCs w:val="16"/>
          <w:color w:val="000000"/>
        </w:rPr>
        <w:t>for the fiscal year ended December 31, 2024);</w:t>
      </w:r>
    </w:p>
    <w:p>
      <w:pPr>
        <w:spacing w:after="0" w:line="83" w:lineRule="exact"/>
        <w:rPr>
          <w:rFonts w:ascii="Times New Roman" w:cs="Times New Roman" w:eastAsia="Times New Roman" w:hAnsi="Times New Roman"/>
          <w:sz w:val="16"/>
          <w:szCs w:val="16"/>
          <w:color w:val="000000"/>
        </w:rPr>
      </w:pPr>
    </w:p>
    <w:p>
      <w:pPr>
        <w:ind w:left="860" w:hanging="486"/>
        <w:spacing w:after="0"/>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Current Reports on Form 8-K filed with the SEC on </w:t>
      </w:r>
      <w:hyperlink r:id="rId24">
        <w:r>
          <w:rPr>
            <w:rFonts w:ascii="Times New Roman" w:cs="Times New Roman" w:eastAsia="Times New Roman" w:hAnsi="Times New Roman"/>
            <w:sz w:val="16"/>
            <w:szCs w:val="16"/>
            <w:u w:val="single" w:color="auto"/>
            <w:color w:val="0000EE"/>
          </w:rPr>
          <w:t>February 3, 2025</w:t>
        </w:r>
      </w:hyperlink>
      <w:r>
        <w:rPr>
          <w:rFonts w:ascii="Times New Roman" w:cs="Times New Roman" w:eastAsia="Times New Roman" w:hAnsi="Times New Roman"/>
          <w:sz w:val="16"/>
          <w:szCs w:val="16"/>
          <w:color w:val="auto"/>
        </w:rPr>
        <w:t xml:space="preserve">, </w:t>
      </w:r>
      <w:hyperlink r:id="rId25">
        <w:r>
          <w:rPr>
            <w:rFonts w:ascii="Times New Roman" w:cs="Times New Roman" w:eastAsia="Times New Roman" w:hAnsi="Times New Roman"/>
            <w:sz w:val="16"/>
            <w:szCs w:val="16"/>
            <w:u w:val="single" w:color="auto"/>
            <w:color w:val="0000EE"/>
          </w:rPr>
          <w:t>April 23, 2025</w:t>
        </w:r>
      </w:hyperlink>
      <w:r>
        <w:rPr>
          <w:rFonts w:ascii="Times New Roman" w:cs="Times New Roman" w:eastAsia="Times New Roman" w:hAnsi="Times New Roman"/>
          <w:sz w:val="16"/>
          <w:szCs w:val="16"/>
          <w:color w:val="auto"/>
        </w:rPr>
        <w:t xml:space="preserve">, </w:t>
      </w:r>
      <w:hyperlink r:id="rId26">
        <w:r>
          <w:rPr>
            <w:rFonts w:ascii="Times New Roman" w:cs="Times New Roman" w:eastAsia="Times New Roman" w:hAnsi="Times New Roman"/>
            <w:sz w:val="16"/>
            <w:szCs w:val="16"/>
            <w:u w:val="single" w:color="auto"/>
            <w:color w:val="0000EE"/>
          </w:rPr>
          <w:t>May 23, 2025</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and </w:t>
      </w:r>
      <w:hyperlink r:id="rId27">
        <w:r>
          <w:rPr>
            <w:rFonts w:ascii="Times New Roman" w:cs="Times New Roman" w:eastAsia="Times New Roman" w:hAnsi="Times New Roman"/>
            <w:sz w:val="16"/>
            <w:szCs w:val="16"/>
            <w:u w:val="single" w:color="auto"/>
            <w:color w:val="0000EE"/>
          </w:rPr>
          <w:t>July 3, 2025</w:t>
        </w:r>
      </w:hyperlink>
      <w:r>
        <w:rPr>
          <w:rFonts w:ascii="Times New Roman" w:cs="Times New Roman" w:eastAsia="Times New Roman" w:hAnsi="Times New Roman"/>
          <w:sz w:val="16"/>
          <w:szCs w:val="16"/>
          <w:color w:val="auto"/>
        </w:rPr>
        <w:t>; and</w:t>
      </w:r>
    </w:p>
    <w:p>
      <w:pPr>
        <w:spacing w:after="0" w:line="116" w:lineRule="exact"/>
        <w:rPr>
          <w:rFonts w:ascii="Times New Roman" w:cs="Times New Roman" w:eastAsia="Times New Roman" w:hAnsi="Times New Roman"/>
          <w:sz w:val="16"/>
          <w:szCs w:val="16"/>
          <w:color w:val="auto"/>
        </w:rPr>
      </w:pPr>
    </w:p>
    <w:p>
      <w:pPr>
        <w:ind w:left="860" w:hanging="486"/>
        <w:spacing w:after="0" w:line="243"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description of the Registrant’s Class A Common Stock contained in the Registrant’s Registration Statement on </w:t>
      </w:r>
      <w:hyperlink r:id="rId28">
        <w:r>
          <w:rPr>
            <w:rFonts w:ascii="Times New Roman" w:cs="Times New Roman" w:eastAsia="Times New Roman" w:hAnsi="Times New Roman"/>
            <w:sz w:val="16"/>
            <w:szCs w:val="16"/>
            <w:u w:val="single" w:color="auto"/>
            <w:color w:val="0000EE"/>
          </w:rPr>
          <w:t>Form 8-A</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filed on June 11, 2024 under Section 12(b) of the Securities Exchange Act of 1934, as amended (the “Exchange Act”), including any amendment or report filed for the purpose of updating such description, including </w:t>
      </w:r>
      <w:hyperlink r:id="rId29">
        <w:r>
          <w:rPr>
            <w:rFonts w:ascii="Times New Roman" w:cs="Times New Roman" w:eastAsia="Times New Roman" w:hAnsi="Times New Roman"/>
            <w:sz w:val="16"/>
            <w:szCs w:val="16"/>
            <w:u w:val="single" w:color="auto"/>
            <w:color w:val="0000EE"/>
          </w:rPr>
          <w:t>Exhibit 4.3</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of the Registrant’s Quarterly Report on Form 10-Q for the period ended June 30, 2025, filed with the Commission on August 8, 2025.</w:t>
      </w:r>
    </w:p>
    <w:p>
      <w:pPr>
        <w:spacing w:after="0" w:line="167" w:lineRule="exact"/>
        <w:rPr>
          <w:rFonts w:ascii="Times New Roman" w:cs="Times New Roman" w:eastAsia="Times New Roman" w:hAnsi="Times New Roman"/>
          <w:sz w:val="16"/>
          <w:szCs w:val="16"/>
          <w:color w:val="auto"/>
        </w:rPr>
      </w:pPr>
    </w:p>
    <w:p>
      <w:pPr>
        <w:ind w:firstLine="384"/>
        <w:spacing w:after="0" w:line="277" w:lineRule="auto"/>
        <w:rPr>
          <w:sz w:val="20"/>
          <w:szCs w:val="20"/>
          <w:color w:val="auto"/>
        </w:rPr>
      </w:pPr>
      <w:r>
        <w:rPr>
          <w:rFonts w:ascii="Times New Roman" w:cs="Times New Roman" w:eastAsia="Times New Roman" w:hAnsi="Times New Roman"/>
          <w:sz w:val="14"/>
          <w:szCs w:val="14"/>
          <w:color w:val="auto"/>
        </w:rPr>
        <w:t>All documents filed by the Registrant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or portions thereof that are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herein or in any other subsequently filed document that also is or is deemed to be incorporated by reference herein modifies or supersedes such statement. Any such statement so modified or superseded shall not constitute a part of this Registration Statement, except as so modified or superseded.</w:t>
      </w:r>
    </w:p>
    <w:p>
      <w:pPr>
        <w:spacing w:after="0" w:line="221"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4. Description of Securities.</w:t>
      </w:r>
    </w:p>
    <w:p>
      <w:pPr>
        <w:spacing w:after="0" w:line="113" w:lineRule="exact"/>
        <w:rPr>
          <w:rFonts w:ascii="Times New Roman" w:cs="Times New Roman" w:eastAsia="Times New Roman" w:hAnsi="Times New Roman"/>
          <w:sz w:val="16"/>
          <w:szCs w:val="16"/>
          <w:color w:val="auto"/>
        </w:rPr>
      </w:pPr>
    </w:p>
    <w:p>
      <w:pPr>
        <w:ind w:left="380"/>
        <w:spacing w:after="0"/>
        <w:rPr>
          <w:sz w:val="20"/>
          <w:szCs w:val="20"/>
          <w:color w:val="auto"/>
        </w:rPr>
      </w:pPr>
      <w:r>
        <w:rPr>
          <w:rFonts w:ascii="Times New Roman" w:cs="Times New Roman" w:eastAsia="Times New Roman" w:hAnsi="Times New Roman"/>
          <w:sz w:val="16"/>
          <w:szCs w:val="16"/>
          <w:color w:val="auto"/>
        </w:rPr>
        <w:t>Not applicable.</w:t>
      </w:r>
    </w:p>
    <w:p>
      <w:pPr>
        <w:sectPr>
          <w:pgSz w:w="11900" w:h="16840" w:orient="portrait"/>
          <w:cols w:equalWidth="0" w:num="1">
            <w:col w:w="9760"/>
          </w:cols>
          <w:pgMar w:left="1060" w:top="687" w:right="108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5. Interests of Named Experts and Counsel.</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6. Indemnification of Directors and Officers.</w:t>
      </w:r>
    </w:p>
    <w:p>
      <w:pPr>
        <w:spacing w:after="0" w:line="113" w:lineRule="exact"/>
        <w:rPr>
          <w:sz w:val="20"/>
          <w:szCs w:val="20"/>
          <w:color w:val="auto"/>
        </w:rPr>
      </w:pPr>
    </w:p>
    <w:p>
      <w:pPr>
        <w:ind w:firstLine="384"/>
        <w:spacing w:after="0" w:line="271" w:lineRule="auto"/>
        <w:rPr>
          <w:sz w:val="20"/>
          <w:szCs w:val="20"/>
          <w:color w:val="auto"/>
        </w:rPr>
      </w:pPr>
      <w:r>
        <w:rPr>
          <w:rFonts w:ascii="Times New Roman" w:cs="Times New Roman" w:eastAsia="Times New Roman" w:hAnsi="Times New Roman"/>
          <w:sz w:val="14"/>
          <w:szCs w:val="14"/>
          <w:color w:val="auto"/>
        </w:rPr>
        <w:t>Nevada Revised Statutes (“NRS”) 78.7502(1) provides that a corporation may indemnify, pursuant to that statutory provision,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or other enterprise or as a manager of a limited liability company, against expenses (including attorneys’ fees), judgments, fines and amounts paid in settlement actually and reasonably incurred by such person in connection with such action, suit or proceeding if such person is not liable pursuant to NRS 78.138 or if such person acted in good faith and in a manner he or she reasonably believed to be in or not opposed to the best interests of the corporation, and, with respect to any criminal action or proceeding, had no reasonable cause to believe his or her conduct was unlawful. NRS 78.7502(2) permits a corporation to indemnify, pursuant to that statutory provision,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amounts paid in settlement and attorneys’ fees actually and reasonably incurred by him or her in connection with the defense or settlement of such action or suit if he or she acted under similar standards, except that no indemnification pursuant to NRS 78.7502 may be made in respect of any claim, issue or matter as to which such person shall have been adjudged by a court of competent jurisdiction, after any appeals taken therefrom, to be liable to the corporation or for amounts paid in settlement to the corporation, unless and only to the extent that the court in which such action or suit was brought or other court of competent jurisdiction determines that, in view of all the circumstances of the case, such person is fairly and reasonably entitled to indemnity for such expenses as the court deems proper. NRS 78.751(1) provides that a corporation shall indemnify any person who is a director, officer, employee or agent of the corporation, against expenses actually and reasonably incurred by the person in connection with defending an action (including, without limitation, attorney’s fees), to the extent that the person is successful on the merits or otherwise in defense of any threatened, pending or completed action, suit or proceeding, whether civil, criminal, administrative or investigative, including, without limitation,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or any claim, issue or matter in such action.</w:t>
      </w:r>
    </w:p>
    <w:p>
      <w:pPr>
        <w:spacing w:after="0" w:line="200" w:lineRule="exact"/>
        <w:rPr>
          <w:sz w:val="20"/>
          <w:szCs w:val="20"/>
          <w:color w:val="auto"/>
        </w:rPr>
      </w:pPr>
    </w:p>
    <w:p>
      <w:pPr>
        <w:spacing w:after="0" w:line="318" w:lineRule="exact"/>
        <w:rPr>
          <w:sz w:val="20"/>
          <w:szCs w:val="20"/>
          <w:color w:val="auto"/>
        </w:rPr>
      </w:pPr>
    </w:p>
    <w:p>
      <w:pPr>
        <w:ind w:right="140" w:firstLine="384"/>
        <w:spacing w:after="0" w:line="289" w:lineRule="auto"/>
        <w:rPr>
          <w:sz w:val="20"/>
          <w:szCs w:val="20"/>
          <w:color w:val="auto"/>
        </w:rPr>
      </w:pPr>
      <w:r>
        <w:rPr>
          <w:rFonts w:ascii="Times New Roman" w:cs="Times New Roman" w:eastAsia="Times New Roman" w:hAnsi="Times New Roman"/>
          <w:sz w:val="14"/>
          <w:szCs w:val="14"/>
          <w:color w:val="auto"/>
        </w:rPr>
        <w:t>The Registrant’s articles of incorporation permit indemnification of, and advancement of expenses to, its directors, officers and other agents, and any other persons to which applicable law permits the Registrant to provide indemnification, to the fullest extent permitted by applicable law, including the NRS. The Registrant’s bylaws provide that it will so indemnify its directors and executive officers and permit the Registrant to indemnify other officers, employees, and other agents, in each case to the full extent permitted and in any manner permitted under the NRS or other applicable law.</w:t>
      </w:r>
    </w:p>
    <w:p>
      <w:pPr>
        <w:spacing w:after="0" w:line="137" w:lineRule="exact"/>
        <w:rPr>
          <w:sz w:val="20"/>
          <w:szCs w:val="20"/>
          <w:color w:val="auto"/>
        </w:rPr>
      </w:pPr>
    </w:p>
    <w:p>
      <w:pPr>
        <w:ind w:right="40" w:firstLine="384"/>
        <w:spacing w:after="0" w:line="238" w:lineRule="auto"/>
        <w:rPr>
          <w:sz w:val="20"/>
          <w:szCs w:val="20"/>
          <w:color w:val="auto"/>
        </w:rPr>
      </w:pPr>
      <w:r>
        <w:rPr>
          <w:rFonts w:ascii="Times New Roman" w:cs="Times New Roman" w:eastAsia="Times New Roman" w:hAnsi="Times New Roman"/>
          <w:sz w:val="16"/>
          <w:szCs w:val="16"/>
          <w:color w:val="auto"/>
        </w:rPr>
        <w:t>The Registrant has entered into indemnification agreements with its directors and executive officers, whereby it has agreed to indemnify the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the Registrant, provided that such director or executive officer is not liable pursuant to NRS 78.138 or acted in good faith and in a manner that the director or executive officer reasonably believed to be in, or not opposed to, the best interests of the Registrant (and with respect to any criminal action or proceeding, had no reasonable cause to believe that his or her conduct was unlawful). At present, there is no pending litigation or proceeding involving a director or executive officer of the Registrant regarding which indemnification is sought, nor is the Registrant aware of any threatened litigation that may result in claims for indemnification.</w:t>
      </w:r>
    </w:p>
    <w:p>
      <w:pPr>
        <w:spacing w:after="0" w:line="173" w:lineRule="exact"/>
        <w:rPr>
          <w:sz w:val="20"/>
          <w:szCs w:val="20"/>
          <w:color w:val="auto"/>
        </w:rPr>
      </w:pPr>
    </w:p>
    <w:p>
      <w:pPr>
        <w:ind w:right="120" w:firstLine="384"/>
        <w:spacing w:after="0" w:line="259" w:lineRule="auto"/>
        <w:rPr>
          <w:sz w:val="20"/>
          <w:szCs w:val="20"/>
          <w:color w:val="auto"/>
        </w:rPr>
      </w:pPr>
      <w:r>
        <w:rPr>
          <w:rFonts w:ascii="Times New Roman" w:cs="Times New Roman" w:eastAsia="Times New Roman" w:hAnsi="Times New Roman"/>
          <w:sz w:val="16"/>
          <w:szCs w:val="16"/>
          <w:color w:val="auto"/>
        </w:rPr>
        <w:t>The Registrant maintains insurance policies that indemnify its directors and officers against various liabilities arising under the Securities Act and the Exchange Act that might be incurred by any director or officer in his or her capacity as such.</w:t>
      </w:r>
    </w:p>
    <w:p>
      <w:pPr>
        <w:sectPr>
          <w:pgSz w:w="11900" w:h="16840" w:orient="portrait"/>
          <w:cols w:equalWidth="0" w:num="1">
            <w:col w:w="9820"/>
          </w:cols>
          <w:pgMar w:left="1060" w:top="667" w:right="1020" w:bottom="1440" w:gutter="0" w:footer="0" w:header="0"/>
        </w:sectPr>
      </w:pPr>
    </w:p>
    <w:bookmarkStart w:id="4" w:name="page5"/>
    <w:bookmarkEnd w:id="4"/>
    <w:p>
      <w:pPr>
        <w:ind w:left="10"/>
        <w:spacing w:after="0"/>
        <w:tabs>
          <w:tab w:leader="none" w:pos="949"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7.</w:t>
      </w:r>
      <w:r>
        <w:rPr>
          <w:sz w:val="20"/>
          <w:szCs w:val="20"/>
          <w:color w:val="auto"/>
        </w:rPr>
        <w:tab/>
      </w:r>
      <w:r>
        <w:rPr>
          <w:rFonts w:ascii="Times New Roman" w:cs="Times New Roman" w:eastAsia="Times New Roman" w:hAnsi="Times New Roman"/>
          <w:sz w:val="14"/>
          <w:szCs w:val="14"/>
          <w:b w:val="1"/>
          <w:bCs w:val="1"/>
          <w:color w:val="auto"/>
        </w:rPr>
        <w:t>Exemption from Registration Claimed.</w:t>
      </w:r>
    </w:p>
    <w:p>
      <w:pPr>
        <w:spacing w:after="0" w:line="113"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Not applicable.</w:t>
      </w:r>
    </w:p>
    <w:p>
      <w:pPr>
        <w:spacing w:after="0" w:line="2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8. Exhibits.</w:t>
      </w:r>
    </w:p>
    <w:p>
      <w:pPr>
        <w:spacing w:after="0" w:line="113"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The exhibits to this Registration Statement are listed below:</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40" w:type="dxa"/>
            <w:vAlign w:val="bottom"/>
            <w:gridSpan w:val="18"/>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70"/>
        </w:trPr>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4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4.1</w:t>
            </w:r>
          </w:p>
        </w:tc>
        <w:tc>
          <w:tcPr>
            <w:tcW w:w="460" w:type="dxa"/>
            <w:vAlign w:val="bottom"/>
          </w:tcPr>
          <w:p>
            <w:pPr>
              <w:spacing w:after="0"/>
              <w:rPr>
                <w:sz w:val="20"/>
                <w:szCs w:val="20"/>
                <w:color w:val="auto"/>
              </w:rPr>
            </w:pPr>
          </w:p>
        </w:tc>
        <w:tc>
          <w:tcPr>
            <w:tcW w:w="8860" w:type="dxa"/>
            <w:vAlign w:val="bottom"/>
            <w:tcBorders>
              <w:top w:val="single" w:sz="8" w:color="auto"/>
            </w:tcBorders>
            <w:gridSpan w:val="23"/>
          </w:tcPr>
          <w:p>
            <w:pPr>
              <w:spacing w:after="0"/>
              <w:rPr>
                <w:rFonts w:ascii="Times New Roman" w:cs="Times New Roman" w:eastAsia="Times New Roman" w:hAnsi="Times New Roman"/>
                <w:sz w:val="16"/>
                <w:szCs w:val="16"/>
                <w:color w:val="0000EE"/>
                <w:w w:val="98"/>
              </w:rPr>
            </w:pPr>
            <w:hyperlink r:id="rId32">
              <w:r>
                <w:rPr>
                  <w:rFonts w:ascii="Times New Roman" w:cs="Times New Roman" w:eastAsia="Times New Roman" w:hAnsi="Times New Roman"/>
                  <w:sz w:val="16"/>
                  <w:szCs w:val="16"/>
                  <w:color w:val="0000EE"/>
                  <w:w w:val="98"/>
                </w:rPr>
                <w:t>Articles of Incorporation of the Registrant (incorporated by reference to Exhibit 3.1 to the Registrant’s Quarterly Report on Form10-Q (File</w:t>
              </w:r>
            </w:hyperlink>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20" w:type="dxa"/>
            <w:vAlign w:val="bottom"/>
            <w:tcBorders>
              <w:top w:val="single" w:sz="8" w:color="0000EE"/>
              <w:bottom w:val="single" w:sz="8" w:color="0000EE"/>
            </w:tcBorders>
            <w:gridSpan w:val="5"/>
          </w:tcPr>
          <w:p>
            <w:pPr>
              <w:spacing w:after="0" w:line="160" w:lineRule="exact"/>
              <w:rPr>
                <w:rFonts w:ascii="Times New Roman" w:cs="Times New Roman" w:eastAsia="Times New Roman" w:hAnsi="Times New Roman"/>
                <w:sz w:val="16"/>
                <w:szCs w:val="16"/>
                <w:color w:val="0000EE"/>
                <w:w w:val="97"/>
              </w:rPr>
            </w:pPr>
            <w:hyperlink r:id="rId32">
              <w:r>
                <w:rPr>
                  <w:rFonts w:ascii="Times New Roman" w:cs="Times New Roman" w:eastAsia="Times New Roman" w:hAnsi="Times New Roman"/>
                  <w:sz w:val="16"/>
                  <w:szCs w:val="16"/>
                  <w:color w:val="0000EE"/>
                  <w:w w:val="97"/>
                </w:rPr>
                <w:t>No. 001-42130), filed with the Commission on August 8, 2025).</w:t>
              </w:r>
            </w:hyperlink>
          </w:p>
        </w:tc>
        <w:tc>
          <w:tcPr>
            <w:tcW w:w="4680" w:type="dxa"/>
            <w:vAlign w:val="bottom"/>
            <w:tcBorders>
              <w:top w:val="single" w:sz="8" w:color="0000EE"/>
            </w:tcBorders>
            <w:gridSpan w:val="1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460" w:type="dxa"/>
            <w:vAlign w:val="bottom"/>
          </w:tcPr>
          <w:p>
            <w:pPr>
              <w:spacing w:after="0"/>
              <w:rPr>
                <w:sz w:val="22"/>
                <w:szCs w:val="22"/>
                <w:color w:val="auto"/>
              </w:rPr>
            </w:pPr>
          </w:p>
        </w:tc>
        <w:tc>
          <w:tcPr>
            <w:tcW w:w="8860" w:type="dxa"/>
            <w:vAlign w:val="bottom"/>
            <w:gridSpan w:val="23"/>
          </w:tcPr>
          <w:p>
            <w:pPr>
              <w:spacing w:after="0"/>
              <w:rPr>
                <w:rFonts w:ascii="Times New Roman" w:cs="Times New Roman" w:eastAsia="Times New Roman" w:hAnsi="Times New Roman"/>
                <w:sz w:val="16"/>
                <w:szCs w:val="16"/>
                <w:color w:val="0000EE"/>
                <w:w w:val="97"/>
              </w:rPr>
            </w:pPr>
            <w:hyperlink r:id="rId33">
              <w:r>
                <w:rPr>
                  <w:rFonts w:ascii="Times New Roman" w:cs="Times New Roman" w:eastAsia="Times New Roman" w:hAnsi="Times New Roman"/>
                  <w:sz w:val="16"/>
                  <w:szCs w:val="16"/>
                  <w:color w:val="0000EE"/>
                  <w:w w:val="97"/>
                </w:rPr>
                <w:t>Amended and Restated Bylaws of the Registrant (incorporated by reference to Exhibit 3.2 to the Registrant’s Quarterly Report on Form10-Q</w:t>
              </w:r>
            </w:hyperlink>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36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0000EE"/>
                <w:w w:val="97"/>
              </w:rPr>
            </w:pPr>
            <w:hyperlink r:id="rId33">
              <w:r>
                <w:rPr>
                  <w:rFonts w:ascii="Times New Roman" w:cs="Times New Roman" w:eastAsia="Times New Roman" w:hAnsi="Times New Roman"/>
                  <w:sz w:val="16"/>
                  <w:szCs w:val="16"/>
                  <w:color w:val="0000EE"/>
                  <w:w w:val="97"/>
                </w:rPr>
                <w:t>(File No. 001-42130), filed with the Commission on August 8, 2025).</w:t>
              </w:r>
            </w:hyperlink>
          </w:p>
        </w:tc>
        <w:tc>
          <w:tcPr>
            <w:tcW w:w="4420" w:type="dxa"/>
            <w:vAlign w:val="bottom"/>
            <w:tcBorders>
              <w:top w:val="single" w:sz="8" w:color="0000EE"/>
            </w:tcBorders>
            <w:gridSpan w:val="16"/>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460" w:type="dxa"/>
            <w:vAlign w:val="bottom"/>
          </w:tcPr>
          <w:p>
            <w:pPr>
              <w:spacing w:after="0"/>
              <w:rPr>
                <w:sz w:val="22"/>
                <w:szCs w:val="22"/>
                <w:color w:val="auto"/>
              </w:rPr>
            </w:pPr>
          </w:p>
        </w:tc>
        <w:tc>
          <w:tcPr>
            <w:tcW w:w="8860" w:type="dxa"/>
            <w:vAlign w:val="bottom"/>
            <w:gridSpan w:val="23"/>
          </w:tcPr>
          <w:p>
            <w:pPr>
              <w:spacing w:after="0"/>
              <w:rPr>
                <w:rFonts w:ascii="Times New Roman" w:cs="Times New Roman" w:eastAsia="Times New Roman" w:hAnsi="Times New Roman"/>
                <w:sz w:val="16"/>
                <w:szCs w:val="16"/>
                <w:color w:val="0000EE"/>
                <w:w w:val="99"/>
              </w:rPr>
            </w:pPr>
            <w:hyperlink r:id="rId34">
              <w:r>
                <w:rPr>
                  <w:rFonts w:ascii="Times New Roman" w:cs="Times New Roman" w:eastAsia="Times New Roman" w:hAnsi="Times New Roman"/>
                  <w:sz w:val="16"/>
                  <w:szCs w:val="16"/>
                  <w:color w:val="0000EE"/>
                  <w:w w:val="99"/>
                </w:rPr>
                <w:t>Form of Class A Common Stock Certificate of the Registrant (incorporated by reference to Exhibit 4.4 to the Registrant’s Quarterly Report</w:t>
              </w:r>
            </w:hyperlink>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32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0000EE"/>
                <w:w w:val="97"/>
              </w:rPr>
            </w:pPr>
            <w:hyperlink r:id="rId34">
              <w:r>
                <w:rPr>
                  <w:rFonts w:ascii="Times New Roman" w:cs="Times New Roman" w:eastAsia="Times New Roman" w:hAnsi="Times New Roman"/>
                  <w:sz w:val="16"/>
                  <w:szCs w:val="16"/>
                  <w:color w:val="0000EE"/>
                  <w:w w:val="97"/>
                </w:rPr>
                <w:t>on Form 10-Q (File No. 001-42130), filed with the Commission on August 8, 2025).</w:t>
              </w:r>
            </w:hyperlink>
          </w:p>
        </w:tc>
        <w:tc>
          <w:tcPr>
            <w:tcW w:w="3420" w:type="dxa"/>
            <w:vAlign w:val="bottom"/>
            <w:tcBorders>
              <w:top w:val="single" w:sz="8" w:color="0000EE"/>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5.1*</w:t>
            </w:r>
          </w:p>
        </w:tc>
        <w:tc>
          <w:tcPr>
            <w:tcW w:w="460" w:type="dxa"/>
            <w:vAlign w:val="bottom"/>
          </w:tcPr>
          <w:p>
            <w:pPr>
              <w:spacing w:after="0"/>
              <w:rPr>
                <w:sz w:val="22"/>
                <w:szCs w:val="22"/>
                <w:color w:val="auto"/>
              </w:rPr>
            </w:pPr>
          </w:p>
        </w:tc>
        <w:tc>
          <w:tcPr>
            <w:tcW w:w="3220" w:type="dxa"/>
            <w:vAlign w:val="bottom"/>
            <w:tcBorders>
              <w:bottom w:val="single" w:sz="8" w:color="0000EE"/>
            </w:tcBorders>
            <w:gridSpan w:val="3"/>
          </w:tcPr>
          <w:p>
            <w:pPr>
              <w:spacing w:after="0"/>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Opinion of Brownstein Hyatt Farber Schreck, LLP.</w:t>
              </w:r>
            </w:hyperlink>
          </w:p>
        </w:tc>
        <w:tc>
          <w:tcPr>
            <w:tcW w:w="5640" w:type="dxa"/>
            <w:vAlign w:val="bottom"/>
            <w:gridSpan w:val="20"/>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460" w:type="dxa"/>
            <w:vAlign w:val="bottom"/>
          </w:tcPr>
          <w:p>
            <w:pPr>
              <w:spacing w:after="0"/>
              <w:rPr>
                <w:sz w:val="22"/>
                <w:szCs w:val="22"/>
                <w:color w:val="auto"/>
              </w:rPr>
            </w:pPr>
          </w:p>
        </w:tc>
        <w:tc>
          <w:tcPr>
            <w:tcW w:w="8860" w:type="dxa"/>
            <w:vAlign w:val="bottom"/>
            <w:gridSpan w:val="23"/>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Consent of Independent Registered Public Accounting Firm.</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23.2*</w:t>
            </w:r>
          </w:p>
        </w:tc>
        <w:tc>
          <w:tcPr>
            <w:tcW w:w="460" w:type="dxa"/>
            <w:vAlign w:val="bottom"/>
          </w:tcPr>
          <w:p>
            <w:pPr>
              <w:spacing w:after="0"/>
              <w:rPr>
                <w:sz w:val="22"/>
                <w:szCs w:val="22"/>
                <w:color w:val="auto"/>
              </w:rPr>
            </w:pPr>
          </w:p>
        </w:tc>
        <w:tc>
          <w:tcPr>
            <w:tcW w:w="8860" w:type="dxa"/>
            <w:vAlign w:val="bottom"/>
            <w:gridSpan w:val="23"/>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Consent of Brownstein Hyatt Farber Schreck, LLP (included in Exhibit 5.1)</w:t>
              </w:r>
            </w:hyperlink>
            <w:r>
              <w:rPr>
                <w:rFonts w:ascii="Times New Roman" w:cs="Times New Roman" w:eastAsia="Times New Roman" w:hAnsi="Times New Roman"/>
                <w:sz w:val="16"/>
                <w:szCs w:val="16"/>
                <w:color w:val="0000EE"/>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72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24.1</w:t>
            </w:r>
          </w:p>
        </w:tc>
        <w:tc>
          <w:tcPr>
            <w:tcW w:w="460" w:type="dxa"/>
            <w:vAlign w:val="bottom"/>
          </w:tcPr>
          <w:p>
            <w:pPr>
              <w:spacing w:after="0"/>
              <w:rPr>
                <w:sz w:val="22"/>
                <w:szCs w:val="22"/>
                <w:color w:val="auto"/>
              </w:rPr>
            </w:pPr>
          </w:p>
        </w:tc>
        <w:tc>
          <w:tcPr>
            <w:tcW w:w="8860" w:type="dxa"/>
            <w:vAlign w:val="bottom"/>
            <w:gridSpan w:val="23"/>
          </w:tcPr>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Power of Attorney (included on the signature page to the Registration Statements on Form S-8, File Nos. </w:t>
            </w:r>
            <w:hyperlink r:id="rId35">
              <w:r>
                <w:rPr>
                  <w:rFonts w:ascii="Times New Roman" w:cs="Times New Roman" w:eastAsia="Times New Roman" w:hAnsi="Times New Roman"/>
                  <w:sz w:val="16"/>
                  <w:szCs w:val="16"/>
                  <w:color w:val="0000EE"/>
                </w:rPr>
                <w:t>333-280270</w:t>
              </w:r>
              <w:r>
                <w:rPr>
                  <w:rFonts w:ascii="Times New Roman" w:cs="Times New Roman" w:eastAsia="Times New Roman" w:hAnsi="Times New Roman"/>
                  <w:sz w:val="16"/>
                  <w:szCs w:val="16"/>
                  <w:color w:val="auto"/>
                </w:rPr>
                <w:t xml:space="preserve"> </w:t>
              </w:r>
            </w:hyperlink>
            <w:r>
              <w:rPr>
                <w:rFonts w:ascii="Times New Roman" w:cs="Times New Roman" w:eastAsia="Times New Roman" w:hAnsi="Times New Roman"/>
                <w:sz w:val="16"/>
                <w:szCs w:val="16"/>
                <w:color w:val="auto"/>
              </w:rPr>
              <w:t xml:space="preserve">and </w:t>
            </w:r>
            <w:hyperlink r:id="rId36">
              <w:r>
                <w:rPr>
                  <w:rFonts w:ascii="Times New Roman" w:cs="Times New Roman" w:eastAsia="Times New Roman" w:hAnsi="Times New Roman"/>
                  <w:sz w:val="16"/>
                  <w:szCs w:val="16"/>
                  <w:color w:val="0000EE"/>
                </w:rPr>
                <w:t>333-285174</w:t>
              </w:r>
            </w:hyperlink>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460" w:type="dxa"/>
            <w:vAlign w:val="bottom"/>
          </w:tcPr>
          <w:p>
            <w:pPr>
              <w:spacing w:after="0"/>
              <w:rPr>
                <w:sz w:val="22"/>
                <w:szCs w:val="22"/>
                <w:color w:val="auto"/>
              </w:rPr>
            </w:pPr>
          </w:p>
        </w:tc>
        <w:tc>
          <w:tcPr>
            <w:tcW w:w="8860" w:type="dxa"/>
            <w:vAlign w:val="bottom"/>
            <w:gridSpan w:val="23"/>
          </w:tcPr>
          <w:p>
            <w:pPr>
              <w:spacing w:after="0"/>
              <w:rPr>
                <w:rFonts w:ascii="Times New Roman" w:cs="Times New Roman" w:eastAsia="Times New Roman" w:hAnsi="Times New Roman"/>
                <w:sz w:val="16"/>
                <w:szCs w:val="16"/>
                <w:color w:val="0000EE"/>
                <w:w w:val="99"/>
              </w:rPr>
            </w:pPr>
            <w:hyperlink r:id="rId37">
              <w:r>
                <w:rPr>
                  <w:rFonts w:ascii="Times New Roman" w:cs="Times New Roman" w:eastAsia="Times New Roman" w:hAnsi="Times New Roman"/>
                  <w:sz w:val="16"/>
                  <w:szCs w:val="16"/>
                  <w:color w:val="0000EE"/>
                  <w:w w:val="99"/>
                </w:rPr>
                <w:t>The Registrant’s 2024 Equity Incentive Plan (incorporated by reference to Exhibit 10.4 to the Registrant’s Registration Statement on Form</w:t>
              </w:r>
            </w:hyperlink>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6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0000EE"/>
              </w:rPr>
            </w:pPr>
            <w:hyperlink r:id="rId37">
              <w:r>
                <w:rPr>
                  <w:rFonts w:ascii="Times New Roman" w:cs="Times New Roman" w:eastAsia="Times New Roman" w:hAnsi="Times New Roman"/>
                  <w:sz w:val="16"/>
                  <w:szCs w:val="16"/>
                  <w:color w:val="0000EE"/>
                </w:rPr>
                <w:t>S-1/A (File No. 333-279558), filed with the Commission on June 5, 2024).</w:t>
              </w:r>
            </w:hyperlink>
          </w:p>
        </w:tc>
        <w:tc>
          <w:tcPr>
            <w:tcW w:w="10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720" w:type="dxa"/>
            <w:vAlign w:val="bottom"/>
            <w:gridSpan w:val="5"/>
            <w:shd w:val="clear" w:color="auto" w:fill="0000EE"/>
          </w:tcPr>
          <w:p>
            <w:pPr>
              <w:spacing w:after="0" w:line="20" w:lineRule="exact"/>
              <w:rPr>
                <w:sz w:val="1"/>
                <w:szCs w:val="1"/>
                <w:color w:val="auto"/>
              </w:rPr>
            </w:pPr>
          </w:p>
        </w:tc>
        <w:tc>
          <w:tcPr>
            <w:tcW w:w="37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460" w:type="dxa"/>
            <w:vAlign w:val="bottom"/>
          </w:tcPr>
          <w:p>
            <w:pPr>
              <w:spacing w:after="0"/>
              <w:rPr>
                <w:sz w:val="22"/>
                <w:szCs w:val="22"/>
                <w:color w:val="auto"/>
              </w:rPr>
            </w:pPr>
          </w:p>
        </w:tc>
        <w:tc>
          <w:tcPr>
            <w:tcW w:w="8860" w:type="dxa"/>
            <w:vAlign w:val="bottom"/>
            <w:gridSpan w:val="23"/>
          </w:tcPr>
          <w:p>
            <w:pPr>
              <w:spacing w:after="0"/>
              <w:rPr>
                <w:rFonts w:ascii="Times New Roman" w:cs="Times New Roman" w:eastAsia="Times New Roman" w:hAnsi="Times New Roman"/>
                <w:sz w:val="16"/>
                <w:szCs w:val="16"/>
                <w:color w:val="0000EE"/>
              </w:rPr>
            </w:pPr>
            <w:hyperlink r:id="rId38">
              <w:r>
                <w:rPr>
                  <w:rFonts w:ascii="Times New Roman" w:cs="Times New Roman" w:eastAsia="Times New Roman" w:hAnsi="Times New Roman"/>
                  <w:sz w:val="16"/>
                  <w:szCs w:val="16"/>
                  <w:color w:val="0000EE"/>
                </w:rPr>
                <w:t>Forms of Restricted Stock Unit Grant Notice and Award Agreement under the Registrant’s 2024 Equity Incentive Plan (incorporated by</w:t>
              </w:r>
            </w:hyperlink>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50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0000EE"/>
                <w:w w:val="98"/>
              </w:rPr>
            </w:pPr>
            <w:hyperlink r:id="rId38">
              <w:r>
                <w:rPr>
                  <w:rFonts w:ascii="Times New Roman" w:cs="Times New Roman" w:eastAsia="Times New Roman" w:hAnsi="Times New Roman"/>
                  <w:sz w:val="16"/>
                  <w:szCs w:val="16"/>
                  <w:color w:val="0000EE"/>
                  <w:w w:val="98"/>
                </w:rPr>
                <w:t>reference to Exhibit 10.6 to the Registrant’s Registration Statement on Form S-1 (File No. 333-279558), filed with the Commission on</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4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EE"/>
              </w:rPr>
            </w:pPr>
            <w:hyperlink r:id="rId38">
              <w:r>
                <w:rPr>
                  <w:rFonts w:ascii="Times New Roman" w:cs="Times New Roman" w:eastAsia="Times New Roman" w:hAnsi="Times New Roman"/>
                  <w:sz w:val="16"/>
                  <w:szCs w:val="16"/>
                  <w:color w:val="0000EE"/>
                </w:rPr>
                <w:t>May 20, 2024).</w:t>
              </w:r>
            </w:hyperlink>
          </w:p>
        </w:tc>
        <w:tc>
          <w:tcPr>
            <w:tcW w:w="1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580" w:type="dxa"/>
            <w:vAlign w:val="bottom"/>
            <w:gridSpan w:val="1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99.3</w:t>
            </w:r>
          </w:p>
        </w:tc>
        <w:tc>
          <w:tcPr>
            <w:tcW w:w="460" w:type="dxa"/>
            <w:vAlign w:val="bottom"/>
          </w:tcPr>
          <w:p>
            <w:pPr>
              <w:spacing w:after="0"/>
              <w:rPr>
                <w:sz w:val="22"/>
                <w:szCs w:val="22"/>
                <w:color w:val="auto"/>
              </w:rPr>
            </w:pPr>
          </w:p>
        </w:tc>
        <w:tc>
          <w:tcPr>
            <w:tcW w:w="8860" w:type="dxa"/>
            <w:vAlign w:val="bottom"/>
            <w:gridSpan w:val="23"/>
          </w:tcPr>
          <w:p>
            <w:pPr>
              <w:spacing w:after="0"/>
              <w:rPr>
                <w:rFonts w:ascii="Times New Roman" w:cs="Times New Roman" w:eastAsia="Times New Roman" w:hAnsi="Times New Roman"/>
                <w:sz w:val="16"/>
                <w:szCs w:val="16"/>
                <w:color w:val="0000EE"/>
                <w:w w:val="98"/>
              </w:rPr>
            </w:pPr>
            <w:hyperlink r:id="rId39">
              <w:r>
                <w:rPr>
                  <w:rFonts w:ascii="Times New Roman" w:cs="Times New Roman" w:eastAsia="Times New Roman" w:hAnsi="Times New Roman"/>
                  <w:sz w:val="16"/>
                  <w:szCs w:val="16"/>
                  <w:color w:val="0000EE"/>
                  <w:w w:val="98"/>
                </w:rPr>
                <w:t>Forms of Grant Notice, Stock Option Agreement and Notice of Exercise under the Registrant’s 2024 Equity Incentive Plan (incorporated by</w:t>
              </w:r>
            </w:hyperlink>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76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EE"/>
              </w:rPr>
            </w:pPr>
            <w:hyperlink r:id="rId39">
              <w:r>
                <w:rPr>
                  <w:rFonts w:ascii="Times New Roman" w:cs="Times New Roman" w:eastAsia="Times New Roman" w:hAnsi="Times New Roman"/>
                  <w:sz w:val="16"/>
                  <w:szCs w:val="16"/>
                  <w:color w:val="0000EE"/>
                </w:rPr>
                <w:t>reference to Exhibit 10.5 to the Registrant’s Registration Statement on Form S-1 (File No. 333-279558), filed with the Commission on</w:t>
              </w:r>
            </w:hyperlink>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4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EE"/>
              </w:rPr>
            </w:pPr>
            <w:hyperlink r:id="rId39">
              <w:r>
                <w:rPr>
                  <w:rFonts w:ascii="Times New Roman" w:cs="Times New Roman" w:eastAsia="Times New Roman" w:hAnsi="Times New Roman"/>
                  <w:sz w:val="16"/>
                  <w:szCs w:val="16"/>
                  <w:color w:val="0000EE"/>
                </w:rPr>
                <w:t>May 20, 2024).</w:t>
              </w:r>
            </w:hyperlink>
          </w:p>
        </w:tc>
        <w:tc>
          <w:tcPr>
            <w:tcW w:w="1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580" w:type="dxa"/>
            <w:vAlign w:val="bottom"/>
            <w:gridSpan w:val="1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99.4</w:t>
            </w:r>
          </w:p>
        </w:tc>
        <w:tc>
          <w:tcPr>
            <w:tcW w:w="460" w:type="dxa"/>
            <w:vAlign w:val="bottom"/>
          </w:tcPr>
          <w:p>
            <w:pPr>
              <w:spacing w:after="0"/>
              <w:rPr>
                <w:sz w:val="22"/>
                <w:szCs w:val="22"/>
                <w:color w:val="auto"/>
              </w:rPr>
            </w:pPr>
          </w:p>
        </w:tc>
        <w:tc>
          <w:tcPr>
            <w:tcW w:w="8860" w:type="dxa"/>
            <w:vAlign w:val="bottom"/>
            <w:gridSpan w:val="23"/>
          </w:tcPr>
          <w:p>
            <w:pPr>
              <w:spacing w:after="0"/>
              <w:rPr>
                <w:rFonts w:ascii="Times New Roman" w:cs="Times New Roman" w:eastAsia="Times New Roman" w:hAnsi="Times New Roman"/>
                <w:sz w:val="16"/>
                <w:szCs w:val="16"/>
                <w:color w:val="0000EE"/>
                <w:w w:val="99"/>
              </w:rPr>
            </w:pPr>
            <w:hyperlink r:id="rId40">
              <w:r>
                <w:rPr>
                  <w:rFonts w:ascii="Times New Roman" w:cs="Times New Roman" w:eastAsia="Times New Roman" w:hAnsi="Times New Roman"/>
                  <w:sz w:val="16"/>
                  <w:szCs w:val="16"/>
                  <w:color w:val="0000EE"/>
                  <w:w w:val="99"/>
                </w:rPr>
                <w:t>Forms of Restricted Stock Award Grant Notice and Award Agreement under the Registrant’s 2024 Equity Incentive Plan (incorporated by</w:t>
              </w:r>
            </w:hyperlink>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4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EE"/>
                <w:w w:val="98"/>
              </w:rPr>
            </w:pPr>
            <w:hyperlink r:id="rId40">
              <w:r>
                <w:rPr>
                  <w:rFonts w:ascii="Times New Roman" w:cs="Times New Roman" w:eastAsia="Times New Roman" w:hAnsi="Times New Roman"/>
                  <w:sz w:val="16"/>
                  <w:szCs w:val="16"/>
                  <w:color w:val="0000EE"/>
                  <w:w w:val="98"/>
                </w:rPr>
                <w:t>reference to Exhibit 10.2 to the Registrant’s Quarterly Report on Form 10-Q (File No. 001-42130), filed with the Commission on May 6,</w:t>
              </w:r>
            </w:hyperlink>
          </w:p>
        </w:tc>
        <w:tc>
          <w:tcPr>
            <w:tcW w:w="2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EE"/>
                <w:w w:val="96"/>
              </w:rPr>
            </w:pPr>
            <w:hyperlink r:id="rId40">
              <w:r>
                <w:rPr>
                  <w:rFonts w:ascii="Times New Roman" w:cs="Times New Roman" w:eastAsia="Times New Roman" w:hAnsi="Times New Roman"/>
                  <w:sz w:val="16"/>
                  <w:szCs w:val="16"/>
                  <w:color w:val="0000EE"/>
                  <w:w w:val="96"/>
                </w:rPr>
                <w:t>2025).</w:t>
              </w:r>
            </w:hyperlink>
          </w:p>
        </w:tc>
        <w:tc>
          <w:tcPr>
            <w:tcW w:w="540" w:type="dxa"/>
            <w:vAlign w:val="bottom"/>
            <w:tcBorders>
              <w:top w:val="single" w:sz="8" w:color="0000EE"/>
            </w:tcBorders>
          </w:tcPr>
          <w:p>
            <w:pPr>
              <w:spacing w:after="0"/>
              <w:rPr>
                <w:sz w:val="13"/>
                <w:szCs w:val="13"/>
                <w:color w:val="auto"/>
              </w:rPr>
            </w:pPr>
          </w:p>
        </w:tc>
        <w:tc>
          <w:tcPr>
            <w:tcW w:w="2260" w:type="dxa"/>
            <w:vAlign w:val="bottom"/>
            <w:tcBorders>
              <w:top w:val="single" w:sz="8" w:color="0000EE"/>
            </w:tcBorders>
          </w:tcPr>
          <w:p>
            <w:pPr>
              <w:spacing w:after="0"/>
              <w:rPr>
                <w:sz w:val="13"/>
                <w:szCs w:val="13"/>
                <w:color w:val="auto"/>
              </w:rPr>
            </w:pPr>
          </w:p>
        </w:tc>
        <w:tc>
          <w:tcPr>
            <w:tcW w:w="56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1240" w:type="dxa"/>
            <w:vAlign w:val="bottom"/>
            <w:tcBorders>
              <w:top w:val="single" w:sz="8" w:color="0000EE"/>
            </w:tcBorders>
          </w:tcPr>
          <w:p>
            <w:pPr>
              <w:spacing w:after="0"/>
              <w:rPr>
                <w:sz w:val="13"/>
                <w:szCs w:val="13"/>
                <w:color w:val="auto"/>
              </w:rPr>
            </w:pPr>
          </w:p>
        </w:tc>
        <w:tc>
          <w:tcPr>
            <w:tcW w:w="76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7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6781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35" w:lineRule="exact"/>
        <w:rPr>
          <w:sz w:val="20"/>
          <w:szCs w:val="20"/>
          <w:color w:val="auto"/>
        </w:rPr>
      </w:pPr>
    </w:p>
    <w:p>
      <w:pPr>
        <w:ind w:left="390" w:hanging="390"/>
        <w:spacing w:after="0"/>
        <w:tabs>
          <w:tab w:leader="none" w:pos="39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9. Undertakings.</w:t>
      </w:r>
    </w:p>
    <w:p>
      <w:pPr>
        <w:spacing w:after="0" w:line="137" w:lineRule="exact"/>
        <w:rPr>
          <w:sz w:val="20"/>
          <w:szCs w:val="20"/>
          <w:color w:val="auto"/>
        </w:rPr>
      </w:pPr>
    </w:p>
    <w:p>
      <w:pPr>
        <w:ind w:left="390" w:hanging="390"/>
        <w:spacing w:after="0"/>
        <w:tabs>
          <w:tab w:leader="none" w:pos="39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w:t>
      </w:r>
    </w:p>
    <w:p>
      <w:pPr>
        <w:sectPr>
          <w:pgSz w:w="11900" w:h="16840" w:orient="portrait"/>
          <w:cols w:equalWidth="0" w:num="1">
            <w:col w:w="9790"/>
          </w:cols>
          <w:pgMar w:left="1050" w:top="667" w:right="1060" w:bottom="1440" w:gutter="0" w:footer="0" w:header="0"/>
        </w:sectPr>
      </w:pPr>
    </w:p>
    <w:bookmarkStart w:id="5" w:name="page6"/>
    <w:bookmarkEnd w:id="5"/>
    <w:p>
      <w:pPr>
        <w:ind w:left="870" w:hanging="486"/>
        <w:spacing w:after="0"/>
        <w:tabs>
          <w:tab w:leader="none" w:pos="87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To file, during any period in which offers or sales are being made, a post-effective amendment to this Registration Statement:</w:t>
      </w:r>
    </w:p>
    <w:p>
      <w:pPr>
        <w:spacing w:after="0" w:line="116" w:lineRule="exact"/>
        <w:rPr>
          <w:rFonts w:ascii="Times New Roman" w:cs="Times New Roman" w:eastAsia="Times New Roman" w:hAnsi="Times New Roman"/>
          <w:sz w:val="16"/>
          <w:szCs w:val="16"/>
          <w:color w:val="auto"/>
        </w:rPr>
      </w:pPr>
    </w:p>
    <w:p>
      <w:pPr>
        <w:ind w:left="1270" w:hanging="394"/>
        <w:spacing w:after="0"/>
        <w:tabs>
          <w:tab w:leader="none" w:pos="127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prospectus required by Section 10(a)(3) of the Securities Act;</w:t>
      </w:r>
    </w:p>
    <w:p>
      <w:pPr>
        <w:spacing w:after="0" w:line="224" w:lineRule="exact"/>
        <w:rPr>
          <w:rFonts w:ascii="Times New Roman" w:cs="Times New Roman" w:eastAsia="Times New Roman" w:hAnsi="Times New Roman"/>
          <w:sz w:val="16"/>
          <w:szCs w:val="16"/>
          <w:color w:val="auto"/>
        </w:rPr>
      </w:pPr>
    </w:p>
    <w:p>
      <w:pPr>
        <w:ind w:left="1270" w:right="20" w:hanging="394"/>
        <w:spacing w:after="0" w:line="239" w:lineRule="auto"/>
        <w:tabs>
          <w:tab w:leader="none" w:pos="127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Statements; and</w:t>
      </w:r>
    </w:p>
    <w:p>
      <w:pPr>
        <w:spacing w:after="0" w:line="97" w:lineRule="exact"/>
        <w:rPr>
          <w:rFonts w:ascii="Times New Roman" w:cs="Times New Roman" w:eastAsia="Times New Roman" w:hAnsi="Times New Roman"/>
          <w:sz w:val="16"/>
          <w:szCs w:val="16"/>
          <w:color w:val="auto"/>
        </w:rPr>
      </w:pPr>
    </w:p>
    <w:p>
      <w:pPr>
        <w:ind w:left="1270" w:right="240" w:hanging="394"/>
        <w:spacing w:after="0" w:line="259" w:lineRule="auto"/>
        <w:tabs>
          <w:tab w:leader="none" w:pos="127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material information with respect to the plan of distribution not previously disclosed in the Registration Statements or any material change to such information in the Registration Statements.</w:t>
      </w:r>
    </w:p>
    <w:p>
      <w:pPr>
        <w:spacing w:after="0" w:line="153" w:lineRule="exact"/>
        <w:rPr>
          <w:sz w:val="20"/>
          <w:szCs w:val="20"/>
          <w:color w:val="auto"/>
        </w:rPr>
      </w:pPr>
    </w:p>
    <w:p>
      <w:pPr>
        <w:ind w:left="10" w:right="16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Provided, however, </w:t>
      </w:r>
      <w:r>
        <w:rPr>
          <w:rFonts w:ascii="Times New Roman" w:cs="Times New Roman" w:eastAsia="Times New Roman" w:hAnsi="Times New Roman"/>
          <w:sz w:val="16"/>
          <w:szCs w:val="16"/>
          <w:color w:val="auto"/>
        </w:rPr>
        <w:t>that paragraphs (a)(1)(i) and (a)(1)(ii) do not apply if the Registration Statement is on Form S-8, and the information required to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92" w:lineRule="exact"/>
        <w:rPr>
          <w:sz w:val="20"/>
          <w:szCs w:val="20"/>
          <w:color w:val="auto"/>
        </w:rPr>
      </w:pPr>
    </w:p>
    <w:p>
      <w:pPr>
        <w:jc w:val="both"/>
        <w:ind w:left="870" w:right="160" w:hanging="486"/>
        <w:spacing w:after="0" w:line="247" w:lineRule="auto"/>
        <w:tabs>
          <w:tab w:leader="none" w:pos="87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92" w:lineRule="exact"/>
        <w:rPr>
          <w:rFonts w:ascii="Times New Roman" w:cs="Times New Roman" w:eastAsia="Times New Roman" w:hAnsi="Times New Roman"/>
          <w:sz w:val="16"/>
          <w:szCs w:val="16"/>
          <w:color w:val="auto"/>
        </w:rPr>
      </w:pPr>
    </w:p>
    <w:p>
      <w:pPr>
        <w:ind w:left="870" w:right="560" w:hanging="486"/>
        <w:spacing w:after="0" w:line="259" w:lineRule="auto"/>
        <w:tabs>
          <w:tab w:leader="none" w:pos="87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 offering.</w:t>
      </w:r>
    </w:p>
    <w:p>
      <w:pPr>
        <w:spacing w:after="0" w:line="83" w:lineRule="exact"/>
        <w:rPr>
          <w:rFonts w:ascii="Times New Roman" w:cs="Times New Roman" w:eastAsia="Times New Roman" w:hAnsi="Times New Roman"/>
          <w:sz w:val="16"/>
          <w:szCs w:val="16"/>
          <w:color w:val="auto"/>
        </w:rPr>
      </w:pPr>
    </w:p>
    <w:p>
      <w:pPr>
        <w:ind w:left="390" w:right="60" w:hanging="390"/>
        <w:spacing w:after="0" w:line="241" w:lineRule="auto"/>
        <w:tabs>
          <w:tab w:leader="none" w:pos="39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96" w:lineRule="exact"/>
        <w:rPr>
          <w:rFonts w:ascii="Times New Roman" w:cs="Times New Roman" w:eastAsia="Times New Roman" w:hAnsi="Times New Roman"/>
          <w:sz w:val="16"/>
          <w:szCs w:val="16"/>
          <w:color w:val="auto"/>
        </w:rPr>
      </w:pPr>
    </w:p>
    <w:p>
      <w:pPr>
        <w:ind w:left="390" w:hanging="390"/>
        <w:spacing w:after="0" w:line="238" w:lineRule="auto"/>
        <w:tabs>
          <w:tab w:leader="none" w:pos="39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40" w:orient="portrait"/>
          <w:cols w:equalWidth="0" w:num="1">
            <w:col w:w="9830"/>
          </w:cols>
          <w:pgMar w:left="1050" w:top="689" w:right="102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SIGNATURES</w:t>
      </w:r>
    </w:p>
    <w:p>
      <w:pPr>
        <w:spacing w:after="0" w:line="190" w:lineRule="exact"/>
        <w:rPr>
          <w:sz w:val="20"/>
          <w:szCs w:val="20"/>
          <w:color w:val="auto"/>
        </w:rPr>
      </w:pPr>
    </w:p>
    <w:p>
      <w:pPr>
        <w:jc w:val="both"/>
        <w:ind w:right="120" w:firstLine="384"/>
        <w:spacing w:after="0" w:line="247"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as amended, the Registrant certifies that it has reasonable grounds to believe that it meets all of the requirements for filing on Form S -8 and has duly caused this Registration Statement to be signed on its behalf by the undersigned, thereunto duly authorized, in the City of Chicago, State of Illinois, on August 8, 2025.</w:t>
      </w:r>
    </w:p>
    <w:p>
      <w:pPr>
        <w:spacing w:after="0" w:line="19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TEMPUS AI, INC.</w:t>
      </w:r>
    </w:p>
    <w:p>
      <w:pPr>
        <w:spacing w:after="0" w:line="19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5715</wp:posOffset>
            </wp:positionV>
            <wp:extent cx="227901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extLst>
                    </a:blip>
                    <a:srcRect/>
                    <a:stretch>
                      <a:fillRect/>
                    </a:stretch>
                  </pic:blipFill>
                  <pic:spPr bwMode="auto">
                    <a:xfrm>
                      <a:off x="0" y="0"/>
                      <a:ext cx="2279015" cy="7620"/>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6"/>
          <w:szCs w:val="16"/>
          <w:color w:val="auto"/>
        </w:rPr>
        <w:t>Eric Lefkofsky</w:t>
      </w:r>
    </w:p>
    <w:p>
      <w:pPr>
        <w:spacing w:after="0" w:line="1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Chief Executive Officer, Founder and Chairman</w:t>
      </w:r>
    </w:p>
    <w:p>
      <w:pPr>
        <w:spacing w:after="0" w:line="170" w:lineRule="exact"/>
        <w:rPr>
          <w:sz w:val="20"/>
          <w:szCs w:val="20"/>
          <w:color w:val="auto"/>
        </w:rPr>
      </w:pPr>
    </w:p>
    <w:p>
      <w:pPr>
        <w:ind w:right="280" w:firstLine="384"/>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as amended, this registration statement has been signed by the following persons in the capacities and on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20" w:type="dxa"/>
            <w:vAlign w:val="bottom"/>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100" w:type="dxa"/>
            <w:vAlign w:val="bottom"/>
          </w:tcPr>
          <w:p>
            <w:pPr>
              <w:spacing w:after="0"/>
              <w:rPr>
                <w:sz w:val="15"/>
                <w:szCs w:val="15"/>
                <w:color w:val="auto"/>
              </w:rPr>
            </w:pPr>
          </w:p>
        </w:tc>
        <w:tc>
          <w:tcPr>
            <w:tcW w:w="156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Date</w:t>
            </w:r>
          </w:p>
        </w:tc>
      </w:tr>
      <w:tr>
        <w:trPr>
          <w:trHeight w:val="168"/>
        </w:trPr>
        <w:tc>
          <w:tcPr>
            <w:tcW w:w="3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3180" w:type="dxa"/>
            <w:vAlign w:val="bottom"/>
            <w:tcBorders>
              <w:bottom w:val="single" w:sz="8" w:color="auto"/>
            </w:tcBorders>
          </w:tcPr>
          <w:p>
            <w:pPr>
              <w:jc w:val="center"/>
              <w:ind w:right="462"/>
              <w:spacing w:after="0" w:line="168" w:lineRule="exact"/>
              <w:rPr>
                <w:sz w:val="20"/>
                <w:szCs w:val="20"/>
                <w:color w:val="auto"/>
              </w:rPr>
            </w:pPr>
            <w:r>
              <w:rPr>
                <w:rFonts w:ascii="Times New Roman" w:cs="Times New Roman" w:eastAsia="Times New Roman" w:hAnsi="Times New Roman"/>
                <w:sz w:val="16"/>
                <w:szCs w:val="16"/>
                <w:color w:val="auto"/>
                <w:w w:val="96"/>
              </w:rPr>
              <w:t>/s/ Eric Lefkofsky</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2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color w:val="auto"/>
                <w:w w:val="96"/>
              </w:rPr>
              <w:t>Chief Executive Officer, Founder and Chairman</w:t>
            </w:r>
          </w:p>
        </w:tc>
        <w:tc>
          <w:tcPr>
            <w:tcW w:w="100" w:type="dxa"/>
            <w:vAlign w:val="bottom"/>
          </w:tcPr>
          <w:p>
            <w:pPr>
              <w:spacing w:after="0"/>
              <w:rPr>
                <w:sz w:val="14"/>
                <w:szCs w:val="14"/>
                <w:color w:val="auto"/>
              </w:rPr>
            </w:pPr>
          </w:p>
        </w:tc>
        <w:tc>
          <w:tcPr>
            <w:tcW w:w="156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6"/>
                <w:szCs w:val="16"/>
                <w:color w:val="auto"/>
              </w:rPr>
              <w:t>August 8, 2025</w:t>
            </w:r>
          </w:p>
        </w:tc>
      </w:tr>
      <w:tr>
        <w:trPr>
          <w:trHeight w:val="195"/>
        </w:trPr>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tcPr>
          <w:p>
            <w:pPr>
              <w:jc w:val="center"/>
              <w:ind w:right="482"/>
              <w:spacing w:after="0"/>
              <w:rPr>
                <w:sz w:val="20"/>
                <w:szCs w:val="20"/>
                <w:color w:val="auto"/>
              </w:rPr>
            </w:pPr>
            <w:r>
              <w:rPr>
                <w:rFonts w:ascii="Times New Roman" w:cs="Times New Roman" w:eastAsia="Times New Roman" w:hAnsi="Times New Roman"/>
                <w:sz w:val="16"/>
                <w:szCs w:val="16"/>
                <w:color w:val="auto"/>
                <w:w w:val="97"/>
              </w:rPr>
              <w:t>Eric Lefkofsky</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w:t>
            </w:r>
            <w:r>
              <w:rPr>
                <w:rFonts w:ascii="Times New Roman" w:cs="Times New Roman" w:eastAsia="Times New Roman" w:hAnsi="Times New Roman"/>
                <w:sz w:val="16"/>
                <w:szCs w:val="16"/>
                <w:i w:val="1"/>
                <w:iCs w:val="1"/>
                <w:color w:val="auto"/>
                <w:w w:val="96"/>
              </w:rPr>
              <w:t>Principal Executive Officer</w:t>
            </w:r>
            <w:r>
              <w:rPr>
                <w:rFonts w:ascii="Times New Roman" w:cs="Times New Roman" w:eastAsia="Times New Roman" w:hAnsi="Times New Roman"/>
                <w:sz w:val="16"/>
                <w:szCs w:val="16"/>
                <w:color w:val="auto"/>
                <w:w w:val="96"/>
              </w:rPr>
              <w:t>)</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61"/>
        </w:trPr>
        <w:tc>
          <w:tcPr>
            <w:tcW w:w="3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tcPr>
          <w:p>
            <w:pPr>
              <w:jc w:val="center"/>
              <w:ind w:right="3"/>
              <w:spacing w:after="0"/>
              <w:rPr>
                <w:sz w:val="20"/>
                <w:szCs w:val="20"/>
                <w:color w:val="auto"/>
              </w:rPr>
            </w:pPr>
            <w:r>
              <w:rPr>
                <w:rFonts w:ascii="Times New Roman" w:cs="Times New Roman" w:eastAsia="Times New Roman" w:hAnsi="Times New Roman"/>
                <w:sz w:val="16"/>
                <w:szCs w:val="16"/>
                <w:color w:val="auto"/>
                <w:w w:val="97"/>
              </w:rPr>
              <w:t>Chief Financial Officer</w:t>
            </w: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August 8, 2025</w:t>
            </w:r>
          </w:p>
        </w:tc>
      </w:tr>
      <w:tr>
        <w:trPr>
          <w:trHeight w:val="195"/>
        </w:trPr>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tcPr>
          <w:p>
            <w:pPr>
              <w:jc w:val="center"/>
              <w:ind w:right="482"/>
              <w:spacing w:after="0"/>
              <w:rPr>
                <w:sz w:val="20"/>
                <w:szCs w:val="20"/>
                <w:color w:val="auto"/>
              </w:rPr>
            </w:pPr>
            <w:r>
              <w:rPr>
                <w:rFonts w:ascii="Times New Roman" w:cs="Times New Roman" w:eastAsia="Times New Roman" w:hAnsi="Times New Roman"/>
                <w:sz w:val="16"/>
                <w:szCs w:val="16"/>
                <w:color w:val="auto"/>
                <w:w w:val="97"/>
              </w:rPr>
              <w:t>James Rogers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20" w:type="dxa"/>
            <w:vAlign w:val="bottom"/>
          </w:tcPr>
          <w:p>
            <w:pPr>
              <w:jc w:val="center"/>
              <w:ind w:right="3"/>
              <w:spacing w:after="0"/>
              <w:rPr>
                <w:sz w:val="20"/>
                <w:szCs w:val="20"/>
                <w:color w:val="auto"/>
              </w:rPr>
            </w:pPr>
            <w:r>
              <w:rPr>
                <w:rFonts w:ascii="Times New Roman" w:cs="Times New Roman" w:eastAsia="Times New Roman" w:hAnsi="Times New Roman"/>
                <w:sz w:val="16"/>
                <w:szCs w:val="16"/>
                <w:color w:val="auto"/>
                <w:w w:val="97"/>
              </w:rPr>
              <w:t>(</w:t>
            </w:r>
            <w:r>
              <w:rPr>
                <w:rFonts w:ascii="Times New Roman" w:cs="Times New Roman" w:eastAsia="Times New Roman" w:hAnsi="Times New Roman"/>
                <w:sz w:val="16"/>
                <w:szCs w:val="16"/>
                <w:i w:val="1"/>
                <w:iCs w:val="1"/>
                <w:color w:val="auto"/>
                <w:w w:val="97"/>
              </w:rPr>
              <w:t>Principal Financial Officer</w:t>
            </w:r>
            <w:r>
              <w:rPr>
                <w:rFonts w:ascii="Times New Roman" w:cs="Times New Roman" w:eastAsia="Times New Roman" w:hAnsi="Times New Roman"/>
                <w:sz w:val="16"/>
                <w:szCs w:val="16"/>
                <w:color w:val="auto"/>
                <w:w w:val="97"/>
              </w:rPr>
              <w:t>)</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61"/>
        </w:trPr>
        <w:tc>
          <w:tcPr>
            <w:tcW w:w="3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tcPr>
          <w:p>
            <w:pPr>
              <w:jc w:val="center"/>
              <w:ind w:right="3"/>
              <w:spacing w:after="0"/>
              <w:rPr>
                <w:sz w:val="20"/>
                <w:szCs w:val="20"/>
                <w:color w:val="auto"/>
              </w:rPr>
            </w:pPr>
            <w:r>
              <w:rPr>
                <w:rFonts w:ascii="Times New Roman" w:cs="Times New Roman" w:eastAsia="Times New Roman" w:hAnsi="Times New Roman"/>
                <w:sz w:val="16"/>
                <w:szCs w:val="16"/>
                <w:color w:val="auto"/>
                <w:w w:val="98"/>
              </w:rPr>
              <w:t>Chief Accounting Officer</w:t>
            </w: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August 8, 2025</w:t>
            </w:r>
          </w:p>
        </w:tc>
      </w:tr>
      <w:tr>
        <w:trPr>
          <w:trHeight w:val="195"/>
        </w:trPr>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tcPr>
          <w:p>
            <w:pPr>
              <w:jc w:val="center"/>
              <w:ind w:right="482"/>
              <w:spacing w:after="0"/>
              <w:rPr>
                <w:sz w:val="20"/>
                <w:szCs w:val="20"/>
                <w:color w:val="auto"/>
              </w:rPr>
            </w:pPr>
            <w:r>
              <w:rPr>
                <w:rFonts w:ascii="Times New Roman" w:cs="Times New Roman" w:eastAsia="Times New Roman" w:hAnsi="Times New Roman"/>
                <w:sz w:val="16"/>
                <w:szCs w:val="16"/>
                <w:color w:val="auto"/>
                <w:w w:val="97"/>
              </w:rPr>
              <w:t>Ryan Bartolucci</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(Principal Accounting Officer)</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61"/>
        </w:trPr>
        <w:tc>
          <w:tcPr>
            <w:tcW w:w="3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August 8, 2025</w:t>
            </w:r>
          </w:p>
        </w:tc>
      </w:tr>
      <w:tr>
        <w:trPr>
          <w:trHeight w:val="195"/>
        </w:trPr>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tcPr>
          <w:p>
            <w:pPr>
              <w:jc w:val="center"/>
              <w:ind w:right="462"/>
              <w:spacing w:after="0"/>
              <w:rPr>
                <w:sz w:val="20"/>
                <w:szCs w:val="20"/>
                <w:color w:val="auto"/>
              </w:rPr>
            </w:pPr>
            <w:r>
              <w:rPr>
                <w:rFonts w:ascii="Times New Roman" w:cs="Times New Roman" w:eastAsia="Times New Roman" w:hAnsi="Times New Roman"/>
                <w:sz w:val="16"/>
                <w:szCs w:val="16"/>
                <w:color w:val="auto"/>
                <w:w w:val="97"/>
              </w:rPr>
              <w:t>Peter J. Barris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61"/>
        </w:trPr>
        <w:tc>
          <w:tcPr>
            <w:tcW w:w="3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August 8, 2025</w:t>
            </w:r>
          </w:p>
        </w:tc>
      </w:tr>
      <w:tr>
        <w:trPr>
          <w:trHeight w:val="195"/>
        </w:trPr>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tcPr>
          <w:p>
            <w:pPr>
              <w:jc w:val="center"/>
              <w:ind w:right="482"/>
              <w:spacing w:after="0"/>
              <w:rPr>
                <w:sz w:val="20"/>
                <w:szCs w:val="20"/>
                <w:color w:val="auto"/>
              </w:rPr>
            </w:pPr>
            <w:r>
              <w:rPr>
                <w:rFonts w:ascii="Times New Roman" w:cs="Times New Roman" w:eastAsia="Times New Roman" w:hAnsi="Times New Roman"/>
                <w:sz w:val="16"/>
                <w:szCs w:val="16"/>
                <w:color w:val="auto"/>
                <w:w w:val="97"/>
              </w:rPr>
              <w:t>Eric D. Belcher</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61"/>
        </w:trPr>
        <w:tc>
          <w:tcPr>
            <w:tcW w:w="3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August 8, 2025</w:t>
            </w:r>
          </w:p>
        </w:tc>
      </w:tr>
      <w:tr>
        <w:trPr>
          <w:trHeight w:val="195"/>
        </w:trPr>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tcPr>
          <w:p>
            <w:pPr>
              <w:jc w:val="center"/>
              <w:ind w:right="482"/>
              <w:spacing w:after="0"/>
              <w:rPr>
                <w:sz w:val="20"/>
                <w:szCs w:val="20"/>
                <w:color w:val="auto"/>
              </w:rPr>
            </w:pPr>
            <w:r>
              <w:rPr>
                <w:rFonts w:ascii="Times New Roman" w:cs="Times New Roman" w:eastAsia="Times New Roman" w:hAnsi="Times New Roman"/>
                <w:sz w:val="16"/>
                <w:szCs w:val="16"/>
                <w:color w:val="auto"/>
                <w:w w:val="97"/>
              </w:rPr>
              <w:t>Jennifer A. Doudna, Ph.D.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61"/>
        </w:trPr>
        <w:tc>
          <w:tcPr>
            <w:tcW w:w="3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August 8, 2025</w:t>
            </w:r>
          </w:p>
        </w:tc>
      </w:tr>
      <w:tr>
        <w:trPr>
          <w:trHeight w:val="195"/>
        </w:trPr>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tcPr>
          <w:p>
            <w:pPr>
              <w:jc w:val="center"/>
              <w:ind w:right="482"/>
              <w:spacing w:after="0"/>
              <w:rPr>
                <w:sz w:val="20"/>
                <w:szCs w:val="20"/>
                <w:color w:val="auto"/>
              </w:rPr>
            </w:pPr>
            <w:r>
              <w:rPr>
                <w:rFonts w:ascii="Times New Roman" w:cs="Times New Roman" w:eastAsia="Times New Roman" w:hAnsi="Times New Roman"/>
                <w:sz w:val="16"/>
                <w:szCs w:val="16"/>
                <w:color w:val="auto"/>
                <w:w w:val="96"/>
              </w:rPr>
              <w:t>David R. Epstein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61"/>
        </w:trPr>
        <w:tc>
          <w:tcPr>
            <w:tcW w:w="3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August 8, 2025</w:t>
            </w:r>
          </w:p>
        </w:tc>
      </w:tr>
      <w:tr>
        <w:trPr>
          <w:trHeight w:val="195"/>
        </w:trPr>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tcPr>
          <w:p>
            <w:pPr>
              <w:jc w:val="center"/>
              <w:ind w:right="462"/>
              <w:spacing w:after="0"/>
              <w:rPr>
                <w:sz w:val="20"/>
                <w:szCs w:val="20"/>
                <w:color w:val="auto"/>
              </w:rPr>
            </w:pPr>
            <w:r>
              <w:rPr>
                <w:rFonts w:ascii="Times New Roman" w:cs="Times New Roman" w:eastAsia="Times New Roman" w:hAnsi="Times New Roman"/>
                <w:sz w:val="16"/>
                <w:szCs w:val="16"/>
                <w:color w:val="auto"/>
                <w:w w:val="97"/>
              </w:rPr>
              <w:t>Wayne A.I. Frederick, M.D.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61"/>
        </w:trPr>
        <w:tc>
          <w:tcPr>
            <w:tcW w:w="3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August 8, 2025</w:t>
            </w:r>
          </w:p>
        </w:tc>
      </w:tr>
      <w:tr>
        <w:trPr>
          <w:trHeight w:val="195"/>
        </w:trPr>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tcPr>
          <w:p>
            <w:pPr>
              <w:jc w:val="center"/>
              <w:ind w:right="462"/>
              <w:spacing w:after="0"/>
              <w:rPr>
                <w:sz w:val="20"/>
                <w:szCs w:val="20"/>
                <w:color w:val="auto"/>
              </w:rPr>
            </w:pPr>
            <w:r>
              <w:rPr>
                <w:rFonts w:ascii="Times New Roman" w:cs="Times New Roman" w:eastAsia="Times New Roman" w:hAnsi="Times New Roman"/>
                <w:sz w:val="16"/>
                <w:szCs w:val="16"/>
                <w:color w:val="auto"/>
                <w:w w:val="97"/>
              </w:rPr>
              <w:t>Scott Gottlieb, M.D.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61"/>
        </w:trPr>
        <w:tc>
          <w:tcPr>
            <w:tcW w:w="3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August 8, 2025</w:t>
            </w:r>
          </w:p>
        </w:tc>
      </w:tr>
      <w:tr>
        <w:trPr>
          <w:trHeight w:val="195"/>
        </w:trPr>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tcPr>
          <w:p>
            <w:pPr>
              <w:jc w:val="center"/>
              <w:ind w:right="482"/>
              <w:spacing w:after="0"/>
              <w:rPr>
                <w:sz w:val="20"/>
                <w:szCs w:val="20"/>
                <w:color w:val="auto"/>
              </w:rPr>
            </w:pPr>
            <w:r>
              <w:rPr>
                <w:rFonts w:ascii="Times New Roman" w:cs="Times New Roman" w:eastAsia="Times New Roman" w:hAnsi="Times New Roman"/>
                <w:sz w:val="16"/>
                <w:szCs w:val="16"/>
                <w:color w:val="auto"/>
                <w:w w:val="97"/>
              </w:rPr>
              <w:t>Theodore J. Leonsis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61"/>
        </w:trPr>
        <w:tc>
          <w:tcPr>
            <w:tcW w:w="3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August 8, 2025</w:t>
            </w:r>
          </w:p>
        </w:tc>
      </w:tr>
      <w:tr>
        <w:trPr>
          <w:trHeight w:val="195"/>
        </w:trPr>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tcPr>
          <w:p>
            <w:pPr>
              <w:jc w:val="center"/>
              <w:ind w:right="482"/>
              <w:spacing w:after="0"/>
              <w:rPr>
                <w:sz w:val="20"/>
                <w:szCs w:val="20"/>
                <w:color w:val="auto"/>
              </w:rPr>
            </w:pPr>
            <w:r>
              <w:rPr>
                <w:rFonts w:ascii="Times New Roman" w:cs="Times New Roman" w:eastAsia="Times New Roman" w:hAnsi="Times New Roman"/>
                <w:sz w:val="16"/>
                <w:szCs w:val="16"/>
                <w:color w:val="auto"/>
                <w:w w:val="97"/>
              </w:rPr>
              <w:t>Nadja West, M.D.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97"/>
        </w:trPr>
        <w:tc>
          <w:tcPr>
            <w:tcW w:w="3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By: /s/ Eric P. Lefkofksy</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1"/>
        </w:trPr>
        <w:tc>
          <w:tcPr>
            <w:tcW w:w="320" w:type="dxa"/>
            <w:vAlign w:val="bottom"/>
          </w:tcPr>
          <w:p>
            <w:pPr>
              <w:spacing w:after="0"/>
              <w:rPr>
                <w:sz w:val="14"/>
                <w:szCs w:val="14"/>
                <w:color w:val="auto"/>
              </w:rPr>
            </w:pPr>
          </w:p>
        </w:tc>
        <w:tc>
          <w:tcPr>
            <w:tcW w:w="3400" w:type="dxa"/>
            <w:vAlign w:val="bottom"/>
            <w:tcBorders>
              <w:top w:val="single" w:sz="8" w:color="auto"/>
            </w:tcBorders>
            <w:gridSpan w:val="2"/>
          </w:tcPr>
          <w:p>
            <w:pPr>
              <w:spacing w:after="0" w:line="171" w:lineRule="exact"/>
              <w:rPr>
                <w:sz w:val="20"/>
                <w:szCs w:val="20"/>
                <w:color w:val="auto"/>
              </w:rPr>
            </w:pPr>
            <w:r>
              <w:rPr>
                <w:rFonts w:ascii="Times New Roman" w:cs="Times New Roman" w:eastAsia="Times New Roman" w:hAnsi="Times New Roman"/>
                <w:sz w:val="16"/>
                <w:szCs w:val="16"/>
                <w:color w:val="auto"/>
              </w:rPr>
              <w:t>Eric P. Lefkofsky</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03"/>
        </w:trPr>
        <w:tc>
          <w:tcPr>
            <w:tcW w:w="3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Attorney-in-Fact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bl>
    <w:p>
      <w:pPr>
        <w:sectPr>
          <w:pgSz w:w="11900" w:h="16840" w:orient="portrait"/>
          <w:cols w:equalWidth="0" w:num="1">
            <w:col w:w="9780"/>
          </w:cols>
          <w:pgMar w:left="1060" w:top="687" w:right="1060" w:bottom="1440" w:gutter="0" w:footer="0" w:header="0"/>
        </w:sectPr>
      </w:pPr>
    </w:p>
    <w:bookmarkStart w:id="7" w:name="page8"/>
    <w:bookmarkEnd w:id="7"/>
    <w:p>
      <w:pPr>
        <w:ind w:left="9060"/>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4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b w:val="1"/>
          <w:bCs w:val="1"/>
          <w:color w:val="auto"/>
        </w:rPr>
        <w:t>Brownstein Hyatt Farber Schreck,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-106680</wp:posOffset>
            </wp:positionV>
            <wp:extent cx="1570355" cy="236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extLst>
                    </a:blip>
                    <a:srcRect/>
                    <a:stretch>
                      <a:fillRect/>
                    </a:stretch>
                  </pic:blipFill>
                  <pic:spPr bwMode="auto">
                    <a:xfrm>
                      <a:off x="0" y="0"/>
                      <a:ext cx="1570355" cy="236220"/>
                    </a:xfrm>
                    <a:prstGeom prst="rect">
                      <a:avLst/>
                    </a:prstGeom>
                    <a:noFill/>
                  </pic:spPr>
                </pic:pic>
              </a:graphicData>
            </a:graphic>
          </wp:anchor>
        </w:drawing>
      </w:r>
    </w:p>
    <w:p>
      <w:pPr>
        <w:ind w:left="6460"/>
        <w:spacing w:after="0"/>
        <w:rPr>
          <w:sz w:val="20"/>
          <w:szCs w:val="20"/>
          <w:color w:val="auto"/>
        </w:rPr>
      </w:pPr>
      <w:r>
        <w:rPr>
          <w:rFonts w:ascii="Times New Roman" w:cs="Times New Roman" w:eastAsia="Times New Roman" w:hAnsi="Times New Roman"/>
          <w:sz w:val="16"/>
          <w:szCs w:val="16"/>
          <w:color w:val="auto"/>
        </w:rPr>
        <w:t>702.382.2101 main</w:t>
      </w:r>
    </w:p>
    <w:p>
      <w:pPr>
        <w:ind w:left="6460"/>
        <w:spacing w:after="0" w:line="234" w:lineRule="auto"/>
        <w:rPr>
          <w:sz w:val="20"/>
          <w:szCs w:val="20"/>
          <w:color w:val="auto"/>
        </w:rPr>
      </w:pPr>
      <w:r>
        <w:rPr>
          <w:rFonts w:ascii="Times New Roman" w:cs="Times New Roman" w:eastAsia="Times New Roman" w:hAnsi="Times New Roman"/>
          <w:sz w:val="16"/>
          <w:szCs w:val="16"/>
          <w:color w:val="auto"/>
        </w:rPr>
        <w:t>100 North City Parkway, Suite 1600</w:t>
      </w:r>
    </w:p>
    <w:p>
      <w:pPr>
        <w:spacing w:after="0" w:line="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Las Vegas, Nevada 89106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8,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Tempus AI,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600 West Chicago Avenue, Suite 510</w:t>
      </w:r>
    </w:p>
    <w:p>
      <w:pPr>
        <w:spacing w:after="0"/>
        <w:rPr>
          <w:sz w:val="20"/>
          <w:szCs w:val="20"/>
          <w:color w:val="auto"/>
        </w:rPr>
      </w:pPr>
      <w:r>
        <w:rPr>
          <w:rFonts w:ascii="Times New Roman" w:cs="Times New Roman" w:eastAsia="Times New Roman" w:hAnsi="Times New Roman"/>
          <w:sz w:val="16"/>
          <w:szCs w:val="16"/>
          <w:color w:val="auto"/>
        </w:rPr>
        <w:t>Chicago, Illinois 60654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addressee set forth above:</w:t>
      </w:r>
    </w:p>
    <w:p>
      <w:pPr>
        <w:spacing w:after="0" w:line="92" w:lineRule="exact"/>
        <w:rPr>
          <w:sz w:val="20"/>
          <w:szCs w:val="20"/>
          <w:color w:val="auto"/>
        </w:rPr>
      </w:pPr>
    </w:p>
    <w:p>
      <w:pPr>
        <w:ind w:right="120" w:firstLine="384"/>
        <w:spacing w:after="0" w:line="277" w:lineRule="auto"/>
        <w:rPr>
          <w:sz w:val="20"/>
          <w:szCs w:val="20"/>
          <w:color w:val="auto"/>
        </w:rPr>
      </w:pPr>
      <w:r>
        <w:rPr>
          <w:rFonts w:ascii="Times New Roman" w:cs="Times New Roman" w:eastAsia="Times New Roman" w:hAnsi="Times New Roman"/>
          <w:sz w:val="14"/>
          <w:szCs w:val="14"/>
          <w:color w:val="auto"/>
        </w:rPr>
        <w:t>We have acted as local Nevada counsel to Tempus AI, Inc., a Nevada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which is the resulting entity (as defined in Nevada Revised Statutes 92A.090) in the conversion of Tempus AI, Inc., a Delaware corporation (the “</w:t>
      </w:r>
      <w:r>
        <w:rPr>
          <w:rFonts w:ascii="Times New Roman" w:cs="Times New Roman" w:eastAsia="Times New Roman" w:hAnsi="Times New Roman"/>
          <w:sz w:val="14"/>
          <w:szCs w:val="14"/>
          <w:u w:val="single" w:color="auto"/>
          <w:color w:val="auto"/>
        </w:rPr>
        <w:t>Delaware Corporation</w:t>
      </w:r>
      <w:r>
        <w:rPr>
          <w:rFonts w:ascii="Times New Roman" w:cs="Times New Roman" w:eastAsia="Times New Roman" w:hAnsi="Times New Roman"/>
          <w:sz w:val="14"/>
          <w:szCs w:val="14"/>
          <w:color w:val="auto"/>
        </w:rPr>
        <w:t>”), into a Nevada corporation (the “</w:t>
      </w:r>
      <w:r>
        <w:rPr>
          <w:rFonts w:ascii="Times New Roman" w:cs="Times New Roman" w:eastAsia="Times New Roman" w:hAnsi="Times New Roman"/>
          <w:sz w:val="14"/>
          <w:szCs w:val="14"/>
          <w:u w:val="single" w:color="auto"/>
          <w:color w:val="auto"/>
        </w:rPr>
        <w:t>Conversion</w:t>
      </w:r>
      <w:r>
        <w:rPr>
          <w:rFonts w:ascii="Times New Roman" w:cs="Times New Roman" w:eastAsia="Times New Roman" w:hAnsi="Times New Roman"/>
          <w:sz w:val="14"/>
          <w:szCs w:val="14"/>
          <w:color w:val="auto"/>
        </w:rPr>
        <w:t>”), in connection with the filing by the Company of (i) Post Effective Amendment No.1 to FormS-8 Registration Statement (File</w:t>
      </w:r>
    </w:p>
    <w:p>
      <w:pPr>
        <w:spacing w:after="0" w:line="1"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6"/>
          <w:szCs w:val="16"/>
          <w:color w:val="auto"/>
        </w:rPr>
        <w:t>No. 333-280270), and (ii) Post Effective Amendment No.1 to Form S-8 Registration Statement (File No. 333-285174) (collectively, the “</w:t>
      </w:r>
      <w:r>
        <w:rPr>
          <w:rFonts w:ascii="Times New Roman" w:cs="Times New Roman" w:eastAsia="Times New Roman" w:hAnsi="Times New Roman"/>
          <w:sz w:val="16"/>
          <w:szCs w:val="16"/>
          <w:u w:val="single" w:color="auto"/>
          <w:color w:val="auto"/>
        </w:rPr>
        <w:t>Registration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Statements</w:t>
      </w:r>
      <w:r>
        <w:rPr>
          <w:rFonts w:ascii="Times New Roman" w:cs="Times New Roman" w:eastAsia="Times New Roman" w:hAnsi="Times New Roman"/>
          <w:sz w:val="16"/>
          <w:szCs w:val="16"/>
          <w:color w:val="auto"/>
        </w:rPr>
        <w:t>”) with the Securities and Exchange Commission (the “</w:t>
      </w:r>
      <w:r>
        <w:rPr>
          <w:rFonts w:ascii="Times New Roman" w:cs="Times New Roman" w:eastAsia="Times New Roman" w:hAnsi="Times New Roman"/>
          <w:sz w:val="16"/>
          <w:szCs w:val="16"/>
          <w:u w:val="single" w:color="auto"/>
          <w:color w:val="auto"/>
        </w:rPr>
        <w:t>Commission</w:t>
      </w:r>
      <w:r>
        <w:rPr>
          <w:rFonts w:ascii="Times New Roman" w:cs="Times New Roman" w:eastAsia="Times New Roman" w:hAnsi="Times New Roman"/>
          <w:sz w:val="16"/>
          <w:szCs w:val="16"/>
          <w:color w:val="auto"/>
        </w:rPr>
        <w:t>”) under the Securities Act of 1933, as amended (the “</w:t>
      </w:r>
      <w:r>
        <w:rPr>
          <w:rFonts w:ascii="Times New Roman" w:cs="Times New Roman" w:eastAsia="Times New Roman" w:hAnsi="Times New Roman"/>
          <w:sz w:val="16"/>
          <w:szCs w:val="16"/>
          <w:u w:val="single" w:color="auto"/>
          <w:color w:val="auto"/>
        </w:rPr>
        <w:t>Act</w:t>
      </w:r>
      <w:r>
        <w:rPr>
          <w:rFonts w:ascii="Times New Roman" w:cs="Times New Roman" w:eastAsia="Times New Roman" w:hAnsi="Times New Roman"/>
          <w:sz w:val="16"/>
          <w:szCs w:val="16"/>
          <w:color w:val="auto"/>
        </w:rPr>
        <w:t xml:space="preserve"> ”), relating to the registration of an aggregate of 10,301,134 shares (the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of the Company’s Class A Common Stock, par value $0.0001 per share (the “</w:t>
      </w:r>
      <w:r>
        <w:rPr>
          <w:rFonts w:ascii="Times New Roman" w:cs="Times New Roman" w:eastAsia="Times New Roman" w:hAnsi="Times New Roman"/>
          <w:sz w:val="16"/>
          <w:szCs w:val="16"/>
          <w:u w:val="single" w:color="auto"/>
          <w:color w:val="auto"/>
        </w:rPr>
        <w:t>Common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Stock</w:t>
      </w:r>
      <w:r>
        <w:rPr>
          <w:rFonts w:ascii="Times New Roman" w:cs="Times New Roman" w:eastAsia="Times New Roman" w:hAnsi="Times New Roman"/>
          <w:sz w:val="16"/>
          <w:szCs w:val="16"/>
          <w:color w:val="auto"/>
        </w:rPr>
        <w:t>”), issuable under the Company’s 2024 Equity Incentive Plan (the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This opinion letter is being delivered at your request pursuant to the requirements of Item 601(b)(5) of Regulation S-K under the Act.</w:t>
      </w:r>
    </w:p>
    <w:p>
      <w:pPr>
        <w:spacing w:after="0" w:line="170" w:lineRule="exact"/>
        <w:rPr>
          <w:sz w:val="20"/>
          <w:szCs w:val="20"/>
          <w:color w:val="auto"/>
        </w:rPr>
      </w:pPr>
    </w:p>
    <w:p>
      <w:pPr>
        <w:ind w:right="20" w:firstLine="384"/>
        <w:spacing w:after="0" w:line="243" w:lineRule="auto"/>
        <w:rPr>
          <w:sz w:val="20"/>
          <w:szCs w:val="20"/>
          <w:color w:val="auto"/>
        </w:rPr>
      </w:pPr>
      <w:r>
        <w:rPr>
          <w:rFonts w:ascii="Times New Roman" w:cs="Times New Roman" w:eastAsia="Times New Roman" w:hAnsi="Times New Roman"/>
          <w:sz w:val="16"/>
          <w:szCs w:val="16"/>
          <w:color w:val="auto"/>
        </w:rPr>
        <w:t>In our capacity as such counsel, we are familiar with the proceedings taken and proposed to be taken by the Company in connection with the authorization and issuance of the Shares as contemplated by the Plan and as described in the Registration Statements. For purposes of this opinion letter, and except to the extent set forth in the opinion expressed below, we have assumed that all such proceedings have been or will be timely completed in the manner contemplated by the Plan, and as presently proposed in the Registration Statements.</w:t>
      </w:r>
    </w:p>
    <w:p>
      <w:pPr>
        <w:spacing w:after="0" w:line="167" w:lineRule="exact"/>
        <w:rPr>
          <w:sz w:val="20"/>
          <w:szCs w:val="20"/>
          <w:color w:val="auto"/>
        </w:rPr>
      </w:pPr>
    </w:p>
    <w:p>
      <w:pPr>
        <w:ind w:right="80" w:firstLine="384"/>
        <w:spacing w:after="0" w:line="239" w:lineRule="auto"/>
        <w:rPr>
          <w:sz w:val="20"/>
          <w:szCs w:val="20"/>
          <w:color w:val="auto"/>
        </w:rPr>
      </w:pPr>
      <w:r>
        <w:rPr>
          <w:rFonts w:ascii="Times New Roman" w:cs="Times New Roman" w:eastAsia="Times New Roman" w:hAnsi="Times New Roman"/>
          <w:sz w:val="16"/>
          <w:szCs w:val="16"/>
          <w:color w:val="auto"/>
        </w:rPr>
        <w:t>For the purpose of issuing this opinion letter, we have made such legal and factual examinations and inquiries, including an examination of originals or copies certified or otherwise identified to our satisfaction as being true copies of (i) the Registration Statements, (ii) the Plan, (iii) the Company’s articles of incorporation and bylaws, and (iv) such other agreements, instruments, corporate records (including resolutions of the board of directors and any committee thereof) and other documents, or forms thereof, as we have deemed necessary or appropriate, and we have obtained from officers and other representatives and agents of the Company and from public officials, and have relied upon, such certificates, representations, assurances and public filings as we have deemed necessary or appropriate.</w:t>
      </w:r>
    </w:p>
    <w:p>
      <w:pPr>
        <w:spacing w:after="0" w:line="173" w:lineRule="exact"/>
        <w:rPr>
          <w:sz w:val="20"/>
          <w:szCs w:val="20"/>
          <w:color w:val="auto"/>
        </w:rPr>
      </w:pPr>
    </w:p>
    <w:p>
      <w:pPr>
        <w:ind w:right="20" w:firstLine="384"/>
        <w:spacing w:after="0" w:line="241" w:lineRule="auto"/>
        <w:rPr>
          <w:sz w:val="20"/>
          <w:szCs w:val="20"/>
          <w:color w:val="auto"/>
        </w:rPr>
      </w:pPr>
      <w:r>
        <w:rPr>
          <w:rFonts w:ascii="Times New Roman" w:cs="Times New Roman" w:eastAsia="Times New Roman" w:hAnsi="Times New Roman"/>
          <w:sz w:val="16"/>
          <w:szCs w:val="16"/>
          <w:color w:val="auto"/>
        </w:rPr>
        <w:t>Without limiting the generality of the foregoing, we have, with your permission, assumed without independent verification that (i) each natural person executing a document has or will have sufficient legal capacity to do so; (ii) all documents submitted to us as originals are authentic, the signatures on all documents we reviewed are genuine, and all documents submitted to us as certified, conformed, photostatic, electronic or facsimile copies conform to the original document; (iii) all corporate records made available to us by the Company, and all public records we have reviewed, are accurate and complete; (iv) prior to the Conversion, the</w:t>
      </w:r>
    </w:p>
    <w:p>
      <w:pPr>
        <w:spacing w:after="0" w:line="131"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www.bhfs.com</w:t>
      </w:r>
    </w:p>
    <w:p>
      <w:pPr>
        <w:sectPr>
          <w:pgSz w:w="11900" w:h="16840" w:orient="portrait"/>
          <w:cols w:equalWidth="0" w:num="1">
            <w:col w:w="9780"/>
          </w:cols>
          <w:pgMar w:left="1060" w:top="555" w:right="106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Tempus AI,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8, 2025</w:t>
      </w:r>
    </w:p>
    <w:p>
      <w:pPr>
        <w:spacing w:after="0"/>
        <w:rPr>
          <w:sz w:val="20"/>
          <w:szCs w:val="20"/>
          <w:color w:val="auto"/>
        </w:rPr>
      </w:pPr>
      <w:r>
        <w:rPr>
          <w:rFonts w:ascii="Times New Roman" w:cs="Times New Roman" w:eastAsia="Times New Roman" w:hAnsi="Times New Roman"/>
          <w:sz w:val="16"/>
          <w:szCs w:val="16"/>
          <w:color w:val="auto"/>
        </w:rPr>
        <w:t>Page 2</w:t>
      </w:r>
    </w:p>
    <w:p>
      <w:pPr>
        <w:spacing w:after="0" w:line="13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Delaware Corporation has taken all corporate action required under the laws of the State of Delaware to authorize the Plan and the performance by the Company of its obligations thereunder, including the issuance of Shares; and (v) after any issuance of any Shares, the total number of issued and outstanding shares of Common Stock, together with the total number of shares of Common Stock then reserved for issuance or obligated to be issued by the Company pursuant to any agreement or arrangement, or otherwise, including pursuant to the Plan, will not exceed the total number of shares of Common Stock then authorized under the Company’s articles of incorporation.</w:t>
      </w:r>
    </w:p>
    <w:p>
      <w:pPr>
        <w:spacing w:after="0" w:line="169" w:lineRule="exact"/>
        <w:rPr>
          <w:sz w:val="20"/>
          <w:szCs w:val="20"/>
          <w:color w:val="auto"/>
        </w:rPr>
      </w:pPr>
    </w:p>
    <w:p>
      <w:pPr>
        <w:ind w:right="40" w:firstLine="384"/>
        <w:spacing w:after="0" w:line="241" w:lineRule="auto"/>
        <w:rPr>
          <w:sz w:val="20"/>
          <w:szCs w:val="20"/>
          <w:color w:val="auto"/>
        </w:rPr>
      </w:pPr>
      <w:r>
        <w:rPr>
          <w:rFonts w:ascii="Times New Roman" w:cs="Times New Roman" w:eastAsia="Times New Roman" w:hAnsi="Times New Roman"/>
          <w:sz w:val="16"/>
          <w:szCs w:val="16"/>
          <w:color w:val="auto"/>
        </w:rPr>
        <w:t>We are qualified to practice law in the State of Nevada. The opinion set forth herein is expressly limited to and based exclusively on the general corporate laws of the State of Nevada, and we do not purport to be experts on, or to express any opinion with respect to the applicability thereto or the effect thereon of, the laws of any other jurisdiction. We express no opinion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spacing w:after="0" w:line="169" w:lineRule="exact"/>
        <w:rPr>
          <w:sz w:val="20"/>
          <w:szCs w:val="20"/>
          <w:color w:val="auto"/>
        </w:rPr>
      </w:pPr>
    </w:p>
    <w:p>
      <w:pPr>
        <w:ind w:right="100" w:firstLine="384"/>
        <w:spacing w:after="0" w:line="243" w:lineRule="auto"/>
        <w:rPr>
          <w:sz w:val="20"/>
          <w:szCs w:val="20"/>
          <w:color w:val="auto"/>
        </w:rPr>
      </w:pPr>
      <w:r>
        <w:rPr>
          <w:rFonts w:ascii="Times New Roman" w:cs="Times New Roman" w:eastAsia="Times New Roman" w:hAnsi="Times New Roman"/>
          <w:sz w:val="16"/>
          <w:szCs w:val="16"/>
          <w:color w:val="auto"/>
        </w:rPr>
        <w:t>Based on the foregoing and in reliance thereon, and having regard to legal considerations and other information that we deem relevant, we are of the opinion that the Shares have been duly authorized by the Company and, if, when and to the extent issued in accordance with all applicable terms and conditions set forth in the Plan and in exchange for the consideration required thereunder, and as described in the Registration Statements, such Shares will be validly issued, fully paid and non-assessable.</w:t>
      </w:r>
    </w:p>
    <w:p>
      <w:pPr>
        <w:spacing w:after="0" w:line="167" w:lineRule="exact"/>
        <w:rPr>
          <w:sz w:val="20"/>
          <w:szCs w:val="20"/>
          <w:color w:val="auto"/>
        </w:rPr>
      </w:pPr>
    </w:p>
    <w:p>
      <w:pPr>
        <w:ind w:right="60" w:firstLine="384"/>
        <w:spacing w:after="0" w:line="243" w:lineRule="auto"/>
        <w:rPr>
          <w:sz w:val="20"/>
          <w:szCs w:val="20"/>
          <w:color w:val="auto"/>
        </w:rPr>
      </w:pPr>
      <w:r>
        <w:rPr>
          <w:rFonts w:ascii="Times New Roman" w:cs="Times New Roman" w:eastAsia="Times New Roman" w:hAnsi="Times New Roman"/>
          <w:sz w:val="16"/>
          <w:szCs w:val="16"/>
          <w:color w:val="auto"/>
        </w:rPr>
        <w:t>The opinion expressed herein is based upon the applicable laws of the State of Nevada and the facts in existence on the date of this opinion letter. In delivering this opinion letter to you, we disclaim any obligation to update or supplement the opinion set forth herein or to apprise you of any changes in any laws or facts after the filing of this opinion letter as an exhibit to the Registration Statements. No opinion is offered or implied as to any matter, and no inference may be drawn, beyond the strict scope of the specific issues expressly addressed by the opinion set forth herein.</w:t>
      </w:r>
    </w:p>
    <w:p>
      <w:pPr>
        <w:spacing w:after="0" w:line="167" w:lineRule="exact"/>
        <w:rPr>
          <w:sz w:val="20"/>
          <w:szCs w:val="20"/>
          <w:color w:val="auto"/>
        </w:rPr>
      </w:pPr>
    </w:p>
    <w:p>
      <w:pPr>
        <w:ind w:right="40" w:firstLine="384"/>
        <w:spacing w:after="0" w:line="331" w:lineRule="auto"/>
        <w:rPr>
          <w:sz w:val="20"/>
          <w:szCs w:val="20"/>
          <w:color w:val="auto"/>
        </w:rPr>
      </w:pPr>
      <w:r>
        <w:rPr>
          <w:rFonts w:ascii="Times New Roman" w:cs="Times New Roman" w:eastAsia="Times New Roman" w:hAnsi="Times New Roman"/>
          <w:sz w:val="14"/>
          <w:szCs w:val="14"/>
          <w:color w:val="auto"/>
        </w:rPr>
        <w:t>We hereby consent to the filing of this opinion letter as an exhibit to the Registration Statements. In giving this consent, we do not admit that we are within the category of persons whose consent is required under Section 7 of the Act or the rules and regulations of the Commission promulgated thereunder.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Brownstein Hyatt Farber Schreck, LLP</w:t>
      </w:r>
    </w:p>
    <w:p>
      <w:pPr>
        <w:sectPr>
          <w:pgSz w:w="11900" w:h="16840" w:orient="portrait"/>
          <w:cols w:equalWidth="0" w:num="1">
            <w:col w:w="9780"/>
          </w:cols>
          <w:pgMar w:left="1060" w:top="689" w:right="106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p>
      <w:pPr>
        <w:spacing w:after="0" w:line="188"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We hereby consent to the incorporation by reference in this Post-Effective Amendment No. 1 to the Registration Statements on Form S- 8 (File Nos. 333-280270 and 333-285174) of Tempus AI, Inc. of our report dated February 24, 2025 relating to the financial statements which appears in Tempus AI, Inc.’s Annual Report on Form 10-K for the year ended December 31,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Chicago, Illinois</w:t>
      </w:r>
    </w:p>
    <w:p>
      <w:pPr>
        <w:spacing w:after="0"/>
        <w:rPr>
          <w:sz w:val="20"/>
          <w:szCs w:val="20"/>
          <w:color w:val="auto"/>
        </w:rPr>
      </w:pPr>
      <w:r>
        <w:rPr>
          <w:rFonts w:ascii="Times New Roman" w:cs="Times New Roman" w:eastAsia="Times New Roman" w:hAnsi="Times New Roman"/>
          <w:sz w:val="16"/>
          <w:szCs w:val="16"/>
          <w:color w:val="auto"/>
        </w:rPr>
        <w:t>August 8, 2025</w:t>
      </w:r>
    </w:p>
    <w:p>
      <w:pPr>
        <w:sectPr>
          <w:pgSz w:w="11900" w:h="16840" w:orient="portrait"/>
          <w:cols w:equalWidth="0" w:num="1">
            <w:col w:w="9780"/>
          </w:cols>
          <w:pgMar w:left="1060" w:top="555" w:right="1060" w:bottom="1440" w:gutter="0" w:footer="0" w:header="0"/>
        </w:sectPr>
      </w:pPr>
    </w:p>
    <w:bookmarkStart w:id="10" w:name="page11"/>
    <w:bookmarkEnd w:id="10"/>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Roman"/>
      <w:start w:val="1"/>
    </w:lvl>
  </w:abstractNum>
  <w:abstractNum w:abstractNumId="4">
    <w:nsid w:val="3D1B58BA"/>
    <w:multiLevelType w:val="hybridMultilevel"/>
    <w:lvl w:ilvl="0">
      <w:lvlJc w:val="left"/>
      <w:lvlText w:val="%1"/>
      <w:numFmt w:val="lowerLetter"/>
      <w:start w:val="1"/>
    </w:lvl>
    <w:lvl w:ilvl="1">
      <w:lvlJc w:val="left"/>
      <w:lvlText w:val="(%2)"/>
      <w:numFmt w:val="decimal"/>
      <w:start w:val="2"/>
    </w:lvl>
  </w:abstractNum>
  <w:abstractNum w:abstractNumId="5">
    <w:nsid w:val="507ED7A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41" Type="http://schemas.openxmlformats.org/officeDocument/2006/relationships/image" Target="media/image13.png"/><Relationship Id="rId42" Type="http://schemas.openxmlformats.org/officeDocument/2006/relationships/image" Target="media/image14.png"/><Relationship Id="rId43" Type="http://schemas.openxmlformats.org/officeDocument/2006/relationships/image" Target="media/image15.png"/><Relationship Id="rId44" Type="http://schemas.openxmlformats.org/officeDocument/2006/relationships/image" Target="media/image16.png"/><Relationship Id="rId45" Type="http://schemas.openxmlformats.org/officeDocument/2006/relationships/image" Target="media/image17.jpeg"/><Relationship Id="rId46" Type="http://schemas.openxmlformats.org/officeDocument/2006/relationships/image" Target="media/image18.png"/><Relationship Id="rId17" Type="http://schemas.openxmlformats.org/officeDocument/2006/relationships/hyperlink" Target="http://www.sec.gov/Archives/edgar/data/1717115/000119312524162651/d689266ds8.htm" TargetMode="External"/><Relationship Id="rId18" Type="http://schemas.openxmlformats.org/officeDocument/2006/relationships/hyperlink" Target="http://www.sec.gov/Archives/edgar/data/1717115/000119312525033507/d830983ds8.htm" TargetMode="External"/><Relationship Id="rId20" Type="http://schemas.openxmlformats.org/officeDocument/2006/relationships/hyperlink" Target="http://www.sec.gov/ix?doc=/Archives/edgar/data/1717115/000095017025025603/tem-20241231.htm" TargetMode="External"/><Relationship Id="rId21" Type="http://schemas.openxmlformats.org/officeDocument/2006/relationships/hyperlink" Target="http://www.sec.gov/ix?doc=/Archives/edgar/data/1717115/000095017025064447/tem-20250331.htm" TargetMode="External"/><Relationship Id="rId22" Type="http://schemas.openxmlformats.org/officeDocument/2006/relationships/hyperlink" Target="http://www.sec.gov/ix?doc=/Archives/edgar/data/1717115/000095017025105449/tem-20250630.htm" TargetMode="External"/><Relationship Id="rId23" Type="http://schemas.openxmlformats.org/officeDocument/2006/relationships/hyperlink" Target="http://www.sec.gov/ix?doc=/Archives/edgar/data/1717115/000119312525074642/d911583ddef14a.htm" TargetMode="External"/><Relationship Id="rId24" Type="http://schemas.openxmlformats.org/officeDocument/2006/relationships/hyperlink" Target="http://www.sec.gov/Archives/edgar/data/1717115/000119312525019313/d843563d8k.htm" TargetMode="External"/><Relationship Id="rId25" Type="http://schemas.openxmlformats.org/officeDocument/2006/relationships/hyperlink" Target="http://www.sec.gov/ix?doc=/Archives/edgar/data/1717115/000119312525090062/d944168d8k.htm" TargetMode="External"/><Relationship Id="rId26" Type="http://schemas.openxmlformats.org/officeDocument/2006/relationships/hyperlink" Target="http://www.sec.gov/ix?doc=/Archives/edgar/data/1717115/000119312525125425/d936615d8k.htm" TargetMode="External"/><Relationship Id="rId27" Type="http://schemas.openxmlformats.org/officeDocument/2006/relationships/hyperlink" Target="http://www.sec.gov/ix?doc=/Archives/edgar/data/1717115/000119312525155545/d14356d8k.htm" TargetMode="External"/><Relationship Id="rId28" Type="http://schemas.openxmlformats.org/officeDocument/2006/relationships/hyperlink" Target="http://www.sec.gov/Archives/edgar/data/1717115/000119312524159105/d806693d8a12b.htm" TargetMode="External"/><Relationship Id="rId29" Type="http://schemas.openxmlformats.org/officeDocument/2006/relationships/hyperlink" Target="http://www.sec.gov/Archives/edgar/data/1717115/000095017025105449/tem-ex4_3.htm" TargetMode="External"/><Relationship Id="rId32" Type="http://schemas.openxmlformats.org/officeDocument/2006/relationships/hyperlink" Target="http://www.sec.gov/Archives/edgar/data/1717115/000095017025105449/tem-ex3_1.htm" TargetMode="External"/><Relationship Id="rId33" Type="http://schemas.openxmlformats.org/officeDocument/2006/relationships/hyperlink" Target="http://www.sec.gov/Archives/edgar/data/1717115/000095017025105449/tem-ex3_2.htm" TargetMode="External"/><Relationship Id="rId34" Type="http://schemas.openxmlformats.org/officeDocument/2006/relationships/hyperlink" Target="http://www.sec.gov/Archives/edgar/data/1717115/000095017025105449/tem-ex4_4.htm" TargetMode="External"/><Relationship Id="rId35" Type="http://schemas.openxmlformats.org/officeDocument/2006/relationships/hyperlink" Target="http://www.sec.gov/Archives/edgar/data/1717115/000119312524162651/d689266ds8.htm#sig" TargetMode="External"/><Relationship Id="rId36" Type="http://schemas.openxmlformats.org/officeDocument/2006/relationships/hyperlink" Target="http://www.sec.gov/Archives/edgar/data/1717115/000119312525033507/d830983ds8.htm#sig" TargetMode="External"/><Relationship Id="rId37" Type="http://schemas.openxmlformats.org/officeDocument/2006/relationships/hyperlink" Target="http://www.sec.gov/Archives/edgar/data/1717115/000119312524154635/d221145dex104.htm" TargetMode="External"/><Relationship Id="rId38" Type="http://schemas.openxmlformats.org/officeDocument/2006/relationships/hyperlink" Target="http://www.sec.gov/Archives/edgar/data/1717115/000119312524142956/d221145dex106.htm" TargetMode="External"/><Relationship Id="rId39" Type="http://schemas.openxmlformats.org/officeDocument/2006/relationships/hyperlink" Target="http://www.sec.gov/Archives/edgar/data/1717115/000119312524142956/d221145dex105.htm" TargetMode="External"/><Relationship Id="rId40" Type="http://schemas.openxmlformats.org/officeDocument/2006/relationships/hyperlink" Target="http://www.sec.gov/Archives/edgar/data/1717115/000095017025064447/tem-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2025-08-08T07:33:36Z</dcterms:created>
  <dcterms:modified xsi:type="dcterms:W3CDTF">2025-08-08T07:33:36Z</dcterms:modified>
</cp:coreProperties>
</file>