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001-42130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47-4903308</w:t>
            </w:r>
          </w:p>
        </w:tc>
      </w:tr>
      <w:tr>
        <w:trPr>
          <w:trHeight w:val="149"/>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August 6, 2024, Tempus AI, Inc. (the “Company”) issued a press release regarding its financial results for the quarter ended June 30, 2024. A copy of the press release is furnished as Exhibit 99.1 to this Current Report on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including the accompanying Exhibit 99.1, is intended to be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expressly set forth by specific reference in such filling.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6, 2024, the Company made available on the “Events” page of its investor relations website at http://investors.tempus.com supplemental financial information for the quarter ended June 30, 2024 and a letter from its Chief Executive Officer. The contents of the Company’s website referenced in this Current Report on Form 8-K are not incorporated into this Current Report on Form 8-K. The information in Item 7.01 of this Current Report on Form 8-K is intended to be furnished and shall not be deemed “filed” for purposes of Section 18 of the Exchange Act, or otherwise subject to the liabilities of that section, nor shall it be deemed incorporated by reference into any filing under the Securities Act or the Exchange Act, except as expressly set forth by specific reference in such filling.</w:t>
      </w:r>
    </w:p>
    <w:p>
      <w:pPr>
        <w:spacing w:after="0" w:line="18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routinely uses its investor relations website (http://investors.tempus.com)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Tempus AI, Inc. dated August 6,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40"/>
          </w:cols>
          <w:pgMar w:left="440" w:top="293" w:right="51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2024</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Rogers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660"/>
          </w:cols>
          <w:pgMar w:left="440" w:top="293"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Reports Second Quarter 2024 Results</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CHICAGO, August 6, 2024 </w:t>
      </w:r>
      <w:r>
        <w:rPr>
          <w:rFonts w:ascii="Times New Roman" w:cs="Times New Roman" w:eastAsia="Times New Roman" w:hAnsi="Times New Roman"/>
          <w:sz w:val="18"/>
          <w:szCs w:val="18"/>
          <w:color w:val="auto"/>
        </w:rPr>
        <w:t>— Tempus AI, Inc. (NASDAQ: TEM), a technology company leading the adoption of AI to advance precision medicine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patient care, today reported financial results for the quarter that ended June 30, 2024, and provided recent business highlights.</w:t>
      </w:r>
    </w:p>
    <w:p>
      <w:pPr>
        <w:spacing w:after="0" w:line="64"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25% year-over-year to $166.0 million in the second quarter of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licensing revenue growth accelerated to 40% year-over-year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into the minimal residual disease (MRD) market with the launch of both tumor-naïve and tumor-informed assays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joint venture with Softbank to enter the Japanese market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$410.7 million of gross proceeds in initial public offering</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($552.2 million), largely driven by $493.1 million of stock compensation expense and related employer payroll taxes tied to initial public offering</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improved $12.7 million quarter-over-quarter to ($31.2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full year 2024 revenue of ~$700 million, which represents ~32% annual growth</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on the quarter, including a letter from our CEO, please visit our investor relations site</w:t>
      </w:r>
    </w:p>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continue to make great progress in deploying technology within healthcare as providers and life science companies are increasingly seeking AI solutions,” said Eric Lefkofsky, Founder and CEO of Tempus. “Given our expansive multimodal dataset, and our broad reach across thousands of connected healthcare providers, we are uniquely positioned to advance AI in diagnostics and accelerate the pace of algorithmic insights.”</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Quarter 2024 Financial Results</w:t>
      </w:r>
    </w:p>
    <w:p>
      <w:pPr>
        <w:spacing w:after="0" w:line="237"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68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6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Results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165,969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132,417</w:t>
            </w:r>
          </w:p>
        </w:tc>
        <w:tc>
          <w:tcPr>
            <w:tcW w:w="44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Genomics gross margin</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48.9%</w:t>
            </w:r>
          </w:p>
        </w:tc>
        <w:tc>
          <w:tcPr>
            <w:tcW w:w="84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Data and services gross margin</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65.9%</w:t>
            </w:r>
          </w:p>
        </w:tc>
        <w:tc>
          <w:tcPr>
            <w:tcW w:w="84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609,005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116,787</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(552,212)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(55,832)</w:t>
            </w:r>
          </w:p>
        </w:tc>
        <w:tc>
          <w:tcPr>
            <w:tcW w:w="84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Results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Non-GAAP Genomics gross margin</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48.9%</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 bps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Data and services gross margin</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72.4%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65.9%</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 bps</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134,742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116,787</w:t>
            </w:r>
          </w:p>
        </w:tc>
        <w:tc>
          <w:tcPr>
            <w:tcW w:w="44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(31,186)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(36,967)</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4"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 due to the impact of including stock compensation expense and related employer payroll taxes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Genomics revenue of $112.3 million in the second quarter of 2024, an increase of $20.4 million or 22.2% over the second quarter of 2023.</w:t>
      </w:r>
    </w:p>
    <w:p>
      <w:pPr>
        <w:spacing w:after="0" w:line="130"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services revenue of $53.6 million in the second quarter of 2024, an increase of $13.2 million or 32.5% over the second quarter of 2023, including 40% growth in our Insights (data licensing) business.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Genomics gross margin was 49.4% in the second quarter of 2024, compared to 48.9% in the second quarter of 2023.</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Data and services gross margin was 72.4% in the second quarter of 2024, compared to 65.9% in the second quarter of 2023.</w:t>
      </w:r>
    </w:p>
    <w:p>
      <w:pPr>
        <w:spacing w:after="0" w:line="130" w:lineRule="exact"/>
        <w:rPr>
          <w:rFonts w:ascii="Times New Roman" w:cs="Times New Roman" w:eastAsia="Times New Roman" w:hAnsi="Times New Roman"/>
          <w:sz w:val="18"/>
          <w:szCs w:val="18"/>
          <w:color w:val="auto"/>
        </w:rPr>
      </w:pPr>
    </w:p>
    <w:p>
      <w:pPr>
        <w:ind w:left="964" w:right="32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($552.2 million), largely driven by $493.1 million of stock compensation and related employer payroll taxes tied to initial public offering.</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($31.2 million) in the second quarter of 2024, compared to ($43.9 million) in the first quarter of 2024.</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Recent Operating Highlights</w:t>
      </w:r>
    </w:p>
    <w:p>
      <w:pPr>
        <w:spacing w:after="0" w:line="135" w:lineRule="exact"/>
        <w:rPr>
          <w:sz w:val="20"/>
          <w:szCs w:val="20"/>
          <w:color w:val="auto"/>
        </w:rPr>
      </w:pPr>
    </w:p>
    <w:p>
      <w:pPr>
        <w:ind w:left="964" w:right="160" w:hanging="424"/>
        <w:spacing w:after="0" w:line="213"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clinical launch of our MRD portfolio including Tempus’ xM tumor-naïve test and xM tumor-informed (NeXT Personal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Dx) test.</w:t>
      </w:r>
    </w:p>
    <w:p>
      <w:pPr>
        <w:spacing w:after="0" w:line="104" w:lineRule="exact"/>
        <w:rPr>
          <w:rFonts w:ascii="Times New Roman" w:cs="Times New Roman" w:eastAsia="Times New Roman" w:hAnsi="Times New Roman"/>
          <w:sz w:val="18"/>
          <w:szCs w:val="18"/>
          <w:color w:val="auto"/>
        </w:rPr>
      </w:pPr>
    </w:p>
    <w:p>
      <w:pPr>
        <w:ind w:left="964" w:right="46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510(k) clearance from the U.S. Food and Drug Administration (FDA) for the Tempus ECG-AF device that uses AI to help identify patients who may be at increased risk of atrial fibrillation/flutter (AF).</w:t>
      </w:r>
    </w:p>
    <w:p>
      <w:pPr>
        <w:sectPr>
          <w:pgSz w:w="11900" w:h="16838" w:orient="portrait"/>
          <w:cols w:equalWidth="0" w:num="1">
            <w:col w:w="10944"/>
          </w:cols>
          <w:pgMar w:left="436" w:top="266" w:right="519" w:bottom="1440" w:gutter="0" w:footer="0" w:header="0"/>
        </w:sectPr>
      </w:pPr>
    </w:p>
    <w:bookmarkStart w:id="5" w:name="page6"/>
    <w:bookmarkEnd w:id="5"/>
    <w:p>
      <w:pPr>
        <w:ind w:left="960" w:right="1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Completed a Joint Venture Agreement with SoftBank, titled “SB Tempus,” to bring Tempus’ AI-enabled precision medicine solutions to Japan.</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Advanced Diagnostic Laboratory Test (ADLT) status from the Centers for Medicare &amp; Medicaid Services (CMS) for Tempus’ next-generation sequencing assay, xT CDx.</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11,100,000 shares of Class A common stock at $37 per share in initial public offering, raising $410.7 million of gross proceeds.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 and Guidance</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Tempus expects full year 2024 revenue of approximately $700 million, which represents approximately 32% year-over-year growth. The Company expects approximately ($105 million) in adjusted EBITDA, an improvement of approximately $50 million over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conference call and webcast will begin today, August 6, 2024 after market close at 4:30 p.m. Eastern Time. Interested parties may access details at: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Conference ID: 6326328</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Domestic Dial-in Number: (800) 715-9871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International Dial-in Number: (646) 307-1963</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Live Webcast: https://edge.media-server.com/mmc/p/75k462fh</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webcast may be accessed on the company’s investor relations website at </w:t>
      </w:r>
      <w:r>
        <w:rPr>
          <w:rFonts w:ascii="Times New Roman" w:cs="Times New Roman" w:eastAsia="Times New Roman" w:hAnsi="Times New Roman"/>
          <w:sz w:val="18"/>
          <w:szCs w:val="18"/>
          <w:u w:val="single" w:color="auto"/>
          <w:color w:val="auto"/>
        </w:rPr>
        <w:t>investors.tempus.com</w:t>
      </w:r>
      <w:r>
        <w:rPr>
          <w:rFonts w:ascii="Times New Roman" w:cs="Times New Roman" w:eastAsia="Times New Roman" w:hAnsi="Times New Roman"/>
          <w:sz w:val="18"/>
          <w:szCs w:val="18"/>
          <w:color w:val="auto"/>
        </w:rPr>
        <w:t>. For those unable to listen to the live webcast, a recording will be made available on the company’s website after the event and will be accessible for one year. Visit the investor relations website to find the company’s latest deck, and commentary on the quarter by Eric Lefkofsky, Founder and CEO and Jim Rogers, CFO, which will be discussed on the conference call and webcast.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Tempus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 For more information, visit tempus.com.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to the financial information presented in this release in accordance with accounting principles generally accepted in the United States of America (GAAP), Tempus also presents adjusted non-GAAP financial measures.</w:t>
      </w:r>
    </w:p>
    <w:p>
      <w:pPr>
        <w:sectPr>
          <w:pgSz w:w="11900" w:h="16838" w:orient="portrait"/>
          <w:cols w:equalWidth="0" w:num="1">
            <w:col w:w="10960"/>
          </w:cols>
          <w:pgMar w:left="440" w:top="270" w:right="499" w:bottom="1440" w:gutter="0" w:footer="0" w:header="0"/>
        </w:sectPr>
      </w:pPr>
    </w:p>
    <w:bookmarkStart w:id="6" w:name="page7"/>
    <w:bookmarkEnd w:id="6"/>
    <w:p>
      <w:pPr>
        <w:ind w:left="4" w:right="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Non-GAAP gross profit </w:t>
      </w:r>
      <w:r>
        <w:rPr>
          <w:rFonts w:ascii="Times New Roman" w:cs="Times New Roman" w:eastAsia="Times New Roman" w:hAnsi="Times New Roman"/>
          <w:sz w:val="18"/>
          <w:szCs w:val="18"/>
          <w:color w:val="auto"/>
        </w:rPr>
        <w:t>is defined as GAAP gross profit, excluding stock-based compensation expense and employer payroll tax related to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compensation (collectively, the “stock-based compensation adjustments”). </w:t>
      </w:r>
      <w:r>
        <w:rPr>
          <w:rFonts w:ascii="Times New Roman" w:cs="Times New Roman" w:eastAsia="Times New Roman" w:hAnsi="Times New Roman"/>
          <w:sz w:val="18"/>
          <w:szCs w:val="18"/>
          <w:b w:val="1"/>
          <w:bCs w:val="1"/>
          <w:color w:val="auto"/>
        </w:rPr>
        <w:t>Non-GAAP gross margin</w:t>
      </w:r>
      <w:r>
        <w:rPr>
          <w:rFonts w:ascii="Times New Roman" w:cs="Times New Roman" w:eastAsia="Times New Roman" w:hAnsi="Times New Roman"/>
          <w:sz w:val="18"/>
          <w:szCs w:val="18"/>
          <w:color w:val="auto"/>
        </w:rPr>
        <w:t xml:space="preserve"> is defined as gross profit, excluding the stock-based compensation adjustments, as a percentage of revenue. </w:t>
      </w:r>
      <w:r>
        <w:rPr>
          <w:rFonts w:ascii="Times New Roman" w:cs="Times New Roman" w:eastAsia="Times New Roman" w:hAnsi="Times New Roman"/>
          <w:sz w:val="18"/>
          <w:szCs w:val="18"/>
          <w:b w:val="1"/>
          <w:bCs w:val="1"/>
          <w:color w:val="auto"/>
        </w:rPr>
        <w:t>Non-GAAP operating expenses</w:t>
      </w:r>
      <w:r>
        <w:rPr>
          <w:rFonts w:ascii="Times New Roman" w:cs="Times New Roman" w:eastAsia="Times New Roman" w:hAnsi="Times New Roman"/>
          <w:sz w:val="18"/>
          <w:szCs w:val="18"/>
          <w:color w:val="auto"/>
        </w:rPr>
        <w:t xml:space="preserve"> are calculated as the sum of technology research and development expense, research and development expense, and selling, general and administrative expense, excluding the stock-based compensation adjustments. </w:t>
      </w:r>
      <w:r>
        <w:rPr>
          <w:rFonts w:ascii="Times New Roman" w:cs="Times New Roman" w:eastAsia="Times New Roman" w:hAnsi="Times New Roman"/>
          <w:sz w:val="18"/>
          <w:szCs w:val="18"/>
          <w:b w:val="1"/>
          <w:bCs w:val="1"/>
          <w:color w:val="auto"/>
        </w:rPr>
        <w:t>Non-GAAP net income (loss)</w:t>
      </w:r>
      <w:r>
        <w:rPr>
          <w:rFonts w:ascii="Times New Roman" w:cs="Times New Roman" w:eastAsia="Times New Roman" w:hAnsi="Times New Roman"/>
          <w:sz w:val="18"/>
          <w:szCs w:val="18"/>
          <w:color w:val="auto"/>
        </w:rPr>
        <w:t xml:space="preserve"> is defined as net income (loss), adjusted to exclude (i) losses on equity method investments, (ii) changes in fair value of our warrant liability, warrant asset, marketable equity securities, contingent consideration liabilities and indemnity-related holdback liabilities, and (iv) the payment of $2.3 million of our Series G-4 convertible preferred stock in connection with the initial public offering (the “G-4 Special Payment”). </w:t>
      </w:r>
      <w:r>
        <w:rPr>
          <w:rFonts w:ascii="Times New Roman" w:cs="Times New Roman" w:eastAsia="Times New Roman" w:hAnsi="Times New Roman"/>
          <w:sz w:val="18"/>
          <w:szCs w:val="18"/>
          <w:b w:val="1"/>
          <w:bCs w:val="1"/>
          <w:color w:val="auto"/>
        </w:rPr>
        <w:t>Non-GAAP net income (loss) per share</w:t>
      </w:r>
      <w:r>
        <w:rPr>
          <w:rFonts w:ascii="Times New Roman" w:cs="Times New Roman" w:eastAsia="Times New Roman" w:hAnsi="Times New Roman"/>
          <w:sz w:val="18"/>
          <w:szCs w:val="18"/>
          <w:color w:val="auto"/>
        </w:rPr>
        <w:t xml:space="preserve"> is defined as adjusted net income (loss) divided by weighted average common shares outstanding, basic and diluted.</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is defined as net income (loss), adjusted to exclude (i) interest income, (ii) interest expense, (iii) depreciation and amortization,</w:t>
      </w:r>
    </w:p>
    <w:p>
      <w:pPr>
        <w:spacing w:after="0" w:line="31" w:lineRule="exact"/>
        <w:rPr>
          <w:sz w:val="20"/>
          <w:szCs w:val="20"/>
          <w:color w:val="auto"/>
        </w:rPr>
      </w:pPr>
    </w:p>
    <w:p>
      <w:pPr>
        <w:ind w:left="4" w:right="120" w:hanging="4"/>
        <w:spacing w:after="0" w:line="255" w:lineRule="auto"/>
        <w:tabs>
          <w:tab w:leader="none" w:pos="3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provision for (benefit from) income taxes, (v) losses on equity method investments, (vi) changes in fair value of our warrant liability, warrant asset, marketable equity securities, contingent consideration liabilities and indemnity-related holdback liabilities, (vii) the stock-based compensation adjustments, and (Viii) the G-4 Special Payment. </w:t>
      </w: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18"/>
          <w:szCs w:val="18"/>
          <w:color w:val="auto"/>
        </w:rPr>
        <w:t xml:space="preserve"> is calculated as adjusted EBITDA as a percentage of revenue.</w:t>
      </w:r>
    </w:p>
    <w:p>
      <w:pPr>
        <w:spacing w:after="0" w:line="186"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Tempus believes these non-GAAP financial measures are useful to investors and others because they allow for additional information with respect to financial measures used by management in its financial and operational decision-making and they may be used by institutional investors and the analyst community to help them analyze the health of Tempus’ business. In particular, Adjusted EBITDA is a key measurement used by Tempus management to make operating decisions, including those related to analyzing operating expenses, evaluating performance, and performing strategic planning and annual budgeting.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192"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Tempus does not provide guidance for net loss, the most directly comparable GAAP measure to Adjusted EBITDA, and similarly cannot provide a reconciliation between its forecasted Adjusted EBITDA and net loss without unreasonable effort due to the unavailability of reliable estimates for certain components of net income and the respective reconciliations. These forecasted items are not within Tempus’ control, may vary greatly between periods and could significantly impact future financial results.</w:t>
      </w:r>
    </w:p>
    <w:p>
      <w:pPr>
        <w:sectPr>
          <w:pgSz w:w="11900" w:h="16838" w:orient="portrait"/>
          <w:cols w:equalWidth="0" w:num="1">
            <w:col w:w="11024"/>
          </w:cols>
          <w:pgMar w:left="436" w:top="266"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as amended, about Tempus and Tempus’ industry that involve substantial risks and uncertainties. All statements other than statements of historical facts contained in this press release are forward-looking statements, including, but not limited to, Tempus’ expected financial results for full year 2024; the contributions of Tempus’ research and findings to the larger scientific community and the use of Tempus’ products and services to advance clinical care for patients. In some cases, you can identify forward-looking statements because they contain words such as “anticipate,” “believe,” “contemplate,” “continue,” “could,” “estimate,” “expect,” “going to,” “intend,” “may,” “plan,” “potential,” “predict,” “project,” “should,” “target,” “will,” or “would” or the negative of these words or other similar terms or expressions. Tempus cautions you that the foregoing may not include all of the forward-looking statements made in this press release.</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Tempus has based the forward-looking statements contained in this press release primarily on its current expectations and projections about future events and trends that it believes may affect Tempus’ business, financial condition, results of operations and prospects. These forward-looking statements are subject to risks and uncertainties related to: the intended use of Tempus’ products and services; Tempus’ financial performance; the ability to attract and retain customers and partners; managing Tempus’ growth and future expenses; competition and new market entrants; compliance with new laws, regulations and executive actions, including any evolving regulations in the artificial intelligence space; the ability to maintain, protect and enhance Tempus’ intellectual property; the ability to attract and retain qualified team members and key personnel; the ability to repay or refinance outstanding debt, or to access additional financing; future acquisitions, divestitures or investments; the potential adverse impact of climate change, natural disasters, health epidemics, macroeconomic conditions, and war or other armed conflict, as well as risks, uncertainties, and other factors described in the section titled “Risk Factors” in Tempus’ Final Prospectus filed with the Securities and Exchange Commission (“SEC”) on June 17, 2024, pursuant to Rule 424(b)(4) under the Securities Act, as well as in other filings Tempus may make with the SEC in the future, including its Quarterly Report on Form 10-Q for the quarter ended June 30, 2024. In addition, any forward-looking statements contained in this press release are based on assumptions that Tempus believes to be reasonable as of this date. Tempus undertakes no obligation to update any forward-looking statements to reflect events or circumstances after the date of this press release or to reflect new information or the occurrence of unanticipated events, except as required by law.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Erin Carron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media@tempus.com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Krutoholow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Elizabeth.krutoholow@tempus.com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H/Advisors Abernathy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Scorpio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Dan.scorpio@h-advisors.global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Tempus AI, Inc.</w:t>
      </w:r>
    </w:p>
    <w:p>
      <w:pPr>
        <w:sectPr>
          <w:pgSz w:w="11900" w:h="16838" w:orient="portrait"/>
          <w:cols w:equalWidth="0" w:num="1">
            <w:col w:w="10980"/>
          </w:cols>
          <w:pgMar w:left="440" w:top="266" w:right="47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Tempus AI,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20" w:type="dxa"/>
            <w:vAlign w:val="bottom"/>
            <w:gridSpan w:val="6"/>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7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1720" w:type="dxa"/>
            <w:vAlign w:val="bottom"/>
            <w:gridSpan w:val="6"/>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revenue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112,324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91,924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214,893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173,982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services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53,645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40,493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96,896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74,059</w:t>
            </w:r>
          </w:p>
        </w:tc>
        <w:tc>
          <w:tcPr>
            <w:tcW w:w="0" w:type="dxa"/>
            <w:vAlign w:val="bottom"/>
          </w:tcPr>
          <w:p>
            <w:pPr>
              <w:spacing w:after="0"/>
              <w:rPr>
                <w:sz w:val="1"/>
                <w:szCs w:val="1"/>
                <w:color w:val="auto"/>
              </w:rPr>
            </w:pPr>
          </w:p>
        </w:tc>
      </w:tr>
      <w:tr>
        <w:trPr>
          <w:trHeight w:val="223"/>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132,417</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68,324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46,961</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121,159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92,241</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22,132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37,420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25,200</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77,908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23,427</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104,975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46,329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68,025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92,365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43,034</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463,072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71,189</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542,636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140,236</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699,461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5"/>
              </w:rPr>
              <w:t>177,555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898,555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347,040</w:t>
            </w:r>
          </w:p>
        </w:tc>
        <w:tc>
          <w:tcPr>
            <w:tcW w:w="0" w:type="dxa"/>
            <w:vAlign w:val="bottom"/>
          </w:tcPr>
          <w:p>
            <w:pPr>
              <w:spacing w:after="0"/>
              <w:rPr>
                <w:sz w:val="1"/>
                <w:szCs w:val="1"/>
                <w:color w:val="auto"/>
              </w:rPr>
            </w:pPr>
          </w:p>
        </w:tc>
      </w:tr>
      <w:tr>
        <w:trPr>
          <w:trHeight w:val="230"/>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(533,492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(586,766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4,381</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(13,295)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(11,712)</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(26,533)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(6,299)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5,622</w:t>
            </w:r>
          </w:p>
        </w:tc>
        <w:tc>
          <w:tcPr>
            <w:tcW w:w="0" w:type="dxa"/>
            <w:vAlign w:val="bottom"/>
          </w:tcPr>
          <w:p>
            <w:pPr>
              <w:spacing w:after="0"/>
              <w:rPr>
                <w:sz w:val="1"/>
                <w:szCs w:val="1"/>
                <w:color w:val="auto"/>
              </w:rPr>
            </w:pPr>
          </w:p>
        </w:tc>
      </w:tr>
      <w:tr>
        <w:trPr>
          <w:trHeight w:val="223"/>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(552,117)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(55,659)</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(616,849)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(109,899)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6"/>
              </w:rPr>
              <w:t>(552,212)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(55,832)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6"/>
              </w:rPr>
              <w:t>(616,955)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(110,209)</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Dividends on Series A, B, B-1, B-2, C, D, E, F, G, G-3, and G-4 preferred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(10,897)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23"/>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(564,420)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(67,474)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(657,476)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(133,241)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(6.86)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 diluted</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82,325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63,286</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72,930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63,257</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net of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6"/>
              </w:rPr>
              <w:t>(552,212)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(55,832)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6"/>
              </w:rPr>
              <w:t>(616,955)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(110,209)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(552,255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(617,054</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(110,184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Tempus AI,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8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478,811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165,767</w:t>
            </w:r>
          </w:p>
        </w:tc>
        <w:tc>
          <w:tcPr>
            <w:tcW w:w="0" w:type="dxa"/>
            <w:vAlign w:val="bottom"/>
          </w:tcPr>
          <w:p>
            <w:pPr>
              <w:spacing w:after="0"/>
              <w:rPr>
                <w:sz w:val="1"/>
                <w:szCs w:val="1"/>
                <w:color w:val="auto"/>
              </w:rPr>
            </w:pPr>
          </w:p>
        </w:tc>
      </w:tr>
      <w:tr>
        <w:trPr>
          <w:trHeight w:val="198"/>
        </w:trPr>
        <w:tc>
          <w:tcPr>
            <w:tcW w:w="81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of $1,092 and $1,115 at June 30, 2024 and December 31, 2023,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118,106</w:t>
            </w:r>
          </w:p>
        </w:tc>
        <w:tc>
          <w:tcPr>
            <w:tcW w:w="24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94,462</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32,690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28,845</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asset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29,704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17,295</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11,255</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31,807</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7,085</w:t>
            </w:r>
          </w:p>
        </w:tc>
        <w:tc>
          <w:tcPr>
            <w:tcW w:w="0" w:type="dxa"/>
            <w:vAlign w:val="bottom"/>
          </w:tcPr>
          <w:p>
            <w:pPr>
              <w:spacing w:after="0"/>
              <w:rPr>
                <w:sz w:val="1"/>
                <w:szCs w:val="1"/>
                <w:color w:val="auto"/>
              </w:rPr>
            </w:pPr>
          </w:p>
        </w:tc>
      </w:tr>
      <w:tr>
        <w:trPr>
          <w:trHeight w:val="22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671,366</w:t>
            </w: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60,539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61,681</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73,345</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73,354</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4,930</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16,252</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21,916</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7,677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8,971</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contract asset, less current portion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19,077</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21,499</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13,994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20,530</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864,611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564,052</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equity (deficit)</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28,646</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54,421</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85,185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82,517</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50,905</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64,860</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7,273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8,213</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5,828</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3,727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6,382</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dividends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9,797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181,564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232,627</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27,238</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32,040</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180,648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193,124</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33,600</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34,500</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16,790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19,751</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payable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62,608</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55,321</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261,853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256,541</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2,059</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16,768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766,360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840,672</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Convertible redeemable preferred stock, $0.0001 par value, no and 69,803,765 shares authorized at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June 30, 2024 and December 31, 2023, respectively; no and 63,525,953 shares issued and outstanding</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at June 30, 2024 and December 31, 2023, respectively; aggregate liquidation preference of $0 and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$1,130,429 at June 30, 2024 and December 31, 2023, respectively</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1,105,543</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Voting Common Stock, $0.0001 par value, 1,000,000,000 and 200,228,024 shares authorized at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June 30, 2024 and December 31, 2023, respectively; 149,274,923 and 58,367,961 shares issued and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at June 30, 2024 and December 31, 2023, respectively</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81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Voting Common Stock, $0.0001 par value, 5,500,000 and 5,374,899 shares authorized at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June 30, 2024 and December 31, 2023, respectively; 5,043,789 and no shares issued and outstanding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 June 30, 2024 and December 31, 2023, respectively</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1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Non-voting Common Stock, $0.0001 par value, no and 66,946,627 shares authorized at June 30, 2024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December 31, 2023, respectively; no shares issued and outstanding at June 30, 2024, and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5,205,802 shares issued and 5,060,336 shares outstanding at December 31, 2023</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145,466 shares at June 30, 2024 and December 31, 2023, at cost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(3,602)</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2,163,911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18,345</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(2,061,980)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(1,396,917)</w:t>
            </w:r>
          </w:p>
        </w:tc>
        <w:tc>
          <w:tcPr>
            <w:tcW w:w="0" w:type="dxa"/>
            <w:vAlign w:val="bottom"/>
          </w:tcPr>
          <w:p>
            <w:pPr>
              <w:spacing w:after="0"/>
              <w:rPr>
                <w:sz w:val="1"/>
                <w:szCs w:val="1"/>
                <w:color w:val="auto"/>
              </w:rPr>
            </w:pPr>
          </w:p>
        </w:tc>
      </w:tr>
      <w:tr>
        <w:trPr>
          <w:trHeight w:val="230"/>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98,251</w:t>
            </w:r>
          </w:p>
        </w:tc>
        <w:tc>
          <w:tcPr>
            <w:tcW w:w="5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(1,382,163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equity (deficit)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864,611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564,052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gridSpan w:val="7"/>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87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(616,955)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(110,209)</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488,313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warrant exercise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marketable equity securities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warrant contract asset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18,348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16,185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asset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equity-method investments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finance right-of-use lease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3,382</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7,359</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PIK interest added to principal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(23,971)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0" w:type="dxa"/>
            <w:vAlign w:val="bottom"/>
          </w:tcPr>
          <w:p>
            <w:pPr>
              <w:spacing w:after="0"/>
              <w:rPr>
                <w:sz w:val="1"/>
                <w:szCs w:val="1"/>
                <w:color w:val="auto"/>
              </w:rPr>
            </w:pPr>
          </w:p>
        </w:tc>
      </w:tr>
      <w:tr>
        <w:trPr>
          <w:trHeight w:val="216"/>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(12,409)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0" w:type="dxa"/>
            <w:vAlign w:val="bottom"/>
          </w:tcPr>
          <w:p>
            <w:pPr>
              <w:spacing w:after="0"/>
              <w:rPr>
                <w:sz w:val="1"/>
                <w:szCs w:val="1"/>
                <w:color w:val="auto"/>
              </w:rPr>
            </w:pPr>
          </w:p>
        </w:tc>
      </w:tr>
      <w:tr>
        <w:trPr>
          <w:trHeight w:val="216"/>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(33,371)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(28,669)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(19,974)</w:t>
            </w:r>
          </w:p>
        </w:tc>
        <w:tc>
          <w:tcPr>
            <w:tcW w:w="0" w:type="dxa"/>
            <w:vAlign w:val="bottom"/>
          </w:tcPr>
          <w:p>
            <w:pPr>
              <w:spacing w:after="0"/>
              <w:rPr>
                <w:sz w:val="1"/>
                <w:szCs w:val="1"/>
                <w:color w:val="auto"/>
              </w:rPr>
            </w:pPr>
          </w:p>
        </w:tc>
      </w:tr>
      <w:tr>
        <w:trPr>
          <w:trHeight w:val="216"/>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8,125</w:t>
            </w:r>
          </w:p>
        </w:tc>
        <w:tc>
          <w:tcPr>
            <w:tcW w:w="0" w:type="dxa"/>
            <w:vAlign w:val="bottom"/>
          </w:tcPr>
          <w:p>
            <w:pPr>
              <w:spacing w:after="0"/>
              <w:rPr>
                <w:sz w:val="1"/>
                <w:szCs w:val="1"/>
                <w:color w:val="auto"/>
              </w:rPr>
            </w:pPr>
          </w:p>
        </w:tc>
      </w:tr>
      <w:tr>
        <w:trPr>
          <w:trHeight w:val="216"/>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payable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7,611</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0" w:type="dxa"/>
            <w:vAlign w:val="bottom"/>
          </w:tcPr>
          <w:p>
            <w:pPr>
              <w:spacing w:after="0"/>
              <w:rPr>
                <w:sz w:val="1"/>
                <w:szCs w:val="1"/>
                <w:color w:val="auto"/>
              </w:rPr>
            </w:pPr>
          </w:p>
        </w:tc>
      </w:tr>
      <w:tr>
        <w:trPr>
          <w:trHeight w:val="230"/>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(198,458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(121,087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(14,116)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23,098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 (Note 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8,982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in connection with initial public offering, net of underwriting discounts and</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381,951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Tax withholding related to net share settlement of restricted stock units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(69,918)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G-5 Preferred Stock</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199,750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48,750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indemnity holdback related to acquisition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3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(100,654)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166,607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303,731</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478,811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202,266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13,921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5,691</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5,487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4,545</w:t>
            </w:r>
          </w:p>
        </w:tc>
        <w:tc>
          <w:tcPr>
            <w:tcW w:w="0" w:type="dxa"/>
            <w:vAlign w:val="bottom"/>
          </w:tcPr>
          <w:p>
            <w:pPr>
              <w:spacing w:after="0"/>
              <w:rPr>
                <w:sz w:val="1"/>
                <w:szCs w:val="1"/>
                <w:color w:val="auto"/>
              </w:rPr>
            </w:pPr>
          </w:p>
        </w:tc>
      </w:tr>
      <w:tr>
        <w:trPr>
          <w:trHeight w:val="20"/>
        </w:trPr>
        <w:tc>
          <w:tcPr>
            <w:tcW w:w="8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6,051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0"/>
        </w:trPr>
        <w:tc>
          <w:tcPr>
            <w:tcW w:w="8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Redemption of convertible promissory note</w:t>
            </w: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Non-voting common stock issued in connection with business combinations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4,305</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8" w:orient="portrait"/>
          <w:cols w:equalWidth="0" w:num="1">
            <w:col w:w="11020"/>
          </w:cols>
          <w:pgMar w:left="440" w:top="266" w:right="4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 of redeemable convertible preferred stock to common stock in connection with initial public offering</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1,348,809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8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Taxes related to net share settlement of restricted stock units not yet paid</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Reclassificiation of deferred offering costs to additional paid-in capital upon initial public offering</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12,347</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8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Issuance of Series G-3 Preferred Stock</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3"/>
              </w:rPr>
              <w:t>2,738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Series G-4 Preferred Stock</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21" w:right="4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Tempus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Genomics Gross Profit &amp; Gross Margin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0" w:type="dxa"/>
            <w:vAlign w:val="bottom"/>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6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Genomics revenue</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112,324</w:t>
            </w: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91,924</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$ 214,893</w:t>
            </w: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173,982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46,961</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121,159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92,241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genomics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44,000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44,963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81,741</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 genomics</w:t>
            </w:r>
          </w:p>
        </w:tc>
        <w:tc>
          <w:tcPr>
            <w:tcW w:w="1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44,963</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$ 105,197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Genomics gross margin</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Non-GAAP gross margin, genomics</w:t>
            </w: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 Gross Profit &amp; Gross Margin</w:t>
            </w: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0" w:type="dxa"/>
            <w:vAlign w:val="bottom"/>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6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services revenue</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53,645</w:t>
            </w: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96,896</w:t>
            </w: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13,807</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25,200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data and services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28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26,686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59,476</w:t>
            </w: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48,859</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 data and services</w:t>
            </w:r>
          </w:p>
        </w:tc>
        <w:tc>
          <w:tcPr>
            <w:tcW w:w="1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data and services</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Non-GAAP gross margin, data and services</w:t>
            </w: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Gross Profit &amp; Gross Margin</w:t>
            </w: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0" w:type="dxa"/>
            <w:vAlign w:val="bottom"/>
            <w:gridSpan w:val="8"/>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6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165,969</w:t>
            </w: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132,417</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$ 311,789</w:t>
            </w: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248,041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60,768</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158,579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117,441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75,513</w:t>
            </w:r>
          </w:p>
        </w:tc>
        <w:tc>
          <w:tcPr>
            <w:tcW w:w="28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71,649</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$ 153,210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130,600</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1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94,324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71,649</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$ 172,021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130,600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1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Operating Expenses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10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49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$ 104,975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50,434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50,434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2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Non-GAAP technology research and development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68,025</w:t>
            </w:r>
          </w:p>
        </w:tc>
        <w:tc>
          <w:tcPr>
            <w:tcW w:w="6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22,171</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92,365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43,034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42,233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42,233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2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Non-GAAP research and development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463,072</w:t>
            </w:r>
          </w:p>
        </w:tc>
        <w:tc>
          <w:tcPr>
            <w:tcW w:w="6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71,189</w:t>
            </w:r>
          </w:p>
        </w:tc>
        <w:tc>
          <w:tcPr>
            <w:tcW w:w="122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$ 542,636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140,236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377,090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377,090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2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Non-GAAP selling, general and administrative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$ 162,964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609,005</w:t>
            </w:r>
          </w:p>
        </w:tc>
        <w:tc>
          <w:tcPr>
            <w:tcW w:w="6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116,787</w:t>
            </w:r>
          </w:p>
        </w:tc>
        <w:tc>
          <w:tcPr>
            <w:tcW w:w="122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$ 739,976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229,599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469,757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469,757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2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134,742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116,787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$ 265,713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2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(552,212)</w:t>
            </w:r>
          </w:p>
        </w:tc>
        <w:tc>
          <w:tcPr>
            <w:tcW w:w="58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(616,955)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Fair value changes</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4,870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488,313</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488,313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4,762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4,762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G-4 Special Payment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2,250</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(52,017)</w:t>
            </w:r>
          </w:p>
        </w:tc>
        <w:tc>
          <w:tcPr>
            <w:tcW w:w="5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(117,350)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 per share</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(0.63)</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82,325</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72,930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08" w:lineRule="auto"/>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Fair value changes include gains and losses related to quarterly fair value adjustments of our warrant liability, warrant asset, marketable equity securities, contingent consideration liabilities, and indemnity-related holdback liabilities. </w:t>
      </w:r>
    </w:p>
    <w:p>
      <w:pPr>
        <w:sectPr>
          <w:pgSz w:w="11900" w:h="16838" w:orient="portrait"/>
          <w:cols w:equalWidth="0" w:num="1">
            <w:col w:w="10684"/>
          </w:cols>
          <w:pgMar w:left="436" w:top="266" w:right="77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Adjusted EBITDA</w:t>
      </w:r>
    </w:p>
    <w:p>
      <w:pPr>
        <w:spacing w:after="0" w:line="23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4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(552,212)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(55,832)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(616,955)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(110,209)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26,533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12,684</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(531,381)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(574,717)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on equity method investments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Fair value changes</w:t>
            </w:r>
            <w:r>
              <w:rPr>
                <w:rFonts w:ascii="Times New Roman" w:cs="Times New Roman" w:eastAsia="Times New Roman" w:hAnsi="Times New Roman"/>
                <w:sz w:val="25"/>
                <w:szCs w:val="25"/>
                <w:color w:val="auto"/>
                <w:vertAlign w:val="superscript"/>
              </w:rPr>
              <w:t>(1)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488,313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488,313</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G-4 Special Payment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(31,186)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(36,967)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(75,112)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08" w:lineRule="auto"/>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Fair value changes include gains and losses related to quarterly fair value adjustments of our warrant liability, warrant asset, marketable equity securities, contingent consideration liabilities, and indemnity-related holdback liabilities. </w:t>
      </w:r>
    </w:p>
    <w:sectPr>
      <w:pgSz w:w="11900" w:h="16838" w:orient="portrait"/>
      <w:cols w:equalWidth="0" w:num="1">
        <w:col w:w="10684"/>
      </w:cols>
      <w:pgMar w:left="436" w:top="266"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Roman"/>
      <w:start w:val="4"/>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2024-08-06T15:23:41Z</dcterms:created>
  <dcterms:modified xsi:type="dcterms:W3CDTF">2024-08-06T15:23:41Z</dcterms:modified>
</cp:coreProperties>
</file>