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Polovin Andrew</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40" w:type="dxa"/>
            <w:vAlign w:val="bottom"/>
            <w:tcBorders>
              <w:top w:val="single" w:sz="8" w:color="0000EE"/>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12/16/2024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65"/>
        <w:spacing w:after="0"/>
        <w:rPr>
          <w:sz w:val="20"/>
          <w:szCs w:val="20"/>
          <w:color w:val="auto"/>
        </w:rPr>
      </w:pPr>
      <w:r>
        <w:rPr>
          <w:rFonts w:ascii="Times New Roman" w:cs="Times New Roman" w:eastAsia="Times New Roman" w:hAnsi="Times New Roman"/>
          <w:sz w:val="17"/>
          <w:szCs w:val="17"/>
          <w:color w:val="0000FF"/>
        </w:rPr>
        <w:t>EVP and General Counsel</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12/16/2024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1,130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244,955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$40.00 to $40.56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Polovin</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12/18/2024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169"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2024-12-18T19:22:35Z</dcterms:created>
  <dcterms:modified xsi:type="dcterms:W3CDTF">2024-12-18T19:22:35Z</dcterms:modified>
</cp:coreProperties>
</file>