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9A9C9E"/>
        </w:rPr>
        <w:t>!..5!, 2%0/24 ?;?B</w:t>
      </w:r>
    </w:p>
    <w:p>
      <w:pPr>
        <w:sectPr>
          <w:pgSz w:w="11880" w:h="15480" w:orient="portrait"/>
          <w:cols w:equalWidth="0" w:num="1">
            <w:col w:w="9000"/>
          </w:cols>
          <w:pgMar w:left="1440" w:top="1440" w:right="1440" w:bottom="564"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22"/>
          <w:szCs w:val="22"/>
          <w:b w:val="1"/>
          <w:bCs w:val="1"/>
          <w:color w:val="231F20"/>
        </w:rPr>
        <w:t>Dear Shareholders,</w:t>
      </w:r>
    </w:p>
    <w:p>
      <w:pPr>
        <w:spacing w:after="0" w:line="200" w:lineRule="exact"/>
        <w:rPr>
          <w:sz w:val="20"/>
          <w:szCs w:val="20"/>
          <w:color w:val="auto"/>
        </w:rPr>
      </w:pPr>
    </w:p>
    <w:p>
      <w:pPr>
        <w:spacing w:after="0" w:line="211" w:lineRule="exact"/>
        <w:rPr>
          <w:sz w:val="20"/>
          <w:szCs w:val="20"/>
          <w:color w:val="auto"/>
        </w:rPr>
      </w:pPr>
    </w:p>
    <w:p>
      <w:pPr>
        <w:ind w:left="20" w:right="40"/>
        <w:spacing w:after="0" w:line="361" w:lineRule="auto"/>
        <w:rPr>
          <w:sz w:val="20"/>
          <w:szCs w:val="20"/>
          <w:color w:val="auto"/>
        </w:rPr>
      </w:pPr>
      <w:r>
        <w:rPr>
          <w:rFonts w:ascii="Arial" w:cs="Arial" w:eastAsia="Arial" w:hAnsi="Arial"/>
          <w:sz w:val="22"/>
          <w:szCs w:val="22"/>
          <w:color w:val="231F20"/>
        </w:rPr>
        <w:t>This is our second shareholder letter as a public company. The first outlined how we expected to behave as a public company and what you as shareholders could expect from us in return.</w:t>
      </w:r>
    </w:p>
    <w:p>
      <w:pPr>
        <w:spacing w:after="0" w:line="225" w:lineRule="exact"/>
        <w:rPr>
          <w:sz w:val="20"/>
          <w:szCs w:val="20"/>
          <w:color w:val="auto"/>
        </w:rPr>
      </w:pPr>
    </w:p>
    <w:p>
      <w:pPr>
        <w:ind w:left="20" w:right="20"/>
        <w:spacing w:after="0" w:line="336" w:lineRule="auto"/>
        <w:rPr>
          <w:sz w:val="20"/>
          <w:szCs w:val="20"/>
          <w:color w:val="auto"/>
        </w:rPr>
      </w:pPr>
      <w:r>
        <w:rPr>
          <w:rFonts w:ascii="Arial" w:cs="Arial" w:eastAsia="Arial" w:hAnsi="Arial"/>
          <w:sz w:val="22"/>
          <w:szCs w:val="22"/>
          <w:color w:val="231F20"/>
        </w:rPr>
        <w:t>I struggled writing this second letter. We provide detailed overviews of the business each quarter, which go into depth on how we are performing, including key operational and financial metrics.</w:t>
      </w:r>
    </w:p>
    <w:p>
      <w:pPr>
        <w:spacing w:after="0" w:line="253" w:lineRule="exact"/>
        <w:rPr>
          <w:sz w:val="20"/>
          <w:szCs w:val="20"/>
          <w:color w:val="auto"/>
        </w:rPr>
      </w:pPr>
    </w:p>
    <w:p>
      <w:pPr>
        <w:ind w:left="20" w:right="1040"/>
        <w:spacing w:after="0" w:line="361" w:lineRule="auto"/>
        <w:rPr>
          <w:sz w:val="20"/>
          <w:szCs w:val="20"/>
          <w:color w:val="auto"/>
        </w:rPr>
      </w:pPr>
      <w:r>
        <w:rPr>
          <w:rFonts w:ascii="Arial" w:cs="Arial" w:eastAsia="Arial" w:hAnsi="Arial"/>
          <w:sz w:val="22"/>
          <w:szCs w:val="22"/>
          <w:color w:val="231F20"/>
        </w:rPr>
        <w:t>So, given that we discuss the business every quarter, what’s the purpose of writing a shareholder letter?</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231F20"/>
        </w:rPr>
        <w:t>Then it hit me. To discuss the stock.</w:t>
      </w:r>
    </w:p>
    <w:p>
      <w:pPr>
        <w:spacing w:after="0" w:line="200" w:lineRule="exact"/>
        <w:rPr>
          <w:sz w:val="20"/>
          <w:szCs w:val="20"/>
          <w:color w:val="auto"/>
        </w:rPr>
      </w:pPr>
    </w:p>
    <w:p>
      <w:pPr>
        <w:spacing w:after="0" w:line="205" w:lineRule="exact"/>
        <w:rPr>
          <w:sz w:val="20"/>
          <w:szCs w:val="20"/>
          <w:color w:val="auto"/>
        </w:rPr>
      </w:pPr>
    </w:p>
    <w:p>
      <w:pPr>
        <w:ind w:left="20" w:right="40"/>
        <w:spacing w:after="0" w:line="339" w:lineRule="auto"/>
        <w:rPr>
          <w:sz w:val="20"/>
          <w:szCs w:val="20"/>
          <w:color w:val="auto"/>
        </w:rPr>
      </w:pPr>
      <w:r>
        <w:rPr>
          <w:rFonts w:ascii="Arial" w:cs="Arial" w:eastAsia="Arial" w:hAnsi="Arial"/>
          <w:sz w:val="22"/>
          <w:szCs w:val="22"/>
          <w:color w:val="231F20"/>
        </w:rPr>
        <w:t>So that’s what I’m going to do. This letter will have virtually nothing to do with the business and how it is performing and everything to with the stock and how it is performing. To the extent my thoughts on that topic are interesting, keep reading. If not, this is a good time to flip the page.</w:t>
      </w:r>
    </w:p>
    <w:p>
      <w:pPr>
        <w:spacing w:after="0" w:line="200" w:lineRule="exact"/>
        <w:rPr>
          <w:sz w:val="20"/>
          <w:szCs w:val="20"/>
          <w:color w:val="auto"/>
        </w:rPr>
      </w:pPr>
    </w:p>
    <w:p>
      <w:pPr>
        <w:spacing w:after="0" w:line="372" w:lineRule="exact"/>
        <w:rPr>
          <w:sz w:val="20"/>
          <w:szCs w:val="20"/>
          <w:color w:val="auto"/>
        </w:rPr>
      </w:pPr>
    </w:p>
    <w:p>
      <w:pPr>
        <w:ind w:left="20" w:right="420"/>
        <w:spacing w:after="0" w:line="361" w:lineRule="auto"/>
        <w:rPr>
          <w:sz w:val="20"/>
          <w:szCs w:val="20"/>
          <w:color w:val="auto"/>
        </w:rPr>
      </w:pPr>
      <w:r>
        <w:rPr>
          <w:rFonts w:ascii="Arial" w:cs="Arial" w:eastAsia="Arial" w:hAnsi="Arial"/>
          <w:sz w:val="22"/>
          <w:szCs w:val="22"/>
          <w:color w:val="231F20"/>
        </w:rPr>
        <w:t>TEM’s stock closed at $59.05 per share on December 31, 2025, and was up approximately 75% for the year, which implied a market cap of ~$10.3 billion at year end.</w:t>
      </w:r>
    </w:p>
    <w:p>
      <w:pPr>
        <w:spacing w:after="0" w:line="225" w:lineRule="exact"/>
        <w:rPr>
          <w:sz w:val="20"/>
          <w:szCs w:val="20"/>
          <w:color w:val="auto"/>
        </w:rPr>
      </w:pPr>
    </w:p>
    <w:p>
      <w:pPr>
        <w:jc w:val="both"/>
        <w:ind w:left="20" w:right="60"/>
        <w:spacing w:after="0" w:line="336" w:lineRule="auto"/>
        <w:rPr>
          <w:sz w:val="20"/>
          <w:szCs w:val="20"/>
          <w:color w:val="auto"/>
        </w:rPr>
      </w:pPr>
      <w:r>
        <w:rPr>
          <w:rFonts w:ascii="Arial" w:cs="Arial" w:eastAsia="Arial" w:hAnsi="Arial"/>
          <w:sz w:val="22"/>
          <w:szCs w:val="22"/>
          <w:color w:val="231F20"/>
        </w:rPr>
        <w:t>Given that we went public in June of 2024 at $37.00 per share and closed 2024 at $33.76 per share, the appreciation was meaningful, especially on a percentage basis. This might lead one to think we feel good about the stock performance last year, which is only semi accurate.</w:t>
      </w:r>
    </w:p>
    <w:p>
      <w:pPr>
        <w:spacing w:after="0" w:line="253" w:lineRule="exact"/>
        <w:rPr>
          <w:sz w:val="20"/>
          <w:szCs w:val="20"/>
          <w:color w:val="auto"/>
        </w:rPr>
      </w:pPr>
    </w:p>
    <w:p>
      <w:pPr>
        <w:ind w:left="20" w:right="120"/>
        <w:spacing w:after="0" w:line="336" w:lineRule="auto"/>
        <w:rPr>
          <w:sz w:val="20"/>
          <w:szCs w:val="20"/>
          <w:color w:val="auto"/>
        </w:rPr>
      </w:pPr>
      <w:r>
        <w:rPr>
          <w:rFonts w:ascii="Arial" w:cs="Arial" w:eastAsia="Arial" w:hAnsi="Arial"/>
          <w:sz w:val="22"/>
          <w:szCs w:val="22"/>
          <w:color w:val="231F20"/>
        </w:rPr>
        <w:t>It's nice that the stock was up approximately 75% in 2025. Those types of gains are always meaningful, especially when the NASDAQ Composite was up approximately 20% and the S&amp;P 500 climbed approximately 16% in 2025.</w:t>
      </w:r>
    </w:p>
    <w:p>
      <w:pPr>
        <w:spacing w:after="0" w:line="253" w:lineRule="exact"/>
        <w:rPr>
          <w:sz w:val="20"/>
          <w:szCs w:val="20"/>
          <w:color w:val="auto"/>
        </w:rPr>
      </w:pPr>
    </w:p>
    <w:p>
      <w:pPr>
        <w:ind w:left="20"/>
        <w:spacing w:after="0" w:line="361" w:lineRule="auto"/>
        <w:rPr>
          <w:sz w:val="20"/>
          <w:szCs w:val="20"/>
          <w:color w:val="auto"/>
        </w:rPr>
      </w:pPr>
      <w:r>
        <w:rPr>
          <w:rFonts w:ascii="Arial" w:cs="Arial" w:eastAsia="Arial" w:hAnsi="Arial"/>
          <w:sz w:val="22"/>
          <w:szCs w:val="22"/>
          <w:color w:val="231F20"/>
        </w:rPr>
        <w:t>But context is important, and when we put Tempus into context, I feel less good about how the stock performed in 2025 and how it's performing as of late.</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231F20"/>
        </w:rPr>
        <w:t>The Challenge of Categorization</w:t>
      </w:r>
    </w:p>
    <w:p>
      <w:pPr>
        <w:spacing w:after="0" w:line="322" w:lineRule="exact"/>
        <w:rPr>
          <w:sz w:val="20"/>
          <w:szCs w:val="20"/>
          <w:color w:val="auto"/>
        </w:rPr>
      </w:pPr>
    </w:p>
    <w:p>
      <w:pPr>
        <w:ind w:left="20" w:right="120"/>
        <w:spacing w:after="0" w:line="337" w:lineRule="auto"/>
        <w:rPr>
          <w:sz w:val="20"/>
          <w:szCs w:val="20"/>
          <w:color w:val="auto"/>
        </w:rPr>
      </w:pPr>
      <w:r>
        <w:rPr>
          <w:rFonts w:ascii="Arial" w:cs="Arial" w:eastAsia="Arial" w:hAnsi="Arial"/>
          <w:sz w:val="22"/>
          <w:szCs w:val="22"/>
          <w:color w:val="231F20"/>
        </w:rPr>
        <w:t>While diagnostics are foundational to our mission, they are the starting point, not the destination. Tempus operates at the unique intersection of two distinct investment universes: Healthcare (Next-Generation Sequencing) and Technology (AI-driven data platforms).</w:t>
      </w:r>
    </w:p>
    <w:p>
      <w:pPr>
        <w:sectPr>
          <w:pgSz w:w="11880" w:h="15480" w:orient="portrait"/>
          <w:cols w:equalWidth="0" w:num="1">
            <w:col w:w="9340"/>
          </w:cols>
          <w:pgMar w:left="1440" w:top="1234" w:right="1100" w:bottom="1440" w:gutter="0" w:footer="0" w:header="0"/>
        </w:sectPr>
      </w:pPr>
    </w:p>
    <w:bookmarkStart w:id="3" w:name="page4"/>
    <w:bookmarkEnd w:id="3"/>
    <w:p>
      <w:pPr>
        <w:ind w:right="460"/>
        <w:spacing w:after="0" w:line="328" w:lineRule="auto"/>
        <w:rPr>
          <w:sz w:val="20"/>
          <w:szCs w:val="20"/>
          <w:color w:val="auto"/>
        </w:rPr>
      </w:pPr>
      <w:r>
        <w:rPr>
          <w:rFonts w:ascii="Arial" w:cs="Arial" w:eastAsia="Arial" w:hAnsi="Arial"/>
          <w:sz w:val="22"/>
          <w:szCs w:val="22"/>
          <w:color w:val="231F20"/>
        </w:rPr>
        <w:t>We have observed a persistent "knowledge gap" in the marketplace. Healthcare investors often view our data business with skepticism, while technology investors are frequently deterred by the complexities of the diagnostic regulatory landscape. This creates a form of analytical paralysis.</w:t>
      </w:r>
    </w:p>
    <w:p>
      <w:pPr>
        <w:spacing w:after="0" w:line="172" w:lineRule="exact"/>
        <w:rPr>
          <w:sz w:val="20"/>
          <w:szCs w:val="20"/>
          <w:color w:val="auto"/>
        </w:rPr>
      </w:pPr>
    </w:p>
    <w:p>
      <w:pPr>
        <w:spacing w:after="0" w:line="325" w:lineRule="auto"/>
        <w:rPr>
          <w:sz w:val="20"/>
          <w:szCs w:val="20"/>
          <w:color w:val="auto"/>
        </w:rPr>
      </w:pPr>
      <w:r>
        <w:rPr>
          <w:rFonts w:ascii="Arial" w:cs="Arial" w:eastAsia="Arial" w:hAnsi="Arial"/>
          <w:sz w:val="22"/>
          <w:szCs w:val="22"/>
          <w:color w:val="231F20"/>
        </w:rPr>
        <w:t>We’re not the first company to deal with this. Historically, the market struggled to value Amazon’s cloud infrastructure through a retail lens or Tesla’s software and energy investments through an automotive lens. Innovation that spans multiple business models is often mispriced as "complexity risk" rather than valued as a competitive advantage. That is, until the businesses reach a certain scale at which point it often flips and investor enthusiasm can turn euphoric.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Addressing the Valuation Disconnect</w:t>
      </w:r>
    </w:p>
    <w:p>
      <w:pPr>
        <w:spacing w:after="0" w:line="322" w:lineRule="exact"/>
        <w:rPr>
          <w:sz w:val="20"/>
          <w:szCs w:val="20"/>
          <w:color w:val="auto"/>
        </w:rPr>
      </w:pPr>
    </w:p>
    <w:p>
      <w:pPr>
        <w:ind w:right="460"/>
        <w:spacing w:after="0" w:line="362" w:lineRule="auto"/>
        <w:rPr>
          <w:sz w:val="20"/>
          <w:szCs w:val="20"/>
          <w:color w:val="auto"/>
        </w:rPr>
      </w:pPr>
      <w:r>
        <w:rPr>
          <w:rFonts w:ascii="Arial" w:cs="Arial" w:eastAsia="Arial" w:hAnsi="Arial"/>
          <w:sz w:val="22"/>
          <w:szCs w:val="22"/>
          <w:color w:val="231F20"/>
        </w:rPr>
        <w:t>As a result of this misunderstanding, Tempus trades at a significant discount to its peers in both categories:</w:t>
      </w:r>
    </w:p>
    <w:p>
      <w:pPr>
        <w:spacing w:after="0" w:line="136" w:lineRule="exact"/>
        <w:rPr>
          <w:sz w:val="20"/>
          <w:szCs w:val="20"/>
          <w:color w:val="auto"/>
        </w:rPr>
      </w:pPr>
    </w:p>
    <w:p>
      <w:pPr>
        <w:ind w:left="720" w:right="300" w:hanging="360"/>
        <w:spacing w:after="0" w:line="311" w:lineRule="auto"/>
        <w:tabs>
          <w:tab w:leader="none" w:pos="720" w:val="left"/>
        </w:tabs>
        <w:numPr>
          <w:ilvl w:val="0"/>
          <w:numId w:val="1"/>
        </w:numPr>
        <w:rPr>
          <w:rFonts w:ascii="Arial" w:cs="Arial" w:eastAsia="Arial" w:hAnsi="Arial"/>
          <w:sz w:val="22"/>
          <w:szCs w:val="22"/>
          <w:color w:val="231F20"/>
        </w:rPr>
      </w:pPr>
      <w:r>
        <w:rPr>
          <w:rFonts w:ascii="Arial" w:cs="Arial" w:eastAsia="Arial" w:hAnsi="Arial"/>
          <w:sz w:val="22"/>
          <w:szCs w:val="22"/>
          <w:color w:val="231F20"/>
        </w:rPr>
        <w:t>In Diagnostics: At year-end 2025, Tempus traded at ~7x 2026 revenue, compared to ~9x and ~10x 2026 revenue for Guardant and Natera, respectively. This discount persists despite the fact that our analysts’ projected five-year revenue growth rate surpasses the peer average.</w:t>
      </w:r>
    </w:p>
    <w:p>
      <w:pPr>
        <w:spacing w:after="0" w:line="4" w:lineRule="exact"/>
        <w:rPr>
          <w:rFonts w:ascii="Arial" w:cs="Arial" w:eastAsia="Arial" w:hAnsi="Arial"/>
          <w:sz w:val="22"/>
          <w:szCs w:val="22"/>
          <w:color w:val="231F20"/>
        </w:rPr>
      </w:pPr>
    </w:p>
    <w:p>
      <w:pPr>
        <w:ind w:left="720" w:right="20" w:hanging="360"/>
        <w:spacing w:after="0" w:line="328" w:lineRule="auto"/>
        <w:tabs>
          <w:tab w:leader="none" w:pos="720" w:val="left"/>
        </w:tabs>
        <w:numPr>
          <w:ilvl w:val="0"/>
          <w:numId w:val="1"/>
        </w:numPr>
        <w:rPr>
          <w:rFonts w:ascii="Arial" w:cs="Arial" w:eastAsia="Arial" w:hAnsi="Arial"/>
          <w:sz w:val="22"/>
          <w:szCs w:val="22"/>
          <w:color w:val="231F20"/>
        </w:rPr>
      </w:pPr>
      <w:r>
        <w:rPr>
          <w:rFonts w:ascii="Arial" w:cs="Arial" w:eastAsia="Arial" w:hAnsi="Arial"/>
          <w:sz w:val="22"/>
          <w:szCs w:val="22"/>
          <w:color w:val="231F20"/>
        </w:rPr>
        <w:t>In Data and AI: Pure-play AI and proprietary data companies frequently command multiples of 10x to 20x forward revenue. If we apply even the midpoint of that range to our Data &amp; Applications business alone, the implied valuation would exceed $10 billion, a figure nearly matching the market capitalization of our entire company at year end.</w:t>
      </w:r>
    </w:p>
    <w:p>
      <w:pPr>
        <w:spacing w:after="0" w:line="172" w:lineRule="exact"/>
        <w:rPr>
          <w:sz w:val="20"/>
          <w:szCs w:val="20"/>
          <w:color w:val="auto"/>
        </w:rPr>
      </w:pPr>
    </w:p>
    <w:p>
      <w:pPr>
        <w:ind w:right="160"/>
        <w:spacing w:after="0" w:line="324" w:lineRule="auto"/>
        <w:rPr>
          <w:sz w:val="20"/>
          <w:szCs w:val="20"/>
          <w:color w:val="auto"/>
        </w:rPr>
      </w:pPr>
      <w:r>
        <w:rPr>
          <w:rFonts w:ascii="Arial" w:cs="Arial" w:eastAsia="Arial" w:hAnsi="Arial"/>
          <w:sz w:val="22"/>
          <w:szCs w:val="22"/>
          <w:color w:val="231F20"/>
        </w:rPr>
        <w:t>So I think it's fair to say we trade at a discount to the best NGS diagnostic companies and a discount to comparable AI data companies. From my perspective, I think that discount is not small. If diagnostic investors could invest in only our sequencing business and technology investors could invest in only our data business, it’s quite possible our market cap could more than double.</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231F20"/>
        </w:rPr>
        <w:t>Ok. So we think our stock is significantly undervalued. What do we do about it?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231F20"/>
        </w:rPr>
        <w:t>Unfortunately, there’s no magic bullet, but here’s our approach:</w:t>
      </w:r>
    </w:p>
    <w:p>
      <w:pPr>
        <w:spacing w:after="0" w:line="200" w:lineRule="exact"/>
        <w:rPr>
          <w:sz w:val="20"/>
          <w:szCs w:val="20"/>
          <w:color w:val="auto"/>
        </w:rPr>
      </w:pPr>
    </w:p>
    <w:p>
      <w:pPr>
        <w:spacing w:after="0" w:line="205" w:lineRule="exact"/>
        <w:rPr>
          <w:sz w:val="20"/>
          <w:szCs w:val="20"/>
          <w:color w:val="auto"/>
        </w:rPr>
      </w:pPr>
    </w:p>
    <w:p>
      <w:pPr>
        <w:ind w:left="720" w:right="140" w:hanging="360"/>
        <w:spacing w:after="0" w:line="311" w:lineRule="auto"/>
        <w:tabs>
          <w:tab w:leader="none" w:pos="720" w:val="left"/>
        </w:tabs>
        <w:numPr>
          <w:ilvl w:val="0"/>
          <w:numId w:val="2"/>
        </w:numPr>
        <w:rPr>
          <w:rFonts w:ascii="Arial" w:cs="Arial" w:eastAsia="Arial" w:hAnsi="Arial"/>
          <w:sz w:val="22"/>
          <w:szCs w:val="22"/>
          <w:color w:val="231F20"/>
        </w:rPr>
      </w:pPr>
      <w:r>
        <w:rPr>
          <w:rFonts w:ascii="Arial" w:cs="Arial" w:eastAsia="Arial" w:hAnsi="Arial"/>
          <w:sz w:val="22"/>
          <w:szCs w:val="22"/>
          <w:color w:val="231F20"/>
        </w:rPr>
        <w:t>Keep executing. As Benjamin Graham famously said, “In the short run, the market is a voting machine, but in the long run, it’s a weighing machine.”</w:t>
      </w:r>
    </w:p>
    <w:p>
      <w:pPr>
        <w:spacing w:after="0" w:line="2" w:lineRule="exact"/>
        <w:rPr>
          <w:rFonts w:ascii="Arial" w:cs="Arial" w:eastAsia="Arial" w:hAnsi="Arial"/>
          <w:sz w:val="22"/>
          <w:szCs w:val="22"/>
          <w:color w:val="231F20"/>
        </w:rPr>
      </w:pPr>
    </w:p>
    <w:p>
      <w:pPr>
        <w:ind w:left="720" w:right="220" w:hanging="360"/>
        <w:spacing w:after="0" w:line="361" w:lineRule="auto"/>
        <w:tabs>
          <w:tab w:leader="none" w:pos="720" w:val="left"/>
        </w:tabs>
        <w:numPr>
          <w:ilvl w:val="0"/>
          <w:numId w:val="2"/>
        </w:numPr>
        <w:rPr>
          <w:rFonts w:ascii="Arial" w:cs="Arial" w:eastAsia="Arial" w:hAnsi="Arial"/>
          <w:sz w:val="22"/>
          <w:szCs w:val="22"/>
          <w:color w:val="231F20"/>
        </w:rPr>
      </w:pPr>
      <w:r>
        <w:rPr>
          <w:rFonts w:ascii="Arial" w:cs="Arial" w:eastAsia="Arial" w:hAnsi="Arial"/>
          <w:sz w:val="22"/>
          <w:szCs w:val="22"/>
          <w:color w:val="231F20"/>
        </w:rPr>
        <w:t>Keep telling our story to investors. We have to bear responsibility for the fact that our story, and the strength of our business, is misunderstood.</w:t>
      </w:r>
    </w:p>
    <w:p>
      <w:pPr>
        <w:sectPr>
          <w:pgSz w:w="11880" w:h="15480" w:orient="portrait"/>
          <w:cols w:equalWidth="0" w:num="1">
            <w:col w:w="9360"/>
          </w:cols>
          <w:pgMar w:left="1260" w:top="1240" w:right="1260" w:bottom="862" w:gutter="0" w:footer="0" w:header="0"/>
        </w:sectPr>
      </w:pPr>
    </w:p>
    <w:bookmarkStart w:id="4" w:name="page5"/>
    <w:bookmarkEnd w:id="4"/>
    <w:p>
      <w:pPr>
        <w:ind w:left="720" w:right="160" w:hanging="360"/>
        <w:spacing w:after="0" w:line="361" w:lineRule="auto"/>
        <w:tabs>
          <w:tab w:leader="none" w:pos="720" w:val="left"/>
        </w:tabs>
        <w:numPr>
          <w:ilvl w:val="0"/>
          <w:numId w:val="3"/>
        </w:numPr>
        <w:rPr>
          <w:rFonts w:ascii="Arial" w:cs="Arial" w:eastAsia="Arial" w:hAnsi="Arial"/>
          <w:sz w:val="22"/>
          <w:szCs w:val="22"/>
          <w:color w:val="231F20"/>
        </w:rPr>
      </w:pPr>
      <w:r>
        <w:rPr>
          <w:rFonts w:ascii="Arial" w:cs="Arial" w:eastAsia="Arial" w:hAnsi="Arial"/>
          <w:sz w:val="22"/>
          <w:szCs w:val="22"/>
          <w:color w:val="231F20"/>
        </w:rPr>
        <w:t>Take action to advance the long term proprietary advantage of each business. When you have two great businesses, as we do, you have to make sure both are nurtured.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231F20"/>
        </w:rPr>
        <w:t>To the extent #3 requires us to be bold, expect that we will be.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231F20"/>
        </w:rPr>
        <w:t>As Shareholders you should expect nothing less.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231F20"/>
        </w:rPr>
        <w:t>Eric Lefkofsky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231F20"/>
        </w:rPr>
        <w:t>CEO, Tempus</w:t>
      </w:r>
    </w:p>
    <w:p>
      <w:pPr>
        <w:sectPr>
          <w:pgSz w:w="11880" w:h="15480" w:orient="portrait"/>
          <w:cols w:equalWidth="0" w:num="1">
            <w:col w:w="9180"/>
          </w:cols>
          <w:pgMar w:left="1260" w:top="1240" w:right="14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[THIS PAGE INTENTIONALLY LEFT BLANK]</w:t>
      </w:r>
    </w:p>
    <w:p>
      <w:pPr>
        <w:sectPr>
          <w:pgSz w:w="11880" w:h="15480" w:orient="portrait"/>
          <w:cols w:equalWidth="0" w:num="1">
            <w:col w:w="900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8"/>
          <w:szCs w:val="28"/>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518795</wp:posOffset>
                </wp:positionV>
                <wp:extent cx="6400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40.85pt" to="549pt,40.8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571500</wp:posOffset>
                </wp:positionH>
                <wp:positionV relativeFrom="page">
                  <wp:posOffset>537845</wp:posOffset>
                </wp:positionV>
                <wp:extent cx="6400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42.35pt" to="549pt,42.35pt" o:allowincell="f" strokecolor="#231F20" strokeweight="0.75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914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288pt,4.5pt" o:allowincell="f" strokecolor="#231F20" strokeweight="1pt"/>
            </w:pict>
          </mc:Fallback>
        </mc:AlternateConten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84455</wp:posOffset>
                </wp:positionV>
                <wp:extent cx="9144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65pt" to="288pt,6.65pt" o:allowincell="f" strokecolor="#231F20" strokeweight="1pt"/>
            </w:pict>
          </mc:Fallback>
        </mc:AlternateConten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19" w:lineRule="exact"/>
        <w:rPr>
          <w:sz w:val="20"/>
          <w:szCs w:val="20"/>
          <w:color w:val="auto"/>
        </w:rPr>
      </w:pPr>
    </w:p>
    <w:p>
      <w:pPr>
        <w:ind w:left="3520" w:right="1840" w:hanging="3506"/>
        <w:spacing w:after="0" w:line="301" w:lineRule="auto"/>
        <w:tabs>
          <w:tab w:leader="none" w:pos="408" w:val="left"/>
        </w:tabs>
        <w:numPr>
          <w:ilvl w:val="0"/>
          <w:numId w:val="4"/>
        </w:numPr>
        <w:rPr>
          <w:rFonts w:ascii="Segoe UI Symbol" w:cs="Segoe UI Symbol" w:eastAsia="Segoe UI Symbol" w:hAnsi="Segoe UI Symbol"/>
          <w:sz w:val="16"/>
          <w:szCs w:val="16"/>
          <w:b w:val="1"/>
          <w:bCs w:val="1"/>
          <w:color w:val="231F20"/>
        </w:rPr>
      </w:pPr>
      <w:r>
        <w:rPr>
          <w:rFonts w:ascii="Times New Roman" w:cs="Times New Roman" w:eastAsia="Times New Roman" w:hAnsi="Times New Roman"/>
          <w:sz w:val="16"/>
          <w:szCs w:val="16"/>
          <w:b w:val="1"/>
          <w:bCs w:val="1"/>
          <w:color w:val="231F20"/>
        </w:rPr>
        <w:t>ANNUAL REPORT PURSUANT TO SECTION 13 OR 15(d) OF THE SECURITIES EXCHANGE ACT OF 1934 For the fiscal year ended December 31, 2025</w:t>
      </w:r>
    </w:p>
    <w:p>
      <w:pPr>
        <w:ind w:left="4920"/>
        <w:spacing w:after="0"/>
        <w:rPr>
          <w:rFonts w:ascii="Segoe UI Symbol" w:cs="Segoe UI Symbol" w:eastAsia="Segoe UI Symbol" w:hAnsi="Segoe UI Symbol"/>
          <w:sz w:val="16"/>
          <w:szCs w:val="16"/>
          <w:b w:val="1"/>
          <w:bCs w:val="1"/>
          <w:color w:val="231F20"/>
        </w:rPr>
      </w:pPr>
      <w:r>
        <w:rPr>
          <w:rFonts w:ascii="Times New Roman" w:cs="Times New Roman" w:eastAsia="Times New Roman" w:hAnsi="Times New Roman"/>
          <w:sz w:val="16"/>
          <w:szCs w:val="16"/>
          <w:b w:val="1"/>
          <w:bCs w:val="1"/>
          <w:color w:val="231F20"/>
        </w:rPr>
        <w:t>OR</w:t>
      </w:r>
    </w:p>
    <w:p>
      <w:pPr>
        <w:spacing w:after="0" w:line="60" w:lineRule="exact"/>
        <w:rPr>
          <w:sz w:val="20"/>
          <w:szCs w:val="20"/>
          <w:color w:val="auto"/>
        </w:rPr>
      </w:pPr>
    </w:p>
    <w:p>
      <w:pPr>
        <w:ind w:left="420" w:hanging="406"/>
        <w:spacing w:after="0"/>
        <w:tabs>
          <w:tab w:leader="none" w:pos="420" w:val="left"/>
        </w:tabs>
        <w:numPr>
          <w:ilvl w:val="0"/>
          <w:numId w:val="5"/>
        </w:numPr>
        <w:rPr>
          <w:rFonts w:ascii="Segoe UI Symbol" w:cs="Segoe UI Symbol" w:eastAsia="Segoe UI Symbol" w:hAnsi="Segoe UI Symbol"/>
          <w:sz w:val="15"/>
          <w:szCs w:val="15"/>
          <w:b w:val="1"/>
          <w:bCs w:val="1"/>
          <w:color w:val="231F20"/>
        </w:rPr>
      </w:pPr>
      <w:r>
        <w:rPr>
          <w:rFonts w:ascii="Times New Roman" w:cs="Times New Roman" w:eastAsia="Times New Roman" w:hAnsi="Times New Roman"/>
          <w:sz w:val="15"/>
          <w:szCs w:val="15"/>
          <w:b w:val="1"/>
          <w:bCs w:val="1"/>
          <w:color w:val="231F20"/>
        </w:rPr>
        <w:t>TRANSITION REPORT PURSUANT TO SECTION 13 OR 15(d) OF THE SECURITIES EXCHANGE ACT OF 1934 FOR THE</w:t>
      </w:r>
    </w:p>
    <w:p>
      <w:pPr>
        <w:spacing w:after="0" w:line="10" w:lineRule="exact"/>
        <w:rPr>
          <w:sz w:val="20"/>
          <w:szCs w:val="20"/>
          <w:color w:val="auto"/>
        </w:rPr>
      </w:pPr>
    </w:p>
    <w:p>
      <w:pPr>
        <w:ind w:left="420"/>
        <w:spacing w:after="0"/>
        <w:tabs>
          <w:tab w:leader="none" w:pos="3480" w:val="left"/>
        </w:tabs>
        <w:rPr>
          <w:sz w:val="20"/>
          <w:szCs w:val="20"/>
          <w:color w:val="auto"/>
        </w:rPr>
      </w:pPr>
      <w:r>
        <w:rPr>
          <w:rFonts w:ascii="Times New Roman" w:cs="Times New Roman" w:eastAsia="Times New Roman" w:hAnsi="Times New Roman"/>
          <w:sz w:val="16"/>
          <w:szCs w:val="16"/>
          <w:b w:val="1"/>
          <w:bCs w:val="1"/>
          <w:color w:val="231F20"/>
        </w:rPr>
        <w:t>TRANSITION PERIOD FROM</w:t>
      </w:r>
      <w:r>
        <w:rPr>
          <w:sz w:val="20"/>
          <w:szCs w:val="20"/>
          <w:color w:val="auto"/>
        </w:rPr>
        <w:tab/>
      </w:r>
      <w:r>
        <w:rPr>
          <w:rFonts w:ascii="Times New Roman" w:cs="Times New Roman" w:eastAsia="Times New Roman" w:hAnsi="Times New Roman"/>
          <w:sz w:val="16"/>
          <w:szCs w:val="16"/>
          <w:b w:val="1"/>
          <w:bCs w:val="1"/>
          <w:color w:val="231F20"/>
        </w:rPr>
        <w:t>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Commission File Number 001-42130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74930</wp:posOffset>
                </wp:positionV>
                <wp:extent cx="9144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pt" to="288pt,5.9pt" o:allowincell="f" strokecolor="#231F20" strokeweight="1pt"/>
            </w:pict>
          </mc:Fallback>
        </mc:AlternateConten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Tempus AI,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58420</wp:posOffset>
                </wp:positionV>
                <wp:extent cx="9144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6pt" to="288pt,4.6pt" o:allowincell="f" strokecolor="#231F20" strokeweight="1pt"/>
            </w:pict>
          </mc:Fallback>
        </mc:AlternateContent>
      </w:r>
    </w:p>
    <w:p>
      <w:pPr>
        <w:sectPr>
          <w:pgSz w:w="11880" w:h="15480" w:orient="portrait"/>
          <w:cols w:equalWidth="0" w:num="1">
            <w:col w:w="10080"/>
          </w:cols>
          <w:pgMar w:left="900" w:top="840" w:right="900" w:bottom="749" w:gutter="0" w:footer="0" w:header="0"/>
        </w:sectPr>
      </w:pPr>
    </w:p>
    <w:p>
      <w:pPr>
        <w:spacing w:after="0" w:line="15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231F20"/>
        </w:rPr>
        <w:t>Nevada</w:t>
      </w:r>
    </w:p>
    <w:p>
      <w:pPr>
        <w:spacing w:after="0" w:line="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231F20"/>
        </w:rPr>
        <w:t>(State or other jurisdiction of</w:t>
      </w:r>
    </w:p>
    <w:p>
      <w:pPr>
        <w:ind w:left="1460"/>
        <w:spacing w:after="0"/>
        <w:rPr>
          <w:sz w:val="20"/>
          <w:szCs w:val="20"/>
          <w:color w:val="auto"/>
        </w:rPr>
      </w:pPr>
      <w:r>
        <w:rPr>
          <w:rFonts w:ascii="Times New Roman" w:cs="Times New Roman" w:eastAsia="Times New Roman" w:hAnsi="Times New Roman"/>
          <w:sz w:val="16"/>
          <w:szCs w:val="16"/>
          <w:b w:val="1"/>
          <w:bCs w:val="1"/>
          <w:color w:val="231F20"/>
        </w:rPr>
        <w:t>incorporation or organization)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231F20"/>
        </w:rPr>
        <w:t>47-4903308</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231F20"/>
        </w:rPr>
        <w:t>(I.R.S. Employer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Identification No.)</w:t>
      </w:r>
    </w:p>
    <w:p>
      <w:pPr>
        <w:spacing w:after="0" w:line="14" w:lineRule="exact"/>
        <w:rPr>
          <w:sz w:val="20"/>
          <w:szCs w:val="20"/>
          <w:color w:val="auto"/>
        </w:rPr>
      </w:pPr>
    </w:p>
    <w:p>
      <w:pPr>
        <w:sectPr>
          <w:pgSz w:w="11880" w:h="15480" w:orient="portrait"/>
          <w:cols w:equalWidth="0" w:num="2">
            <w:col w:w="6200" w:space="720"/>
            <w:col w:w="3160"/>
          </w:cols>
          <w:pgMar w:left="900" w:top="840" w:right="900" w:bottom="749"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600 West Chicago Avenue, Suite 510</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Chicago, IL 60654</w:t>
      </w: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(Address of Principal Executive Offices, Zip Code)</w:t>
      </w:r>
    </w:p>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Registrant’s telephone number, including area code: (800) 976-5448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Securities registered pursuant to Section 12(b) of the Act: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Trading</w:t>
            </w: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90"/>
        </w:trPr>
        <w:tc>
          <w:tcPr>
            <w:tcW w:w="360" w:type="dxa"/>
            <w:vAlign w:val="bottom"/>
            <w:tcBorders>
              <w:bottom w:val="single" w:sz="8" w:color="231F20"/>
            </w:tcBorders>
          </w:tcPr>
          <w:p>
            <w:pPr>
              <w:spacing w:after="0"/>
              <w:rPr>
                <w:sz w:val="16"/>
                <w:szCs w:val="16"/>
                <w:color w:val="auto"/>
              </w:rPr>
            </w:pPr>
          </w:p>
        </w:tc>
        <w:tc>
          <w:tcPr>
            <w:tcW w:w="3480" w:type="dxa"/>
            <w:vAlign w:val="bottom"/>
            <w:tcBorders>
              <w:bottom w:val="single" w:sz="8" w:color="231F20"/>
            </w:tcBorders>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231F20"/>
                <w:w w:val="99"/>
              </w:rPr>
              <w:t>Title of each class</w:t>
            </w:r>
          </w:p>
        </w:tc>
        <w:tc>
          <w:tcPr>
            <w:tcW w:w="100" w:type="dxa"/>
            <w:vAlign w:val="bottom"/>
          </w:tcPr>
          <w:p>
            <w:pPr>
              <w:spacing w:after="0"/>
              <w:rPr>
                <w:sz w:val="16"/>
                <w:szCs w:val="16"/>
                <w:color w:val="auto"/>
              </w:rPr>
            </w:pPr>
          </w:p>
        </w:tc>
        <w:tc>
          <w:tcPr>
            <w:tcW w:w="15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Symbol(s)</w:t>
            </w:r>
          </w:p>
        </w:tc>
        <w:tc>
          <w:tcPr>
            <w:tcW w:w="100" w:type="dxa"/>
            <w:vAlign w:val="bottom"/>
          </w:tcPr>
          <w:p>
            <w:pPr>
              <w:spacing w:after="0"/>
              <w:rPr>
                <w:sz w:val="16"/>
                <w:szCs w:val="16"/>
                <w:color w:val="auto"/>
              </w:rPr>
            </w:pPr>
          </w:p>
        </w:tc>
        <w:tc>
          <w:tcPr>
            <w:tcW w:w="45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Name of each exchange on which registered</w:t>
            </w:r>
          </w:p>
        </w:tc>
      </w:tr>
      <w:tr>
        <w:trPr>
          <w:trHeight w:val="162"/>
        </w:trPr>
        <w:tc>
          <w:tcPr>
            <w:tcW w:w="360" w:type="dxa"/>
            <w:vAlign w:val="bottom"/>
          </w:tcPr>
          <w:p>
            <w:pPr>
              <w:spacing w:after="0"/>
              <w:rPr>
                <w:sz w:val="14"/>
                <w:szCs w:val="14"/>
                <w:color w:val="auto"/>
              </w:rPr>
            </w:pPr>
          </w:p>
        </w:tc>
        <w:tc>
          <w:tcPr>
            <w:tcW w:w="3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231F20"/>
                <w:highlight w:val="white"/>
                <w:w w:val="99"/>
              </w:rPr>
              <w:t>Class A common stock, $0.0001 par value per share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231F20"/>
              </w:rPr>
              <w:t>TEM</w:t>
            </w:r>
          </w:p>
        </w:tc>
        <w:tc>
          <w:tcPr>
            <w:tcW w:w="100" w:type="dxa"/>
            <w:vAlign w:val="bottom"/>
          </w:tcPr>
          <w:p>
            <w:pPr>
              <w:spacing w:after="0"/>
              <w:rPr>
                <w:sz w:val="14"/>
                <w:szCs w:val="14"/>
                <w:color w:val="auto"/>
              </w:rPr>
            </w:pPr>
          </w:p>
        </w:tc>
        <w:tc>
          <w:tcPr>
            <w:tcW w:w="45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231F20"/>
              </w:rPr>
              <w:t>The Nasdaq Stock Market LLC</w:t>
            </w:r>
          </w:p>
        </w:tc>
      </w:t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w w:val="99"/>
              </w:rPr>
              <w:t xml:space="preserve">Securities registered pursuant to Section 12(g) of the Act: </w:t>
            </w:r>
            <w:r>
              <w:rPr>
                <w:rFonts w:ascii="Times New Roman" w:cs="Times New Roman" w:eastAsia="Times New Roman" w:hAnsi="Times New Roman"/>
                <w:sz w:val="15"/>
                <w:szCs w:val="15"/>
                <w:b w:val="1"/>
                <w:bCs w:val="1"/>
                <w:color w:val="231F20"/>
                <w:w w:val="99"/>
              </w:rPr>
              <w:t>None</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48"/>
        </w:trPr>
        <w:tc>
          <w:tcPr>
            <w:tcW w:w="7700" w:type="dxa"/>
            <w:vAlign w:val="bottom"/>
            <w:gridSpan w:val="7"/>
          </w:tcPr>
          <w:p>
            <w:pPr>
              <w:spacing w:after="0"/>
              <w:rPr>
                <w:sz w:val="20"/>
                <w:szCs w:val="20"/>
                <w:color w:val="auto"/>
              </w:rPr>
            </w:pPr>
            <w:r>
              <w:rPr>
                <w:rFonts w:ascii="Times New Roman" w:cs="Times New Roman" w:eastAsia="Times New Roman" w:hAnsi="Times New Roman"/>
                <w:sz w:val="15"/>
                <w:szCs w:val="15"/>
                <w:color w:val="231F20"/>
              </w:rPr>
              <w:t xml:space="preserve">Indicate by check mark if the Registrant is a well-known seasoned issuer, as defined in Rule 405 of the Securities Act. YES </w:t>
            </w:r>
            <w:r>
              <w:rPr>
                <w:rFonts w:ascii="Segoe UI Symbol" w:cs="Segoe UI Symbol" w:eastAsia="Segoe UI Symbol" w:hAnsi="Segoe UI Symbol"/>
                <w:sz w:val="15"/>
                <w:szCs w:val="15"/>
                <w:color w:val="231F20"/>
              </w:rPr>
              <w:t>☒</w:t>
            </w:r>
          </w:p>
        </w:tc>
        <w:tc>
          <w:tcPr>
            <w:tcW w:w="238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 xml:space="preserve">NO </w:t>
            </w:r>
            <w:r>
              <w:rPr>
                <w:rFonts w:ascii="Segoe UI Symbol" w:cs="Segoe UI Symbol" w:eastAsia="Segoe UI Symbol" w:hAnsi="Segoe UI Symbol"/>
                <w:sz w:val="15"/>
                <w:szCs w:val="15"/>
                <w:color w:val="231F20"/>
              </w:rPr>
              <w:t>☐</w:t>
            </w:r>
          </w:p>
        </w:tc>
      </w:tr>
      <w:tr>
        <w:trPr>
          <w:trHeight w:val="244"/>
        </w:trPr>
        <w:tc>
          <w:tcPr>
            <w:tcW w:w="7700" w:type="dxa"/>
            <w:vAlign w:val="bottom"/>
            <w:gridSpan w:val="7"/>
          </w:tcPr>
          <w:p>
            <w:pPr>
              <w:spacing w:after="0"/>
              <w:rPr>
                <w:sz w:val="20"/>
                <w:szCs w:val="20"/>
                <w:color w:val="auto"/>
              </w:rPr>
            </w:pPr>
            <w:r>
              <w:rPr>
                <w:rFonts w:ascii="Times New Roman" w:cs="Times New Roman" w:eastAsia="Times New Roman" w:hAnsi="Times New Roman"/>
                <w:sz w:val="15"/>
                <w:szCs w:val="15"/>
                <w:color w:val="231F20"/>
              </w:rPr>
              <w:t xml:space="preserve">Indicate by check mark if the Registrant is not required to file reports pursuant to Section 13 or 15(d) of the Act. YES </w:t>
            </w:r>
            <w:r>
              <w:rPr>
                <w:rFonts w:ascii="Segoe UI Symbol" w:cs="Segoe UI Symbol" w:eastAsia="Segoe UI Symbol" w:hAnsi="Segoe UI Symbol"/>
                <w:sz w:val="15"/>
                <w:szCs w:val="15"/>
                <w:color w:val="231F20"/>
              </w:rPr>
              <w:t>☐</w:t>
            </w:r>
            <w:r>
              <w:rPr>
                <w:rFonts w:ascii="Times New Roman" w:cs="Times New Roman" w:eastAsia="Times New Roman" w:hAnsi="Times New Roman"/>
                <w:sz w:val="15"/>
                <w:szCs w:val="15"/>
                <w:color w:val="231F20"/>
              </w:rPr>
              <w:t xml:space="preserve">  NO</w:t>
            </w:r>
          </w:p>
        </w:tc>
        <w:tc>
          <w:tcPr>
            <w:tcW w:w="2380" w:type="dxa"/>
            <w:vAlign w:val="bottom"/>
          </w:tcPr>
          <w:p>
            <w:pPr>
              <w:jc w:val="center"/>
              <w:ind w:right="2085"/>
              <w:spacing w:after="0"/>
              <w:rPr>
                <w:sz w:val="20"/>
                <w:szCs w:val="20"/>
                <w:color w:val="auto"/>
              </w:rPr>
            </w:pPr>
            <w:r>
              <w:rPr>
                <w:rFonts w:ascii="Segoe UI Symbol" w:cs="Segoe UI Symbol" w:eastAsia="Segoe UI Symbol" w:hAnsi="Segoe UI Symbol"/>
                <w:sz w:val="15"/>
                <w:szCs w:val="15"/>
                <w:color w:val="231F20"/>
              </w:rPr>
              <w:t>☒</w:t>
            </w:r>
          </w:p>
        </w:tc>
      </w:tr>
    </w:tbl>
    <w:p>
      <w:pPr>
        <w:ind w:right="160"/>
        <w:spacing w:after="0" w:line="247" w:lineRule="auto"/>
        <w:rPr>
          <w:sz w:val="20"/>
          <w:szCs w:val="20"/>
          <w:color w:val="auto"/>
        </w:rPr>
      </w:pPr>
      <w:r>
        <w:rPr>
          <w:rFonts w:ascii="Times New Roman" w:cs="Times New Roman" w:eastAsia="Times New Roman" w:hAnsi="Times New Roman"/>
          <w:sz w:val="15"/>
          <w:szCs w:val="15"/>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5"/>
          <w:szCs w:val="15"/>
          <w:color w:val="231F20"/>
        </w:rPr>
        <w:t xml:space="preserve">90 days. YES </w:t>
      </w:r>
      <w:r>
        <w:rPr>
          <w:rFonts w:ascii="Segoe UI Symbol" w:cs="Segoe UI Symbol" w:eastAsia="Segoe UI Symbol" w:hAnsi="Segoe UI Symbol"/>
          <w:sz w:val="15"/>
          <w:szCs w:val="15"/>
          <w:color w:val="231F20"/>
        </w:rPr>
        <w:t>☒</w:t>
      </w:r>
      <w:r>
        <w:rPr>
          <w:sz w:val="20"/>
          <w:szCs w:val="20"/>
          <w:color w:val="auto"/>
        </w:rPr>
        <w:tab/>
      </w:r>
      <w:r>
        <w:rPr>
          <w:rFonts w:ascii="Times New Roman" w:cs="Times New Roman" w:eastAsia="Times New Roman" w:hAnsi="Times New Roman"/>
          <w:sz w:val="14"/>
          <w:szCs w:val="14"/>
          <w:color w:val="231F20"/>
        </w:rPr>
        <w:t xml:space="preserve">NO </w:t>
      </w:r>
      <w:r>
        <w:rPr>
          <w:rFonts w:ascii="Segoe UI Symbol" w:cs="Segoe UI Symbol" w:eastAsia="Segoe UI Symbol" w:hAnsi="Segoe UI Symbol"/>
          <w:sz w:val="14"/>
          <w:szCs w:val="14"/>
          <w:color w:val="231F20"/>
        </w:rPr>
        <w:t>☐</w:t>
      </w:r>
    </w:p>
    <w:p>
      <w:pPr>
        <w:spacing w:after="0" w:line="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5"/>
          <w:szCs w:val="15"/>
          <w:color w:val="231F20"/>
        </w:rPr>
        <w:t>☒</w:t>
      </w:r>
      <w:r>
        <w:rPr>
          <w:rFonts w:ascii="Times New Roman" w:cs="Times New Roman" w:eastAsia="Times New Roman" w:hAnsi="Times New Roman"/>
          <w:sz w:val="15"/>
          <w:szCs w:val="15"/>
          <w:color w:val="231F20"/>
        </w:rPr>
        <w:t xml:space="preserve"> NO </w:t>
      </w:r>
      <w:r>
        <w:rPr>
          <w:rFonts w:ascii="Segoe UI Symbol" w:cs="Segoe UI Symbol" w:eastAsia="Segoe UI Symbol" w:hAnsi="Segoe UI Symbol"/>
          <w:sz w:val="15"/>
          <w:szCs w:val="15"/>
          <w:color w:val="231F20"/>
        </w:rPr>
        <w:t>☐</w:t>
      </w:r>
    </w:p>
    <w:p>
      <w:pPr>
        <w:spacing w:after="0" w:line="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5"/>
          <w:szCs w:val="15"/>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231F20"/>
              </w:rPr>
              <w:t>Large accelerated filer</w:t>
            </w:r>
          </w:p>
        </w:tc>
        <w:tc>
          <w:tcPr>
            <w:tcW w:w="3100" w:type="dxa"/>
            <w:vAlign w:val="bottom"/>
          </w:tcPr>
          <w:p>
            <w:pPr>
              <w:ind w:left="200"/>
              <w:spacing w:after="0"/>
              <w:rPr>
                <w:sz w:val="20"/>
                <w:szCs w:val="20"/>
                <w:color w:val="auto"/>
              </w:rPr>
            </w:pPr>
            <w:r>
              <w:rPr>
                <w:rFonts w:ascii="Segoe UI Symbol" w:cs="Segoe UI Symbol" w:eastAsia="Segoe UI Symbol" w:hAnsi="Segoe UI Symbol"/>
                <w:sz w:val="15"/>
                <w:szCs w:val="15"/>
                <w:color w:val="231F20"/>
              </w:rPr>
              <w:t>☒</w:t>
            </w:r>
          </w:p>
        </w:tc>
        <w:tc>
          <w:tcPr>
            <w:tcW w:w="4680" w:type="dxa"/>
            <w:vAlign w:val="bottom"/>
          </w:tcPr>
          <w:p>
            <w:pPr>
              <w:ind w:left="2780"/>
              <w:spacing w:after="0"/>
              <w:rPr>
                <w:sz w:val="20"/>
                <w:szCs w:val="20"/>
                <w:color w:val="auto"/>
              </w:rPr>
            </w:pPr>
            <w:r>
              <w:rPr>
                <w:rFonts w:ascii="Times New Roman" w:cs="Times New Roman" w:eastAsia="Times New Roman" w:hAnsi="Times New Roman"/>
                <w:sz w:val="15"/>
                <w:szCs w:val="15"/>
                <w:color w:val="231F20"/>
              </w:rPr>
              <w:t>Accelerated filer</w:t>
            </w:r>
          </w:p>
        </w:tc>
        <w:tc>
          <w:tcPr>
            <w:tcW w:w="380" w:type="dxa"/>
            <w:vAlign w:val="bottom"/>
          </w:tcPr>
          <w:p>
            <w:pPr>
              <w:ind w:left="240"/>
              <w:spacing w:after="0"/>
              <w:rPr>
                <w:sz w:val="20"/>
                <w:szCs w:val="20"/>
                <w:color w:val="auto"/>
              </w:rPr>
            </w:pPr>
            <w:r>
              <w:rPr>
                <w:rFonts w:ascii="Segoe UI Symbol" w:cs="Segoe UI Symbol" w:eastAsia="Segoe UI Symbol" w:hAnsi="Segoe UI Symbol"/>
                <w:sz w:val="15"/>
                <w:szCs w:val="15"/>
                <w:color w:val="231F20"/>
                <w:w w:val="92"/>
              </w:rPr>
              <w:t>☐</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231F20"/>
              </w:rPr>
              <w:t>Non-accelerated filer</w:t>
            </w:r>
          </w:p>
        </w:tc>
        <w:tc>
          <w:tcPr>
            <w:tcW w:w="3100" w:type="dxa"/>
            <w:vAlign w:val="bottom"/>
          </w:tcPr>
          <w:p>
            <w:pPr>
              <w:ind w:left="200"/>
              <w:spacing w:after="0"/>
              <w:rPr>
                <w:sz w:val="20"/>
                <w:szCs w:val="20"/>
                <w:color w:val="auto"/>
              </w:rPr>
            </w:pPr>
            <w:r>
              <w:rPr>
                <w:rFonts w:ascii="Segoe UI Symbol" w:cs="Segoe UI Symbol" w:eastAsia="Segoe UI Symbol" w:hAnsi="Segoe UI Symbol"/>
                <w:sz w:val="15"/>
                <w:szCs w:val="15"/>
                <w:color w:val="231F20"/>
              </w:rPr>
              <w:t>☐</w:t>
            </w:r>
          </w:p>
        </w:tc>
        <w:tc>
          <w:tcPr>
            <w:tcW w:w="4680" w:type="dxa"/>
            <w:vAlign w:val="bottom"/>
          </w:tcPr>
          <w:p>
            <w:pPr>
              <w:ind w:left="2780"/>
              <w:spacing w:after="0"/>
              <w:rPr>
                <w:sz w:val="20"/>
                <w:szCs w:val="20"/>
                <w:color w:val="auto"/>
              </w:rPr>
            </w:pPr>
            <w:r>
              <w:rPr>
                <w:rFonts w:ascii="Times New Roman" w:cs="Times New Roman" w:eastAsia="Times New Roman" w:hAnsi="Times New Roman"/>
                <w:sz w:val="15"/>
                <w:szCs w:val="15"/>
                <w:color w:val="231F20"/>
              </w:rPr>
              <w:t>Smaller reporting company</w:t>
            </w:r>
          </w:p>
        </w:tc>
        <w:tc>
          <w:tcPr>
            <w:tcW w:w="380" w:type="dxa"/>
            <w:vAlign w:val="bottom"/>
          </w:tcPr>
          <w:p>
            <w:pPr>
              <w:ind w:left="240"/>
              <w:spacing w:after="0"/>
              <w:rPr>
                <w:sz w:val="20"/>
                <w:szCs w:val="20"/>
                <w:color w:val="auto"/>
              </w:rPr>
            </w:pPr>
            <w:r>
              <w:rPr>
                <w:rFonts w:ascii="Segoe UI Symbol" w:cs="Segoe UI Symbol" w:eastAsia="Segoe UI Symbol" w:hAnsi="Segoe UI Symbol"/>
                <w:sz w:val="15"/>
                <w:szCs w:val="15"/>
                <w:color w:val="231F20"/>
                <w:w w:val="92"/>
              </w:rPr>
              <w:t>☐</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15"/>
                <w:szCs w:val="15"/>
                <w:color w:val="231F20"/>
              </w:rPr>
              <w:t>Emerging growth company</w:t>
            </w:r>
          </w:p>
        </w:tc>
        <w:tc>
          <w:tcPr>
            <w:tcW w:w="3100" w:type="dxa"/>
            <w:vAlign w:val="bottom"/>
          </w:tcPr>
          <w:p>
            <w:pPr>
              <w:ind w:left="200"/>
              <w:spacing w:after="0"/>
              <w:rPr>
                <w:sz w:val="20"/>
                <w:szCs w:val="20"/>
                <w:color w:val="auto"/>
              </w:rPr>
            </w:pPr>
            <w:r>
              <w:rPr>
                <w:rFonts w:ascii="Segoe UI Symbol" w:cs="Segoe UI Symbol" w:eastAsia="Segoe UI Symbol" w:hAnsi="Segoe UI Symbol"/>
                <w:sz w:val="15"/>
                <w:szCs w:val="15"/>
                <w:color w:val="231F20"/>
              </w:rPr>
              <w:t>☐</w:t>
            </w:r>
          </w:p>
        </w:tc>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5"/>
          <w:szCs w:val="15"/>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5"/>
          <w:szCs w:val="15"/>
          <w:color w:val="231F20"/>
        </w:rPr>
        <w:t>☐</w:t>
      </w:r>
    </w:p>
    <w:p>
      <w:pPr>
        <w:ind w:right="380"/>
        <w:spacing w:after="0" w:line="252" w:lineRule="auto"/>
        <w:rPr>
          <w:sz w:val="20"/>
          <w:szCs w:val="20"/>
          <w:color w:val="auto"/>
        </w:rPr>
      </w:pPr>
      <w:r>
        <w:rPr>
          <w:rFonts w:ascii="Times New Roman" w:cs="Times New Roman" w:eastAsia="Times New Roman" w:hAnsi="Times New Roman"/>
          <w:sz w:val="14"/>
          <w:szCs w:val="14"/>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rPr>
          <w:sz w:val="20"/>
          <w:szCs w:val="20"/>
          <w:color w:val="auto"/>
        </w:rPr>
      </w:pPr>
      <w:r>
        <w:rPr>
          <w:rFonts w:ascii="Times New Roman" w:cs="Times New Roman" w:eastAsia="Times New Roman" w:hAnsi="Times New Roman"/>
          <w:sz w:val="15"/>
          <w:szCs w:val="15"/>
          <w:color w:val="231F20"/>
        </w:rPr>
        <w:t xml:space="preserve">report. </w:t>
      </w:r>
      <w:r>
        <w:rPr>
          <w:rFonts w:ascii="Segoe UI Symbol" w:cs="Segoe UI Symbol" w:eastAsia="Segoe UI Symbol" w:hAnsi="Segoe UI Symbol"/>
          <w:sz w:val="15"/>
          <w:szCs w:val="15"/>
          <w:color w:val="231F20"/>
        </w:rPr>
        <w:t>☒</w:t>
      </w:r>
    </w:p>
    <w:p>
      <w:pPr>
        <w:spacing w:after="0" w:line="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5"/>
          <w:szCs w:val="15"/>
          <w:color w:val="231F20"/>
        </w:rPr>
        <w:t>☐</w:t>
      </w:r>
    </w:p>
    <w:p>
      <w:pPr>
        <w:spacing w:after="0" w:line="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5"/>
          <w:szCs w:val="15"/>
          <w:color w:val="231F20"/>
        </w:rPr>
        <w:t>☐</w:t>
      </w:r>
    </w:p>
    <w:p>
      <w:pPr>
        <w:spacing w:after="0" w:line="1" w:lineRule="exact"/>
        <w:rPr>
          <w:sz w:val="20"/>
          <w:szCs w:val="20"/>
          <w:color w:val="auto"/>
        </w:rPr>
      </w:pPr>
    </w:p>
    <w:p>
      <w:pPr>
        <w:spacing w:after="0"/>
        <w:tabs>
          <w:tab w:leader="none" w:pos="7560" w:val="left"/>
        </w:tabs>
        <w:rPr>
          <w:sz w:val="20"/>
          <w:szCs w:val="20"/>
          <w:color w:val="auto"/>
        </w:rPr>
      </w:pPr>
      <w:r>
        <w:rPr>
          <w:rFonts w:ascii="Times New Roman" w:cs="Times New Roman" w:eastAsia="Times New Roman" w:hAnsi="Times New Roman"/>
          <w:sz w:val="15"/>
          <w:szCs w:val="15"/>
          <w:color w:val="231F20"/>
        </w:rPr>
        <w:t xml:space="preserve">Indicate by check mark whether the Registrant is a shell company (as defined in Rule 12b-2 of the Exchange Act). YES </w:t>
      </w:r>
      <w:r>
        <w:rPr>
          <w:rFonts w:ascii="Segoe UI Symbol" w:cs="Segoe UI Symbol" w:eastAsia="Segoe UI Symbol" w:hAnsi="Segoe UI Symbol"/>
          <w:sz w:val="15"/>
          <w:szCs w:val="15"/>
          <w:color w:val="231F20"/>
        </w:rPr>
        <w:t>☐</w:t>
      </w:r>
      <w:r>
        <w:rPr>
          <w:sz w:val="20"/>
          <w:szCs w:val="20"/>
          <w:color w:val="auto"/>
        </w:rPr>
        <w:tab/>
      </w:r>
      <w:r>
        <w:rPr>
          <w:rFonts w:ascii="Times New Roman" w:cs="Times New Roman" w:eastAsia="Times New Roman" w:hAnsi="Times New Roman"/>
          <w:sz w:val="14"/>
          <w:szCs w:val="14"/>
          <w:color w:val="231F20"/>
        </w:rPr>
        <w:t xml:space="preserve">NO </w:t>
      </w:r>
      <w:r>
        <w:rPr>
          <w:rFonts w:ascii="Segoe UI Symbol" w:cs="Segoe UI Symbol" w:eastAsia="Segoe UI Symbol" w:hAnsi="Segoe UI Symbol"/>
          <w:sz w:val="14"/>
          <w:szCs w:val="14"/>
          <w:color w:val="231F20"/>
        </w:rPr>
        <w:t>☒</w:t>
      </w:r>
    </w:p>
    <w:p>
      <w:pPr>
        <w:spacing w:after="0" w:line="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5"/>
          <w:szCs w:val="15"/>
          <w:color w:val="231F20"/>
        </w:rPr>
        <w:t>The aggregate market value of the voting and non-voting common equity held by non-affiliates of the Registrant, as of the last business day of the Registrant's most recently completed second fiscal quarter was approximately $11.0 billion (based on the closing price of the Registrant's Class A common stock on the Nasdaq Global Select Market on June 30, 2025 of $63.54 per share).</w:t>
      </w:r>
    </w:p>
    <w:p>
      <w:pPr>
        <w:spacing w:after="0" w:line="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5"/>
          <w:szCs w:val="15"/>
          <w:color w:val="231F20"/>
        </w:rPr>
        <w:t>As of February 20, 2026, there were 173,729,901 shares of Class A common stock and 5,043,789 shares of Class B common stock, each with a par value of $0.0001 per share, outstanding.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231F20"/>
        </w:rPr>
        <w:t>DOCUMENTS INCORPORATED BY REFERENCE</w:t>
      </w:r>
    </w:p>
    <w:p>
      <w:pPr>
        <w:spacing w:after="0" w:line="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231F20"/>
        </w:rPr>
        <w:t>Portions of the Registrant's definitive proxy statement, or the 2026 Proxy Statement, relating to its annual meeting of stockholders to be held in 2026, or the 2026 Annual Meeting, to be filed with the Securities and Exchange Commission, or the SEC, within 120 days after the end of the fiscal year to which this Annual Report on Form 10-K relates, are incorporated herein by reference where indicated. Except with respect to information specifically incorporated by reference in this Annual Report on Form 10-K, such proxy statement is not deemed to be filed a part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6400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504pt,2.5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6400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504pt,4.05pt" o:allowincell="f" strokecolor="#231F20" strokeweight="0.75pt"/>
            </w:pict>
          </mc:Fallback>
        </mc:AlternateContent>
      </w:r>
    </w:p>
    <w:p>
      <w:pPr>
        <w:sectPr>
          <w:pgSz w:w="11880" w:h="15480" w:orient="portrait"/>
          <w:cols w:equalWidth="0" w:num="1">
            <w:col w:w="10080"/>
          </w:cols>
          <w:pgMar w:left="900" w:top="840" w:right="900" w:bottom="749"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20" w:type="dxa"/>
            <w:vAlign w:val="bottom"/>
            <w:gridSpan w:val="10"/>
          </w:tcPr>
          <w:p>
            <w:pPr>
              <w:ind w:left="16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720" w:type="dxa"/>
            <w:vAlign w:val="bottom"/>
            <w:tcBorders>
              <w:bottom w:val="single" w:sz="8" w:color="656769"/>
            </w:tcBorders>
          </w:tcPr>
          <w:p>
            <w:pPr>
              <w:spacing w:after="0"/>
              <w:rPr>
                <w:sz w:val="20"/>
                <w:szCs w:val="20"/>
                <w:color w:val="auto"/>
              </w:rPr>
            </w:pPr>
            <w:r>
              <w:rPr>
                <w:rFonts w:ascii="Times New Roman" w:cs="Times New Roman" w:eastAsia="Times New Roman" w:hAnsi="Times New Roman"/>
                <w:sz w:val="20"/>
                <w:szCs w:val="20"/>
                <w:color w:val="656769"/>
                <w:w w:val="98"/>
              </w:rPr>
              <w:t>Business</w:t>
            </w:r>
          </w:p>
        </w:tc>
        <w:tc>
          <w:tcPr>
            <w:tcW w:w="7920" w:type="dxa"/>
            <w:vAlign w:val="bottom"/>
            <w:gridSpan w:val="23"/>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1A.</w:t>
            </w:r>
          </w:p>
        </w:tc>
        <w:tc>
          <w:tcPr>
            <w:tcW w:w="1020" w:type="dxa"/>
            <w:vAlign w:val="bottom"/>
            <w:tcBorders>
              <w:bottom w:val="single" w:sz="8" w:color="656769"/>
            </w:tcBorders>
            <w:gridSpan w:val="5"/>
          </w:tcPr>
          <w:p>
            <w:pPr>
              <w:spacing w:after="0" w:line="224" w:lineRule="exact"/>
              <w:rPr>
                <w:sz w:val="20"/>
                <w:szCs w:val="20"/>
                <w:color w:val="auto"/>
              </w:rPr>
            </w:pPr>
            <w:r>
              <w:rPr>
                <w:rFonts w:ascii="Times New Roman" w:cs="Times New Roman" w:eastAsia="Times New Roman" w:hAnsi="Times New Roman"/>
                <w:sz w:val="20"/>
                <w:szCs w:val="20"/>
                <w:color w:val="656769"/>
                <w:w w:val="99"/>
              </w:rPr>
              <w:t>Risk Factors</w:t>
            </w:r>
          </w:p>
        </w:tc>
        <w:tc>
          <w:tcPr>
            <w:tcW w:w="7620" w:type="dxa"/>
            <w:vAlign w:val="bottom"/>
            <w:gridSpan w:val="19"/>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1B.</w:t>
            </w: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Unresolved Staff Comments</w:t>
            </w: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1C.</w:t>
            </w:r>
          </w:p>
        </w:tc>
        <w:tc>
          <w:tcPr>
            <w:tcW w:w="2280" w:type="dxa"/>
            <w:vAlign w:val="bottom"/>
            <w:tcBorders>
              <w:top w:val="single" w:sz="8" w:color="656769"/>
            </w:tcBorders>
            <w:gridSpan w:val="12"/>
          </w:tcPr>
          <w:p>
            <w:pPr>
              <w:spacing w:after="0" w:line="224" w:lineRule="exact"/>
              <w:rPr>
                <w:sz w:val="20"/>
                <w:szCs w:val="20"/>
                <w:color w:val="auto"/>
              </w:rPr>
            </w:pPr>
            <w:r>
              <w:rPr>
                <w:rFonts w:ascii="Times New Roman" w:cs="Times New Roman" w:eastAsia="Times New Roman" w:hAnsi="Times New Roman"/>
                <w:sz w:val="20"/>
                <w:szCs w:val="20"/>
                <w:color w:val="656769"/>
              </w:rPr>
              <w:t>Cybersecurity</w:t>
            </w:r>
          </w:p>
        </w:tc>
        <w:tc>
          <w:tcPr>
            <w:tcW w:w="6360" w:type="dxa"/>
            <w:vAlign w:val="bottom"/>
            <w:gridSpan w:val="12"/>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2.</w:t>
            </w:r>
          </w:p>
        </w:tc>
        <w:tc>
          <w:tcPr>
            <w:tcW w:w="820" w:type="dxa"/>
            <w:vAlign w:val="bottom"/>
            <w:tcBorders>
              <w:top w:val="single" w:sz="8" w:color="656769"/>
              <w:bottom w:val="single" w:sz="8" w:color="656769"/>
            </w:tcBorders>
            <w:gridSpan w:val="3"/>
          </w:tcPr>
          <w:p>
            <w:pPr>
              <w:spacing w:after="0" w:line="224" w:lineRule="exact"/>
              <w:rPr>
                <w:sz w:val="20"/>
                <w:szCs w:val="20"/>
                <w:color w:val="auto"/>
              </w:rPr>
            </w:pPr>
            <w:r>
              <w:rPr>
                <w:rFonts w:ascii="Times New Roman" w:cs="Times New Roman" w:eastAsia="Times New Roman" w:hAnsi="Times New Roman"/>
                <w:sz w:val="20"/>
                <w:szCs w:val="20"/>
                <w:color w:val="656769"/>
                <w:w w:val="98"/>
              </w:rPr>
              <w:t>Properties</w:t>
            </w:r>
          </w:p>
        </w:tc>
        <w:tc>
          <w:tcPr>
            <w:tcW w:w="300" w:type="dxa"/>
            <w:vAlign w:val="bottom"/>
            <w:tcBorders>
              <w:top w:val="single" w:sz="8" w:color="656769"/>
            </w:tcBorders>
            <w:gridSpan w:val="3"/>
          </w:tcPr>
          <w:p>
            <w:pPr>
              <w:spacing w:after="0"/>
              <w:rPr>
                <w:sz w:val="19"/>
                <w:szCs w:val="19"/>
                <w:color w:val="auto"/>
              </w:rPr>
            </w:pPr>
          </w:p>
        </w:tc>
        <w:tc>
          <w:tcPr>
            <w:tcW w:w="7520" w:type="dxa"/>
            <w:vAlign w:val="bottom"/>
            <w:gridSpan w:val="18"/>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110</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3.</w:t>
            </w:r>
          </w:p>
        </w:tc>
        <w:tc>
          <w:tcPr>
            <w:tcW w:w="1500" w:type="dxa"/>
            <w:vAlign w:val="bottom"/>
            <w:tcBorders>
              <w:bottom w:val="single" w:sz="8" w:color="656769"/>
            </w:tcBorders>
            <w:gridSpan w:val="8"/>
          </w:tcPr>
          <w:p>
            <w:pPr>
              <w:spacing w:after="0" w:line="224" w:lineRule="exact"/>
              <w:rPr>
                <w:sz w:val="20"/>
                <w:szCs w:val="20"/>
                <w:color w:val="auto"/>
              </w:rPr>
            </w:pPr>
            <w:r>
              <w:rPr>
                <w:rFonts w:ascii="Times New Roman" w:cs="Times New Roman" w:eastAsia="Times New Roman" w:hAnsi="Times New Roman"/>
                <w:sz w:val="20"/>
                <w:szCs w:val="20"/>
                <w:color w:val="656769"/>
                <w:w w:val="99"/>
              </w:rPr>
              <w:t>Legal Proceedings</w:t>
            </w:r>
          </w:p>
        </w:tc>
        <w:tc>
          <w:tcPr>
            <w:tcW w:w="7140" w:type="dxa"/>
            <w:vAlign w:val="bottom"/>
            <w:gridSpan w:val="16"/>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110</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4.</w:t>
            </w: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Mine Safety Disclosures</w:t>
            </w: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111</w:t>
            </w: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720" w:type="dxa"/>
            <w:vAlign w:val="bottom"/>
            <w:tcBorders>
              <w:top w:val="single" w:sz="8" w:color="656769"/>
            </w:tcBorders>
          </w:tcPr>
          <w:p>
            <w:pPr>
              <w:spacing w:after="0"/>
              <w:rPr>
                <w:sz w:val="24"/>
                <w:szCs w:val="24"/>
                <w:color w:val="auto"/>
              </w:rPr>
            </w:pPr>
          </w:p>
        </w:tc>
        <w:tc>
          <w:tcPr>
            <w:tcW w:w="8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60" w:type="dxa"/>
            <w:vAlign w:val="bottom"/>
            <w:tcBorders>
              <w:top w:val="single" w:sz="8" w:color="656769"/>
            </w:tcBorders>
          </w:tcPr>
          <w:p>
            <w:pPr>
              <w:spacing w:after="0"/>
              <w:rPr>
                <w:sz w:val="24"/>
                <w:szCs w:val="24"/>
                <w:color w:val="auto"/>
              </w:rPr>
            </w:pPr>
          </w:p>
        </w:tc>
        <w:tc>
          <w:tcPr>
            <w:tcW w:w="140" w:type="dxa"/>
            <w:vAlign w:val="bottom"/>
            <w:tcBorders>
              <w:top w:val="single" w:sz="8" w:color="656769"/>
            </w:tcBorders>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340" w:type="dxa"/>
            <w:vAlign w:val="bottom"/>
            <w:tcBorders>
              <w:top w:val="single" w:sz="8" w:color="656769"/>
            </w:tcBorders>
          </w:tcPr>
          <w:p>
            <w:pPr>
              <w:spacing w:after="0"/>
              <w:rPr>
                <w:sz w:val="24"/>
                <w:szCs w:val="24"/>
                <w:color w:val="auto"/>
              </w:rPr>
            </w:pPr>
          </w:p>
        </w:tc>
        <w:tc>
          <w:tcPr>
            <w:tcW w:w="40" w:type="dxa"/>
            <w:vAlign w:val="bottom"/>
            <w:tcBorders>
              <w:top w:val="single" w:sz="8" w:color="656769"/>
            </w:tcBorders>
          </w:tcPr>
          <w:p>
            <w:pPr>
              <w:spacing w:after="0"/>
              <w:rPr>
                <w:sz w:val="24"/>
                <w:szCs w:val="24"/>
                <w:color w:val="auto"/>
              </w:rPr>
            </w:pPr>
          </w:p>
        </w:tc>
        <w:tc>
          <w:tcPr>
            <w:tcW w:w="220" w:type="dxa"/>
            <w:vAlign w:val="bottom"/>
            <w:tcBorders>
              <w:top w:val="single" w:sz="8" w:color="656769"/>
            </w:tcBorders>
          </w:tcPr>
          <w:p>
            <w:pPr>
              <w:spacing w:after="0"/>
              <w:rPr>
                <w:sz w:val="24"/>
                <w:szCs w:val="24"/>
                <w:color w:val="auto"/>
              </w:rPr>
            </w:pPr>
          </w:p>
        </w:tc>
        <w:tc>
          <w:tcPr>
            <w:tcW w:w="260" w:type="dxa"/>
            <w:vAlign w:val="bottom"/>
            <w:tcBorders>
              <w:top w:val="single" w:sz="8" w:color="656769"/>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8640" w:type="dxa"/>
            <w:vAlign w:val="bottom"/>
            <w:gridSpan w:val="24"/>
          </w:tcPr>
          <w:p>
            <w:pPr>
              <w:spacing w:after="0"/>
              <w:rPr>
                <w:sz w:val="20"/>
                <w:szCs w:val="20"/>
                <w:color w:val="auto"/>
              </w:rPr>
            </w:pPr>
            <w:r>
              <w:rPr>
                <w:rFonts w:ascii="Times New Roman" w:cs="Times New Roman" w:eastAsia="Times New Roman" w:hAnsi="Times New Roman"/>
                <w:sz w:val="20"/>
                <w:szCs w:val="20"/>
                <w:color w:val="656769"/>
              </w:rPr>
              <w:t>Market for Registrant’s Common Equity, Related Stockholder Matters and Issuer Purchases of Equity</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112</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80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8"/>
              </w:rPr>
              <w:t>Securities</w:t>
            </w:r>
          </w:p>
        </w:tc>
        <w:tc>
          <w:tcPr>
            <w:tcW w:w="7360" w:type="dxa"/>
            <w:vAlign w:val="bottom"/>
            <w:tcBorders>
              <w:top w:val="single" w:sz="8" w:color="656769"/>
            </w:tcBorders>
            <w:gridSpan w:val="21"/>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6.</w:t>
            </w: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[Reserved]</w:t>
            </w: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880" w:type="dxa"/>
            <w:vAlign w:val="bottom"/>
            <w:gridSpan w:val="4"/>
            <w:shd w:val="clear" w:color="auto" w:fill="656769"/>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0" w:type="dxa"/>
            <w:vAlign w:val="bottom"/>
          </w:tcPr>
          <w:p>
            <w:pPr>
              <w:spacing w:after="0" w:line="20" w:lineRule="exact"/>
              <w:rPr>
                <w:sz w:val="1"/>
                <w:szCs w:val="1"/>
                <w:color w:val="auto"/>
              </w:rPr>
            </w:pPr>
          </w:p>
        </w:tc>
      </w:tr>
      <w:tr>
        <w:trPr>
          <w:trHeight w:val="224"/>
        </w:trPr>
        <w:tc>
          <w:tcPr>
            <w:tcW w:w="900" w:type="dxa"/>
            <w:vAlign w:val="bottom"/>
            <w:vMerge w:val="continue"/>
          </w:tcPr>
          <w:p>
            <w:pPr>
              <w:spacing w:after="0"/>
              <w:rPr>
                <w:sz w:val="19"/>
                <w:szCs w:val="19"/>
                <w:color w:val="auto"/>
              </w:rPr>
            </w:pPr>
          </w:p>
        </w:tc>
        <w:tc>
          <w:tcPr>
            <w:tcW w:w="7200" w:type="dxa"/>
            <w:vAlign w:val="bottom"/>
            <w:tcBorders>
              <w:bottom w:val="single" w:sz="8" w:color="656769"/>
            </w:tcBorders>
            <w:gridSpan w:val="20"/>
          </w:tcPr>
          <w:p>
            <w:pPr>
              <w:spacing w:after="0" w:line="224" w:lineRule="exact"/>
              <w:rPr>
                <w:sz w:val="20"/>
                <w:szCs w:val="20"/>
                <w:color w:val="auto"/>
              </w:rPr>
            </w:pPr>
            <w:r>
              <w:rPr>
                <w:rFonts w:ascii="Times New Roman" w:cs="Times New Roman" w:eastAsia="Times New Roman" w:hAnsi="Times New Roman"/>
                <w:sz w:val="20"/>
                <w:szCs w:val="20"/>
                <w:color w:val="656769"/>
                <w:w w:val="99"/>
              </w:rPr>
              <w:t>Management’s Discussion and Analysis of Financial Condition and Results of Operations</w:t>
            </w:r>
          </w:p>
        </w:tc>
        <w:tc>
          <w:tcPr>
            <w:tcW w:w="1440" w:type="dxa"/>
            <w:vAlign w:val="bottom"/>
            <w:gridSpan w:val="4"/>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7A.</w:t>
            </w:r>
          </w:p>
        </w:tc>
        <w:tc>
          <w:tcPr>
            <w:tcW w:w="4860" w:type="dxa"/>
            <w:vAlign w:val="bottom"/>
            <w:tcBorders>
              <w:bottom w:val="single" w:sz="8" w:color="656769"/>
            </w:tcBorders>
            <w:gridSpan w:val="17"/>
          </w:tcPr>
          <w:p>
            <w:pPr>
              <w:spacing w:after="0" w:line="224" w:lineRule="exact"/>
              <w:rPr>
                <w:sz w:val="20"/>
                <w:szCs w:val="20"/>
                <w:color w:val="auto"/>
              </w:rPr>
            </w:pPr>
            <w:r>
              <w:rPr>
                <w:rFonts w:ascii="Times New Roman" w:cs="Times New Roman" w:eastAsia="Times New Roman" w:hAnsi="Times New Roman"/>
                <w:sz w:val="20"/>
                <w:szCs w:val="20"/>
                <w:color w:val="656769"/>
                <w:w w:val="99"/>
              </w:rPr>
              <w:t>Quantitative and Qualitative Disclosures About Market Risk</w:t>
            </w:r>
          </w:p>
        </w:tc>
        <w:tc>
          <w:tcPr>
            <w:tcW w:w="3780" w:type="dxa"/>
            <w:vAlign w:val="bottom"/>
            <w:gridSpan w:val="7"/>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133</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8.</w:t>
            </w: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Financial Statements and Supplementary Data</w:t>
            </w: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134</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1460" w:type="dxa"/>
            <w:vAlign w:val="bottom"/>
            <w:gridSpan w:val="7"/>
            <w:shd w:val="clear" w:color="auto" w:fill="656769"/>
          </w:tcPr>
          <w:p>
            <w:pPr>
              <w:spacing w:after="0" w:line="20" w:lineRule="exact"/>
              <w:rPr>
                <w:sz w:val="1"/>
                <w:szCs w:val="1"/>
                <w:color w:val="auto"/>
              </w:rPr>
            </w:pPr>
          </w:p>
        </w:tc>
        <w:tc>
          <w:tcPr>
            <w:tcW w:w="260" w:type="dxa"/>
            <w:vAlign w:val="bottom"/>
            <w:gridSpan w:val="2"/>
            <w:shd w:val="clear" w:color="auto" w:fill="656769"/>
          </w:tcPr>
          <w:p>
            <w:pPr>
              <w:spacing w:after="0" w:line="20" w:lineRule="exact"/>
              <w:rPr>
                <w:sz w:val="1"/>
                <w:szCs w:val="1"/>
                <w:color w:val="auto"/>
              </w:rPr>
            </w:pPr>
          </w:p>
        </w:tc>
        <w:tc>
          <w:tcPr>
            <w:tcW w:w="26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1180" w:type="dxa"/>
            <w:vAlign w:val="bottom"/>
            <w:gridSpan w:val="2"/>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480" w:type="dxa"/>
            <w:vAlign w:val="bottom"/>
            <w:shd w:val="clear" w:color="auto" w:fill="65676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0" w:type="dxa"/>
            <w:vAlign w:val="bottom"/>
          </w:tcPr>
          <w:p>
            <w:pPr>
              <w:spacing w:after="0" w:line="20" w:lineRule="exact"/>
              <w:rPr>
                <w:sz w:val="1"/>
                <w:szCs w:val="1"/>
                <w:color w:val="auto"/>
              </w:rPr>
            </w:pPr>
          </w:p>
        </w:tc>
      </w:tr>
      <w:tr>
        <w:trPr>
          <w:trHeight w:val="224"/>
        </w:trPr>
        <w:tc>
          <w:tcPr>
            <w:tcW w:w="900" w:type="dxa"/>
            <w:vAlign w:val="bottom"/>
            <w:vMerge w:val="continue"/>
          </w:tcPr>
          <w:p>
            <w:pPr>
              <w:spacing w:after="0"/>
              <w:rPr>
                <w:sz w:val="19"/>
                <w:szCs w:val="19"/>
                <w:color w:val="auto"/>
              </w:rPr>
            </w:pPr>
          </w:p>
        </w:tc>
        <w:tc>
          <w:tcPr>
            <w:tcW w:w="7260" w:type="dxa"/>
            <w:vAlign w:val="bottom"/>
            <w:tcBorders>
              <w:bottom w:val="single" w:sz="8" w:color="656769"/>
            </w:tcBorders>
            <w:gridSpan w:val="21"/>
          </w:tcPr>
          <w:p>
            <w:pPr>
              <w:spacing w:after="0" w:line="224" w:lineRule="exact"/>
              <w:rPr>
                <w:sz w:val="20"/>
                <w:szCs w:val="20"/>
                <w:color w:val="auto"/>
              </w:rPr>
            </w:pPr>
            <w:r>
              <w:rPr>
                <w:rFonts w:ascii="Times New Roman" w:cs="Times New Roman" w:eastAsia="Times New Roman" w:hAnsi="Times New Roman"/>
                <w:sz w:val="20"/>
                <w:szCs w:val="20"/>
                <w:color w:val="656769"/>
                <w:w w:val="99"/>
              </w:rPr>
              <w:t>Changes in and Disagreements With Accountants on Accounting and Financial Disclosure</w:t>
            </w:r>
          </w:p>
        </w:tc>
        <w:tc>
          <w:tcPr>
            <w:tcW w:w="1380" w:type="dxa"/>
            <w:vAlign w:val="bottom"/>
            <w:gridSpan w:val="3"/>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9A.</w:t>
            </w:r>
          </w:p>
        </w:tc>
        <w:tc>
          <w:tcPr>
            <w:tcW w:w="1980" w:type="dxa"/>
            <w:vAlign w:val="bottom"/>
            <w:tcBorders>
              <w:bottom w:val="single" w:sz="8" w:color="656769"/>
            </w:tcBorders>
            <w:gridSpan w:val="10"/>
          </w:tcPr>
          <w:p>
            <w:pPr>
              <w:spacing w:after="0" w:line="224" w:lineRule="exact"/>
              <w:rPr>
                <w:sz w:val="20"/>
                <w:szCs w:val="20"/>
                <w:color w:val="auto"/>
              </w:rPr>
            </w:pPr>
            <w:r>
              <w:rPr>
                <w:rFonts w:ascii="Times New Roman" w:cs="Times New Roman" w:eastAsia="Times New Roman" w:hAnsi="Times New Roman"/>
                <w:sz w:val="20"/>
                <w:szCs w:val="20"/>
                <w:color w:val="656769"/>
                <w:w w:val="99"/>
              </w:rPr>
              <w:t>Controls and Procedures</w:t>
            </w:r>
          </w:p>
        </w:tc>
        <w:tc>
          <w:tcPr>
            <w:tcW w:w="6660" w:type="dxa"/>
            <w:vAlign w:val="bottom"/>
            <w:gridSpan w:val="14"/>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184</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9B.</w:t>
            </w: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Other Information</w:t>
            </w: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185</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1460" w:type="dxa"/>
            <w:vAlign w:val="bottom"/>
            <w:gridSpan w:val="7"/>
            <w:shd w:val="clear" w:color="auto" w:fill="65676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0" w:type="dxa"/>
            <w:vAlign w:val="bottom"/>
          </w:tcPr>
          <w:p>
            <w:pPr>
              <w:spacing w:after="0" w:line="20" w:lineRule="exact"/>
              <w:rPr>
                <w:sz w:val="1"/>
                <w:szCs w:val="1"/>
                <w:color w:val="auto"/>
              </w:rPr>
            </w:pPr>
          </w:p>
        </w:tc>
      </w:tr>
      <w:tr>
        <w:trPr>
          <w:trHeight w:val="224"/>
        </w:trPr>
        <w:tc>
          <w:tcPr>
            <w:tcW w:w="900" w:type="dxa"/>
            <w:vAlign w:val="bottom"/>
            <w:vMerge w:val="continue"/>
          </w:tcPr>
          <w:p>
            <w:pPr>
              <w:spacing w:after="0"/>
              <w:rPr>
                <w:sz w:val="19"/>
                <w:szCs w:val="19"/>
                <w:color w:val="auto"/>
              </w:rPr>
            </w:pP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Disclosure Regarding Foreign Jurisdictions that Prevent Inspections</w:t>
            </w: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720" w:type="dxa"/>
            <w:vAlign w:val="bottom"/>
            <w:tcBorders>
              <w:top w:val="single" w:sz="8" w:color="656769"/>
            </w:tcBorders>
          </w:tcPr>
          <w:p>
            <w:pPr>
              <w:spacing w:after="0"/>
              <w:rPr>
                <w:sz w:val="24"/>
                <w:szCs w:val="24"/>
                <w:color w:val="auto"/>
              </w:rPr>
            </w:pPr>
          </w:p>
        </w:tc>
        <w:tc>
          <w:tcPr>
            <w:tcW w:w="8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60" w:type="dxa"/>
            <w:vAlign w:val="bottom"/>
            <w:tcBorders>
              <w:top w:val="single" w:sz="8" w:color="656769"/>
            </w:tcBorders>
          </w:tcPr>
          <w:p>
            <w:pPr>
              <w:spacing w:after="0"/>
              <w:rPr>
                <w:sz w:val="24"/>
                <w:szCs w:val="24"/>
                <w:color w:val="auto"/>
              </w:rPr>
            </w:pPr>
          </w:p>
        </w:tc>
        <w:tc>
          <w:tcPr>
            <w:tcW w:w="140" w:type="dxa"/>
            <w:vAlign w:val="bottom"/>
            <w:tcBorders>
              <w:top w:val="single" w:sz="8" w:color="656769"/>
            </w:tcBorders>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340" w:type="dxa"/>
            <w:vAlign w:val="bottom"/>
            <w:tcBorders>
              <w:top w:val="single" w:sz="8" w:color="656769"/>
            </w:tcBorders>
          </w:tcPr>
          <w:p>
            <w:pPr>
              <w:spacing w:after="0"/>
              <w:rPr>
                <w:sz w:val="24"/>
                <w:szCs w:val="24"/>
                <w:color w:val="auto"/>
              </w:rPr>
            </w:pPr>
          </w:p>
        </w:tc>
        <w:tc>
          <w:tcPr>
            <w:tcW w:w="40" w:type="dxa"/>
            <w:vAlign w:val="bottom"/>
            <w:tcBorders>
              <w:top w:val="single" w:sz="8" w:color="656769"/>
            </w:tcBorders>
          </w:tcPr>
          <w:p>
            <w:pPr>
              <w:spacing w:after="0"/>
              <w:rPr>
                <w:sz w:val="24"/>
                <w:szCs w:val="24"/>
                <w:color w:val="auto"/>
              </w:rPr>
            </w:pPr>
          </w:p>
        </w:tc>
        <w:tc>
          <w:tcPr>
            <w:tcW w:w="220" w:type="dxa"/>
            <w:vAlign w:val="bottom"/>
            <w:tcBorders>
              <w:top w:val="single" w:sz="8" w:color="656769"/>
            </w:tcBorders>
          </w:tcPr>
          <w:p>
            <w:pPr>
              <w:spacing w:after="0"/>
              <w:rPr>
                <w:sz w:val="24"/>
                <w:szCs w:val="24"/>
                <w:color w:val="auto"/>
              </w:rPr>
            </w:pPr>
          </w:p>
        </w:tc>
        <w:tc>
          <w:tcPr>
            <w:tcW w:w="260" w:type="dxa"/>
            <w:vAlign w:val="bottom"/>
            <w:tcBorders>
              <w:top w:val="single" w:sz="8" w:color="656769"/>
            </w:tcBorders>
          </w:tcPr>
          <w:p>
            <w:pPr>
              <w:spacing w:after="0"/>
              <w:rPr>
                <w:sz w:val="24"/>
                <w:szCs w:val="24"/>
                <w:color w:val="auto"/>
              </w:rPr>
            </w:pPr>
          </w:p>
        </w:tc>
        <w:tc>
          <w:tcPr>
            <w:tcW w:w="40" w:type="dxa"/>
            <w:vAlign w:val="bottom"/>
            <w:tcBorders>
              <w:top w:val="single" w:sz="8" w:color="656769"/>
            </w:tcBorders>
          </w:tcPr>
          <w:p>
            <w:pPr>
              <w:spacing w:after="0"/>
              <w:rPr>
                <w:sz w:val="24"/>
                <w:szCs w:val="24"/>
                <w:color w:val="auto"/>
              </w:rPr>
            </w:pPr>
          </w:p>
        </w:tc>
        <w:tc>
          <w:tcPr>
            <w:tcW w:w="260" w:type="dxa"/>
            <w:vAlign w:val="bottom"/>
            <w:tcBorders>
              <w:top w:val="single" w:sz="8" w:color="656769"/>
            </w:tcBorders>
          </w:tcPr>
          <w:p>
            <w:pPr>
              <w:spacing w:after="0"/>
              <w:rPr>
                <w:sz w:val="24"/>
                <w:szCs w:val="24"/>
                <w:color w:val="auto"/>
              </w:rPr>
            </w:pPr>
          </w:p>
        </w:tc>
        <w:tc>
          <w:tcPr>
            <w:tcW w:w="92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480" w:type="dxa"/>
            <w:vAlign w:val="bottom"/>
            <w:tcBorders>
              <w:top w:val="single" w:sz="8" w:color="656769"/>
            </w:tcBorders>
          </w:tcPr>
          <w:p>
            <w:pPr>
              <w:spacing w:after="0"/>
              <w:rPr>
                <w:sz w:val="24"/>
                <w:szCs w:val="24"/>
                <w:color w:val="auto"/>
              </w:rPr>
            </w:pPr>
          </w:p>
        </w:tc>
        <w:tc>
          <w:tcPr>
            <w:tcW w:w="860" w:type="dxa"/>
            <w:vAlign w:val="bottom"/>
            <w:tcBorders>
              <w:top w:val="single" w:sz="8" w:color="656769"/>
            </w:tcBorders>
          </w:tcPr>
          <w:p>
            <w:pPr>
              <w:spacing w:after="0"/>
              <w:rPr>
                <w:sz w:val="24"/>
                <w:szCs w:val="24"/>
                <w:color w:val="auto"/>
              </w:rPr>
            </w:pPr>
          </w:p>
        </w:tc>
        <w:tc>
          <w:tcPr>
            <w:tcW w:w="300" w:type="dxa"/>
            <w:vAlign w:val="bottom"/>
            <w:tcBorders>
              <w:top w:val="single" w:sz="8" w:color="656769"/>
            </w:tcBorders>
          </w:tcPr>
          <w:p>
            <w:pPr>
              <w:spacing w:after="0"/>
              <w:rPr>
                <w:sz w:val="24"/>
                <w:szCs w:val="24"/>
                <w:color w:val="auto"/>
              </w:rPr>
            </w:pPr>
          </w:p>
        </w:tc>
        <w:tc>
          <w:tcPr>
            <w:tcW w:w="600" w:type="dxa"/>
            <w:vAlign w:val="bottom"/>
            <w:tcBorders>
              <w:top w:val="single" w:sz="8" w:color="656769"/>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8640" w:type="dxa"/>
            <w:vAlign w:val="bottom"/>
            <w:gridSpan w:val="24"/>
          </w:tcPr>
          <w:p>
            <w:pPr>
              <w:spacing w:after="0"/>
              <w:rPr>
                <w:sz w:val="20"/>
                <w:szCs w:val="20"/>
                <w:color w:val="auto"/>
              </w:rPr>
            </w:pPr>
            <w:r>
              <w:rPr>
                <w:rFonts w:ascii="Times New Roman" w:cs="Times New Roman" w:eastAsia="Times New Roman" w:hAnsi="Times New Roman"/>
                <w:sz w:val="20"/>
                <w:szCs w:val="20"/>
                <w:color w:val="656769"/>
              </w:rPr>
              <w:t>Directors, Executive Officers and Corporate Governance</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11.</w:t>
            </w:r>
          </w:p>
        </w:tc>
        <w:tc>
          <w:tcPr>
            <w:tcW w:w="2020" w:type="dxa"/>
            <w:vAlign w:val="bottom"/>
            <w:tcBorders>
              <w:top w:val="single" w:sz="8" w:color="656769"/>
              <w:bottom w:val="single" w:sz="8" w:color="656769"/>
            </w:tcBorders>
            <w:gridSpan w:val="11"/>
          </w:tcPr>
          <w:p>
            <w:pPr>
              <w:spacing w:after="0" w:line="224" w:lineRule="exact"/>
              <w:rPr>
                <w:sz w:val="20"/>
                <w:szCs w:val="20"/>
                <w:color w:val="auto"/>
              </w:rPr>
            </w:pPr>
            <w:r>
              <w:rPr>
                <w:rFonts w:ascii="Times New Roman" w:cs="Times New Roman" w:eastAsia="Times New Roman" w:hAnsi="Times New Roman"/>
                <w:sz w:val="20"/>
                <w:szCs w:val="20"/>
                <w:color w:val="656769"/>
                <w:w w:val="99"/>
              </w:rPr>
              <w:t>Executive Compensation</w:t>
            </w:r>
          </w:p>
        </w:tc>
        <w:tc>
          <w:tcPr>
            <w:tcW w:w="2540" w:type="dxa"/>
            <w:vAlign w:val="bottom"/>
            <w:tcBorders>
              <w:top w:val="single" w:sz="8" w:color="656769"/>
            </w:tcBorders>
            <w:gridSpan w:val="5"/>
          </w:tcPr>
          <w:p>
            <w:pPr>
              <w:spacing w:after="0"/>
              <w:rPr>
                <w:sz w:val="19"/>
                <w:szCs w:val="19"/>
                <w:color w:val="auto"/>
              </w:rPr>
            </w:pPr>
          </w:p>
        </w:tc>
        <w:tc>
          <w:tcPr>
            <w:tcW w:w="4080" w:type="dxa"/>
            <w:vAlign w:val="bottom"/>
            <w:gridSpan w:val="8"/>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186</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12.</w:t>
            </w:r>
          </w:p>
        </w:tc>
        <w:tc>
          <w:tcPr>
            <w:tcW w:w="8120" w:type="dxa"/>
            <w:vAlign w:val="bottom"/>
            <w:tcBorders>
              <w:bottom w:val="single" w:sz="8" w:color="656769"/>
            </w:tcBorders>
            <w:gridSpan w:val="22"/>
          </w:tcPr>
          <w:p>
            <w:pPr>
              <w:spacing w:after="0" w:line="224" w:lineRule="exact"/>
              <w:rPr>
                <w:sz w:val="20"/>
                <w:szCs w:val="20"/>
                <w:color w:val="auto"/>
              </w:rPr>
            </w:pPr>
            <w:r>
              <w:rPr>
                <w:rFonts w:ascii="Times New Roman" w:cs="Times New Roman" w:eastAsia="Times New Roman" w:hAnsi="Times New Roman"/>
                <w:sz w:val="20"/>
                <w:szCs w:val="20"/>
                <w:color w:val="656769"/>
                <w:w w:val="99"/>
              </w:rPr>
              <w:t>Security Ownership of Certain Beneficial Owners and Management and Related Stockholder Matters</w:t>
            </w:r>
          </w:p>
        </w:tc>
        <w:tc>
          <w:tcPr>
            <w:tcW w:w="520" w:type="dxa"/>
            <w:vAlign w:val="bottom"/>
            <w:gridSpan w:val="2"/>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186</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13.</w:t>
            </w:r>
          </w:p>
        </w:tc>
        <w:tc>
          <w:tcPr>
            <w:tcW w:w="6080" w:type="dxa"/>
            <w:vAlign w:val="bottom"/>
            <w:tcBorders>
              <w:bottom w:val="single" w:sz="8" w:color="656769"/>
            </w:tcBorders>
            <w:gridSpan w:val="19"/>
          </w:tcPr>
          <w:p>
            <w:pPr>
              <w:spacing w:after="0" w:line="224" w:lineRule="exact"/>
              <w:rPr>
                <w:sz w:val="20"/>
                <w:szCs w:val="20"/>
                <w:color w:val="auto"/>
              </w:rPr>
            </w:pPr>
            <w:r>
              <w:rPr>
                <w:rFonts w:ascii="Times New Roman" w:cs="Times New Roman" w:eastAsia="Times New Roman" w:hAnsi="Times New Roman"/>
                <w:sz w:val="20"/>
                <w:szCs w:val="20"/>
                <w:color w:val="656769"/>
                <w:w w:val="99"/>
              </w:rPr>
              <w:t>Certain Relationships and Related Transactions, and Director Independence</w:t>
            </w:r>
          </w:p>
        </w:tc>
        <w:tc>
          <w:tcPr>
            <w:tcW w:w="2560" w:type="dxa"/>
            <w:vAlign w:val="bottom"/>
            <w:gridSpan w:val="5"/>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186</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14.</w:t>
            </w:r>
          </w:p>
        </w:tc>
        <w:tc>
          <w:tcPr>
            <w:tcW w:w="8640" w:type="dxa"/>
            <w:vAlign w:val="bottom"/>
            <w:gridSpan w:val="24"/>
          </w:tcPr>
          <w:p>
            <w:pPr>
              <w:spacing w:after="0" w:line="224" w:lineRule="exact"/>
              <w:rPr>
                <w:sz w:val="20"/>
                <w:szCs w:val="20"/>
                <w:color w:val="auto"/>
              </w:rPr>
            </w:pPr>
            <w:r>
              <w:rPr>
                <w:rFonts w:ascii="Times New Roman" w:cs="Times New Roman" w:eastAsia="Times New Roman" w:hAnsi="Times New Roman"/>
                <w:sz w:val="20"/>
                <w:szCs w:val="20"/>
                <w:color w:val="656769"/>
              </w:rPr>
              <w:t>Principal Accounting Fees and Services</w:t>
            </w: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186</w:t>
            </w:r>
          </w:p>
        </w:tc>
        <w:tc>
          <w:tcPr>
            <w:tcW w:w="0" w:type="dxa"/>
            <w:vAlign w:val="bottom"/>
          </w:tcPr>
          <w:p>
            <w:pPr>
              <w:spacing w:after="0"/>
              <w:rPr>
                <w:sz w:val="1"/>
                <w:szCs w:val="1"/>
                <w:color w:val="auto"/>
              </w:rPr>
            </w:pPr>
          </w:p>
        </w:tc>
      </w:tr>
      <w:tr>
        <w:trPr>
          <w:trHeight w:val="47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720" w:type="dxa"/>
            <w:vAlign w:val="bottom"/>
            <w:tcBorders>
              <w:top w:val="single" w:sz="8" w:color="656769"/>
            </w:tcBorders>
          </w:tcPr>
          <w:p>
            <w:pPr>
              <w:spacing w:after="0"/>
              <w:rPr>
                <w:sz w:val="24"/>
                <w:szCs w:val="24"/>
                <w:color w:val="auto"/>
              </w:rPr>
            </w:pPr>
          </w:p>
        </w:tc>
        <w:tc>
          <w:tcPr>
            <w:tcW w:w="80" w:type="dxa"/>
            <w:vAlign w:val="bottom"/>
            <w:tcBorders>
              <w:top w:val="single" w:sz="8" w:color="656769"/>
            </w:tcBorders>
          </w:tcPr>
          <w:p>
            <w:pPr>
              <w:spacing w:after="0"/>
              <w:rPr>
                <w:sz w:val="24"/>
                <w:szCs w:val="24"/>
                <w:color w:val="auto"/>
              </w:rPr>
            </w:pPr>
          </w:p>
        </w:tc>
        <w:tc>
          <w:tcPr>
            <w:tcW w:w="20" w:type="dxa"/>
            <w:vAlign w:val="bottom"/>
            <w:tcBorders>
              <w:top w:val="single" w:sz="8" w:color="656769"/>
            </w:tcBorders>
          </w:tcPr>
          <w:p>
            <w:pPr>
              <w:spacing w:after="0"/>
              <w:rPr>
                <w:sz w:val="24"/>
                <w:szCs w:val="24"/>
                <w:color w:val="auto"/>
              </w:rPr>
            </w:pPr>
          </w:p>
        </w:tc>
        <w:tc>
          <w:tcPr>
            <w:tcW w:w="60" w:type="dxa"/>
            <w:vAlign w:val="bottom"/>
            <w:tcBorders>
              <w:top w:val="single" w:sz="8" w:color="656769"/>
            </w:tcBorders>
          </w:tcPr>
          <w:p>
            <w:pPr>
              <w:spacing w:after="0"/>
              <w:rPr>
                <w:sz w:val="24"/>
                <w:szCs w:val="24"/>
                <w:color w:val="auto"/>
              </w:rPr>
            </w:pPr>
          </w:p>
        </w:tc>
        <w:tc>
          <w:tcPr>
            <w:tcW w:w="140" w:type="dxa"/>
            <w:vAlign w:val="bottom"/>
            <w:tcBorders>
              <w:top w:val="single" w:sz="8" w:color="656769"/>
            </w:tcBorders>
          </w:tcPr>
          <w:p>
            <w:pPr>
              <w:spacing w:after="0"/>
              <w:rPr>
                <w:sz w:val="24"/>
                <w:szCs w:val="24"/>
                <w:color w:val="auto"/>
              </w:rPr>
            </w:pPr>
          </w:p>
        </w:tc>
        <w:tc>
          <w:tcPr>
            <w:tcW w:w="100" w:type="dxa"/>
            <w:vAlign w:val="bottom"/>
            <w:tcBorders>
              <w:top w:val="single" w:sz="8" w:color="656769"/>
            </w:tcBorders>
          </w:tcPr>
          <w:p>
            <w:pPr>
              <w:spacing w:after="0"/>
              <w:rPr>
                <w:sz w:val="24"/>
                <w:szCs w:val="24"/>
                <w:color w:val="auto"/>
              </w:rPr>
            </w:pPr>
          </w:p>
        </w:tc>
        <w:tc>
          <w:tcPr>
            <w:tcW w:w="340" w:type="dxa"/>
            <w:vAlign w:val="bottom"/>
            <w:tcBorders>
              <w:top w:val="single" w:sz="8" w:color="656769"/>
            </w:tcBorders>
          </w:tcPr>
          <w:p>
            <w:pPr>
              <w:spacing w:after="0"/>
              <w:rPr>
                <w:sz w:val="24"/>
                <w:szCs w:val="24"/>
                <w:color w:val="auto"/>
              </w:rPr>
            </w:pPr>
          </w:p>
        </w:tc>
        <w:tc>
          <w:tcPr>
            <w:tcW w:w="40" w:type="dxa"/>
            <w:vAlign w:val="bottom"/>
            <w:tcBorders>
              <w:top w:val="single" w:sz="8" w:color="656769"/>
            </w:tcBorders>
          </w:tcPr>
          <w:p>
            <w:pPr>
              <w:spacing w:after="0"/>
              <w:rPr>
                <w:sz w:val="24"/>
                <w:szCs w:val="24"/>
                <w:color w:val="auto"/>
              </w:rPr>
            </w:pPr>
          </w:p>
        </w:tc>
        <w:tc>
          <w:tcPr>
            <w:tcW w:w="220" w:type="dxa"/>
            <w:vAlign w:val="bottom"/>
            <w:tcBorders>
              <w:top w:val="single" w:sz="8" w:color="656769"/>
            </w:tcBorders>
          </w:tcPr>
          <w:p>
            <w:pPr>
              <w:spacing w:after="0"/>
              <w:rPr>
                <w:sz w:val="24"/>
                <w:szCs w:val="24"/>
                <w:color w:val="auto"/>
              </w:rPr>
            </w:pPr>
          </w:p>
        </w:tc>
        <w:tc>
          <w:tcPr>
            <w:tcW w:w="260" w:type="dxa"/>
            <w:vAlign w:val="bottom"/>
            <w:tcBorders>
              <w:top w:val="single" w:sz="8" w:color="656769"/>
            </w:tcBorders>
          </w:tcPr>
          <w:p>
            <w:pPr>
              <w:spacing w:after="0"/>
              <w:rPr>
                <w:sz w:val="24"/>
                <w:szCs w:val="24"/>
                <w:color w:val="auto"/>
              </w:rPr>
            </w:pPr>
          </w:p>
        </w:tc>
        <w:tc>
          <w:tcPr>
            <w:tcW w:w="40" w:type="dxa"/>
            <w:vAlign w:val="bottom"/>
            <w:tcBorders>
              <w:top w:val="single" w:sz="8" w:color="656769"/>
            </w:tcBorders>
          </w:tcPr>
          <w:p>
            <w:pPr>
              <w:spacing w:after="0"/>
              <w:rPr>
                <w:sz w:val="24"/>
                <w:szCs w:val="24"/>
                <w:color w:val="auto"/>
              </w:rPr>
            </w:pPr>
          </w:p>
        </w:tc>
        <w:tc>
          <w:tcPr>
            <w:tcW w:w="260" w:type="dxa"/>
            <w:vAlign w:val="bottom"/>
            <w:tcBorders>
              <w:top w:val="single" w:sz="8" w:color="656769"/>
            </w:tcBorders>
          </w:tcPr>
          <w:p>
            <w:pPr>
              <w:spacing w:after="0"/>
              <w:rPr>
                <w:sz w:val="24"/>
                <w:szCs w:val="24"/>
                <w:color w:val="auto"/>
              </w:rPr>
            </w:pPr>
          </w:p>
        </w:tc>
        <w:tc>
          <w:tcPr>
            <w:tcW w:w="920" w:type="dxa"/>
            <w:vAlign w:val="bottom"/>
            <w:tcBorders>
              <w:top w:val="single" w:sz="8" w:color="656769"/>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8640" w:type="dxa"/>
            <w:vAlign w:val="bottom"/>
            <w:gridSpan w:val="24"/>
          </w:tcPr>
          <w:p>
            <w:pPr>
              <w:spacing w:after="0"/>
              <w:rPr>
                <w:sz w:val="20"/>
                <w:szCs w:val="20"/>
                <w:color w:val="auto"/>
              </w:rPr>
            </w:pPr>
            <w:r>
              <w:rPr>
                <w:rFonts w:ascii="Times New Roman" w:cs="Times New Roman" w:eastAsia="Times New Roman" w:hAnsi="Times New Roman"/>
                <w:sz w:val="20"/>
                <w:szCs w:val="20"/>
                <w:color w:val="656769"/>
              </w:rPr>
              <w:t>Exhibits, Financial Statement Schedules</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w:t>
            </w:r>
          </w:p>
        </w:tc>
        <w:tc>
          <w:tcPr>
            <w:tcW w:w="0" w:type="dxa"/>
            <w:vAlign w:val="bottom"/>
          </w:tcPr>
          <w:p>
            <w:pPr>
              <w:spacing w:after="0"/>
              <w:rPr>
                <w:sz w:val="1"/>
                <w:szCs w:val="1"/>
                <w:color w:val="auto"/>
              </w:rPr>
            </w:pPr>
          </w:p>
        </w:tc>
      </w:tr>
      <w:tr>
        <w:trPr>
          <w:trHeight w:val="224"/>
        </w:trPr>
        <w:tc>
          <w:tcPr>
            <w:tcW w:w="900" w:type="dxa"/>
            <w:vAlign w:val="bottom"/>
          </w:tcPr>
          <w:p>
            <w:pPr>
              <w:ind w:left="140"/>
              <w:spacing w:after="0" w:line="224" w:lineRule="exact"/>
              <w:rPr>
                <w:sz w:val="20"/>
                <w:szCs w:val="20"/>
                <w:color w:val="auto"/>
              </w:rPr>
            </w:pPr>
            <w:r>
              <w:rPr>
                <w:rFonts w:ascii="Times New Roman" w:cs="Times New Roman" w:eastAsia="Times New Roman" w:hAnsi="Times New Roman"/>
                <w:sz w:val="20"/>
                <w:szCs w:val="20"/>
                <w:color w:val="231F20"/>
              </w:rPr>
              <w:t>Item 16.</w:t>
            </w:r>
          </w:p>
        </w:tc>
        <w:tc>
          <w:tcPr>
            <w:tcW w:w="3220" w:type="dxa"/>
            <w:vAlign w:val="bottom"/>
            <w:tcBorders>
              <w:top w:val="single" w:sz="8" w:color="656769"/>
            </w:tcBorders>
            <w:gridSpan w:val="14"/>
          </w:tcPr>
          <w:p>
            <w:pPr>
              <w:spacing w:after="0" w:line="224" w:lineRule="exact"/>
              <w:rPr>
                <w:sz w:val="20"/>
                <w:szCs w:val="20"/>
                <w:color w:val="auto"/>
              </w:rPr>
            </w:pPr>
            <w:r>
              <w:rPr>
                <w:rFonts w:ascii="Times New Roman" w:cs="Times New Roman" w:eastAsia="Times New Roman" w:hAnsi="Times New Roman"/>
                <w:sz w:val="20"/>
                <w:szCs w:val="20"/>
                <w:color w:val="656769"/>
              </w:rPr>
              <w:t>Form 10-K Summary</w:t>
            </w:r>
          </w:p>
        </w:tc>
        <w:tc>
          <w:tcPr>
            <w:tcW w:w="5420" w:type="dxa"/>
            <w:vAlign w:val="bottom"/>
            <w:gridSpan w:val="10"/>
          </w:tcPr>
          <w:p>
            <w:pPr>
              <w:spacing w:after="0"/>
              <w:rPr>
                <w:sz w:val="19"/>
                <w:szCs w:val="19"/>
                <w:color w:val="auto"/>
              </w:rPr>
            </w:pPr>
          </w:p>
        </w:tc>
        <w:tc>
          <w:tcPr>
            <w:tcW w:w="5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231F20"/>
              </w:rPr>
              <w:t>190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14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34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220" w:type="dxa"/>
            <w:vAlign w:val="bottom"/>
            <w:shd w:val="clear" w:color="auto" w:fill="65676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-4634230</wp:posOffset>
            </wp:positionV>
            <wp:extent cx="6400800" cy="4639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6400800" cy="4639310"/>
                    </a:xfrm>
                    <a:prstGeom prst="rect">
                      <a:avLst/>
                    </a:prstGeom>
                    <a:noFill/>
                  </pic:spPr>
                </pic:pic>
              </a:graphicData>
            </a:graphic>
          </wp:anchor>
        </w:drawing>
      </w:r>
    </w:p>
    <w:p>
      <w:pPr>
        <w:sectPr>
          <w:pgSz w:w="11880" w:h="15480" w:orient="portrait"/>
          <w:cols w:equalWidth="0" w:num="1">
            <w:col w:w="10080"/>
          </w:cols>
          <w:pgMar w:left="900" w:top="792" w:right="90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080"/>
          </w:cols>
          <w:pgMar w:left="900" w:top="792" w:right="900" w:bottom="64" w:gutter="0" w:footer="0" w:header="0"/>
          <w:type w:val="continuous"/>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20"/>
          <w:szCs w:val="20"/>
          <w:b w:val="1"/>
          <w:bCs w:val="1"/>
          <w:color w:val="231F20"/>
        </w:rPr>
        <w:t>NOTE REGARDING FORWARD-LOOKING STATEMENTS</w:t>
      </w:r>
    </w:p>
    <w:p>
      <w:pPr>
        <w:spacing w:after="0" w:line="24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This Annual Report on Form 10-K, including the sections titled “Business” and “Management’s Discussion and Analysis of Financial Condition and Results of Operations,” contains forward-looking statements about us and our industry that involve substantial risks and uncertainties. All statements other than statements of historical facts contained in this Annual Report on Form 10-K or incorporated 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of 1933, as amended, or the Securities Act, and Section 21E of the Securities Exchange Act of 1934, as amended, or the Exchange Act, these forward-looking statements contained in this Annual Report on Form 10-K include, but are not limited to, statements concerning the following:</w:t>
      </w:r>
    </w:p>
    <w:p>
      <w:pPr>
        <w:spacing w:after="0" w:line="103" w:lineRule="exact"/>
        <w:rPr>
          <w:sz w:val="20"/>
          <w:szCs w:val="20"/>
          <w:color w:val="auto"/>
        </w:rPr>
      </w:pPr>
    </w:p>
    <w:p>
      <w:pPr>
        <w:ind w:left="980" w:right="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evolving treatment paradigm for cancer, including physicians’ use of molecular data and targeted oncology therapeutics and the market size for our current and future products;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expand our business beyond oncology into new disease areas;</w:t>
      </w:r>
    </w:p>
    <w:p>
      <w:pPr>
        <w:spacing w:after="0" w:line="133"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estimates of our addressable market and our expectations regarding our revenue, expenses, capital requirements and operating results;</w:t>
      </w:r>
    </w:p>
    <w:p>
      <w:pPr>
        <w:spacing w:after="0" w:line="64"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new products and services, including our goals and strategy regarding development and commercialization of our Application products;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maintain and grow our datasets, including in new disease areas and geographies;</w:t>
      </w:r>
    </w:p>
    <w:p>
      <w:pPr>
        <w:spacing w:after="0" w:line="133" w:lineRule="exact"/>
        <w:rPr>
          <w:rFonts w:ascii="Arial" w:cs="Arial" w:eastAsia="Arial" w:hAnsi="Arial"/>
          <w:sz w:val="20"/>
          <w:szCs w:val="20"/>
          <w:color w:val="231F20"/>
        </w:rPr>
      </w:pPr>
    </w:p>
    <w:p>
      <w:pPr>
        <w:ind w:left="980" w:right="5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any expectation that the growth of our datasets will improve the quality of our products and services and accelerate their adoption;</w:t>
      </w:r>
    </w:p>
    <w:p>
      <w:pPr>
        <w:spacing w:after="0" w:line="64" w:lineRule="exact"/>
        <w:rPr>
          <w:rFonts w:ascii="Arial" w:cs="Arial" w:eastAsia="Arial" w:hAnsi="Arial"/>
          <w:sz w:val="20"/>
          <w:szCs w:val="20"/>
          <w:color w:val="231F20"/>
        </w:rPr>
      </w:pPr>
    </w:p>
    <w:p>
      <w:pPr>
        <w:ind w:left="980" w:right="52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capture, aggregate, analyze or otherwise utilize genomic data in new ways and in additional diagnostic modalities;</w:t>
      </w:r>
    </w:p>
    <w:p>
      <w:pPr>
        <w:spacing w:after="0" w:line="64"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any expectation that we will continue to commercialize de-identified records and license them to multiple customers;</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acceptance of our publications in peer-reviewed journals or of our presentations at scientific and medical conference presentations;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implementation of our business model and strategic plans for our products, technologies and businesses;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competitive companies and technologies and our industry;</w:t>
      </w:r>
    </w:p>
    <w:p>
      <w:pPr>
        <w:spacing w:after="0" w:line="133"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of Intelligent Diagnostics to be disruptive across a broad set of disease areas and the clinical trial process;</w:t>
      </w:r>
    </w:p>
    <w:p>
      <w:pPr>
        <w:spacing w:after="0" w:line="64" w:lineRule="exact"/>
        <w:rPr>
          <w:rFonts w:ascii="Arial" w:cs="Arial" w:eastAsia="Arial" w:hAnsi="Arial"/>
          <w:sz w:val="20"/>
          <w:szCs w:val="20"/>
          <w:color w:val="231F20"/>
        </w:rPr>
      </w:pPr>
    </w:p>
    <w:p>
      <w:pPr>
        <w:ind w:left="980" w:right="24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manage and grow our business by expanding our sales to existing customers or introducing our products to new customers;</w:t>
      </w:r>
    </w:p>
    <w:p>
      <w:pPr>
        <w:spacing w:after="0" w:line="52"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macroeconomic conditions, including new and potential tariffs, on us and our customers;</w:t>
      </w:r>
    </w:p>
    <w:p>
      <w:pPr>
        <w:spacing w:after="0" w:line="131"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payer reimbursement and coverage decisions, including our strategy to increase reimbursement;</w:t>
      </w:r>
    </w:p>
    <w:p>
      <w:pPr>
        <w:spacing w:after="0" w:line="133" w:lineRule="exact"/>
        <w:rPr>
          <w:rFonts w:ascii="Arial" w:cs="Arial" w:eastAsia="Arial" w:hAnsi="Arial"/>
          <w:sz w:val="20"/>
          <w:szCs w:val="20"/>
          <w:color w:val="231F20"/>
        </w:rPr>
      </w:pPr>
    </w:p>
    <w:p>
      <w:pPr>
        <w:ind w:left="980" w:right="700" w:hanging="490"/>
        <w:spacing w:after="0" w:line="276"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establish and maintain intellectual property protection for our products or avoid claims of infringement;</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effects of evolving and/or extensive government regulation;</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or likelihood of regulatory filings and approvals;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hire and retain key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expand internationally, including through our joint venture, SB Tempus Corp., in Japan;</w:t>
      </w:r>
    </w:p>
    <w:p>
      <w:pPr>
        <w:spacing w:after="0" w:line="121" w:lineRule="exact"/>
        <w:rPr>
          <w:rFonts w:ascii="Arial" w:cs="Arial" w:eastAsia="Arial" w:hAnsi="Arial"/>
          <w:sz w:val="20"/>
          <w:szCs w:val="20"/>
          <w:color w:val="231F20"/>
        </w:rPr>
      </w:pPr>
    </w:p>
    <w:p>
      <w:pPr>
        <w:ind w:left="980" w:right="80" w:hanging="490"/>
        <w:spacing w:after="0" w:line="244" w:lineRule="auto"/>
        <w:tabs>
          <w:tab w:leader="none" w:pos="98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acquire businesses, form joint ventures or make investments in companies or technologies, including our ability to realize the expected benefits of our acquisitions of Paige.AI, Inc., Ambry Genetics Corporation and Deep 6 AI, Inc;</w:t>
      </w:r>
    </w:p>
    <w:p>
      <w:pPr>
        <w:sectPr>
          <w:pgSz w:w="11880" w:h="15480" w:orient="portrait"/>
          <w:cols w:equalWidth="0" w:num="1">
            <w:col w:w="9920"/>
          </w:cols>
          <w:pgMar w:left="900" w:top="792" w:right="106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9920"/>
          </w:cols>
          <w:pgMar w:left="900" w:top="792" w:right="1060" w:bottom="0" w:gutter="0" w:footer="0" w:header="0"/>
          <w:type w:val="continuous"/>
        </w:sectPr>
      </w:pPr>
    </w:p>
    <w:bookmarkStart w:id="9" w:name="page10"/>
    <w:bookmarkEnd w:id="9"/>
    <w:p>
      <w:pPr>
        <w:ind w:left="980" w:right="12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protect and enforce our intellectual property rights, including our trade secret protected proprietary rights in our platform;</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service or pay down existing or future debt obligations;</w:t>
      </w:r>
    </w:p>
    <w:p>
      <w:pPr>
        <w:spacing w:after="0" w:line="121" w:lineRule="exact"/>
        <w:rPr>
          <w:rFonts w:ascii="Arial" w:cs="Arial" w:eastAsia="Arial" w:hAnsi="Arial"/>
          <w:sz w:val="20"/>
          <w:szCs w:val="20"/>
          <w:color w:val="231F20"/>
        </w:rPr>
      </w:pPr>
    </w:p>
    <w:p>
      <w:pPr>
        <w:ind w:left="980" w:hanging="490"/>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the outcome of pending or threatened litigation;</w:t>
      </w:r>
    </w:p>
    <w:p>
      <w:pPr>
        <w:spacing w:after="0" w:line="131" w:lineRule="exact"/>
        <w:rPr>
          <w:rFonts w:ascii="Arial" w:cs="Arial" w:eastAsia="Arial" w:hAnsi="Arial"/>
          <w:sz w:val="20"/>
          <w:szCs w:val="20"/>
          <w:color w:val="231F20"/>
        </w:rPr>
      </w:pPr>
    </w:p>
    <w:p>
      <w:pPr>
        <w:ind w:left="980" w:hanging="490"/>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our anticipated cash needs and our needs for additional financing;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anticipated trends and challenges in our business and the markets in which we operate.</w:t>
      </w:r>
    </w:p>
    <w:p>
      <w:pPr>
        <w:spacing w:after="0" w:line="23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Part I, Item 1A, “Risk Factors”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206"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231F20"/>
        </w:rPr>
        <w:t>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880" w:h="15480" w:orient="portrait"/>
          <w:cols w:equalWidth="0" w:num="1">
            <w:col w:w="10080"/>
          </w:cols>
          <w:pgMar w:left="900" w:top="81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080"/>
          </w:cols>
          <w:pgMar w:left="900" w:top="810" w:right="900" w:bottom="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140" w:firstLine="490"/>
        <w:spacing w:after="0" w:line="254" w:lineRule="auto"/>
        <w:rPr>
          <w:sz w:val="20"/>
          <w:szCs w:val="20"/>
          <w:color w:val="auto"/>
        </w:rPr>
      </w:pPr>
      <w:r>
        <w:rPr>
          <w:rFonts w:ascii="Times New Roman" w:cs="Times New Roman" w:eastAsia="Times New Roman" w:hAnsi="Times New Roman"/>
          <w:sz w:val="20"/>
          <w:szCs w:val="20"/>
          <w:color w:val="231F20"/>
        </w:rPr>
        <w:t>We endeavor to unlock the true power of precision medicine by creating Intelligent Diagnostics through the practical application of artificial intelligence, or AI, in healthcare. Intelligent Diagnostics use AI, including generative and agentic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and the adverse events considered—all have the potential to be refined and enhanced when test results are connected to a patient’s personal profile, enabling the right patient to be routed to the right therapy at the right time.</w:t>
      </w:r>
    </w:p>
    <w:p>
      <w:pPr>
        <w:spacing w:after="0" w:line="202"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95"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231F20"/>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spacing w:after="0" w:line="19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 access to emerging therapies and clinical trials when appropriate.</w:t>
      </w:r>
    </w:p>
    <w:p>
      <w:pPr>
        <w:spacing w:after="0" w:line="204"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231F20"/>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202"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231F20"/>
        </w:rPr>
        <w:t>Our Platform includes proprietary software and dedicated data pipelines that create a network of healthcare institutions through more than 700 unique data connections, many of which supply us with complex multimodal data in near real time, across more than 5,000 healthcare institution sites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w:t>
      </w:r>
    </w:p>
    <w:p>
      <w:pPr>
        <w:sectPr>
          <w:pgSz w:w="11880" w:h="15480" w:orient="portrait"/>
          <w:cols w:equalWidth="0" w:num="1">
            <w:col w:w="10440"/>
          </w:cols>
          <w:pgMar w:left="900" w:top="792" w:right="540" w:bottom="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440"/>
          </w:cols>
          <w:pgMar w:left="900" w:top="792" w:right="540" w:bottom="0" w:gutter="0" w:footer="0" w:header="0"/>
          <w:type w:val="continuous"/>
        </w:sectPr>
      </w:pPr>
    </w:p>
    <w:bookmarkStart w:id="11" w:name="page12"/>
    <w:bookmarkEnd w:id="11"/>
    <w:p>
      <w:pPr>
        <w:ind w:right="180"/>
        <w:spacing w:after="0" w:line="255" w:lineRule="auto"/>
        <w:rPr>
          <w:sz w:val="20"/>
          <w:szCs w:val="20"/>
          <w:color w:val="auto"/>
        </w:rPr>
      </w:pPr>
      <w:r>
        <w:rPr>
          <w:rFonts w:ascii="Times New Roman" w:cs="Times New Roman" w:eastAsia="Times New Roman" w:hAnsi="Times New Roman"/>
          <w:sz w:val="20"/>
          <w:szCs w:val="20"/>
          <w:color w:val="231F20"/>
        </w:rPr>
        <w:t>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Data and applications product line, which we believe has the ability to transform healthcare.</w:t>
      </w:r>
    </w:p>
    <w:p>
      <w:pPr>
        <w:spacing w:after="0" w:line="20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 xml:space="preserve">We have developed multiple products—each based on our Platform—that have allowed us to invest in structuring and harmonizing multimodal data, which is a necessary precursor for deploying AI at scale. Our products are organized under two product lines, </w:t>
      </w:r>
      <w:r>
        <w:rPr>
          <w:rFonts w:ascii="Times New Roman" w:cs="Times New Roman" w:eastAsia="Times New Roman" w:hAnsi="Times New Roman"/>
          <w:sz w:val="20"/>
          <w:szCs w:val="20"/>
          <w:i w:val="1"/>
          <w:iCs w:val="1"/>
          <w:color w:val="231F20"/>
        </w:rPr>
        <w:t>Diagnostics</w:t>
      </w:r>
      <w:r>
        <w:rPr>
          <w:rFonts w:ascii="Times New Roman" w:cs="Times New Roman" w:eastAsia="Times New Roman" w:hAnsi="Times New Roman"/>
          <w:sz w:val="20"/>
          <w:szCs w:val="20"/>
          <w:color w:val="231F20"/>
        </w:rPr>
        <w:t xml:space="preserve">, which comprises our Oncology and Hereditary testing businesses, among others, and </w:t>
      </w:r>
      <w:r>
        <w:rPr>
          <w:rFonts w:ascii="Times New Roman" w:cs="Times New Roman" w:eastAsia="Times New Roman" w:hAnsi="Times New Roman"/>
          <w:sz w:val="20"/>
          <w:szCs w:val="20"/>
          <w:i w:val="1"/>
          <w:iCs w:val="1"/>
          <w:color w:val="231F20"/>
        </w:rPr>
        <w:t>Data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applications</w:t>
      </w:r>
      <w:r>
        <w:rPr>
          <w:rFonts w:ascii="Times New Roman" w:cs="Times New Roman" w:eastAsia="Times New Roman" w:hAnsi="Times New Roman"/>
          <w:sz w:val="20"/>
          <w:szCs w:val="20"/>
          <w:color w:val="231F20"/>
        </w:rPr>
        <w:t>, which includes, our Insights, Next, Trials and Algos businesses, among others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Each product line is designed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enable and enhance the other,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175260</wp:posOffset>
            </wp:positionV>
            <wp:extent cx="5153025" cy="2105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5153025" cy="210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Diagnostics</w:t>
      </w:r>
      <w:r>
        <w:rPr>
          <w:rFonts w:ascii="Times New Roman" w:cs="Times New Roman" w:eastAsia="Times New Roman" w:hAnsi="Times New Roman"/>
          <w:sz w:val="20"/>
          <w:szCs w:val="20"/>
          <w:color w:val="231F20"/>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w:t>
      </w:r>
    </w:p>
    <w:p>
      <w:pPr>
        <w:spacing w:after="0" w:line="193"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20"/>
          <w:szCs w:val="20"/>
          <w:color w:val="231F20"/>
        </w:rPr>
        <w:t xml:space="preserve">Our </w:t>
      </w:r>
      <w:r>
        <w:rPr>
          <w:rFonts w:ascii="Times New Roman" w:cs="Times New Roman" w:eastAsia="Times New Roman" w:hAnsi="Times New Roman"/>
          <w:sz w:val="20"/>
          <w:szCs w:val="20"/>
          <w:i w:val="1"/>
          <w:iCs w:val="1"/>
          <w:color w:val="231F20"/>
        </w:rPr>
        <w:t>Data and applications</w:t>
      </w:r>
      <w:r>
        <w:rPr>
          <w:rFonts w:ascii="Times New Roman" w:cs="Times New Roman" w:eastAsia="Times New Roman" w:hAnsi="Times New Roman"/>
          <w:sz w:val="20"/>
          <w:szCs w:val="20"/>
          <w:color w:val="231F20"/>
        </w:rPr>
        <w:t xml:space="preserve"> product line facilitates drug discovery and development for life sciences companies through multiple products, including, among other things, Insights, Trials, Next and Algos. Through our Insights product, we license de-identified libraries of linked clinical, molecular, and imaging data and provide a suite of analytic and cloud-and-compute tools to</w:t>
      </w:r>
    </w:p>
    <w:p>
      <w:pPr>
        <w:sectPr>
          <w:pgSz w:w="11880" w:h="15480" w:orient="portrait"/>
          <w:cols w:equalWidth="0" w:num="1">
            <w:col w:w="10420"/>
          </w:cols>
          <w:pgMar w:left="900" w:top="796" w:right="560" w:bottom="0" w:gutter="0" w:footer="0" w:header="0"/>
        </w:sect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420"/>
          </w:cols>
          <w:pgMar w:left="900" w:top="796" w:right="560" w:bottom="0" w:gutter="0" w:footer="0" w:header="0"/>
          <w:type w:val="continuous"/>
        </w:sectPr>
      </w:pPr>
    </w:p>
    <w:bookmarkStart w:id="12" w:name="page13"/>
    <w:bookmarkEnd w:id="12"/>
    <w:p>
      <w:pPr>
        <w:jc w:val="both"/>
        <w:ind w:right="320"/>
        <w:spacing w:after="0" w:line="268" w:lineRule="auto"/>
        <w:rPr>
          <w:sz w:val="20"/>
          <w:szCs w:val="20"/>
          <w:color w:val="auto"/>
        </w:rPr>
      </w:pPr>
      <w:r>
        <w:rPr>
          <w:rFonts w:ascii="Times New Roman" w:cs="Times New Roman" w:eastAsia="Times New Roman" w:hAnsi="Times New Roman"/>
          <w:sz w:val="20"/>
          <w:szCs w:val="20"/>
          <w:color w:val="231F20"/>
        </w:rPr>
        <w:t>pharmaceutical and biotechnology companies. Our Trials product leverages the broad network of physicians we work with in oncology to provide clinical trial support for pharmaceutical companies that are looking to reach hard-to-find and underserved patient populations.</w:t>
      </w:r>
    </w:p>
    <w:p>
      <w:pPr>
        <w:spacing w:after="0" w:line="187" w:lineRule="exact"/>
        <w:rPr>
          <w:sz w:val="20"/>
          <w:szCs w:val="20"/>
          <w:color w:val="auto"/>
        </w:rPr>
      </w:pPr>
    </w:p>
    <w:p>
      <w:pPr>
        <w:ind w:right="300" w:firstLine="490"/>
        <w:spacing w:after="0" w:line="280" w:lineRule="auto"/>
        <w:rPr>
          <w:sz w:val="20"/>
          <w:szCs w:val="20"/>
          <w:color w:val="auto"/>
        </w:rPr>
      </w:pPr>
      <w:r>
        <w:rPr>
          <w:rFonts w:ascii="Times New Roman" w:cs="Times New Roman" w:eastAsia="Times New Roman" w:hAnsi="Times New Roman"/>
          <w:sz w:val="19"/>
          <w:szCs w:val="19"/>
          <w:color w:val="231F20"/>
        </w:rPr>
        <w:t>Next is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77" w:lineRule="exact"/>
        <w:rPr>
          <w:sz w:val="20"/>
          <w:szCs w:val="20"/>
          <w:color w:val="auto"/>
        </w:rPr>
      </w:pPr>
    </w:p>
    <w:p>
      <w:pPr>
        <w:ind w:right="180" w:firstLine="490"/>
        <w:spacing w:after="0" w:line="268" w:lineRule="auto"/>
        <w:rPr>
          <w:sz w:val="20"/>
          <w:szCs w:val="20"/>
          <w:color w:val="auto"/>
        </w:rPr>
      </w:pPr>
      <w:r>
        <w:rPr>
          <w:rFonts w:ascii="Times New Roman" w:cs="Times New Roman" w:eastAsia="Times New Roman" w:hAnsi="Times New Roman"/>
          <w:sz w:val="20"/>
          <w:szCs w:val="20"/>
          <w:color w:val="231F20"/>
        </w:rPr>
        <w:t>Our Algos product is focused on developing and providing diagnostics that are algorithmic in nature. We currently offer a suite of Algos in oncology, including our TO, HRD, DPYD and Tempus Purist Algos, as defined and described below, among others.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Industry Background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Limitations of Employing Technology, Data, and AI in Healthcare and Precision Medicine</w:t>
      </w:r>
    </w:p>
    <w:p>
      <w:pPr>
        <w:spacing w:after="0" w:line="115"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95"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201"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201" w:lineRule="exact"/>
        <w:rPr>
          <w:sz w:val="20"/>
          <w:szCs w:val="20"/>
          <w:color w:val="auto"/>
        </w:rPr>
      </w:pPr>
    </w:p>
    <w:p>
      <w:pPr>
        <w:ind w:right="20" w:firstLine="490"/>
        <w:spacing w:after="0" w:line="239" w:lineRule="auto"/>
        <w:rPr>
          <w:sz w:val="20"/>
          <w:szCs w:val="20"/>
          <w:color w:val="auto"/>
        </w:rPr>
      </w:pPr>
      <w:r>
        <w:rPr>
          <w:rFonts w:ascii="Times New Roman" w:cs="Times New Roman" w:eastAsia="Times New Roman" w:hAnsi="Times New Roman"/>
          <w:sz w:val="20"/>
          <w:szCs w:val="20"/>
          <w:color w:val="231F20"/>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Importance of Multimodal Healthcare Data</w:t>
      </w:r>
    </w:p>
    <w:p>
      <w:pPr>
        <w:spacing w:after="0" w:line="115" w:lineRule="exact"/>
        <w:rPr>
          <w:sz w:val="20"/>
          <w:szCs w:val="20"/>
          <w:color w:val="auto"/>
        </w:rPr>
      </w:pPr>
    </w:p>
    <w:p>
      <w:pPr>
        <w:ind w:right="120" w:firstLine="490"/>
        <w:spacing w:after="0" w:line="239" w:lineRule="auto"/>
        <w:rPr>
          <w:sz w:val="20"/>
          <w:szCs w:val="20"/>
          <w:color w:val="auto"/>
        </w:rPr>
      </w:pPr>
      <w:r>
        <w:rPr>
          <w:rFonts w:ascii="Times New Roman" w:cs="Times New Roman" w:eastAsia="Times New Roman" w:hAnsi="Times New Roman"/>
          <w:sz w:val="20"/>
          <w:szCs w:val="20"/>
          <w:color w:val="231F20"/>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and cardiology. Our Platform is purpose built to deploy AI at scale, using multimodal datasets, across disease areas. We believe these differentiators have the potential to transform healthcare.</w:t>
      </w:r>
    </w:p>
    <w:p>
      <w:pPr>
        <w:sectPr>
          <w:pgSz w:w="11880" w:h="15480" w:orient="portrait"/>
          <w:cols w:equalWidth="0" w:num="1">
            <w:col w:w="10440"/>
          </w:cols>
          <w:pgMar w:left="900" w:top="796" w:right="540"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440"/>
          </w:cols>
          <w:pgMar w:left="900" w:top="796" w:right="5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231F20"/>
        </w:rPr>
        <w:t>A New Industry: Intelligent Diagnostics to Advance Precision Medicine</w:t>
      </w:r>
    </w:p>
    <w:p>
      <w:pPr>
        <w:spacing w:after="0" w:line="115"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4"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231F20"/>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203"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231F20"/>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 (ii) 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 (v) 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137160</wp:posOffset>
            </wp:positionV>
            <wp:extent cx="5248275" cy="3295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5248275" cy="329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9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w:t>
      </w:r>
    </w:p>
    <w:p>
      <w:pPr>
        <w:sectPr>
          <w:pgSz w:w="11880" w:h="15480" w:orient="portrait"/>
          <w:cols w:equalWidth="0" w:num="1">
            <w:col w:w="10420"/>
          </w:cols>
          <w:pgMar w:left="900" w:top="79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420"/>
          </w:cols>
          <w:pgMar w:left="900" w:top="792" w:right="560" w:bottom="0" w:gutter="0" w:footer="0" w:header="0"/>
          <w:type w:val="continuous"/>
        </w:sectPr>
      </w:pPr>
    </w:p>
    <w:bookmarkStart w:id="14" w:name="page15"/>
    <w:bookmarkEnd w:id="14"/>
    <w:p>
      <w:pPr>
        <w:ind w:right="260"/>
        <w:spacing w:after="0" w:line="273" w:lineRule="auto"/>
        <w:rPr>
          <w:sz w:val="20"/>
          <w:szCs w:val="20"/>
          <w:color w:val="auto"/>
        </w:rPr>
      </w:pPr>
      <w:r>
        <w:rPr>
          <w:rFonts w:ascii="Times New Roman" w:cs="Times New Roman" w:eastAsia="Times New Roman" w:hAnsi="Times New Roman"/>
          <w:sz w:val="20"/>
          <w:szCs w:val="20"/>
          <w:color w:val="231F20"/>
        </w:rPr>
        <w:t>whether the patient is male or female, old or young, or has diabetes or a heart condition. Nor does the standard test consider the medication the patient has taken or is currently taking, or the adverse events the patient has experienced.</w:t>
      </w:r>
    </w:p>
    <w:p>
      <w:pPr>
        <w:spacing w:after="0" w:line="171"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200" w:lineRule="exact"/>
        <w:rPr>
          <w:sz w:val="20"/>
          <w:szCs w:val="20"/>
          <w:color w:val="auto"/>
        </w:rPr>
      </w:pPr>
    </w:p>
    <w:p>
      <w:pPr>
        <w:jc w:val="both"/>
        <w:ind w:right="220" w:firstLine="490"/>
        <w:spacing w:after="0" w:line="252" w:lineRule="auto"/>
        <w:rPr>
          <w:sz w:val="20"/>
          <w:szCs w:val="20"/>
          <w:color w:val="auto"/>
        </w:rPr>
      </w:pPr>
      <w:r>
        <w:rPr>
          <w:rFonts w:ascii="Times New Roman" w:cs="Times New Roman" w:eastAsia="Times New Roman" w:hAnsi="Times New Roman"/>
          <w:sz w:val="20"/>
          <w:szCs w:val="20"/>
          <w:color w:val="231F20"/>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 which drug to prescribe, which trial to consider, and so 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Tempus Platform</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140970</wp:posOffset>
            </wp:positionV>
            <wp:extent cx="5648325" cy="3562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5648325" cy="3562350"/>
                    </a:xfrm>
                    <a:prstGeom prst="rect">
                      <a:avLst/>
                    </a:prstGeom>
                    <a:noFill/>
                  </pic:spPr>
                </pic:pic>
              </a:graphicData>
            </a:graphic>
          </wp:anchor>
        </w:drawing>
      </w:r>
    </w:p>
    <w:p>
      <w:pPr>
        <w:sectPr>
          <w:pgSz w:w="11880" w:h="15480" w:orient="portrait"/>
          <w:cols w:equalWidth="0" w:num="1">
            <w:col w:w="10440"/>
          </w:cols>
          <w:pgMar w:left="900" w:top="79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440"/>
          </w:cols>
          <w:pgMar w:left="900" w:top="792" w:right="540" w:bottom="0" w:gutter="0" w:footer="0" w:header="0"/>
          <w:type w:val="continuous"/>
        </w:sectPr>
      </w:pPr>
    </w:p>
    <w:bookmarkStart w:id="15" w:name="page16"/>
    <w:bookmarkEnd w:id="15"/>
    <w:p>
      <w:pPr>
        <w:ind w:firstLine="490"/>
        <w:spacing w:after="0" w:line="270" w:lineRule="auto"/>
        <w:rPr>
          <w:sz w:val="20"/>
          <w:szCs w:val="20"/>
          <w:color w:val="auto"/>
        </w:rPr>
      </w:pPr>
      <w:r>
        <w:rPr>
          <w:rFonts w:ascii="Times New Roman" w:cs="Times New Roman" w:eastAsia="Times New Roman" w:hAnsi="Times New Roman"/>
          <w:sz w:val="19"/>
          <w:szCs w:val="19"/>
          <w:color w:val="231F20"/>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big data and AI.</w:t>
      </w:r>
    </w:p>
    <w:p>
      <w:pPr>
        <w:spacing w:after="0" w:line="273"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231F20"/>
        </w:rPr>
        <w:t>The same is true in neuropsychiatry.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neuropsychiatry,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204"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231F20"/>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629400" cy="3143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6629400"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Core Elements of our Platform</w:t>
      </w:r>
    </w:p>
    <w:p>
      <w:pPr>
        <w:spacing w:after="0" w:line="210"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231F20"/>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 stack, bi-directional integrations between a clinician’s desktop and our laboratory diagnostic capabilities, analytics platform, and repository of multimodal data. Our scaled, interconnected provider network covers more than 55%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420"/>
          </w:cols>
          <w:pgMar w:left="900" w:top="796" w:right="560" w:bottom="0" w:gutter="0" w:footer="0" w:header="0"/>
          <w:type w:val="continuous"/>
        </w:sectPr>
      </w:pPr>
    </w:p>
    <w:bookmarkStart w:id="16" w:name="page17"/>
    <w:bookmarkEnd w:id="16"/>
    <w:p>
      <w:pPr>
        <w:ind w:right="160"/>
        <w:spacing w:after="0" w:line="267" w:lineRule="auto"/>
        <w:rPr>
          <w:sz w:val="20"/>
          <w:szCs w:val="20"/>
          <w:color w:val="auto"/>
        </w:rPr>
      </w:pPr>
      <w:r>
        <w:rPr>
          <w:rFonts w:ascii="Times New Roman" w:cs="Times New Roman" w:eastAsia="Times New Roman" w:hAnsi="Times New Roman"/>
          <w:sz w:val="20"/>
          <w:szCs w:val="20"/>
          <w:color w:val="231F20"/>
        </w:rPr>
        <w:t>replicate, and together represent a significant competitive advantage. The following diagram represents the different elements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118745</wp:posOffset>
            </wp:positionV>
            <wp:extent cx="5934075" cy="3333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5934075" cy="333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Ingestion and Generation of Data</w:t>
      </w:r>
    </w:p>
    <w:p>
      <w:pPr>
        <w:spacing w:after="0" w:line="10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ingest healthcare data in near real time and at scale, including molecular, clinical, and imaging data. Between our sequencing and data collection efforts, we are connected in some way to more than 55% of all oncologists practicing in the United States, along with a growing number of patients in neuropsychiatry and cardiology. Our methods for collecting and creating data include the following:</w:t>
      </w:r>
    </w:p>
    <w:p>
      <w:pPr>
        <w:spacing w:after="0" w:line="192" w:lineRule="exact"/>
        <w:rPr>
          <w:sz w:val="20"/>
          <w:szCs w:val="20"/>
          <w:color w:val="auto"/>
        </w:rPr>
      </w:pPr>
    </w:p>
    <w:p>
      <w:pPr>
        <w:ind w:right="100" w:firstLine="490"/>
        <w:spacing w:after="0" w:line="232" w:lineRule="auto"/>
        <w:rPr>
          <w:sz w:val="20"/>
          <w:szCs w:val="20"/>
          <w:color w:val="auto"/>
        </w:rPr>
      </w:pPr>
      <w:r>
        <w:rPr>
          <w:rFonts w:ascii="Times New Roman" w:cs="Times New Roman" w:eastAsia="Times New Roman" w:hAnsi="Times New Roman"/>
          <w:sz w:val="20"/>
          <w:szCs w:val="20"/>
          <w:i w:val="1"/>
          <w:iCs w:val="1"/>
          <w:color w:val="231F20"/>
        </w:rPr>
        <w:t xml:space="preserve">Ingesting data through our relationships and partnerships with healthcare providers. </w:t>
      </w:r>
      <w:r>
        <w:rPr>
          <w:rFonts w:ascii="Times New Roman" w:cs="Times New Roman" w:eastAsia="Times New Roman" w:hAnsi="Times New Roman"/>
          <w:sz w:val="20"/>
          <w:szCs w:val="20"/>
          <w:color w:val="231F20"/>
        </w:rPr>
        <w:t>We have developed proprietary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 establish approximately 700 direct data connections, across approximately 5,000 hospitals, many of which are bi-directional. We have established relationships with hundreds of provider networks, including more than 65%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third-party data provider to pull out relevant structured and unstructured data that the provider has agreed to provide to Tempus, including longitudinal follow-up data to the extent the provider has made such data available. To facilitate these data- 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203" w:lineRule="exact"/>
        <w:rPr>
          <w:sz w:val="20"/>
          <w:szCs w:val="20"/>
          <w:color w:val="auto"/>
        </w:rPr>
      </w:pPr>
    </w:p>
    <w:p>
      <w:pPr>
        <w:ind w:right="100" w:firstLine="490"/>
        <w:spacing w:after="0" w:line="236" w:lineRule="auto"/>
        <w:rPr>
          <w:sz w:val="20"/>
          <w:szCs w:val="20"/>
          <w:color w:val="auto"/>
        </w:rPr>
      </w:pPr>
      <w:r>
        <w:rPr>
          <w:rFonts w:ascii="Times New Roman" w:cs="Times New Roman" w:eastAsia="Times New Roman" w:hAnsi="Times New Roman"/>
          <w:sz w:val="20"/>
          <w:szCs w:val="20"/>
          <w:i w:val="1"/>
          <w:iCs w:val="1"/>
          <w:color w:val="231F20"/>
        </w:rPr>
        <w:t xml:space="preserve">Relationships with industry associations. </w:t>
      </w:r>
      <w:r>
        <w:rPr>
          <w:rFonts w:ascii="Times New Roman" w:cs="Times New Roman" w:eastAsia="Times New Roman" w:hAnsi="Times New Roman"/>
          <w:sz w:val="20"/>
          <w:szCs w:val="20"/>
          <w:color w:val="231F20"/>
        </w:rPr>
        <w:t>In addition to healthcare providers, we work with numerous industry associations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the United States, through which we structure and distribute oncology data. We also have agreements in place with large integrated community practices. While our relationships in oncology are widespread, we are making inroads in other disease areas. For example, we have a relationship with a large hospital network to train algorithmic models based on a de-</w:t>
      </w:r>
    </w:p>
    <w:p>
      <w:pPr>
        <w:spacing w:after="0" w:line="3"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20"/>
          <w:szCs w:val="20"/>
          <w:color w:val="231F20"/>
        </w:rPr>
        <w:t>identified subset of more than 3.5 million electrocardiograms, or ECGs, across more than 800,000 patients, with decades of longitudinal clinical data, including outcome and response data. We also have agreements with numerous other institutions through both our sequencing and data efforts to collect and structure multimodal data, and have entered into a variety of partnerships and collaborations across neuropsychiatry, diabetes, and cardiology giving us access to additional clinical data.</w:t>
      </w:r>
    </w:p>
    <w:p>
      <w:pPr>
        <w:sectPr>
          <w:pgSz w:w="11880" w:h="15480" w:orient="portrait"/>
          <w:cols w:equalWidth="0" w:num="1">
            <w:col w:w="10440"/>
          </w:cols>
          <w:pgMar w:left="900" w:top="78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440"/>
          </w:cols>
          <w:pgMar w:left="900" w:top="785" w:right="540" w:bottom="0" w:gutter="0" w:footer="0" w:header="0"/>
          <w:type w:val="continuous"/>
        </w:sectPr>
      </w:pPr>
    </w:p>
    <w:bookmarkStart w:id="17" w:name="page18"/>
    <w:bookmarkEnd w:id="17"/>
    <w:p>
      <w:pPr>
        <w:ind w:right="20" w:firstLine="490"/>
        <w:spacing w:after="0" w:line="233" w:lineRule="auto"/>
        <w:rPr>
          <w:sz w:val="20"/>
          <w:szCs w:val="20"/>
          <w:color w:val="auto"/>
        </w:rPr>
      </w:pPr>
      <w:r>
        <w:rPr>
          <w:rFonts w:ascii="Times New Roman" w:cs="Times New Roman" w:eastAsia="Times New Roman" w:hAnsi="Times New Roman"/>
          <w:sz w:val="20"/>
          <w:szCs w:val="20"/>
          <w:i w:val="1"/>
          <w:iCs w:val="1"/>
          <w:color w:val="231F20"/>
        </w:rPr>
        <w:t xml:space="preserve">Laboratory diagnostics. </w:t>
      </w:r>
      <w:r>
        <w:rPr>
          <w:rFonts w:ascii="Times New Roman" w:cs="Times New Roman" w:eastAsia="Times New Roman" w:hAnsi="Times New Roman"/>
          <w:sz w:val="20"/>
          <w:szCs w:val="20"/>
          <w:color w:val="231F20"/>
        </w:rPr>
        <w:t>In addition to our dedicated data pipelines, we generate data for our Platform from our five high-throughput diagnostic testing labs in Chicago, Atlanta, Raleigh, Aliso Viejo and Minneapolis. Our labs offer a range of anatomical and molecular NGS tests, including a broad portfolio of solid tumor, liquid biopsy, and hereditary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 In February 2025, we acquired Ambry Genetics Corporation, or Ambry, a leader in hereditary cancer screening and the supplier of our germline sequencing (Tempus|xG) for hereditary cancer risk. Ambry’s offerings span multiple disease areas, enabling us to expand beyond oncology into new categories, such as pediatrics, rare disease, cardiology, reproductive health and immunology. Additionally, Ambry’s significant laboratory capabilities on the west coast will continue to help increase our overall footprint in the country.</w:t>
      </w:r>
    </w:p>
    <w:p>
      <w:pPr>
        <w:spacing w:after="0" w:line="204" w:lineRule="exact"/>
        <w:rPr>
          <w:sz w:val="20"/>
          <w:szCs w:val="20"/>
          <w:color w:val="auto"/>
        </w:rPr>
      </w:pPr>
    </w:p>
    <w:p>
      <w:pPr>
        <w:ind w:right="300" w:firstLine="490"/>
        <w:spacing w:after="0" w:line="267" w:lineRule="auto"/>
        <w:rPr>
          <w:sz w:val="20"/>
          <w:szCs w:val="20"/>
          <w:color w:val="auto"/>
        </w:rPr>
      </w:pPr>
      <w:r>
        <w:rPr>
          <w:rFonts w:ascii="Times New Roman" w:cs="Times New Roman" w:eastAsia="Times New Roman" w:hAnsi="Times New Roman"/>
          <w:sz w:val="20"/>
          <w:szCs w:val="20"/>
          <w:color w:val="231F20"/>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117475</wp:posOffset>
            </wp:positionV>
            <wp:extent cx="5762625" cy="3629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762625" cy="362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Proprietary Data Processing</w:t>
      </w:r>
    </w:p>
    <w:p>
      <w:pPr>
        <w:spacing w:after="0" w:line="110"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231F20"/>
        </w:rPr>
        <w:t>Once data is ingested,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ectPr>
          <w:pgSz w:w="11880" w:h="15480" w:orient="portrait"/>
          <w:cols w:equalWidth="0" w:num="1">
            <w:col w:w="10440"/>
          </w:cols>
          <w:pgMar w:left="900" w:top="78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440"/>
          </w:cols>
          <w:pgMar w:left="900" w:top="785" w:right="5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231F20"/>
        </w:rPr>
        <w:t>Our Proprietary Multimodal Database</w:t>
      </w:r>
    </w:p>
    <w:p>
      <w:pPr>
        <w:spacing w:after="0" w:line="110"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231F20"/>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near-real 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approximately 1.4 billion documents, across more than 8.6 million de-identified patient records, including over 1.6 billion pages of rich clinical text that we use to train our large language models. The database also includes over 8 million records with imaging data, more than 1,500,000 with matched clinical records linked with genomic information, and more than 360,000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450 petabytes, we believe new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135890</wp:posOffset>
            </wp:positionV>
            <wp:extent cx="6086475" cy="3086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6086475" cy="3086100"/>
                    </a:xfrm>
                    <a:prstGeom prst="rect">
                      <a:avLst/>
                    </a:prstGeom>
                    <a:noFill/>
                  </pic:spPr>
                </pic:pic>
              </a:graphicData>
            </a:graphic>
          </wp:anchor>
        </w:drawing>
      </w:r>
    </w:p>
    <w:p>
      <w:pPr>
        <w:sectPr>
          <w:pgSz w:w="11880" w:h="15480" w:orient="portrait"/>
          <w:cols w:equalWidth="0" w:num="1">
            <w:col w:w="10440"/>
          </w:cols>
          <w:pgMar w:left="900" w:top="78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440"/>
          </w:cols>
          <w:pgMar w:left="900" w:top="785" w:right="540" w:bottom="0" w:gutter="0" w:footer="0" w:header="0"/>
          <w:type w:val="continuous"/>
        </w:sectPr>
      </w:pPr>
    </w:p>
    <w:bookmarkStart w:id="19" w:name="page20"/>
    <w:bookmarkEnd w:id="19"/>
    <w:p>
      <w:pPr>
        <w:ind w:firstLine="490"/>
        <w:spacing w:after="0" w:line="262" w:lineRule="auto"/>
        <w:rPr>
          <w:sz w:val="20"/>
          <w:szCs w:val="20"/>
          <w:color w:val="auto"/>
        </w:rPr>
      </w:pPr>
      <w:r>
        <w:rPr>
          <w:rFonts w:ascii="Times New Roman" w:cs="Times New Roman" w:eastAsia="Times New Roman" w:hAnsi="Times New Roman"/>
          <w:sz w:val="20"/>
          <w:szCs w:val="20"/>
          <w:color w:val="231F20"/>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2025,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163195</wp:posOffset>
            </wp:positionV>
            <wp:extent cx="5581650" cy="3228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5581650" cy="322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0" w:firstLine="490"/>
        <w:spacing w:after="0" w:line="275" w:lineRule="auto"/>
        <w:rPr>
          <w:sz w:val="20"/>
          <w:szCs w:val="20"/>
          <w:color w:val="auto"/>
        </w:rPr>
      </w:pPr>
      <w:r>
        <w:rPr>
          <w:rFonts w:ascii="Times New Roman" w:cs="Times New Roman" w:eastAsia="Times New Roman" w:hAnsi="Times New Roman"/>
          <w:sz w:val="19"/>
          <w:szCs w:val="19"/>
          <w:color w:val="231F20"/>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Proprietary Software Tools and Solutions</w:t>
      </w:r>
    </w:p>
    <w:p>
      <w:pPr>
        <w:spacing w:after="0" w:line="120"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Applications, in the clinical setting.</w:t>
      </w:r>
    </w:p>
    <w:p>
      <w:pPr>
        <w:spacing w:after="0" w:line="204"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231F20"/>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 expertise and extensive resources to continuously monitor and review the statistical performance of the models used across our Platform to ensure performance and prevent degradation.</w:t>
      </w:r>
    </w:p>
    <w:p>
      <w:pPr>
        <w:spacing w:after="0" w:line="147" w:lineRule="exact"/>
        <w:rPr>
          <w:sz w:val="20"/>
          <w:szCs w:val="20"/>
          <w:color w:val="auto"/>
        </w:rPr>
      </w:pPr>
    </w:p>
    <w:p>
      <w:pPr>
        <w:ind w:right="340" w:firstLine="490"/>
        <w:spacing w:after="0" w:line="287" w:lineRule="auto"/>
        <w:rPr>
          <w:sz w:val="20"/>
          <w:szCs w:val="20"/>
          <w:color w:val="auto"/>
        </w:rPr>
      </w:pPr>
      <w:r>
        <w:rPr>
          <w:rFonts w:ascii="Times New Roman" w:cs="Times New Roman" w:eastAsia="Times New Roman" w:hAnsi="Times New Roman"/>
          <w:sz w:val="20"/>
          <w:szCs w:val="20"/>
          <w:color w:val="231F20"/>
        </w:rPr>
        <w:t>We describe below some of the core software applications that form part of our Platform, including examples where we have developed and deployed AI techniques.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420"/>
          </w:cols>
          <w:pgMar w:left="900" w:top="796" w:right="5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231F20"/>
        </w:rPr>
        <w:t>External Facing Applications</w:t>
      </w:r>
    </w:p>
    <w:p>
      <w:pPr>
        <w:spacing w:after="0" w:line="120"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231F20"/>
        </w:rPr>
        <w:t>We have two primary software applications that serve as interfaces for different markets and allow our customers to interact with our Platform. Hub is our clinical application for physicians and other healthcare providers and is used primarily in our Diagnostics product line as an end-to-end application for healthcare providers who use our NGS tests. Lens is our application for life sciences customers and other healthcare researchers, launched in May 2021. Lens is aligned with Insights, one of our products within Data and applications,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Hub</w:t>
      </w:r>
    </w:p>
    <w:p>
      <w:pPr>
        <w:spacing w:after="0" w:line="120" w:lineRule="exact"/>
        <w:rPr>
          <w:sz w:val="20"/>
          <w:szCs w:val="20"/>
          <w:color w:val="auto"/>
        </w:rPr>
      </w:pPr>
    </w:p>
    <w:p>
      <w:pPr>
        <w:ind w:right="60" w:firstLine="490"/>
        <w:spacing w:after="0" w:line="262" w:lineRule="auto"/>
        <w:rPr>
          <w:sz w:val="20"/>
          <w:szCs w:val="20"/>
          <w:color w:val="auto"/>
        </w:rPr>
      </w:pPr>
      <w:r>
        <w:rPr>
          <w:rFonts w:ascii="Times New Roman" w:cs="Times New Roman" w:eastAsia="Times New Roman" w:hAnsi="Times New Roman"/>
          <w:sz w:val="20"/>
          <w:szCs w:val="20"/>
          <w:color w:val="231F20"/>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93" w:lineRule="exact"/>
        <w:rPr>
          <w:sz w:val="20"/>
          <w:szCs w:val="20"/>
          <w:color w:val="auto"/>
        </w:rPr>
      </w:pPr>
    </w:p>
    <w:p>
      <w:pPr>
        <w:ind w:right="80" w:firstLine="490"/>
        <w:spacing w:after="0" w:line="254" w:lineRule="auto"/>
        <w:rPr>
          <w:sz w:val="20"/>
          <w:szCs w:val="20"/>
          <w:color w:val="auto"/>
        </w:rPr>
      </w:pPr>
      <w:r>
        <w:rPr>
          <w:rFonts w:ascii="Times New Roman" w:cs="Times New Roman" w:eastAsia="Times New Roman" w:hAnsi="Times New Roman"/>
          <w:sz w:val="20"/>
          <w:szCs w:val="20"/>
          <w:color w:val="231F20"/>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20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231F20"/>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202"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 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Lens</w:t>
      </w:r>
    </w:p>
    <w:p>
      <w:pPr>
        <w:spacing w:after="0" w:line="12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231F20"/>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ectPr>
          <w:pgSz w:w="11880" w:h="15480" w:orient="portrait"/>
          <w:cols w:equalWidth="0" w:num="1">
            <w:col w:w="10420"/>
          </w:cols>
          <w:pgMar w:left="900" w:top="796" w:right="560" w:bottom="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420"/>
          </w:cols>
          <w:pgMar w:left="900" w:top="796" w:right="560" w:bottom="0" w:gutter="0" w:footer="0" w:header="0"/>
          <w:type w:val="continuous"/>
        </w:sectPr>
      </w:pPr>
    </w:p>
    <w:bookmarkStart w:id="21" w:name="page22"/>
    <w:bookmarkEnd w:id="21"/>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9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Two Product Lines</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Our products are organized under two product lines, with each designed to enable and enhance the other, thereby creating network effects in the markets in which we operate. Our Diagnostics product line provides a broad range of diagnostic testing services to healthcare providers. Our Data and applications product line monetizes the de-identified data that we collect, leverages artificial intelligence to identify and close care gaps, and facilitates enrollment in clinical trials, which at scale has allowed us to provide a series of data related services to our life sciences customers, such as clinical trial matching. Our Data and applications product line also includes our Next product, an AI platform which leverages our database to provide products and services that help route patients to the optimal therapy and advance research and patient care more broadly, and our Algos product, which is focused on developing and providing diagnostics that are algorithmic in nature.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Our two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167640</wp:posOffset>
            </wp:positionV>
            <wp:extent cx="5524500" cy="3105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5524500" cy="310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231F20"/>
        </w:rPr>
        <w:t>We believe the interrelated nature of our two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ectPr>
          <w:pgSz w:w="11880" w:h="15480" w:orient="portrait"/>
          <w:cols w:equalWidth="0" w:num="1">
            <w:col w:w="10420"/>
          </w:cols>
          <w:pgMar w:left="900" w:top="796" w:right="560" w:bottom="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420"/>
          </w:cols>
          <w:pgMar w:left="900" w:top="796" w:right="5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231F20"/>
        </w:rPr>
        <w:t>Diagnostics</w:t>
      </w:r>
    </w:p>
    <w:p>
      <w:pPr>
        <w:spacing w:after="0" w:line="115" w:lineRule="exact"/>
        <w:rPr>
          <w:sz w:val="20"/>
          <w:szCs w:val="20"/>
          <w:color w:val="auto"/>
        </w:rPr>
      </w:pPr>
    </w:p>
    <w:p>
      <w:pPr>
        <w:ind w:right="260" w:firstLine="490"/>
        <w:spacing w:after="0" w:line="242" w:lineRule="auto"/>
        <w:rPr>
          <w:sz w:val="20"/>
          <w:szCs w:val="20"/>
          <w:color w:val="auto"/>
        </w:rPr>
      </w:pPr>
      <w:r>
        <w:rPr>
          <w:rFonts w:ascii="Times New Roman" w:cs="Times New Roman" w:eastAsia="Times New Roman" w:hAnsi="Times New Roman"/>
          <w:sz w:val="20"/>
          <w:szCs w:val="20"/>
          <w:color w:val="231F20"/>
        </w:rPr>
        <w:t>Our Diagnostics product line provides a comprehensive suite of Intelligent Diagnostics to healthcare providers, and generates a steady stream of molecular data to help fuel growth in our Data and applications product line. As we run more tests through our laboratories, and as those tests are linked to patient records and clinical outcomes, we grow our data assets and leverage them across all product lines. While we offer diagnostic tests in multiple disease areas, our primary focus is cancer, in which we offer a suite of tests for treatment purposes, which we refer to as our Oncology tests, and a suite of tests focused on hereditary tests acquired through Ambry, which we refer to as our Hereditary tests.</w:t>
      </w:r>
    </w:p>
    <w:p>
      <w:pPr>
        <w:spacing w:after="0" w:line="81" w:lineRule="exact"/>
        <w:rPr>
          <w:sz w:val="20"/>
          <w:szCs w:val="20"/>
          <w:color w:val="auto"/>
        </w:rPr>
      </w:pPr>
    </w:p>
    <w:p>
      <w:pPr>
        <w:ind w:right="80" w:firstLine="490"/>
        <w:spacing w:after="0" w:line="241" w:lineRule="auto"/>
        <w:rPr>
          <w:sz w:val="20"/>
          <w:szCs w:val="20"/>
          <w:color w:val="auto"/>
        </w:rPr>
      </w:pPr>
      <w:r>
        <w:rPr>
          <w:rFonts w:ascii="Times New Roman" w:cs="Times New Roman" w:eastAsia="Times New Roman" w:hAnsi="Times New Roman"/>
          <w:sz w:val="20"/>
          <w:szCs w:val="20"/>
          <w:color w:val="231F20"/>
        </w:rPr>
        <w:t>We operate five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NGS provider broadly serving the market. However, unlike other laboratory diagnostic testing providers, many of our tests are connected to clinical data, in some manner, which allows our suite of tests to be self-learning, becoming more accurate and precise with each new test that we run. Furthermore, rather than providing a result based on a single data modality, such as a DNA mutation, our Platform leverages data from other modalities and other patients in an effort to be more comprehensive.</w:t>
      </w:r>
    </w:p>
    <w:p>
      <w:pPr>
        <w:spacing w:after="0" w:line="201"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231F20"/>
        </w:rPr>
        <w:t>We are generally paid for our Diagnostics services by billing insurance companies, or patients directly, who reimburse us for the tests we run, or by billing providers or pharmaceutical companies directly. The following diagram represents a summary of our test offerings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125095</wp:posOffset>
            </wp:positionV>
            <wp:extent cx="5753100" cy="4038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753100" cy="403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Oncology Tests</w:t>
      </w:r>
    </w:p>
    <w:p>
      <w:pPr>
        <w:spacing w:after="0" w:line="115"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19"/>
          <w:szCs w:val="19"/>
          <w:color w:val="231F20"/>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minimal residual disease and treatment response monitoring (xM), whole exome (xE), and hereditary cancer risk (xG). With our acquisition of Ambry in February 2025, we have further expanded and enhanced our inherited risk screening capabilities for cancer and rare</w:t>
      </w:r>
    </w:p>
    <w:p>
      <w:pPr>
        <w:sectPr>
          <w:pgSz w:w="11880" w:h="15480" w:orient="portrait"/>
          <w:cols w:equalWidth="0" w:num="1">
            <w:col w:w="10440"/>
          </w:cols>
          <w:pgMar w:left="900" w:top="792" w:right="540" w:bottom="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440"/>
          </w:cols>
          <w:pgMar w:left="900" w:top="792" w:right="540" w:bottom="0" w:gutter="0" w:footer="0" w:header="0"/>
          <w:type w:val="continuous"/>
        </w:sectPr>
      </w:pPr>
    </w:p>
    <w:bookmarkStart w:id="23" w:name="page24"/>
    <w:bookmarkEnd w:id="23"/>
    <w:p>
      <w:pPr>
        <w:ind w:right="100"/>
        <w:spacing w:after="0" w:line="242" w:lineRule="auto"/>
        <w:rPr>
          <w:sz w:val="20"/>
          <w:szCs w:val="20"/>
          <w:color w:val="auto"/>
        </w:rPr>
      </w:pPr>
      <w:r>
        <w:rPr>
          <w:rFonts w:ascii="Times New Roman" w:cs="Times New Roman" w:eastAsia="Times New Roman" w:hAnsi="Times New Roman"/>
          <w:sz w:val="20"/>
          <w:szCs w:val="20"/>
          <w:color w:val="231F20"/>
        </w:rPr>
        <w:t>disease patients. Our acquisition of OneOme, Inc., or OneOme, in November 2025 further enhanced our ability to provide pharmacogenetics tests, such as DPYD.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lists our current oncology test offerings:</w:t>
      </w:r>
    </w:p>
    <w:p>
      <w:pPr>
        <w:sectPr>
          <w:pgSz w:w="11880" w:h="15480" w:orient="portrait"/>
          <w:cols w:equalWidth="0" w:num="1">
            <w:col w:w="10420"/>
          </w:cols>
          <w:pgMar w:left="900" w:top="792" w:right="560" w:bottom="0" w:gutter="0" w:footer="0" w:header="0"/>
        </w:sectPr>
      </w:pPr>
    </w:p>
    <w:p>
      <w:pPr>
        <w:spacing w:after="0" w:line="275"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6"/>
          <w:szCs w:val="16"/>
          <w:b w:val="1"/>
          <w:bCs w:val="1"/>
          <w:color w:val="231F20"/>
        </w:rPr>
        <w:t>Lab Tests</w:t>
      </w:r>
      <w:r>
        <w:rPr>
          <w:sz w:val="20"/>
          <w:szCs w:val="20"/>
          <w:color w:val="auto"/>
        </w:rPr>
        <w:tab/>
      </w:r>
      <w:r>
        <w:rPr>
          <w:rFonts w:ascii="Times New Roman" w:cs="Times New Roman" w:eastAsia="Times New Roman" w:hAnsi="Times New Roman"/>
          <w:sz w:val="15"/>
          <w:szCs w:val="15"/>
          <w:b w:val="1"/>
          <w:bCs w:val="1"/>
          <w:color w:val="231F20"/>
        </w:rPr>
        <w:t>Launch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Oncology tests</w:t>
      </w:r>
    </w:p>
    <w:p>
      <w:pPr>
        <w:spacing w:after="0"/>
        <w:tabs>
          <w:tab w:leader="none" w:pos="2500" w:val="left"/>
        </w:tabs>
        <w:rPr>
          <w:sz w:val="20"/>
          <w:szCs w:val="20"/>
          <w:color w:val="auto"/>
        </w:rPr>
      </w:pPr>
      <w:r>
        <w:rPr>
          <w:rFonts w:ascii="Times New Roman" w:cs="Times New Roman" w:eastAsia="Times New Roman" w:hAnsi="Times New Roman"/>
          <w:sz w:val="20"/>
          <w:szCs w:val="20"/>
          <w:color w:val="231F20"/>
        </w:rPr>
        <w:t>Tempus|xT</w:t>
      </w:r>
      <w:r>
        <w:rPr>
          <w:sz w:val="20"/>
          <w:szCs w:val="20"/>
          <w:color w:val="auto"/>
        </w:rPr>
        <w:tab/>
      </w:r>
      <w:r>
        <w:rPr>
          <w:rFonts w:ascii="Times New Roman" w:cs="Times New Roman" w:eastAsia="Times New Roman" w:hAnsi="Times New Roman"/>
          <w:sz w:val="20"/>
          <w:szCs w:val="20"/>
          <w:color w:val="231F20"/>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0"/>
          <w:szCs w:val="20"/>
          <w:color w:val="231F20"/>
        </w:rPr>
        <w:t>Tempus|xE</w:t>
      </w:r>
      <w:r>
        <w:rPr>
          <w:sz w:val="20"/>
          <w:szCs w:val="20"/>
          <w:color w:val="auto"/>
        </w:rPr>
        <w:tab/>
      </w:r>
      <w:r>
        <w:rPr>
          <w:rFonts w:ascii="Times New Roman" w:cs="Times New Roman" w:eastAsia="Times New Roman" w:hAnsi="Times New Roman"/>
          <w:sz w:val="20"/>
          <w:szCs w:val="20"/>
          <w:color w:val="231F20"/>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0"/>
          <w:szCs w:val="20"/>
          <w:color w:val="231F20"/>
        </w:rPr>
        <w:t>Tempus|xF</w:t>
      </w:r>
      <w:r>
        <w:rPr>
          <w:sz w:val="20"/>
          <w:szCs w:val="20"/>
          <w:color w:val="auto"/>
        </w:rPr>
        <w:tab/>
      </w:r>
      <w:r>
        <w:rPr>
          <w:rFonts w:ascii="Times New Roman" w:cs="Times New Roman" w:eastAsia="Times New Roman" w:hAnsi="Times New Roman"/>
          <w:sz w:val="20"/>
          <w:szCs w:val="20"/>
          <w:color w:val="231F20"/>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0"/>
          <w:szCs w:val="20"/>
          <w:color w:val="231F20"/>
        </w:rPr>
        <w:t>Tempus|xG</w:t>
      </w:r>
      <w:r>
        <w:rPr>
          <w:sz w:val="20"/>
          <w:szCs w:val="20"/>
          <w:color w:val="auto"/>
        </w:rPr>
        <w:tab/>
      </w:r>
      <w:r>
        <w:rPr>
          <w:rFonts w:ascii="Times New Roman" w:cs="Times New Roman" w:eastAsia="Times New Roman" w:hAnsi="Times New Roman"/>
          <w:sz w:val="20"/>
          <w:szCs w:val="20"/>
          <w:color w:val="231F20"/>
        </w:rPr>
        <w:t>2021</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Description</w:t>
      </w:r>
    </w:p>
    <w:p>
      <w:pPr>
        <w:spacing w:after="0" w:line="314" w:lineRule="exact"/>
        <w:rPr>
          <w:sz w:val="20"/>
          <w:szCs w:val="20"/>
          <w:color w:val="auto"/>
        </w:rPr>
      </w:pPr>
    </w:p>
    <w:p>
      <w:pPr>
        <w:ind w:left="500" w:right="58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Designed to detect actionable oncologic targets by sequencing tumor tissue samples</w:t>
      </w:r>
    </w:p>
    <w:p>
      <w:pPr>
        <w:spacing w:after="0" w:line="14" w:lineRule="exact"/>
        <w:rPr>
          <w:rFonts w:ascii="Arial" w:cs="Arial" w:eastAsia="Arial" w:hAnsi="Arial"/>
          <w:sz w:val="20"/>
          <w:szCs w:val="20"/>
          <w:color w:val="231F20"/>
        </w:rPr>
      </w:pPr>
    </w:p>
    <w:p>
      <w:pPr>
        <w:jc w:val="both"/>
        <w:ind w:left="500" w:right="2060" w:hanging="499"/>
        <w:spacing w:after="0" w:line="336" w:lineRule="auto"/>
        <w:tabs>
          <w:tab w:leader="none" w:pos="50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Typically associated with incidental germline testing for matched normal saliva or blood samples, when available</w:t>
      </w:r>
    </w:p>
    <w:p>
      <w:pPr>
        <w:spacing w:after="0" w:line="1" w:lineRule="exact"/>
        <w:rPr>
          <w:rFonts w:ascii="Arial" w:cs="Arial" w:eastAsia="Arial" w:hAnsi="Arial"/>
          <w:sz w:val="19"/>
          <w:szCs w:val="19"/>
          <w:color w:val="231F20"/>
        </w:rPr>
      </w:pPr>
    </w:p>
    <w:p>
      <w:pPr>
        <w:ind w:left="500" w:right="86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Fourth generation test that covers 648 genes at 500x coverage spanning approximately 3.6 Mb of genomic space</w:t>
      </w:r>
    </w:p>
    <w:p>
      <w:pPr>
        <w:spacing w:after="0" w:line="14" w:lineRule="exact"/>
        <w:rPr>
          <w:rFonts w:ascii="Arial" w:cs="Arial" w:eastAsia="Arial" w:hAnsi="Arial"/>
          <w:sz w:val="20"/>
          <w:szCs w:val="20"/>
          <w:color w:val="231F20"/>
        </w:rPr>
      </w:pPr>
    </w:p>
    <w:p>
      <w:pPr>
        <w:ind w:left="500" w:right="80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Includes full TCR, BCR, and HLA typing for immuno- oncology, or IO, signatures</w:t>
      </w:r>
    </w:p>
    <w:p>
      <w:pPr>
        <w:spacing w:after="0" w:line="14" w:lineRule="exact"/>
        <w:rPr>
          <w:rFonts w:ascii="Arial" w:cs="Arial" w:eastAsia="Arial" w:hAnsi="Arial"/>
          <w:sz w:val="20"/>
          <w:szCs w:val="20"/>
          <w:color w:val="231F20"/>
        </w:rPr>
      </w:pPr>
    </w:p>
    <w:p>
      <w:pPr>
        <w:ind w:left="500" w:hanging="499"/>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Detects TMB, MSI, and fusions</w:t>
      </w:r>
    </w:p>
    <w:p>
      <w:pPr>
        <w:spacing w:after="0" w:line="83" w:lineRule="exact"/>
        <w:rPr>
          <w:rFonts w:ascii="Arial" w:cs="Arial" w:eastAsia="Arial" w:hAnsi="Arial"/>
          <w:sz w:val="20"/>
          <w:szCs w:val="20"/>
          <w:color w:val="231F20"/>
        </w:rPr>
      </w:pPr>
    </w:p>
    <w:p>
      <w:pPr>
        <w:ind w:left="500" w:hanging="499"/>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The test has an approximately 10-day quoted turnaround time</w:t>
      </w:r>
    </w:p>
    <w:p>
      <w:pPr>
        <w:spacing w:after="0" w:line="83" w:lineRule="exact"/>
        <w:rPr>
          <w:rFonts w:ascii="Arial" w:cs="Arial" w:eastAsia="Arial" w:hAnsi="Arial"/>
          <w:sz w:val="20"/>
          <w:szCs w:val="20"/>
          <w:color w:val="231F20"/>
        </w:rPr>
      </w:pPr>
    </w:p>
    <w:p>
      <w:pPr>
        <w:ind w:left="500" w:right="60" w:hanging="499"/>
        <w:spacing w:after="0" w:line="298" w:lineRule="auto"/>
        <w:tabs>
          <w:tab w:leader="none" w:pos="50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In our analytical validation, we demonstrated sensitivities &gt;98% for SNVs, &gt;92% for rearrangements / fusions, &gt;92% for CNVs and indels, and 99.9% for MSI.</w:t>
      </w:r>
    </w:p>
    <w:p>
      <w:pPr>
        <w:ind w:left="500" w:hanging="499"/>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Premarket approval (PMA) obtained from the FDA in April 2023</w:t>
      </w:r>
    </w:p>
    <w:p>
      <w:pPr>
        <w:spacing w:after="0" w:line="83" w:lineRule="exact"/>
        <w:rPr>
          <w:rFonts w:ascii="Arial" w:cs="Arial" w:eastAsia="Arial" w:hAnsi="Arial"/>
          <w:sz w:val="20"/>
          <w:szCs w:val="20"/>
          <w:color w:val="231F20"/>
        </w:rPr>
      </w:pPr>
    </w:p>
    <w:p>
      <w:pPr>
        <w:ind w:left="500" w:hanging="499"/>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Awarded Advanced Diagnostic Laboratory Test (ADLT) status</w:t>
      </w:r>
    </w:p>
    <w:p>
      <w:pPr>
        <w:spacing w:after="0" w:line="83" w:lineRule="exact"/>
        <w:rPr>
          <w:rFonts w:ascii="Arial" w:cs="Arial" w:eastAsia="Arial" w:hAnsi="Arial"/>
          <w:sz w:val="20"/>
          <w:szCs w:val="20"/>
          <w:color w:val="231F20"/>
        </w:rPr>
      </w:pPr>
    </w:p>
    <w:p>
      <w:pPr>
        <w:ind w:left="500" w:right="20" w:hanging="499"/>
        <w:spacing w:after="0" w:line="258"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 whole exome cancer assay designed to identify actionable oncologic variants as well as neoantigens across the exome from tissue samples, thus enabling IO applications</w:t>
      </w:r>
    </w:p>
    <w:p>
      <w:pPr>
        <w:spacing w:after="0" w:line="31" w:lineRule="exact"/>
        <w:rPr>
          <w:rFonts w:ascii="Arial" w:cs="Arial" w:eastAsia="Arial" w:hAnsi="Arial"/>
          <w:sz w:val="20"/>
          <w:szCs w:val="20"/>
          <w:color w:val="231F20"/>
        </w:rPr>
      </w:pPr>
    </w:p>
    <w:p>
      <w:pPr>
        <w:ind w:left="500" w:right="140" w:hanging="499"/>
        <w:spacing w:after="0" w:line="258"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Run at ~150-250x media coverage for approximately 650 of the most significant onco-driving mutations and ~150-200x median coverage for more than 19,000 genes on the panel</w:t>
      </w:r>
    </w:p>
    <w:p>
      <w:pPr>
        <w:spacing w:after="0" w:line="31" w:lineRule="exact"/>
        <w:rPr>
          <w:rFonts w:ascii="Arial" w:cs="Arial" w:eastAsia="Arial" w:hAnsi="Arial"/>
          <w:sz w:val="20"/>
          <w:szCs w:val="20"/>
          <w:color w:val="231F20"/>
        </w:rPr>
      </w:pPr>
    </w:p>
    <w:p>
      <w:pPr>
        <w:ind w:left="500" w:hanging="499"/>
        <w:spacing w:after="0"/>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Detects TMB, MSI, and fusions</w:t>
      </w:r>
    </w:p>
    <w:p>
      <w:pPr>
        <w:spacing w:after="0" w:line="83" w:lineRule="exact"/>
        <w:rPr>
          <w:rFonts w:ascii="Arial" w:cs="Arial" w:eastAsia="Arial" w:hAnsi="Arial"/>
          <w:sz w:val="20"/>
          <w:szCs w:val="20"/>
          <w:color w:val="231F20"/>
        </w:rPr>
      </w:pPr>
    </w:p>
    <w:p>
      <w:pPr>
        <w:ind w:left="50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Next-generation liquid biopsy assay covering 105 genes at approximately 20,000x coverage from peripheral blood samples for solid tumors</w:t>
      </w:r>
    </w:p>
    <w:p>
      <w:pPr>
        <w:spacing w:after="0" w:line="14" w:lineRule="exact"/>
        <w:rPr>
          <w:rFonts w:ascii="Arial" w:cs="Arial" w:eastAsia="Arial" w:hAnsi="Arial"/>
          <w:sz w:val="20"/>
          <w:szCs w:val="20"/>
          <w:color w:val="231F20"/>
        </w:rPr>
      </w:pPr>
    </w:p>
    <w:p>
      <w:pPr>
        <w:ind w:left="500" w:right="60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Typically used for oncogenic and resistance mutations that can be detected in cell free DNA, or cfDNA, from a peripheral blood draw</w:t>
      </w:r>
    </w:p>
    <w:p>
      <w:pPr>
        <w:spacing w:after="0" w:line="14" w:lineRule="exact"/>
        <w:rPr>
          <w:rFonts w:ascii="Arial" w:cs="Arial" w:eastAsia="Arial" w:hAnsi="Arial"/>
          <w:sz w:val="20"/>
          <w:szCs w:val="20"/>
          <w:color w:val="231F20"/>
        </w:rPr>
      </w:pPr>
    </w:p>
    <w:p>
      <w:pPr>
        <w:ind w:left="500" w:right="40" w:hanging="499"/>
        <w:spacing w:after="0" w:line="247"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In our analytical validation, for 0.5% VAF and 30ng of DNA, we demonstrated &gt;99.9% sensitivity for SNVs, 98.8% for indels, &gt;99.9% for CNVs, and 97.4% for rearrangements and fusions. xF also demonstrated 100% sensitivity concordance with Roche AVENIO ctDNA Expanded Kit for indels, CNVs, and rearrangements. We also demonstrated &gt;99.9% specificity for SNVs, indels, and fusions, and 96.2% specificity for CNVs</w:t>
      </w:r>
    </w:p>
    <w:p>
      <w:pPr>
        <w:spacing w:after="0" w:line="43" w:lineRule="exact"/>
        <w:rPr>
          <w:rFonts w:ascii="Arial" w:cs="Arial" w:eastAsia="Arial" w:hAnsi="Arial"/>
          <w:sz w:val="20"/>
          <w:szCs w:val="20"/>
          <w:color w:val="231F20"/>
        </w:rPr>
      </w:pPr>
    </w:p>
    <w:p>
      <w:pPr>
        <w:ind w:left="500" w:right="4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The xF+ version is a 523 gene panel that includes bTMB, MSI, additional fusions and CNVs</w:t>
      </w:r>
    </w:p>
    <w:p>
      <w:pPr>
        <w:spacing w:after="0" w:line="14" w:lineRule="exact"/>
        <w:rPr>
          <w:rFonts w:ascii="Arial" w:cs="Arial" w:eastAsia="Arial" w:hAnsi="Arial"/>
          <w:sz w:val="20"/>
          <w:szCs w:val="20"/>
          <w:color w:val="231F20"/>
        </w:rPr>
      </w:pPr>
    </w:p>
    <w:p>
      <w:pPr>
        <w:ind w:left="500" w:right="380" w:hanging="499"/>
        <w:spacing w:after="0" w:line="276"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52 gene inherited cancer germline panel run off whole exome platform at 75x depth of coverage</w:t>
      </w:r>
    </w:p>
    <w:p>
      <w:pPr>
        <w:spacing w:after="0" w:line="14" w:lineRule="exact"/>
        <w:rPr>
          <w:rFonts w:ascii="Arial" w:cs="Arial" w:eastAsia="Arial" w:hAnsi="Arial"/>
          <w:sz w:val="20"/>
          <w:szCs w:val="20"/>
          <w:color w:val="231F20"/>
        </w:rPr>
      </w:pPr>
    </w:p>
    <w:p>
      <w:pPr>
        <w:ind w:left="500" w:right="60" w:hanging="499"/>
        <w:spacing w:after="0" w:line="252" w:lineRule="auto"/>
        <w:tabs>
          <w:tab w:leader="none" w:pos="50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Tests hereditary predisposition across common and well- described cancer syndromes such as breast, ovarian, prostate cancer (BRCA1, BRCA2), pancreatic cancer (CDKN2A, PALB2), colorectal cancer (APC, BMPR1A), and Lynch Syndrome (MLH1, MSH2, MSH6, PMS2, EPCAM)</w:t>
      </w:r>
    </w:p>
    <w:p>
      <w:pPr>
        <w:spacing w:after="0" w:line="37" w:lineRule="exact"/>
        <w:rPr>
          <w:rFonts w:ascii="Arial" w:cs="Arial" w:eastAsia="Arial" w:hAnsi="Arial"/>
          <w:sz w:val="20"/>
          <w:szCs w:val="20"/>
          <w:color w:val="231F20"/>
        </w:rPr>
      </w:pPr>
    </w:p>
    <w:p>
      <w:pPr>
        <w:ind w:left="500" w:right="300" w:hanging="499"/>
        <w:spacing w:after="0" w:line="304" w:lineRule="auto"/>
        <w:tabs>
          <w:tab w:leader="none" w:pos="50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Typically used in patients with a personal and / or family history suggestive of hereditary predisposition to cancer and can guide future diagnostic decisions</w:t>
      </w:r>
    </w:p>
    <w:p>
      <w:pPr>
        <w:spacing w:after="0" w:line="188" w:lineRule="exact"/>
        <w:rPr>
          <w:sz w:val="20"/>
          <w:szCs w:val="20"/>
          <w:color w:val="auto"/>
        </w:rPr>
      </w:pPr>
    </w:p>
    <w:p>
      <w:pPr>
        <w:sectPr>
          <w:pgSz w:w="11880" w:h="15480" w:orient="portrait"/>
          <w:cols w:equalWidth="0" w:num="2">
            <w:col w:w="3160" w:space="180"/>
            <w:col w:w="7080"/>
          </w:cols>
          <w:pgMar w:left="900" w:top="792" w:right="560"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420"/>
          </w:cols>
          <w:pgMar w:left="900" w:top="792" w:right="56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231F20"/>
        </w:rPr>
        <w:t>Lab Tests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Tempus|xR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Tempus|xM</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231F20"/>
        </w:rPr>
        <w:t>Launch Year</w:t>
        <w:tab/>
        <w:t>Description</w:t>
      </w:r>
    </w:p>
    <w:p>
      <w:pPr>
        <w:spacing w:after="0" w:line="84"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231F20"/>
              </w:rPr>
              <w:t>•</w:t>
            </w: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The xG+ version is an 88 gene panel covering genes associated with both</w:t>
            </w:r>
          </w:p>
        </w:tc>
        <w:tc>
          <w:tcPr>
            <w:tcW w:w="0" w:type="dxa"/>
            <w:vAlign w:val="bottom"/>
          </w:tcPr>
          <w:p>
            <w:pPr>
              <w:spacing w:after="0"/>
              <w:rPr>
                <w:sz w:val="1"/>
                <w:szCs w:val="1"/>
                <w:color w:val="auto"/>
              </w:rPr>
            </w:pPr>
          </w:p>
        </w:tc>
      </w:tr>
      <w:tr>
        <w:trPr>
          <w:trHeight w:val="266"/>
        </w:trPr>
        <w:tc>
          <w:tcPr>
            <w:tcW w:w="6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w w:val="94"/>
              </w:rPr>
              <w:t>2023</w:t>
            </w: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common and rare hereditary cancers</w:t>
            </w:r>
          </w:p>
        </w:tc>
        <w:tc>
          <w:tcPr>
            <w:tcW w:w="0" w:type="dxa"/>
            <w:vAlign w:val="bottom"/>
          </w:tcPr>
          <w:p>
            <w:pPr>
              <w:spacing w:after="0"/>
              <w:rPr>
                <w:sz w:val="1"/>
                <w:szCs w:val="1"/>
                <w:color w:val="auto"/>
              </w:rPr>
            </w:pPr>
          </w:p>
        </w:tc>
      </w:tr>
      <w:tr>
        <w:trPr>
          <w:trHeight w:val="230"/>
        </w:trPr>
        <w:tc>
          <w:tcPr>
            <w:tcW w:w="600" w:type="dxa"/>
            <w:vAlign w:val="bottom"/>
            <w:vMerge w:val="continue"/>
          </w:tcPr>
          <w:p>
            <w:pPr>
              <w:spacing w:after="0"/>
              <w:rPr>
                <w:sz w:val="20"/>
                <w:szCs w:val="20"/>
                <w:color w:val="auto"/>
              </w:rPr>
            </w:pPr>
          </w:p>
        </w:tc>
        <w:tc>
          <w:tcPr>
            <w:tcW w:w="520" w:type="dxa"/>
            <w:vAlign w:val="bottom"/>
            <w:vMerge w:val="restart"/>
          </w:tcPr>
          <w:p>
            <w:pPr>
              <w:ind w:left="220"/>
              <w:spacing w:after="0"/>
              <w:rPr>
                <w:sz w:val="20"/>
                <w:szCs w:val="20"/>
                <w:color w:val="auto"/>
              </w:rPr>
            </w:pPr>
            <w:r>
              <w:rPr>
                <w:rFonts w:ascii="Arial" w:cs="Arial" w:eastAsia="Arial" w:hAnsi="Arial"/>
                <w:sz w:val="20"/>
                <w:szCs w:val="20"/>
                <w:color w:val="231F20"/>
              </w:rPr>
              <w:t>•</w:t>
            </w:r>
          </w:p>
        </w:tc>
        <w:tc>
          <w:tcPr>
            <w:tcW w:w="6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w w:val="99"/>
              </w:rPr>
              <w:t>Full transcriptomic profiling assay for solid tumors and hematologic malignancies</w:t>
            </w:r>
          </w:p>
        </w:tc>
        <w:tc>
          <w:tcPr>
            <w:tcW w:w="0" w:type="dxa"/>
            <w:vAlign w:val="bottom"/>
          </w:tcPr>
          <w:p>
            <w:pPr>
              <w:spacing w:after="0"/>
              <w:rPr>
                <w:sz w:val="1"/>
                <w:szCs w:val="1"/>
                <w:color w:val="auto"/>
              </w:rPr>
            </w:pPr>
          </w:p>
        </w:tc>
      </w:tr>
      <w:tr>
        <w:trPr>
          <w:trHeight w:val="48"/>
        </w:trPr>
        <w:tc>
          <w:tcPr>
            <w:tcW w:w="6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at 50 million paired end reads, offered as a separate test as of January 2023</w:t>
            </w:r>
          </w:p>
        </w:tc>
        <w:tc>
          <w:tcPr>
            <w:tcW w:w="0" w:type="dxa"/>
            <w:vAlign w:val="bottom"/>
          </w:tcPr>
          <w:p>
            <w:pPr>
              <w:spacing w:after="0"/>
              <w:rPr>
                <w:sz w:val="1"/>
                <w:szCs w:val="1"/>
                <w:color w:val="auto"/>
              </w:rPr>
            </w:pPr>
          </w:p>
        </w:tc>
      </w:tr>
      <w:tr>
        <w:trPr>
          <w:trHeight w:val="266"/>
        </w:trPr>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(previous paired with xT and xE)</w:t>
            </w: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231F20"/>
              </w:rPr>
              <w:t>•</w:t>
            </w: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Reports clinically relevant fusions for more than 100 targeted genes, as well as</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altered splicing events for MET exon 14 and EGFRvIII, in an unbiased and</w:t>
            </w:r>
          </w:p>
        </w:tc>
        <w:tc>
          <w:tcPr>
            <w:tcW w:w="0" w:type="dxa"/>
            <w:vAlign w:val="bottom"/>
          </w:tcPr>
          <w:p>
            <w:pPr>
              <w:spacing w:after="0"/>
              <w:rPr>
                <w:sz w:val="1"/>
                <w:szCs w:val="1"/>
                <w:color w:val="auto"/>
              </w:rPr>
            </w:pPr>
          </w:p>
        </w:tc>
      </w:tr>
      <w:tr>
        <w:trPr>
          <w:trHeight w:val="266"/>
        </w:trPr>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comprehensive manner</w:t>
            </w: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231F20"/>
              </w:rPr>
              <w:t>•</w:t>
            </w: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43.4% of patients were matched to a targeted therapy when DNA seq, RNA seq,</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and immune biomarker assessment were combined, compared to 29.6% of</w:t>
            </w:r>
          </w:p>
        </w:tc>
        <w:tc>
          <w:tcPr>
            <w:tcW w:w="0" w:type="dxa"/>
            <w:vAlign w:val="bottom"/>
          </w:tcPr>
          <w:p>
            <w:pPr>
              <w:spacing w:after="0"/>
              <w:rPr>
                <w:sz w:val="1"/>
                <w:szCs w:val="1"/>
                <w:color w:val="auto"/>
              </w:rPr>
            </w:pPr>
          </w:p>
        </w:tc>
      </w:tr>
      <w:tr>
        <w:trPr>
          <w:trHeight w:val="266"/>
        </w:trPr>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patients who had a therapy match using DNA seq alone</w:t>
            </w: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231F20"/>
              </w:rPr>
              <w:t>•</w:t>
            </w: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Among patients with identified fusions, 29% more patients were identified with a</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unique clinically actionable fusion that could be matched to a targeted therapy</w:t>
            </w:r>
          </w:p>
        </w:tc>
        <w:tc>
          <w:tcPr>
            <w:tcW w:w="0" w:type="dxa"/>
            <w:vAlign w:val="bottom"/>
          </w:tcPr>
          <w:p>
            <w:pPr>
              <w:spacing w:after="0"/>
              <w:rPr>
                <w:sz w:val="1"/>
                <w:szCs w:val="1"/>
                <w:color w:val="auto"/>
              </w:rPr>
            </w:pPr>
          </w:p>
        </w:tc>
      </w:tr>
      <w:tr>
        <w:trPr>
          <w:trHeight w:val="266"/>
        </w:trPr>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when RNA seq was incorporated, compared to DNA seq alone</w:t>
            </w:r>
          </w:p>
        </w:tc>
        <w:tc>
          <w:tcPr>
            <w:tcW w:w="0" w:type="dxa"/>
            <w:vAlign w:val="bottom"/>
          </w:tcPr>
          <w:p>
            <w:pPr>
              <w:spacing w:after="0"/>
              <w:rPr>
                <w:sz w:val="1"/>
                <w:szCs w:val="1"/>
                <w:color w:val="auto"/>
              </w:rPr>
            </w:pPr>
          </w:p>
        </w:tc>
      </w:tr>
      <w:tr>
        <w:trPr>
          <w:trHeight w:val="314"/>
        </w:trPr>
        <w:tc>
          <w:tcPr>
            <w:tcW w:w="6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w w:val="94"/>
              </w:rPr>
              <w:t>2024</w:t>
            </w:r>
          </w:p>
        </w:tc>
        <w:tc>
          <w:tcPr>
            <w:tcW w:w="520" w:type="dxa"/>
            <w:vAlign w:val="bottom"/>
          </w:tcPr>
          <w:p>
            <w:pPr>
              <w:ind w:left="220"/>
              <w:spacing w:after="0"/>
              <w:rPr>
                <w:sz w:val="20"/>
                <w:szCs w:val="20"/>
                <w:color w:val="auto"/>
              </w:rPr>
            </w:pPr>
            <w:r>
              <w:rPr>
                <w:rFonts w:ascii="Arial" w:cs="Arial" w:eastAsia="Arial" w:hAnsi="Arial"/>
                <w:sz w:val="20"/>
                <w:szCs w:val="20"/>
                <w:color w:val="231F20"/>
              </w:rPr>
              <w:t>•</w:t>
            </w: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The test has an approximately 10-day quoted turnaround time</w:t>
            </w:r>
          </w:p>
        </w:tc>
        <w:tc>
          <w:tcPr>
            <w:tcW w:w="0" w:type="dxa"/>
            <w:vAlign w:val="bottom"/>
          </w:tcPr>
          <w:p>
            <w:pPr>
              <w:spacing w:after="0"/>
              <w:rPr>
                <w:sz w:val="1"/>
                <w:szCs w:val="1"/>
                <w:color w:val="auto"/>
              </w:rPr>
            </w:pPr>
          </w:p>
        </w:tc>
      </w:tr>
      <w:tr>
        <w:trPr>
          <w:trHeight w:val="230"/>
        </w:trPr>
        <w:tc>
          <w:tcPr>
            <w:tcW w:w="600" w:type="dxa"/>
            <w:vAlign w:val="bottom"/>
            <w:vMerge w:val="continue"/>
          </w:tcPr>
          <w:p>
            <w:pPr>
              <w:spacing w:after="0"/>
              <w:rPr>
                <w:sz w:val="20"/>
                <w:szCs w:val="20"/>
                <w:color w:val="auto"/>
              </w:rPr>
            </w:pPr>
          </w:p>
        </w:tc>
        <w:tc>
          <w:tcPr>
            <w:tcW w:w="520" w:type="dxa"/>
            <w:vAlign w:val="bottom"/>
            <w:vMerge w:val="restart"/>
          </w:tcPr>
          <w:p>
            <w:pPr>
              <w:ind w:left="220"/>
              <w:spacing w:after="0"/>
              <w:rPr>
                <w:sz w:val="20"/>
                <w:szCs w:val="20"/>
                <w:color w:val="auto"/>
              </w:rPr>
            </w:pPr>
            <w:r>
              <w:rPr>
                <w:rFonts w:ascii="Arial" w:cs="Arial" w:eastAsia="Arial" w:hAnsi="Arial"/>
                <w:sz w:val="20"/>
                <w:szCs w:val="20"/>
                <w:color w:val="231F20"/>
              </w:rPr>
              <w:t>•</w:t>
            </w:r>
          </w:p>
        </w:tc>
        <w:tc>
          <w:tcPr>
            <w:tcW w:w="67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Tumor-naive, plasma based assay leveraging variant and methylation workflows</w:t>
            </w:r>
          </w:p>
        </w:tc>
        <w:tc>
          <w:tcPr>
            <w:tcW w:w="0" w:type="dxa"/>
            <w:vAlign w:val="bottom"/>
          </w:tcPr>
          <w:p>
            <w:pPr>
              <w:spacing w:after="0"/>
              <w:rPr>
                <w:sz w:val="1"/>
                <w:szCs w:val="1"/>
                <w:color w:val="auto"/>
              </w:rPr>
            </w:pPr>
          </w:p>
        </w:tc>
      </w:tr>
      <w:tr>
        <w:trPr>
          <w:trHeight w:val="48"/>
        </w:trPr>
        <w:tc>
          <w:tcPr>
            <w:tcW w:w="6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 assess residual disease</w:t>
            </w: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20"/>
                <w:szCs w:val="20"/>
                <w:color w:val="231F20"/>
              </w:rPr>
              <w:t>•</w:t>
            </w: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Longitudinal clinical performance in resected stage II and III colorectal cancer</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patients demonstrated prediction of disease-free survival nearly five times</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superior to standard of care carcinoembryonic antigen (CEA) (adjusted hazard</w:t>
            </w:r>
          </w:p>
        </w:tc>
        <w:tc>
          <w:tcPr>
            <w:tcW w:w="0" w:type="dxa"/>
            <w:vAlign w:val="bottom"/>
          </w:tcPr>
          <w:p>
            <w:pPr>
              <w:spacing w:after="0"/>
              <w:rPr>
                <w:sz w:val="1"/>
                <w:szCs w:val="1"/>
                <w:color w:val="auto"/>
              </w:rPr>
            </w:pPr>
          </w:p>
        </w:tc>
      </w:tr>
      <w:tr>
        <w:trPr>
          <w:trHeight w:val="266"/>
        </w:trPr>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ratio 9.69 vs. 2.13).</w:t>
            </w:r>
          </w:p>
        </w:tc>
        <w:tc>
          <w:tcPr>
            <w:tcW w:w="0" w:type="dxa"/>
            <w:vAlign w:val="bottom"/>
          </w:tcPr>
          <w:p>
            <w:pPr>
              <w:spacing w:after="0"/>
              <w:rPr>
                <w:sz w:val="1"/>
                <w:szCs w:val="1"/>
                <w:color w:val="auto"/>
              </w:rPr>
            </w:pPr>
          </w:p>
        </w:tc>
      </w:tr>
    </w:tbl>
    <w:p>
      <w:pPr>
        <w:spacing w:after="0" w:line="95" w:lineRule="exact"/>
        <w:rPr>
          <w:sz w:val="20"/>
          <w:szCs w:val="20"/>
          <w:color w:val="auto"/>
        </w:rPr>
      </w:pPr>
    </w:p>
    <w:p>
      <w:pPr>
        <w:sectPr>
          <w:pgSz w:w="11880" w:h="15480" w:orient="portrait"/>
          <w:cols w:equalWidth="0" w:num="2">
            <w:col w:w="1540" w:space="720"/>
            <w:col w:w="8160"/>
          </w:cols>
          <w:pgMar w:left="900" w:top="796" w:right="560" w:bottom="0" w:gutter="0" w:footer="0" w:header="0"/>
        </w:sect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November 2023, we entered into a Commercialization and Reference Laboratory Agreement with Personalis, Inc., or Personalis, pursuant to which we began marketing Personalis’ Personal Dx test in the United States initially in non-small cell lung cancer and breast cancer, as well as IO treatment response monitoring. Personalis will conduct additional development activities to further analytically validate the test in other indications. Personalis will perform tests ordered by patients through us and will bill such patients or payers.</w:t>
      </w:r>
    </w:p>
    <w:p>
      <w:pPr>
        <w:spacing w:after="0" w:line="198"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231F20"/>
        </w:rPr>
        <w:t>We have long believed that incorporating clinical data in our diagnostic tests has widespread benefits, and have extensively studied the benefits of multiple modalities of data in cancer treatment. For example, as far back as 2019, we learned that combining clinical and molecular data resulted in improved therapy matching for patients in a study that we conducted, the results of which were published in Nature Bio.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81915</wp:posOffset>
            </wp:positionV>
            <wp:extent cx="5943600" cy="2752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5943600" cy="2752725"/>
                    </a:xfrm>
                    <a:prstGeom prst="rect">
                      <a:avLst/>
                    </a:prstGeom>
                    <a:noFill/>
                  </pic:spPr>
                </pic:pic>
              </a:graphicData>
            </a:graphic>
          </wp:anchor>
        </w:drawing>
      </w:r>
    </w:p>
    <w:p>
      <w:pPr>
        <w:sectPr>
          <w:pgSz w:w="11880" w:h="15480" w:orient="portrait"/>
          <w:cols w:equalWidth="0" w:num="1">
            <w:col w:w="10420"/>
          </w:cols>
          <w:pgMar w:left="900" w:top="796" w:right="5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420"/>
          </w:cols>
          <w:pgMar w:left="900" w:top="796" w:right="560" w:bottom="0" w:gutter="0" w:footer="0" w:header="0"/>
          <w:type w:val="continuous"/>
        </w:sectPr>
      </w:pPr>
    </w:p>
    <w:bookmarkStart w:id="25" w:name="page26"/>
    <w:bookmarkEnd w:id="25"/>
    <w:p>
      <w:pPr>
        <w:ind w:right="80" w:firstLine="490"/>
        <w:spacing w:after="0" w:line="257" w:lineRule="auto"/>
        <w:rPr>
          <w:sz w:val="20"/>
          <w:szCs w:val="20"/>
          <w:color w:val="auto"/>
        </w:rPr>
      </w:pPr>
      <w:r>
        <w:rPr>
          <w:rFonts w:ascii="Times New Roman" w:cs="Times New Roman" w:eastAsia="Times New Roman" w:hAnsi="Times New Roman"/>
          <w:sz w:val="20"/>
          <w:szCs w:val="20"/>
          <w:color w:val="231F20"/>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9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We have long observed similar benefits from testing across modalities.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95" w:lineRule="exact"/>
        <w:rPr>
          <w:sz w:val="20"/>
          <w:szCs w:val="20"/>
          <w:color w:val="auto"/>
        </w:rPr>
      </w:pPr>
    </w:p>
    <w:p>
      <w:pPr>
        <w:ind w:right="40" w:firstLine="490"/>
        <w:spacing w:after="0" w:line="270" w:lineRule="auto"/>
        <w:rPr>
          <w:sz w:val="20"/>
          <w:szCs w:val="20"/>
          <w:color w:val="auto"/>
        </w:rPr>
      </w:pPr>
      <w:r>
        <w:rPr>
          <w:rFonts w:ascii="Times New Roman" w:cs="Times New Roman" w:eastAsia="Times New Roman" w:hAnsi="Times New Roman"/>
          <w:sz w:val="19"/>
          <w:szCs w:val="19"/>
          <w:color w:val="231F20"/>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oncology volume rose from approximately 31,000 samples sequenced in 2018 to approximately 367,500 samples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100330</wp:posOffset>
            </wp:positionV>
            <wp:extent cx="6381750" cy="396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6381750" cy="396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Hereditary Tests</w:t>
      </w:r>
    </w:p>
    <w:p>
      <w:pPr>
        <w:spacing w:after="0" w:line="12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We have also expanded our offerings by acquiring Ambry in February 2025. Through Ambry, we offer a comprehensive menu of genetic tests focused on inherited conditions across several major clinical areas: hereditary cancer, heart conditions, neurological disorders, and rare diseases. Among other diagnostics, Ambry offers the following tests, which ordered largely by genetic counselors but increasingly by oncologists and other healthcare providers:</w:t>
      </w:r>
    </w:p>
    <w:p>
      <w:pPr>
        <w:spacing w:after="0" w:line="88" w:lineRule="exact"/>
        <w:rPr>
          <w:sz w:val="20"/>
          <w:szCs w:val="20"/>
          <w:color w:val="auto"/>
        </w:rPr>
      </w:pPr>
    </w:p>
    <w:p>
      <w:pPr>
        <w:ind w:left="980" w:right="160" w:hanging="490"/>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Single Gene Sequencing Tests that analyze a specific gene for known or suspected mutations (e.g., BRCA1/BRCA2 testing for breast cancer risk)</w:t>
      </w:r>
    </w:p>
    <w:p>
      <w:pPr>
        <w:spacing w:after="0" w:line="64"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Multigene Panels, such as CancerNext or CardioNext, that simultaneously examine multiple genes associated with a specific set of related conditions;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440"/>
          </w:cols>
          <w:pgMar w:left="900" w:top="796" w:right="540" w:bottom="0" w:gutter="0" w:footer="0" w:header="0"/>
          <w:type w:val="continuous"/>
        </w:sectPr>
      </w:pPr>
    </w:p>
    <w:bookmarkStart w:id="26" w:name="page27"/>
    <w:bookmarkEnd w:id="26"/>
    <w:p>
      <w:pPr>
        <w:ind w:left="980" w:right="460" w:hanging="490"/>
        <w:spacing w:after="0" w:line="27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Exome Sequencing, like ExomeNext, which analyzes approximately 20,000 protein-coding genes to identify the cause of undiagnosed rare or complex conditions; and</w:t>
      </w:r>
    </w:p>
    <w:p>
      <w:pPr>
        <w:spacing w:after="0" w:line="64"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Paired DNA/RNA Testing, which is branded as +RNAinsight® and analyzes both DNA and functional RNA data to provide more accurate variant classification, potentially resolving variants of uncertain significance (VUS).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lists our current hereditary test offerings:</w:t>
      </w:r>
    </w:p>
    <w:p>
      <w:pPr>
        <w:spacing w:after="0" w:line="368" w:lineRule="exact"/>
        <w:rPr>
          <w:sz w:val="20"/>
          <w:szCs w:val="20"/>
          <w:color w:val="auto"/>
        </w:rPr>
      </w:pPr>
    </w:p>
    <w:tbl>
      <w:tblPr>
        <w:tblLayout w:type="fixed"/>
        <w:tblInd w:w="1040" w:type="dxa"/>
        <w:tblCellMar>
          <w:top w:w="0" w:type="dxa"/>
          <w:left w:w="0" w:type="dxa"/>
          <w:bottom w:w="0" w:type="dxa"/>
          <w:right w:w="0" w:type="dxa"/>
        </w:tblCellMar>
      </w:tblPr>
      <w:tr>
        <w:trPr>
          <w:trHeight w:val="266"/>
        </w:trPr>
        <w:tc>
          <w:tcPr>
            <w:tcW w:w="1540" w:type="dxa"/>
            <w:vAlign w:val="bottom"/>
          </w:tcPr>
          <w:p>
            <w:pPr>
              <w:spacing w:after="0"/>
              <w:rPr>
                <w:sz w:val="20"/>
                <w:szCs w:val="20"/>
                <w:color w:val="auto"/>
              </w:rPr>
            </w:pPr>
            <w:r>
              <w:rPr>
                <w:rFonts w:ascii="Times New Roman" w:cs="Times New Roman" w:eastAsia="Times New Roman" w:hAnsi="Times New Roman"/>
                <w:sz w:val="20"/>
                <w:szCs w:val="20"/>
                <w:color w:val="231F20"/>
              </w:rPr>
              <w:t>CancerNext®</w:t>
            </w: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2012</w:t>
            </w:r>
          </w:p>
        </w:tc>
        <w:tc>
          <w:tcPr>
            <w:tcW w:w="680" w:type="dxa"/>
            <w:vAlign w:val="bottom"/>
            <w:vMerge w:val="restart"/>
          </w:tcPr>
          <w:p>
            <w:pPr>
              <w:ind w:left="380"/>
              <w:spacing w:after="0"/>
              <w:rPr>
                <w:sz w:val="20"/>
                <w:szCs w:val="20"/>
                <w:color w:val="auto"/>
              </w:rPr>
            </w:pPr>
            <w:r>
              <w:rPr>
                <w:rFonts w:ascii="Arial" w:cs="Arial" w:eastAsia="Arial" w:hAnsi="Arial"/>
                <w:sz w:val="20"/>
                <w:szCs w:val="20"/>
                <w:color w:val="231F20"/>
              </w:rPr>
              <w:t>•</w:t>
            </w:r>
          </w:p>
        </w:tc>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Guideline-based, pan-cancer test, testing 40 genes, which</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covers the most common hereditary cancer types,</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including hereditary breast, ovarian, pancreatic, prostate,</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colorectal/polyps, endometrial, gastric, small bowel,</w:t>
            </w:r>
          </w:p>
        </w:tc>
        <w:tc>
          <w:tcPr>
            <w:tcW w:w="0" w:type="dxa"/>
            <w:vAlign w:val="bottom"/>
          </w:tcPr>
          <w:p>
            <w:pPr>
              <w:spacing w:after="0"/>
              <w:rPr>
                <w:sz w:val="1"/>
                <w:szCs w:val="1"/>
                <w:color w:val="auto"/>
              </w:rPr>
            </w:pPr>
          </w:p>
        </w:tc>
      </w:tr>
      <w:tr>
        <w:trPr>
          <w:trHeight w:val="266"/>
        </w:trPr>
        <w:tc>
          <w:tcPr>
            <w:tcW w:w="1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urothelial, and renal cancers</w:t>
            </w:r>
          </w:p>
        </w:tc>
        <w:tc>
          <w:tcPr>
            <w:tcW w:w="0" w:type="dxa"/>
            <w:vAlign w:val="bottom"/>
          </w:tcPr>
          <w:p>
            <w:pPr>
              <w:spacing w:after="0"/>
              <w:rPr>
                <w:sz w:val="1"/>
                <w:szCs w:val="1"/>
                <w:color w:val="auto"/>
              </w:rPr>
            </w:pPr>
          </w:p>
        </w:tc>
      </w:tr>
      <w:tr>
        <w:trPr>
          <w:trHeight w:val="328"/>
        </w:trPr>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ind w:left="380"/>
              <w:spacing w:after="0"/>
              <w:rPr>
                <w:sz w:val="20"/>
                <w:szCs w:val="20"/>
                <w:color w:val="auto"/>
              </w:rPr>
            </w:pPr>
            <w:r>
              <w:rPr>
                <w:rFonts w:ascii="Arial" w:cs="Arial" w:eastAsia="Arial" w:hAnsi="Arial"/>
                <w:sz w:val="20"/>
                <w:szCs w:val="20"/>
                <w:color w:val="231F20"/>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The test has an approximately 14-21-day quoted</w:t>
            </w:r>
          </w:p>
        </w:tc>
        <w:tc>
          <w:tcPr>
            <w:tcW w:w="0" w:type="dxa"/>
            <w:vAlign w:val="bottom"/>
          </w:tcPr>
          <w:p>
            <w:pPr>
              <w:spacing w:after="0"/>
              <w:rPr>
                <w:sz w:val="1"/>
                <w:szCs w:val="1"/>
                <w:color w:val="auto"/>
              </w:rPr>
            </w:pPr>
          </w:p>
        </w:tc>
      </w:tr>
      <w:tr>
        <w:trPr>
          <w:trHeight w:val="266"/>
        </w:trPr>
        <w:tc>
          <w:tcPr>
            <w:tcW w:w="15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CancerNext-</w:t>
            </w:r>
          </w:p>
        </w:tc>
        <w:tc>
          <w:tcPr>
            <w:tcW w:w="124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color w:val="231F20"/>
              </w:rPr>
              <w:t>2014</w:t>
            </w:r>
          </w:p>
        </w:tc>
        <w:tc>
          <w:tcPr>
            <w:tcW w:w="680" w:type="dxa"/>
            <w:vAlign w:val="bottom"/>
          </w:tcPr>
          <w:p>
            <w:pPr>
              <w:spacing w:after="0"/>
              <w:rPr>
                <w:sz w:val="23"/>
                <w:szCs w:val="2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turnaround time</w:t>
            </w:r>
          </w:p>
        </w:tc>
        <w:tc>
          <w:tcPr>
            <w:tcW w:w="0" w:type="dxa"/>
            <w:vAlign w:val="bottom"/>
          </w:tcPr>
          <w:p>
            <w:pPr>
              <w:spacing w:after="0"/>
              <w:rPr>
                <w:sz w:val="1"/>
                <w:szCs w:val="1"/>
                <w:color w:val="auto"/>
              </w:rPr>
            </w:pPr>
          </w:p>
        </w:tc>
      </w:tr>
      <w:tr>
        <w:trPr>
          <w:trHeight w:val="194"/>
        </w:trPr>
        <w:tc>
          <w:tcPr>
            <w:tcW w:w="15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680" w:type="dxa"/>
            <w:vAlign w:val="bottom"/>
            <w:vMerge w:val="restart"/>
          </w:tcPr>
          <w:p>
            <w:pPr>
              <w:ind w:left="380"/>
              <w:spacing w:after="0"/>
              <w:rPr>
                <w:sz w:val="20"/>
                <w:szCs w:val="20"/>
                <w:color w:val="auto"/>
              </w:rPr>
            </w:pPr>
            <w:r>
              <w:rPr>
                <w:rFonts w:ascii="Arial" w:cs="Arial" w:eastAsia="Arial" w:hAnsi="Arial"/>
                <w:sz w:val="20"/>
                <w:szCs w:val="20"/>
                <w:color w:val="231F20"/>
              </w:rPr>
              <w:t>•</w:t>
            </w:r>
          </w:p>
        </w:tc>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Comprehensive, pan-cancer test for hereditary cancer</w:t>
            </w:r>
          </w:p>
        </w:tc>
        <w:tc>
          <w:tcPr>
            <w:tcW w:w="0" w:type="dxa"/>
            <w:vAlign w:val="bottom"/>
          </w:tcPr>
          <w:p>
            <w:pPr>
              <w:spacing w:after="0"/>
              <w:rPr>
                <w:sz w:val="1"/>
                <w:szCs w:val="1"/>
                <w:color w:val="auto"/>
              </w:rPr>
            </w:pPr>
          </w:p>
        </w:tc>
      </w:tr>
      <w:tr>
        <w:trPr>
          <w:trHeight w:val="134"/>
        </w:trPr>
        <w:tc>
          <w:tcPr>
            <w:tcW w:w="15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Expanded®</w:t>
            </w:r>
          </w:p>
        </w:tc>
        <w:tc>
          <w:tcPr>
            <w:tcW w:w="1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4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predisposition, testing 77 genes, including those</w:t>
            </w:r>
          </w:p>
        </w:tc>
        <w:tc>
          <w:tcPr>
            <w:tcW w:w="0" w:type="dxa"/>
            <w:vAlign w:val="bottom"/>
          </w:tcPr>
          <w:p>
            <w:pPr>
              <w:spacing w:after="0"/>
              <w:rPr>
                <w:sz w:val="1"/>
                <w:szCs w:val="1"/>
                <w:color w:val="auto"/>
              </w:rPr>
            </w:pPr>
          </w:p>
        </w:tc>
      </w:tr>
      <w:tr>
        <w:trPr>
          <w:trHeight w:val="98"/>
        </w:trPr>
        <w:tc>
          <w:tcPr>
            <w:tcW w:w="1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associated with a wide range of hereditary cancers such as</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breast, ovarian, uterine, colorectal, gastric, pancreatic,</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prostate, melanoma, renal, central nervous system tumors,</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pheochromocytoma/paraganglioma, hematologic</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malignancy, and other rare cancer predisposition</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conditions. Optional add-ons are available for pancreatitis</w:t>
            </w:r>
          </w:p>
        </w:tc>
        <w:tc>
          <w:tcPr>
            <w:tcW w:w="0" w:type="dxa"/>
            <w:vAlign w:val="bottom"/>
          </w:tcPr>
          <w:p>
            <w:pPr>
              <w:spacing w:after="0"/>
              <w:rPr>
                <w:sz w:val="1"/>
                <w:szCs w:val="1"/>
                <w:color w:val="auto"/>
              </w:rPr>
            </w:pPr>
          </w:p>
        </w:tc>
      </w:tr>
      <w:tr>
        <w:trPr>
          <w:trHeight w:val="266"/>
        </w:trPr>
        <w:tc>
          <w:tcPr>
            <w:tcW w:w="1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genes and/or limited evidence genes</w:t>
            </w:r>
          </w:p>
        </w:tc>
        <w:tc>
          <w:tcPr>
            <w:tcW w:w="0" w:type="dxa"/>
            <w:vAlign w:val="bottom"/>
          </w:tcPr>
          <w:p>
            <w:pPr>
              <w:spacing w:after="0"/>
              <w:rPr>
                <w:sz w:val="1"/>
                <w:szCs w:val="1"/>
                <w:color w:val="auto"/>
              </w:rPr>
            </w:pPr>
          </w:p>
        </w:tc>
      </w:tr>
      <w:tr>
        <w:trPr>
          <w:trHeight w:val="328"/>
        </w:trPr>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ind w:left="380"/>
              <w:spacing w:after="0"/>
              <w:rPr>
                <w:sz w:val="20"/>
                <w:szCs w:val="20"/>
                <w:color w:val="auto"/>
              </w:rPr>
            </w:pPr>
            <w:r>
              <w:rPr>
                <w:rFonts w:ascii="Arial" w:cs="Arial" w:eastAsia="Arial" w:hAnsi="Arial"/>
                <w:sz w:val="20"/>
                <w:szCs w:val="20"/>
                <w:color w:val="231F20"/>
              </w:rPr>
              <w:t>•</w:t>
            </w: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The test has an approximately 14-21-day quoted</w:t>
            </w:r>
          </w:p>
        </w:tc>
        <w:tc>
          <w:tcPr>
            <w:tcW w:w="0" w:type="dxa"/>
            <w:vAlign w:val="bottom"/>
          </w:tcPr>
          <w:p>
            <w:pPr>
              <w:spacing w:after="0"/>
              <w:rPr>
                <w:sz w:val="1"/>
                <w:szCs w:val="1"/>
                <w:color w:val="auto"/>
              </w:rPr>
            </w:pPr>
          </w:p>
        </w:tc>
      </w:tr>
      <w:tr>
        <w:trPr>
          <w:trHeight w:val="266"/>
        </w:trPr>
        <w:tc>
          <w:tcPr>
            <w:tcW w:w="1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turnaround time</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Neuropsychiatry Tests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entered neuropsychiatry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282" w:lineRule="exact"/>
        <w:rPr>
          <w:sz w:val="20"/>
          <w:szCs w:val="20"/>
          <w:color w:val="auto"/>
        </w:rPr>
      </w:pPr>
    </w:p>
    <w:p>
      <w:pPr>
        <w:ind w:left="1040"/>
        <w:spacing w:after="0"/>
        <w:tabs>
          <w:tab w:leader="none" w:pos="2700" w:val="left"/>
          <w:tab w:leader="none" w:pos="3260" w:val="left"/>
          <w:tab w:leader="none" w:pos="3740" w:val="left"/>
        </w:tabs>
        <w:rPr>
          <w:sz w:val="20"/>
          <w:szCs w:val="20"/>
          <w:color w:val="auto"/>
        </w:rPr>
      </w:pPr>
      <w:r>
        <w:rPr>
          <w:rFonts w:ascii="Times New Roman" w:cs="Times New Roman" w:eastAsia="Times New Roman" w:hAnsi="Times New Roman"/>
          <w:sz w:val="20"/>
          <w:szCs w:val="20"/>
          <w:color w:val="231F20"/>
        </w:rPr>
        <w:t>Tempus|nP</w:t>
      </w:r>
      <w:r>
        <w:rPr>
          <w:sz w:val="20"/>
          <w:szCs w:val="20"/>
          <w:color w:val="auto"/>
        </w:rPr>
        <w:tab/>
      </w:r>
      <w:r>
        <w:rPr>
          <w:rFonts w:ascii="Times New Roman" w:cs="Times New Roman" w:eastAsia="Times New Roman" w:hAnsi="Times New Roman"/>
          <w:sz w:val="20"/>
          <w:szCs w:val="20"/>
          <w:color w:val="231F20"/>
        </w:rPr>
        <w:t>2019</w:t>
        <w:tab/>
        <w:t>•</w:t>
      </w:r>
      <w:r>
        <w:rPr>
          <w:sz w:val="20"/>
          <w:szCs w:val="20"/>
          <w:color w:val="auto"/>
        </w:rPr>
        <w:tab/>
      </w:r>
      <w:r>
        <w:rPr>
          <w:rFonts w:ascii="Times New Roman" w:cs="Times New Roman" w:eastAsia="Times New Roman" w:hAnsi="Times New Roman"/>
          <w:sz w:val="19"/>
          <w:szCs w:val="19"/>
          <w:color w:val="231F20"/>
        </w:rPr>
        <w:t>Pharmacogenomic profiling for patients with psychiatric conditions;</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231F20"/>
        </w:rPr>
        <w:t>primarily used for depression</w:t>
      </w:r>
    </w:p>
    <w:p>
      <w:pPr>
        <w:spacing w:after="0" w:line="110" w:lineRule="exact"/>
        <w:rPr>
          <w:sz w:val="20"/>
          <w:szCs w:val="20"/>
          <w:color w:val="auto"/>
        </w:rPr>
      </w:pPr>
    </w:p>
    <w:p>
      <w:pPr>
        <w:ind w:left="3280"/>
        <w:spacing w:after="0"/>
        <w:tabs>
          <w:tab w:leader="none" w:pos="374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Covers 13 validated genes with known roles in pharmacokinetics,</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231F20"/>
        </w:rPr>
        <w:t>pharmacodynamics, and immune response to FDA approved</w:t>
      </w:r>
    </w:p>
    <w:p>
      <w:pPr>
        <w:ind w:left="3760"/>
        <w:spacing w:after="0"/>
        <w:rPr>
          <w:sz w:val="20"/>
          <w:szCs w:val="20"/>
          <w:color w:val="auto"/>
        </w:rPr>
      </w:pPr>
      <w:r>
        <w:rPr>
          <w:rFonts w:ascii="Times New Roman" w:cs="Times New Roman" w:eastAsia="Times New Roman" w:hAnsi="Times New Roman"/>
          <w:sz w:val="20"/>
          <w:szCs w:val="20"/>
          <w:color w:val="231F20"/>
        </w:rPr>
        <w:t>medications that may be prescribed in the neuropsychiatric space</w:t>
      </w:r>
    </w:p>
    <w:p>
      <w:pPr>
        <w:spacing w:after="0" w:line="110" w:lineRule="exact"/>
        <w:rPr>
          <w:sz w:val="20"/>
          <w:szCs w:val="20"/>
          <w:color w:val="auto"/>
        </w:rPr>
      </w:pPr>
    </w:p>
    <w:p>
      <w:pPr>
        <w:ind w:left="3280"/>
        <w:spacing w:after="0"/>
        <w:tabs>
          <w:tab w:leader="none" w:pos="374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Uses matrix-assisted laser desorption ionization-time of flight</w:t>
      </w:r>
    </w:p>
    <w:p>
      <w:pPr>
        <w:spacing w:after="0" w:line="28" w:lineRule="exact"/>
        <w:rPr>
          <w:sz w:val="20"/>
          <w:szCs w:val="20"/>
          <w:color w:val="auto"/>
        </w:rPr>
      </w:pPr>
    </w:p>
    <w:p>
      <w:pPr>
        <w:ind w:left="3760" w:right="1040"/>
        <w:spacing w:after="0" w:line="242" w:lineRule="auto"/>
        <w:rPr>
          <w:sz w:val="20"/>
          <w:szCs w:val="20"/>
          <w:color w:val="auto"/>
        </w:rPr>
      </w:pPr>
      <w:r>
        <w:rPr>
          <w:rFonts w:ascii="Times New Roman" w:cs="Times New Roman" w:eastAsia="Times New Roman" w:hAnsi="Times New Roman"/>
          <w:sz w:val="20"/>
          <w:szCs w:val="20"/>
          <w:color w:val="231F20"/>
        </w:rPr>
        <w:t>(MALDI-TOF) mass spectrometry to analyze 80 single nucleotide and small insertion-deletion (indel) variants in the 13 genes. Concurrently, DNA fragment analysis is used to analyze copy number variants in CYP2D6 and a large indel in the SLC6A4 promoter</w:t>
      </w:r>
    </w:p>
    <w:p>
      <w:pPr>
        <w:spacing w:after="0" w:line="260" w:lineRule="exact"/>
        <w:rPr>
          <w:sz w:val="20"/>
          <w:szCs w:val="20"/>
          <w:color w:val="auto"/>
        </w:rPr>
      </w:pPr>
    </w:p>
    <w:p>
      <w:pPr>
        <w:ind w:right="180" w:firstLine="490"/>
        <w:spacing w:after="0" w:line="287" w:lineRule="auto"/>
        <w:rPr>
          <w:sz w:val="20"/>
          <w:szCs w:val="20"/>
          <w:color w:val="auto"/>
        </w:rPr>
      </w:pPr>
      <w:r>
        <w:rPr>
          <w:rFonts w:ascii="Times New Roman" w:cs="Times New Roman" w:eastAsia="Times New Roman" w:hAnsi="Times New Roman"/>
          <w:sz w:val="20"/>
          <w:szCs w:val="20"/>
          <w:color w:val="231F20"/>
        </w:rPr>
        <w:t>As we continue to advance the field of psychiatric medicine, we believe our Platform is well suited to extend to additional neurological conditions beyond depression, anxiety, and bipolar disorder.</w:t>
      </w:r>
    </w:p>
    <w:p>
      <w:pPr>
        <w:sectPr>
          <w:pgSz w:w="11880" w:h="15480" w:orient="portrait"/>
          <w:cols w:equalWidth="0" w:num="1">
            <w:col w:w="10440"/>
          </w:cols>
          <w:pgMar w:left="900" w:top="8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440"/>
          </w:cols>
          <w:pgMar w:left="900" w:top="810" w:right="5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231F20"/>
        </w:rPr>
        <w:t>Data and applications</w:t>
      </w:r>
    </w:p>
    <w:p>
      <w:pPr>
        <w:spacing w:after="0" w:line="12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231F20"/>
        </w:rPr>
        <w:t>Our Data and applications product line consists of Insights, our data-centric product, and a suite of Applications, the primary offerings of which include Trials, Next and Algos. Our Insights product helps facilitate drug discovery and development for life sciences companies and includes, among other capabilities, a tumor-derived biological modeling (or organoid) laboratory, that enables us to provide modeling and screening services to our pharmaceutical and biotech clients. In addition, we offer a series of Applications that leverage AI to advance precision medicine across the healthcare ecosystem. For example, our Trials product identifies patients who may benefit from additional treatment or participation in clinical trials. Our Next product is an AI platform that leverages machine learning to apply an "intelligent layer" onto routinely generated data to proactively identify and minimize care gaps for oncology and cardiology patients. Finally, Algos are purely algorithmic diagnostic tests,developed and deployed based on associations and biomarkers identified through our rich, multi-modal dataset.</w:t>
      </w:r>
    </w:p>
    <w:p>
      <w:pPr>
        <w:spacing w:after="0" w:line="202"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One way we measure our data business is based on the remaining total contract value, or the Remaining TCV, that is contractually committed to be delivered in the future. As of December 31, 2025, we have signed contracts with a Remaining TCV of more than $1.1 billion, which includes approximately $300.0 million in 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AB, or AstraZeneca, and GlaxoSmithKline, or GSK, which, although listed under the Data and applications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Insights</w:t>
      </w:r>
    </w:p>
    <w:p>
      <w:pPr>
        <w:spacing w:after="0" w:line="120"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231F20"/>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near-real time across multiple modalities and multiple disease areas, allowing us to work with pharmaceutical and biotechnology companies across the drug lifecycle—from discovery, research and development, and, ultimately, commercialization.</w:t>
      </w:r>
    </w:p>
    <w:p>
      <w:pPr>
        <w:spacing w:after="0" w:line="243"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231F20"/>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2024 revenue.</w:t>
      </w:r>
    </w:p>
    <w:p>
      <w:pPr>
        <w:spacing w:after="0" w:line="195"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231F20"/>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440"/>
          </w:cols>
          <w:pgMar w:left="900" w:top="796" w:right="540" w:bottom="0" w:gutter="0" w:footer="0" w:header="0"/>
          <w:type w:val="continuous"/>
        </w:sectPr>
      </w:pPr>
    </w:p>
    <w:bookmarkStart w:id="28" w:name="page29"/>
    <w:bookmarkEnd w:id="28"/>
    <w:p>
      <w:pPr>
        <w:ind w:right="520"/>
        <w:spacing w:after="0" w:line="287" w:lineRule="auto"/>
        <w:rPr>
          <w:sz w:val="20"/>
          <w:szCs w:val="20"/>
          <w:color w:val="auto"/>
        </w:rPr>
      </w:pPr>
      <w:r>
        <w:rPr>
          <w:rFonts w:ascii="Times New Roman" w:cs="Times New Roman" w:eastAsia="Times New Roman" w:hAnsi="Times New Roman"/>
          <w:sz w:val="20"/>
          <w:szCs w:val="20"/>
          <w:color w:val="231F20"/>
        </w:rPr>
        <w:t>comparable to such other metrics. For the year ended December 31, 2025, Net Revenue Retention was approximately 126% compared to the same cohort of customers for the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125095</wp:posOffset>
            </wp:positionV>
            <wp:extent cx="6238875" cy="3000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62388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231F20"/>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204"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20"/>
          <w:szCs w:val="20"/>
          <w:color w:val="231F20"/>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Tumor Derived Biological Modeling—Organoids</w:t>
      </w:r>
    </w:p>
    <w:p>
      <w:pPr>
        <w:spacing w:after="0" w:line="12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231F20"/>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6,500 tumor samples to date.</w:t>
      </w:r>
    </w:p>
    <w:p>
      <w:pPr>
        <w:spacing w:after="0" w:line="208" w:lineRule="exact"/>
        <w:rPr>
          <w:sz w:val="20"/>
          <w:szCs w:val="20"/>
          <w:color w:val="auto"/>
        </w:rPr>
      </w:pPr>
    </w:p>
    <w:p>
      <w:pPr>
        <w:ind w:right="140" w:firstLine="490"/>
        <w:spacing w:after="0" w:line="262" w:lineRule="auto"/>
        <w:rPr>
          <w:sz w:val="20"/>
          <w:szCs w:val="20"/>
          <w:color w:val="auto"/>
        </w:rPr>
      </w:pPr>
      <w:r>
        <w:rPr>
          <w:rFonts w:ascii="Times New Roman" w:cs="Times New Roman" w:eastAsia="Times New Roman" w:hAnsi="Times New Roman"/>
          <w:sz w:val="20"/>
          <w:szCs w:val="20"/>
          <w:color w:val="231F20"/>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440"/>
          </w:cols>
          <w:pgMar w:left="900" w:top="796" w:right="540" w:bottom="0" w:gutter="0" w:footer="0" w:header="0"/>
          <w:type w:val="continuous"/>
        </w:sectPr>
      </w:pPr>
    </w:p>
    <w:bookmarkStart w:id="29" w:name="page30"/>
    <w:bookmarkEnd w:id="29"/>
    <w:p>
      <w:pPr>
        <w:ind w:right="420" w:firstLine="490"/>
        <w:spacing w:after="0" w:line="268" w:lineRule="auto"/>
        <w:rPr>
          <w:sz w:val="20"/>
          <w:szCs w:val="20"/>
          <w:color w:val="auto"/>
        </w:rPr>
      </w:pPr>
      <w:r>
        <w:rPr>
          <w:rFonts w:ascii="Times New Roman" w:cs="Times New Roman" w:eastAsia="Times New Roman" w:hAnsi="Times New Roman"/>
          <w:sz w:val="20"/>
          <w:szCs w:val="20"/>
          <w:color w:val="231F20"/>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Applications</w:t>
      </w:r>
    </w:p>
    <w:p>
      <w:pPr>
        <w:spacing w:after="0" w:line="120" w:lineRule="exact"/>
        <w:rPr>
          <w:sz w:val="20"/>
          <w:szCs w:val="20"/>
          <w:color w:val="auto"/>
        </w:rPr>
      </w:pPr>
    </w:p>
    <w:p>
      <w:pPr>
        <w:ind w:right="320" w:firstLine="490"/>
        <w:spacing w:after="0" w:line="287" w:lineRule="auto"/>
        <w:rPr>
          <w:sz w:val="20"/>
          <w:szCs w:val="20"/>
          <w:color w:val="auto"/>
        </w:rPr>
      </w:pPr>
      <w:r>
        <w:rPr>
          <w:rFonts w:ascii="Times New Roman" w:cs="Times New Roman" w:eastAsia="Times New Roman" w:hAnsi="Times New Roman"/>
          <w:sz w:val="20"/>
          <w:szCs w:val="20"/>
          <w:color w:val="231F20"/>
        </w:rPr>
        <w:t>We offer a series of Applications, most of which leverage AI, to both advance precision medicine research and optimize patient care. We describe some of our primary Applications below.</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Trials</w:t>
      </w:r>
    </w:p>
    <w:p>
      <w:pPr>
        <w:spacing w:after="0" w:line="120" w:lineRule="exact"/>
        <w:rPr>
          <w:sz w:val="20"/>
          <w:szCs w:val="20"/>
          <w:color w:val="auto"/>
        </w:rPr>
      </w:pPr>
    </w:p>
    <w:p>
      <w:pPr>
        <w:ind w:right="180" w:firstLine="490"/>
        <w:spacing w:after="0" w:line="255" w:lineRule="auto"/>
        <w:rPr>
          <w:sz w:val="20"/>
          <w:szCs w:val="20"/>
          <w:color w:val="auto"/>
        </w:rPr>
      </w:pPr>
      <w:r>
        <w:rPr>
          <w:rFonts w:ascii="Times New Roman" w:cs="Times New Roman" w:eastAsia="Times New Roman" w:hAnsi="Times New Roman"/>
          <w:sz w:val="20"/>
          <w:szCs w:val="20"/>
          <w:color w:val="231F20"/>
        </w:rPr>
        <w:t>Our Trials offering leverages the broad network of physicians we work with in oncology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w:t>
      </w:r>
    </w:p>
    <w:p>
      <w:pPr>
        <w:spacing w:after="0" w:line="20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w:t>
      </w:r>
    </w:p>
    <w:p>
      <w:pPr>
        <w:spacing w:after="0" w:line="7" w:lineRule="exact"/>
        <w:rPr>
          <w:sz w:val="20"/>
          <w:szCs w:val="20"/>
          <w:color w:val="auto"/>
        </w:rPr>
      </w:pPr>
    </w:p>
    <w:p>
      <w:pPr>
        <w:ind w:right="320"/>
        <w:spacing w:after="0" w:line="259" w:lineRule="auto"/>
        <w:tabs>
          <w:tab w:leader="none" w:pos="35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direct pipelines allowing data to be transferred to and from the laboratory and provider; and (iv) an analytic engine able to stratify patients and follow each unique patient journey ensuring that patients actually enroll in the studies.</w:t>
      </w:r>
    </w:p>
    <w:p>
      <w:pPr>
        <w:spacing w:after="0" w:line="195" w:lineRule="exact"/>
        <w:rPr>
          <w:sz w:val="20"/>
          <w:szCs w:val="20"/>
          <w:color w:val="auto"/>
        </w:rPr>
      </w:pPr>
    </w:p>
    <w:p>
      <w:pPr>
        <w:ind w:right="60" w:firstLine="490"/>
        <w:spacing w:after="0" w:line="280" w:lineRule="auto"/>
        <w:rPr>
          <w:sz w:val="20"/>
          <w:szCs w:val="20"/>
          <w:color w:val="auto"/>
        </w:rPr>
      </w:pPr>
      <w:r>
        <w:rPr>
          <w:rFonts w:ascii="Times New Roman" w:cs="Times New Roman" w:eastAsia="Times New Roman" w:hAnsi="Times New Roman"/>
          <w:sz w:val="19"/>
          <w:szCs w:val="19"/>
          <w:color w:val="231F20"/>
        </w:rPr>
        <w:t>Our clinical trial matching offering is called the TIME Trial® program, which we launched in June of 2019. Since its introduction, this program continues to gain significant traction with more than 1,400 clinical trials signed into the network. More than 40,000 patients were identified for potential enrollment into clinical trials in our network as of December 31, 2025. We believe the breadth of our network, the data to which we have near real-time access, and our relationships with oncologists enable</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440"/>
          </w:cols>
          <w:pgMar w:left="900" w:top="796" w:right="540" w:bottom="0" w:gutter="0" w:footer="0" w:header="0"/>
          <w:type w:val="continuous"/>
        </w:sectPr>
      </w:pPr>
    </w:p>
    <w:bookmarkStart w:id="30" w:name="page31"/>
    <w:bookmarkEnd w:id="30"/>
    <w:p>
      <w:pPr>
        <w:ind w:right="120"/>
        <w:spacing w:after="0" w:line="287" w:lineRule="auto"/>
        <w:rPr>
          <w:sz w:val="20"/>
          <w:szCs w:val="20"/>
          <w:color w:val="auto"/>
        </w:rPr>
      </w:pPr>
      <w:r>
        <w:rPr>
          <w:rFonts w:ascii="Times New Roman" w:cs="Times New Roman" w:eastAsia="Times New Roman" w:hAnsi="Times New Roman"/>
          <w:sz w:val="20"/>
          <w:szCs w:val="20"/>
          <w:color w:val="231F20"/>
        </w:rPr>
        <w:t>us to offer a clinical trial matching service that has the potential to materially expand patient access to and accelerate enrollment in clinical trials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151130</wp:posOffset>
            </wp:positionV>
            <wp:extent cx="6210300" cy="3486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6210300" cy="348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10 days on average in 2025.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163830</wp:posOffset>
            </wp:positionV>
            <wp:extent cx="5943600" cy="3171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5943600" cy="3171825"/>
                    </a:xfrm>
                    <a:prstGeom prst="rect">
                      <a:avLst/>
                    </a:prstGeom>
                    <a:noFill/>
                  </pic:spPr>
                </pic:pic>
              </a:graphicData>
            </a:graphic>
          </wp:anchor>
        </w:drawing>
      </w:r>
    </w:p>
    <w:p>
      <w:pPr>
        <w:sectPr>
          <w:pgSz w:w="11880" w:h="15480" w:orient="portrait"/>
          <w:cols w:equalWidth="0" w:num="1">
            <w:col w:w="10380"/>
          </w:cols>
          <w:pgMar w:left="900" w:top="79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380"/>
          </w:cols>
          <w:pgMar w:left="900" w:top="796" w:right="600" w:bottom="0" w:gutter="0" w:footer="0" w:header="0"/>
          <w:type w:val="continuous"/>
        </w:sectPr>
      </w:pPr>
    </w:p>
    <w:bookmarkStart w:id="31" w:name="page32"/>
    <w:bookmarkEnd w:id="31"/>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Next</w:t>
      </w:r>
    </w:p>
    <w:p>
      <w:pPr>
        <w:spacing w:after="0" w:line="12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231F20"/>
        </w:rPr>
        <w:t>Our Next application is an AI platform that leverages machine learning to apply an “intelligent layer” on top of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the Next application can monitor clinical data in real-time to identify patients suffering from non-small cell lung cancer (NSCLC) who have not received testing to identify potential EGFR mutations, a biomarker that could help determine an appropriate course of treatment. In the cardiology space, Next can help identify patients who might be at higher risk of atrial fibrillation through the use of an FDA-cleared algorithmic diagnostic. We discuss further below some of our other algorithmic diagnostic tests in cardiology. The ultimate goal of Next is to leverage AI to identify and close care gaps wherever they might exist to ensure each patient is receiving the appropriate care at the appropriate time.</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Algos</w:t>
      </w:r>
    </w:p>
    <w:p>
      <w:pPr>
        <w:spacing w:after="0" w:line="120" w:lineRule="exact"/>
        <w:rPr>
          <w:sz w:val="20"/>
          <w:szCs w:val="20"/>
          <w:color w:val="auto"/>
        </w:rPr>
      </w:pPr>
    </w:p>
    <w:p>
      <w:pPr>
        <w:ind w:right="180" w:firstLine="490"/>
        <w:spacing w:after="0" w:line="288" w:lineRule="auto"/>
        <w:rPr>
          <w:sz w:val="20"/>
          <w:szCs w:val="20"/>
          <w:color w:val="auto"/>
        </w:rPr>
      </w:pPr>
      <w:r>
        <w:rPr>
          <w:rFonts w:ascii="Times New Roman" w:cs="Times New Roman" w:eastAsia="Times New Roman" w:hAnsi="Times New Roman"/>
          <w:sz w:val="19"/>
          <w:szCs w:val="19"/>
          <w:color w:val="231F20"/>
        </w:rPr>
        <w:t>The vastness of our dataset, along with our connected platform, creates an opportunity to use data to algorithmically diagnose and treat patients. For example, we are focused on developing and providing diagnostics that are wholly algorithmic in nature, as well as implementing new software as a medical device, and building and deploying clinical decision support tools.</w:t>
      </w:r>
    </w:p>
    <w:p>
      <w:pPr>
        <w:spacing w:after="0" w:line="171"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231F20"/>
        </w:rPr>
        <w:t>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using sophisticated analytical tools.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218"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20"/>
          <w:szCs w:val="20"/>
          <w:color w:val="231F20"/>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Our Oncology Algos</w:t>
      </w:r>
    </w:p>
    <w:p>
      <w:pPr>
        <w:spacing w:after="0" w:line="120"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231F20"/>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December 31, 2025, more than 123,000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25" w:lineRule="exact"/>
        <w:rPr>
          <w:sz w:val="20"/>
          <w:szCs w:val="20"/>
          <w:color w:val="auto"/>
        </w:rPr>
      </w:pPr>
    </w:p>
    <w:p>
      <w:pPr>
        <w:spacing w:after="0"/>
        <w:tabs>
          <w:tab w:leader="none" w:pos="3640" w:val="left"/>
          <w:tab w:leader="none" w:pos="5040" w:val="left"/>
        </w:tabs>
        <w:rPr>
          <w:sz w:val="20"/>
          <w:szCs w:val="20"/>
          <w:color w:val="auto"/>
        </w:rPr>
      </w:pPr>
      <w:r>
        <w:rPr>
          <w:rFonts w:ascii="Times New Roman" w:cs="Times New Roman" w:eastAsia="Times New Roman" w:hAnsi="Times New Roman"/>
          <w:sz w:val="20"/>
          <w:szCs w:val="20"/>
          <w:b w:val="1"/>
          <w:bCs w:val="1"/>
          <w:color w:val="231F20"/>
        </w:rPr>
        <w:t>Algo</w:t>
      </w:r>
      <w:r>
        <w:rPr>
          <w:sz w:val="20"/>
          <w:szCs w:val="20"/>
          <w:color w:val="auto"/>
        </w:rPr>
        <w:tab/>
      </w:r>
      <w:r>
        <w:rPr>
          <w:rFonts w:ascii="Times New Roman" w:cs="Times New Roman" w:eastAsia="Times New Roman" w:hAnsi="Times New Roman"/>
          <w:sz w:val="20"/>
          <w:szCs w:val="20"/>
          <w:b w:val="1"/>
          <w:bCs w:val="1"/>
          <w:color w:val="231F20"/>
        </w:rPr>
        <w:t>Launch Year</w:t>
      </w:r>
      <w:r>
        <w:rPr>
          <w:sz w:val="20"/>
          <w:szCs w:val="20"/>
          <w:color w:val="auto"/>
        </w:rPr>
        <w:tab/>
      </w:r>
      <w:r>
        <w:rPr>
          <w:rFonts w:ascii="Times New Roman" w:cs="Times New Roman" w:eastAsia="Times New Roman" w:hAnsi="Times New Roman"/>
          <w:sz w:val="19"/>
          <w:szCs w:val="19"/>
          <w:b w:val="1"/>
          <w:bCs w:val="1"/>
          <w:color w:val="231F20"/>
        </w:rPr>
        <w:t>Description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Oncology</w:t>
      </w:r>
    </w:p>
    <w:p>
      <w:pPr>
        <w:spacing w:after="0" w:line="43" w:lineRule="exact"/>
        <w:rPr>
          <w:sz w:val="20"/>
          <w:szCs w:val="20"/>
          <w:color w:val="auto"/>
        </w:rPr>
      </w:pPr>
    </w:p>
    <w:p>
      <w:pPr>
        <w:spacing w:after="0"/>
        <w:tabs>
          <w:tab w:leader="none" w:pos="4480" w:val="left"/>
          <w:tab w:leader="none" w:pos="5500" w:val="left"/>
        </w:tabs>
        <w:rPr>
          <w:sz w:val="20"/>
          <w:szCs w:val="20"/>
          <w:color w:val="auto"/>
        </w:rPr>
      </w:pPr>
      <w:r>
        <w:rPr>
          <w:rFonts w:ascii="Times New Roman" w:cs="Times New Roman" w:eastAsia="Times New Roman" w:hAnsi="Times New Roman"/>
          <w:sz w:val="20"/>
          <w:szCs w:val="20"/>
          <w:color w:val="231F20"/>
        </w:rPr>
        <w:t>Tumor Origin (“TO”) Test</w:t>
      </w:r>
      <w:r>
        <w:rPr>
          <w:sz w:val="20"/>
          <w:szCs w:val="20"/>
          <w:color w:val="auto"/>
        </w:rPr>
        <w:tab/>
      </w:r>
      <w:r>
        <w:rPr>
          <w:rFonts w:ascii="Times New Roman" w:cs="Times New Roman" w:eastAsia="Times New Roman" w:hAnsi="Times New Roman"/>
          <w:sz w:val="20"/>
          <w:szCs w:val="20"/>
          <w:color w:val="231F20"/>
        </w:rPr>
        <w:t>2021  •</w:t>
      </w:r>
      <w:r>
        <w:rPr>
          <w:sz w:val="20"/>
          <w:szCs w:val="20"/>
          <w:color w:val="auto"/>
        </w:rPr>
        <w:tab/>
      </w:r>
      <w:r>
        <w:rPr>
          <w:rFonts w:ascii="Times New Roman" w:cs="Times New Roman" w:eastAsia="Times New Roman" w:hAnsi="Times New Roman"/>
          <w:sz w:val="20"/>
          <w:szCs w:val="20"/>
          <w:color w:val="231F20"/>
        </w:rPr>
        <w:t>Predicts the site of origin for cancer patients whose primary</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231F20"/>
        </w:rPr>
        <w:t>tumor site is unknown using tumor RNA expression results</w:t>
      </w:r>
    </w:p>
    <w:p>
      <w:pPr>
        <w:spacing w:after="0" w:line="103" w:lineRule="exact"/>
        <w:rPr>
          <w:sz w:val="20"/>
          <w:szCs w:val="20"/>
          <w:color w:val="auto"/>
        </w:rPr>
      </w:pPr>
    </w:p>
    <w:p>
      <w:pPr>
        <w:ind w:left="5040"/>
        <w:spacing w:after="0"/>
        <w:tabs>
          <w:tab w:leader="none" w:pos="550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Intended use of the TO test is for cancers of unknown</w:t>
      </w:r>
    </w:p>
    <w:p>
      <w:pPr>
        <w:spacing w:after="0" w:line="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231F20"/>
        </w:rPr>
        <w:t>primary, or CUPs, and may help clinicians make more</w:t>
      </w:r>
    </w:p>
    <w:p>
      <w:pPr>
        <w:ind w:left="5520"/>
        <w:spacing w:after="0"/>
        <w:rPr>
          <w:sz w:val="20"/>
          <w:szCs w:val="20"/>
          <w:color w:val="auto"/>
        </w:rPr>
      </w:pPr>
      <w:r>
        <w:rPr>
          <w:rFonts w:ascii="Times New Roman" w:cs="Times New Roman" w:eastAsia="Times New Roman" w:hAnsi="Times New Roman"/>
          <w:sz w:val="20"/>
          <w:szCs w:val="20"/>
          <w:color w:val="231F20"/>
        </w:rPr>
        <w:t>informed decisions where other clinical information like</w:t>
      </w:r>
    </w:p>
    <w:p>
      <w:pPr>
        <w:sectPr>
          <w:pgSz w:w="11880" w:h="15480" w:orient="portrait"/>
          <w:cols w:equalWidth="0" w:num="1">
            <w:col w:w="10440"/>
          </w:cols>
          <w:pgMar w:left="900" w:top="796" w:right="540"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440"/>
          </w:cols>
          <w:pgMar w:left="900" w:top="796" w:right="540"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Algo</w:t>
            </w:r>
          </w:p>
        </w:tc>
        <w:tc>
          <w:tcPr>
            <w:tcW w:w="15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Launch Year</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231F20"/>
              </w:rPr>
              <w:t>Description</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imaging and immunohistochemistry results do not provide a</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definitive diagnosis</w:t>
            </w:r>
          </w:p>
        </w:tc>
      </w:tr>
      <w:tr>
        <w:trPr>
          <w:trHeight w:val="320"/>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Uses information from analysis of nucleic acids by NGS</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performed as part of a separately ordered genomic or</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transcriptomic test</w:t>
            </w:r>
          </w:p>
        </w:tc>
      </w:tr>
      <w:tr>
        <w:trPr>
          <w:trHeight w:val="320"/>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Built using a large internal database of more than 20,000</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annotated tumors with transcriptomic molecular data. By</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comparing the molecular profile (transcriptome) of the</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patient’s cancer with profiles of other cancers in our</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database, we can help pinpoint the origin of the patient’s</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cancer, potentially helping to inform the course of therapy</w:t>
            </w:r>
          </w:p>
        </w:tc>
      </w:tr>
      <w:tr>
        <w:trPr>
          <w:trHeight w:val="361"/>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Ordered on approximately 10% of our solid tumor profiles</w:t>
            </w:r>
          </w:p>
        </w:tc>
      </w:tr>
      <w:tr>
        <w:trPr>
          <w:trHeight w:val="340"/>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231F20"/>
              </w:rPr>
              <w:t>Homologous Recombination Deficiency</w:t>
            </w:r>
          </w:p>
        </w:tc>
        <w:tc>
          <w:tcPr>
            <w:tcW w:w="15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 DNA-based algorithmic test that helps identify if a patient</w:t>
            </w:r>
          </w:p>
        </w:tc>
      </w:tr>
      <w:tr>
        <w:trPr>
          <w:trHeight w:val="226"/>
        </w:trPr>
        <w:tc>
          <w:tcPr>
            <w:tcW w:w="3440" w:type="dxa"/>
            <w:vAlign w:val="bottom"/>
          </w:tcPr>
          <w:p>
            <w:pPr>
              <w:ind w:left="240"/>
              <w:spacing w:after="0" w:line="227" w:lineRule="exact"/>
              <w:rPr>
                <w:sz w:val="20"/>
                <w:szCs w:val="20"/>
                <w:color w:val="auto"/>
              </w:rPr>
            </w:pPr>
            <w:r>
              <w:rPr>
                <w:rFonts w:ascii="Times New Roman" w:cs="Times New Roman" w:eastAsia="Times New Roman" w:hAnsi="Times New Roman"/>
                <w:sz w:val="20"/>
                <w:szCs w:val="20"/>
                <w:color w:val="231F20"/>
              </w:rPr>
              <w:t>(“HRD”) Test</w:t>
            </w:r>
          </w:p>
        </w:tc>
        <w:tc>
          <w:tcPr>
            <w:tcW w:w="15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2020</w:t>
            </w:r>
          </w:p>
        </w:tc>
        <w:tc>
          <w:tcPr>
            <w:tcW w:w="340" w:type="dxa"/>
            <w:vAlign w:val="bottom"/>
          </w:tcPr>
          <w:p>
            <w:pPr>
              <w:spacing w:after="0"/>
              <w:rPr>
                <w:sz w:val="19"/>
                <w:szCs w:val="19"/>
                <w:color w:val="auto"/>
              </w:rPr>
            </w:pPr>
          </w:p>
        </w:tc>
        <w:tc>
          <w:tcPr>
            <w:tcW w:w="5120" w:type="dxa"/>
            <w:vAlign w:val="bottom"/>
          </w:tcPr>
          <w:p>
            <w:pPr>
              <w:ind w:left="200"/>
              <w:spacing w:after="0" w:line="227" w:lineRule="exact"/>
              <w:rPr>
                <w:sz w:val="20"/>
                <w:szCs w:val="20"/>
                <w:color w:val="auto"/>
              </w:rPr>
            </w:pPr>
            <w:r>
              <w:rPr>
                <w:rFonts w:ascii="Times New Roman" w:cs="Times New Roman" w:eastAsia="Times New Roman" w:hAnsi="Times New Roman"/>
                <w:sz w:val="20"/>
                <w:szCs w:val="20"/>
                <w:color w:val="231F20"/>
              </w:rPr>
              <w:t>has HRD, providing a comprehensive view into a patient’s</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ability to repair double-stranded DNA breaks</w:t>
            </w:r>
          </w:p>
        </w:tc>
      </w:tr>
      <w:tr>
        <w:trPr>
          <w:trHeight w:val="319"/>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HRD status can be used to identify patients who may be</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sensitive to PARP inhibitors and/or platinum-based</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chemotherapy</w:t>
            </w:r>
          </w:p>
        </w:tc>
      </w:tr>
      <w:tr>
        <w:trPr>
          <w:trHeight w:val="320"/>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Takes into account results from our solid tumor profiling,</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giving a full view into commonly mutated genes in the HR-</w:t>
            </w:r>
          </w:p>
        </w:tc>
      </w:tr>
      <w:tr>
        <w:trPr>
          <w:trHeight w:val="225"/>
        </w:trPr>
        <w:tc>
          <w:tcPr>
            <w:tcW w:w="3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231F20"/>
              </w:rPr>
              <w:t>pathway, along with a genome wide l LOH score, giving a</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clinician a complete view of HRD status</w:t>
            </w:r>
          </w:p>
        </w:tc>
      </w:tr>
      <w:tr>
        <w:trPr>
          <w:trHeight w:val="320"/>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Can be ordered across all major cancer subtypes and does</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not require additional tissue from the patient</w:t>
            </w:r>
          </w:p>
        </w:tc>
      </w:tr>
      <w:tr>
        <w:trPr>
          <w:trHeight w:val="320"/>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Currently incorporating RNA into a second version of the</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algorithm, which is intended to improve prediction</w:t>
            </w:r>
          </w:p>
        </w:tc>
      </w:tr>
      <w:tr>
        <w:trPr>
          <w:trHeight w:val="351"/>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231F20"/>
              </w:rPr>
              <w:t>Dihydropyrimidine Dehydrogenase</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Deficiency (“DPYD”) Test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2021</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 xml:space="preserve">Identifies certain alterations in the </w:t>
            </w:r>
            <w:r>
              <w:rPr>
                <w:rFonts w:ascii="Times New Roman" w:cs="Times New Roman" w:eastAsia="Times New Roman" w:hAnsi="Times New Roman"/>
                <w:sz w:val="20"/>
                <w:szCs w:val="20"/>
                <w:i w:val="1"/>
                <w:iCs w:val="1"/>
                <w:color w:val="231F20"/>
                <w:w w:val="99"/>
              </w:rPr>
              <w:t>DPYD</w:t>
            </w:r>
            <w:r>
              <w:rPr>
                <w:rFonts w:ascii="Times New Roman" w:cs="Times New Roman" w:eastAsia="Times New Roman" w:hAnsi="Times New Roman"/>
                <w:sz w:val="20"/>
                <w:szCs w:val="20"/>
                <w:color w:val="231F20"/>
                <w:w w:val="99"/>
              </w:rPr>
              <w:t>gene, which may be</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associated with a patient’s potential toxicity to 5-</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FU/Capecitabine chemotherapy based on the associated drug</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labeling and guidelines from the Clinical Pharmacogenomics</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Implementation Consortium, or CPIC.</w:t>
            </w:r>
          </w:p>
        </w:tc>
      </w:tr>
      <w:tr>
        <w:trPr>
          <w:trHeight w:val="332"/>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Provides insight into the potential likelihood of a patient</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developing severe or even fatal toxicity of 5-</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FU/Capecitabine chemotherapy by covering five SNVs in</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231F20"/>
              </w:rPr>
              <w:t xml:space="preserve">DPYD </w:t>
            </w:r>
            <w:r>
              <w:rPr>
                <w:rFonts w:ascii="Times New Roman" w:cs="Times New Roman" w:eastAsia="Times New Roman" w:hAnsi="Times New Roman"/>
                <w:sz w:val="20"/>
                <w:szCs w:val="20"/>
                <w:color w:val="231F20"/>
              </w:rPr>
              <w:t>genes, providing a more complete patient profile.</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According to CPIC, 5-7% of patients test positive for DPYD</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deficiency and should be considered for monitoring or dose</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reduction.</w:t>
            </w:r>
          </w:p>
        </w:tc>
      </w:tr>
      <w:tr>
        <w:trPr>
          <w:trHeight w:val="332"/>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This algorithm uses sequencing data generated as a part of a</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separately-ordered Tempus|xT Solid Tumor + Normal test.</w:t>
            </w:r>
          </w:p>
        </w:tc>
      </w:tr>
      <w:tr>
        <w:trPr>
          <w:trHeight w:val="332"/>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Tempus DPYD is available pan-cancer although it is most</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relevant in colorectal, breast, pancreatic and GI cancer</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patients who are being considered for treatment with 5-</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FU/Capecitabine chemotherapy.</w:t>
            </w:r>
          </w:p>
        </w:tc>
      </w:tr>
      <w:tr>
        <w:trPr>
          <w:trHeight w:val="444"/>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231F20"/>
              </w:rPr>
              <w:t>Tempus Purist</w:t>
            </w:r>
            <w:r>
              <w:rPr>
                <w:rFonts w:ascii="Times New Roman" w:cs="Times New Roman" w:eastAsia="Times New Roman" w:hAnsi="Times New Roman"/>
                <w:sz w:val="10"/>
                <w:szCs w:val="10"/>
                <w:color w:val="231F20"/>
              </w:rPr>
              <w:t>SM</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2023</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Tempus Purist</w:t>
            </w:r>
            <w:r>
              <w:rPr>
                <w:rFonts w:ascii="Times New Roman" w:cs="Times New Roman" w:eastAsia="Times New Roman" w:hAnsi="Times New Roman"/>
                <w:sz w:val="10"/>
                <w:szCs w:val="10"/>
                <w:color w:val="231F20"/>
              </w:rPr>
              <w:t>SM</w:t>
            </w:r>
            <w:r>
              <w:rPr>
                <w:rFonts w:ascii="Times New Roman" w:cs="Times New Roman" w:eastAsia="Times New Roman" w:hAnsi="Times New Roman"/>
                <w:sz w:val="20"/>
                <w:szCs w:val="20"/>
                <w:color w:val="231F20"/>
              </w:rPr>
              <w:t xml:space="preserve"> test is an algorithm that classifies pancreatic</w:t>
            </w:r>
          </w:p>
        </w:tc>
      </w:tr>
      <w:tr>
        <w:trPr>
          <w:trHeight w:val="230"/>
        </w:trPr>
        <w:tc>
          <w:tcPr>
            <w:tcW w:w="3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ductal adenocarcinomas (PDAC) patients into one of two</w:t>
            </w:r>
          </w:p>
        </w:tc>
      </w:tr>
      <w:tr>
        <w:trPr>
          <w:trHeight w:val="266"/>
        </w:trPr>
        <w:tc>
          <w:tcPr>
            <w:tcW w:w="3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subtypes (basal-like or classical).</w:t>
            </w:r>
          </w:p>
        </w:tc>
      </w:tr>
    </w:tbl>
    <w:p>
      <w:pPr>
        <w:spacing w:after="0" w:line="200" w:lineRule="exact"/>
        <w:rPr>
          <w:sz w:val="20"/>
          <w:szCs w:val="20"/>
          <w:color w:val="auto"/>
        </w:rPr>
      </w:pPr>
    </w:p>
    <w:p>
      <w:pPr>
        <w:sectPr>
          <w:pgSz w:w="11880" w:h="15480" w:orient="portrait"/>
          <w:cols w:equalWidth="0" w:num="1">
            <w:col w:w="10440"/>
          </w:cols>
          <w:pgMar w:left="900" w:top="792" w:right="54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440"/>
          </w:cols>
          <w:pgMar w:left="900" w:top="792" w:right="540" w:bottom="0" w:gutter="0" w:footer="0" w:header="0"/>
          <w:type w:val="continuous"/>
        </w:sectPr>
      </w:pPr>
    </w:p>
    <w:bookmarkStart w:id="33" w:name="page34"/>
    <w:bookmarkEnd w:id="33"/>
    <w:p>
      <w:pPr>
        <w:spacing w:after="0"/>
        <w:tabs>
          <w:tab w:leader="none" w:pos="3640" w:val="left"/>
          <w:tab w:leader="none" w:pos="5040" w:val="left"/>
        </w:tabs>
        <w:rPr>
          <w:sz w:val="20"/>
          <w:szCs w:val="20"/>
          <w:color w:val="auto"/>
        </w:rPr>
      </w:pPr>
      <w:r>
        <w:rPr>
          <w:rFonts w:ascii="Times New Roman" w:cs="Times New Roman" w:eastAsia="Times New Roman" w:hAnsi="Times New Roman"/>
          <w:sz w:val="20"/>
          <w:szCs w:val="20"/>
          <w:b w:val="1"/>
          <w:bCs w:val="1"/>
          <w:color w:val="231F20"/>
        </w:rPr>
        <w:t>Algo</w:t>
      </w:r>
      <w:r>
        <w:rPr>
          <w:sz w:val="20"/>
          <w:szCs w:val="20"/>
          <w:color w:val="auto"/>
        </w:rPr>
        <w:tab/>
      </w:r>
      <w:r>
        <w:rPr>
          <w:rFonts w:ascii="Times New Roman" w:cs="Times New Roman" w:eastAsia="Times New Roman" w:hAnsi="Times New Roman"/>
          <w:sz w:val="20"/>
          <w:szCs w:val="20"/>
          <w:b w:val="1"/>
          <w:bCs w:val="1"/>
          <w:color w:val="231F20"/>
        </w:rPr>
        <w:t>Launch Year</w:t>
      </w:r>
      <w:r>
        <w:rPr>
          <w:sz w:val="20"/>
          <w:szCs w:val="20"/>
          <w:color w:val="auto"/>
        </w:rPr>
        <w:tab/>
      </w:r>
      <w:r>
        <w:rPr>
          <w:rFonts w:ascii="Times New Roman" w:cs="Times New Roman" w:eastAsia="Times New Roman" w:hAnsi="Times New Roman"/>
          <w:sz w:val="19"/>
          <w:szCs w:val="19"/>
          <w:b w:val="1"/>
          <w:bCs w:val="1"/>
          <w:color w:val="231F20"/>
        </w:rPr>
        <w:t>Description</w:t>
      </w:r>
    </w:p>
    <w:p>
      <w:pPr>
        <w:spacing w:after="0" w:line="32" w:lineRule="exact"/>
        <w:rPr>
          <w:sz w:val="20"/>
          <w:szCs w:val="20"/>
          <w:color w:val="auto"/>
        </w:rPr>
      </w:pPr>
    </w:p>
    <w:p>
      <w:pPr>
        <w:ind w:left="5520" w:right="180" w:hanging="473"/>
        <w:spacing w:after="0" w:line="244" w:lineRule="auto"/>
        <w:tabs>
          <w:tab w:leader="none" w:pos="55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Patients with the basal subtype have a worse prognosis and are less likely to benefit from FOLFIRINOX therapy than classical patients.</w:t>
      </w:r>
    </w:p>
    <w:p>
      <w:pPr>
        <w:spacing w:after="0" w:line="98" w:lineRule="exact"/>
        <w:rPr>
          <w:rFonts w:ascii="Times New Roman" w:cs="Times New Roman" w:eastAsia="Times New Roman" w:hAnsi="Times New Roman"/>
          <w:sz w:val="20"/>
          <w:szCs w:val="20"/>
          <w:color w:val="231F20"/>
        </w:rPr>
      </w:pPr>
    </w:p>
    <w:p>
      <w:pPr>
        <w:jc w:val="both"/>
        <w:ind w:left="5520" w:right="180" w:hanging="473"/>
        <w:spacing w:after="0" w:line="277" w:lineRule="auto"/>
        <w:tabs>
          <w:tab w:leader="none" w:pos="55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Uses information from nucleic acids by NGS performed as part of a separately ordered genomic or transcriptomic test.</w:t>
      </w:r>
    </w:p>
    <w:p>
      <w:pPr>
        <w:spacing w:after="0" w:line="67" w:lineRule="exact"/>
        <w:rPr>
          <w:rFonts w:ascii="Times New Roman" w:cs="Times New Roman" w:eastAsia="Times New Roman" w:hAnsi="Times New Roman"/>
          <w:sz w:val="20"/>
          <w:szCs w:val="20"/>
          <w:color w:val="231F20"/>
        </w:rPr>
      </w:pPr>
    </w:p>
    <w:p>
      <w:pPr>
        <w:ind w:left="5520" w:right="40" w:hanging="473"/>
        <w:spacing w:after="0" w:line="249" w:lineRule="auto"/>
        <w:tabs>
          <w:tab w:leader="none" w:pos="5520"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USES a k-top scoring pair (k-TSP) method (8 top scoring pairs, 16 genes in total) to assign a basal probability score. Patients with a basal probability score of ≥50 are categorized as basal subtype, while those with basal probability score &lt;50 are categorized as classical subtype.</w:t>
      </w:r>
    </w:p>
    <w:p>
      <w:pPr>
        <w:spacing w:after="0" w:line="3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Our Cardiology Algos</w:t>
      </w:r>
    </w:p>
    <w:p>
      <w:pPr>
        <w:spacing w:after="0" w:line="120" w:lineRule="exact"/>
        <w:rPr>
          <w:sz w:val="20"/>
          <w:szCs w:val="20"/>
          <w:color w:val="auto"/>
        </w:rPr>
      </w:pPr>
    </w:p>
    <w:p>
      <w:pPr>
        <w:ind w:right="120" w:firstLine="490"/>
        <w:spacing w:after="0" w:line="255" w:lineRule="auto"/>
        <w:rPr>
          <w:sz w:val="20"/>
          <w:szCs w:val="20"/>
          <w:color w:val="auto"/>
        </w:rPr>
      </w:pPr>
      <w:r>
        <w:rPr>
          <w:rFonts w:ascii="Times New Roman" w:cs="Times New Roman" w:eastAsia="Times New Roman" w:hAnsi="Times New Roman"/>
          <w:sz w:val="20"/>
          <w:szCs w:val="20"/>
          <w:color w:val="231F20"/>
        </w:rPr>
        <w:t>Heart disease is the leading cause of death in the United States. About 700,000 Americans die from heart disease annually, with more than 11%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204" w:lineRule="exact"/>
        <w:rPr>
          <w:sz w:val="20"/>
          <w:szCs w:val="20"/>
          <w:color w:val="auto"/>
        </w:rPr>
      </w:pPr>
    </w:p>
    <w:p>
      <w:pPr>
        <w:ind w:right="200" w:firstLine="490"/>
        <w:spacing w:after="0" w:line="262" w:lineRule="auto"/>
        <w:rPr>
          <w:sz w:val="20"/>
          <w:szCs w:val="20"/>
          <w:color w:val="auto"/>
        </w:rPr>
      </w:pPr>
      <w:r>
        <w:rPr>
          <w:rFonts w:ascii="Times New Roman" w:cs="Times New Roman" w:eastAsia="Times New Roman" w:hAnsi="Times New Roman"/>
          <w:sz w:val="20"/>
          <w:szCs w:val="20"/>
          <w:color w:val="231F20"/>
        </w:rPr>
        <w:t>In cardiology, we ingest multimodal data and use algorithms to identify potential care gaps across 15 disease areas and continuously monitor patient data to find at-risk patients who may be falling through a care gap unbeknownst to their physician, and automatically notify care teams of any needed follow-up or disease progression. Around 150 hospitals nationwide are currently powered by Tempus Next and more than 60,000 patients are screened per month.</w:t>
      </w:r>
    </w:p>
    <w:p>
      <w:pPr>
        <w:spacing w:after="0" w:line="232"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231F20"/>
        </w:rPr>
        <w:t>We are also developing algorithmic models that aid clinicians in identifying patients at increased risk of developing atrial fibrillation, or AFib, along with a variety of other cardiac conditions. These Algos are trained using a de-identified subset from approximately 3.5 million ECGs, across more than 800,000 patients, with decades of longitudinal clinical data, including outcome and response data. The FDA granted Tempus breakthrough status for our first ECG software device, which employs a diagnostic algorithm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CHA2DS2-VASc score of ≥4)).</w:t>
      </w:r>
    </w:p>
    <w:p>
      <w:pPr>
        <w:sectPr>
          <w:pgSz w:w="11880" w:h="15480" w:orient="portrait"/>
          <w:cols w:equalWidth="0" w:num="1">
            <w:col w:w="10440"/>
          </w:cols>
          <w:pgMar w:left="900" w:top="792" w:right="540" w:bottom="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Algo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rdiology</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231F20"/>
        </w:rPr>
        <w:t>ial Fibrillation Test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231F20"/>
        </w:rPr>
        <w:t>Launch</w:t>
      </w:r>
    </w:p>
    <w:p>
      <w:pPr>
        <w:spacing w:after="0" w:line="26"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231F20"/>
        </w:rPr>
        <w:t>Year</w:t>
      </w:r>
      <w:r>
        <w:rPr>
          <w:sz w:val="20"/>
          <w:szCs w:val="20"/>
          <w:color w:val="auto"/>
        </w:rPr>
        <w:tab/>
      </w:r>
      <w:r>
        <w:rPr>
          <w:rFonts w:ascii="Times New Roman" w:cs="Times New Roman" w:eastAsia="Times New Roman" w:hAnsi="Times New Roman"/>
          <w:sz w:val="16"/>
          <w:szCs w:val="16"/>
          <w:b w:val="1"/>
          <w:bCs w:val="1"/>
          <w:color w:val="231F20"/>
        </w:rPr>
        <w:t>Description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2023 (in</w:t>
            </w: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w w:val="99"/>
              </w:rPr>
              <w:t>We have developed an algorithm designed to predict AFib from a normal</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clinical</w:t>
            </w: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ECG for certain populations.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231F20"/>
              </w:rPr>
              <w:t>trial</w:t>
            </w: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231F20"/>
              </w:rPr>
              <w:t>About 3.5% of patients who receive ECGs appear not to have AFib but</w:t>
            </w:r>
          </w:p>
        </w:tc>
        <w:tc>
          <w:tcPr>
            <w:tcW w:w="0" w:type="dxa"/>
            <w:vAlign w:val="bottom"/>
          </w:tcPr>
          <w:p>
            <w:pPr>
              <w:spacing w:after="0"/>
              <w:rPr>
                <w:sz w:val="1"/>
                <w:szCs w:val="1"/>
                <w:color w:val="auto"/>
              </w:rPr>
            </w:pPr>
          </w:p>
        </w:tc>
      </w:tr>
      <w:tr>
        <w:trPr>
          <w:trHeight w:val="138"/>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setting)</w:t>
            </w:r>
          </w:p>
        </w:tc>
        <w:tc>
          <w:tcPr>
            <w:tcW w:w="6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231F20"/>
              </w:rPr>
              <w:t>will develop AFib, acute coronary syndrome, or similar condition within</w:t>
            </w:r>
          </w:p>
        </w:tc>
        <w:tc>
          <w:tcPr>
            <w:tcW w:w="0" w:type="dxa"/>
            <w:vAlign w:val="bottom"/>
          </w:tcPr>
          <w:p>
            <w:pPr>
              <w:spacing w:after="0"/>
              <w:rPr>
                <w:sz w:val="1"/>
                <w:szCs w:val="1"/>
                <w:color w:val="auto"/>
              </w:rPr>
            </w:pPr>
          </w:p>
        </w:tc>
      </w:tr>
      <w:tr>
        <w:trPr>
          <w:trHeight w:val="101"/>
        </w:trPr>
        <w:tc>
          <w:tcPr>
            <w:tcW w:w="840" w:type="dxa"/>
            <w:vAlign w:val="bottom"/>
          </w:tcPr>
          <w:p>
            <w:pPr>
              <w:spacing w:after="0"/>
              <w:rPr>
                <w:sz w:val="8"/>
                <w:szCs w:val="8"/>
                <w:color w:val="auto"/>
              </w:rPr>
            </w:pPr>
          </w:p>
        </w:tc>
        <w:tc>
          <w:tcPr>
            <w:tcW w:w="6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one year. This Algo is designed to predict major cardiac trauma and</w:t>
            </w: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stroke risk from these normal ECG results.</w:t>
            </w:r>
          </w:p>
        </w:tc>
        <w:tc>
          <w:tcPr>
            <w:tcW w:w="0" w:type="dxa"/>
            <w:vAlign w:val="bottom"/>
          </w:tcPr>
          <w:p>
            <w:pPr>
              <w:spacing w:after="0"/>
              <w:rPr>
                <w:sz w:val="1"/>
                <w:szCs w:val="1"/>
                <w:color w:val="auto"/>
              </w:rPr>
            </w:pPr>
          </w:p>
        </w:tc>
      </w:tr>
      <w:tr>
        <w:trPr>
          <w:trHeight w:val="332"/>
        </w:trPr>
        <w:tc>
          <w:tcPr>
            <w:tcW w:w="840" w:type="dxa"/>
            <w:vAlign w:val="bottom"/>
          </w:tcPr>
          <w:p>
            <w:pPr>
              <w:spacing w:after="0"/>
              <w:rPr>
                <w:sz w:val="24"/>
                <w:szCs w:val="24"/>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The Tempus AFib test received FDA breakthrough designation in March</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2021 for patients 40 years of age and older, without pre-existing or</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concurrent AFib or atrial flutter, and who are at elevated risk of stroke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based on a commonly used clinical stroke risk assessment tool (i.e.,</w:t>
            </w: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CHA</w:t>
            </w:r>
            <w:r>
              <w:rPr>
                <w:rFonts w:ascii="Times New Roman" w:cs="Times New Roman" w:eastAsia="Times New Roman" w:hAnsi="Times New Roman"/>
                <w:sz w:val="10"/>
                <w:szCs w:val="10"/>
                <w:color w:val="231F20"/>
              </w:rPr>
              <w:t>2</w:t>
            </w:r>
            <w:r>
              <w:rPr>
                <w:rFonts w:ascii="Times New Roman" w:cs="Times New Roman" w:eastAsia="Times New Roman" w:hAnsi="Times New Roman"/>
                <w:sz w:val="20"/>
                <w:szCs w:val="20"/>
                <w:color w:val="231F20"/>
              </w:rPr>
              <w:t>DS</w:t>
            </w:r>
            <w:r>
              <w:rPr>
                <w:rFonts w:ascii="Times New Roman" w:cs="Times New Roman" w:eastAsia="Times New Roman" w:hAnsi="Times New Roman"/>
                <w:sz w:val="10"/>
                <w:szCs w:val="10"/>
                <w:color w:val="231F20"/>
              </w:rPr>
              <w:t>2</w:t>
            </w:r>
            <w:r>
              <w:rPr>
                <w:rFonts w:ascii="Times New Roman" w:cs="Times New Roman" w:eastAsia="Times New Roman" w:hAnsi="Times New Roman"/>
                <w:sz w:val="20"/>
                <w:szCs w:val="20"/>
                <w:color w:val="231F20"/>
              </w:rPr>
              <w:t>-VASc score of ≥4).</w:t>
            </w:r>
          </w:p>
        </w:tc>
        <w:tc>
          <w:tcPr>
            <w:tcW w:w="0" w:type="dxa"/>
            <w:vAlign w:val="bottom"/>
          </w:tcPr>
          <w:p>
            <w:pPr>
              <w:spacing w:after="0"/>
              <w:rPr>
                <w:sz w:val="1"/>
                <w:szCs w:val="1"/>
                <w:color w:val="auto"/>
              </w:rPr>
            </w:pPr>
          </w:p>
        </w:tc>
      </w:tr>
      <w:tr>
        <w:trPr>
          <w:trHeight w:val="332"/>
        </w:trPr>
        <w:tc>
          <w:tcPr>
            <w:tcW w:w="840" w:type="dxa"/>
            <w:vAlign w:val="bottom"/>
          </w:tcPr>
          <w:p>
            <w:pPr>
              <w:spacing w:after="0"/>
              <w:rPr>
                <w:sz w:val="24"/>
                <w:szCs w:val="24"/>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We are also advancing Algos that are designed to predict aortic stenosis,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and we are working on other disease areas within cardiology, such as</w:t>
            </w:r>
          </w:p>
        </w:tc>
        <w:tc>
          <w:tcPr>
            <w:tcW w:w="0" w:type="dxa"/>
            <w:vAlign w:val="bottom"/>
          </w:tcPr>
          <w:p>
            <w:pPr>
              <w:spacing w:after="0"/>
              <w:rPr>
                <w:sz w:val="1"/>
                <w:szCs w:val="1"/>
                <w:color w:val="auto"/>
              </w:rPr>
            </w:pPr>
          </w:p>
        </w:tc>
      </w:tr>
      <w:tr>
        <w:trPr>
          <w:trHeight w:val="266"/>
        </w:trPr>
        <w:tc>
          <w:tcPr>
            <w:tcW w:w="840" w:type="dxa"/>
            <w:vAlign w:val="bottom"/>
          </w:tcPr>
          <w:p>
            <w:pPr>
              <w:spacing w:after="0"/>
              <w:rPr>
                <w:sz w:val="23"/>
                <w:szCs w:val="23"/>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low ejection fraction and familial hypercholesterolemia.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2820" w:space="720"/>
            <w:col w:w="6900"/>
          </w:cols>
          <w:pgMar w:left="900" w:top="792" w:right="540" w:bottom="0" w:gutter="0" w:footer="0" w:header="0"/>
          <w:type w:val="continuous"/>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440"/>
          </w:cols>
          <w:pgMar w:left="900" w:top="792" w:right="540" w:bottom="0" w:gutter="0" w:footer="0" w:header="0"/>
          <w:type w:val="continuous"/>
        </w:sectPr>
      </w:pPr>
    </w:p>
    <w:bookmarkStart w:id="34" w:name="page35"/>
    <w:bookmarkEnd w:id="34"/>
    <w:p>
      <w:pPr>
        <w:ind w:right="140" w:firstLine="490"/>
        <w:spacing w:after="0" w:line="268" w:lineRule="auto"/>
        <w:rPr>
          <w:sz w:val="20"/>
          <w:szCs w:val="20"/>
          <w:color w:val="auto"/>
        </w:rPr>
      </w:pPr>
      <w:r>
        <w:rPr>
          <w:rFonts w:ascii="Times New Roman" w:cs="Times New Roman" w:eastAsia="Times New Roman" w:hAnsi="Times New Roman"/>
          <w:sz w:val="20"/>
          <w:szCs w:val="20"/>
          <w:color w:val="231F20"/>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7" w:lineRule="exact"/>
        <w:rPr>
          <w:sz w:val="20"/>
          <w:szCs w:val="20"/>
          <w:color w:val="auto"/>
        </w:rPr>
      </w:pPr>
    </w:p>
    <w:p>
      <w:pPr>
        <w:ind w:right="20" w:firstLine="490"/>
        <w:spacing w:after="0" w:line="267" w:lineRule="auto"/>
        <w:rPr>
          <w:sz w:val="20"/>
          <w:szCs w:val="20"/>
          <w:color w:val="auto"/>
        </w:rPr>
      </w:pPr>
      <w:r>
        <w:rPr>
          <w:rFonts w:ascii="Times New Roman" w:cs="Times New Roman" w:eastAsia="Times New Roman" w:hAnsi="Times New Roman"/>
          <w:sz w:val="19"/>
          <w:szCs w:val="19"/>
          <w:color w:val="231F20"/>
        </w:rPr>
        <w:t>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 In August 2025, we acquired Paige, Inc., or Paige, a company specializing in digital pathology. Founded in 2017, Paige has developed and deployed several applications, including the first FDA-cleared AI application in pathology, allowing researchers and pathologists to better detect cancer, which enables care teams to make more precise and informed treatment decisions. Paige has developed and refined its products through a dataset that includes almost 7 million digitized pathology slide images and associated clinical and molecular data, stripped of patient identifiers to protect privacy. Leveraging a dataset of de-identified data and images that spans numerous countries and diverse genders, races, ethnicities, and regions, Paige has also developed the first million-slide foundation model for cancer, empowering researchers and life sciences companies to better understand pathology data, and enabling the advancement of drug discovery and development.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Commercialization</w:t>
      </w:r>
    </w:p>
    <w:p>
      <w:pPr>
        <w:spacing w:after="0" w:line="124"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231F20"/>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our two product lines.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Diagnostics</w:t>
      </w:r>
    </w:p>
    <w:p>
      <w:pPr>
        <w:spacing w:after="0" w:line="120" w:lineRule="exact"/>
        <w:rPr>
          <w:sz w:val="20"/>
          <w:szCs w:val="20"/>
          <w:color w:val="auto"/>
        </w:rPr>
      </w:pPr>
    </w:p>
    <w:p>
      <w:pPr>
        <w:ind w:firstLine="490"/>
        <w:spacing w:after="0" w:line="267" w:lineRule="auto"/>
        <w:rPr>
          <w:sz w:val="20"/>
          <w:szCs w:val="20"/>
          <w:color w:val="auto"/>
        </w:rPr>
      </w:pPr>
      <w:r>
        <w:rPr>
          <w:rFonts w:ascii="Times New Roman" w:cs="Times New Roman" w:eastAsia="Times New Roman" w:hAnsi="Times New Roman"/>
          <w:sz w:val="19"/>
          <w:szCs w:val="19"/>
          <w:color w:val="231F20"/>
        </w:rPr>
        <w:t>Our primary customers in our Diagnostics product line, which is largely made up of molecular testing in both Oncology and Hereditary, are healthcare providers, such as physicians and genetic counselors, who order our tests, and bio-pharma companies who use them to conduct research. When we sell our tests to healthcare providers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provider side, we commercialize our Diagnostics products in the United States to clinicians and healthcare providers largely through our dedicated clinical sales organization, that calls on individual doctors, genetic counselors, medical practices, or other healthcare institutions. As of December 31, 2025, our clinical sales organization in the United States included approximately 205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4"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231F20"/>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spacing w:after="0" w:line="204" w:lineRule="exact"/>
        <w:rPr>
          <w:sz w:val="20"/>
          <w:szCs w:val="20"/>
          <w:color w:val="auto"/>
        </w:rPr>
      </w:pPr>
    </w:p>
    <w:p>
      <w:pPr>
        <w:ind w:right="140" w:firstLine="490"/>
        <w:spacing w:after="0" w:line="268" w:lineRule="auto"/>
        <w:rPr>
          <w:sz w:val="20"/>
          <w:szCs w:val="20"/>
          <w:color w:val="auto"/>
        </w:rPr>
      </w:pPr>
      <w:r>
        <w:rPr>
          <w:rFonts w:ascii="Times New Roman" w:cs="Times New Roman" w:eastAsia="Times New Roman" w:hAnsi="Times New Roman"/>
          <w:sz w:val="20"/>
          <w:szCs w:val="20"/>
          <w:color w:val="231F20"/>
        </w:rPr>
        <w:t>In addition, we believe that interactions among treating physicians help drive adoption of our products. We are focused on key opinion leaders in the industry through direct outreach and indirect marketing efforts. As of December 31, 2025, we have either published or been acknowledged in more than 2,000 publications, including the following:</w:t>
      </w:r>
    </w:p>
    <w:p>
      <w:pPr>
        <w:spacing w:after="0" w:line="82" w:lineRule="exact"/>
        <w:rPr>
          <w:sz w:val="20"/>
          <w:szCs w:val="20"/>
          <w:color w:val="auto"/>
        </w:rPr>
      </w:pPr>
    </w:p>
    <w:p>
      <w:pPr>
        <w:ind w:left="980" w:right="180" w:hanging="490"/>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&gt;800 total peer-reviewed articles published in major journals, including publications such as </w:t>
      </w:r>
      <w:r>
        <w:rPr>
          <w:rFonts w:ascii="Times New Roman" w:cs="Times New Roman" w:eastAsia="Times New Roman" w:hAnsi="Times New Roman"/>
          <w:sz w:val="20"/>
          <w:szCs w:val="20"/>
          <w:i w:val="1"/>
          <w:iCs w:val="1"/>
          <w:color w:val="231F20"/>
        </w:rPr>
        <w:t>Nature Biotechnology,</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Clinical Breast Cancer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Nature Medicine, </w:t>
      </w:r>
      <w:r>
        <w:rPr>
          <w:rFonts w:ascii="Times New Roman" w:cs="Times New Roman" w:eastAsia="Times New Roman" w:hAnsi="Times New Roman"/>
          <w:sz w:val="20"/>
          <w:szCs w:val="20"/>
          <w:color w:val="231F20"/>
        </w:rPr>
        <w:t>and</w:t>
      </w:r>
      <w:r>
        <w:rPr>
          <w:rFonts w:ascii="Times New Roman" w:cs="Times New Roman" w:eastAsia="Times New Roman" w:hAnsi="Times New Roman"/>
          <w:sz w:val="20"/>
          <w:szCs w:val="20"/>
          <w:i w:val="1"/>
          <w:iCs w:val="1"/>
          <w:color w:val="231F20"/>
        </w:rPr>
        <w:t xml:space="preserve"> Cell</w:t>
      </w:r>
      <w:r>
        <w:rPr>
          <w:rFonts w:ascii="Times New Roman" w:cs="Times New Roman" w:eastAsia="Times New Roman" w:hAnsi="Times New Roman"/>
          <w:sz w:val="20"/>
          <w:szCs w:val="20"/>
          <w:color w:val="231F20"/>
        </w:rPr>
        <w:t>.</w:t>
      </w:r>
    </w:p>
    <w:p>
      <w:pPr>
        <w:spacing w:after="0" w:line="64" w:lineRule="exact"/>
        <w:rPr>
          <w:rFonts w:ascii="Arial" w:cs="Arial" w:eastAsia="Arial" w:hAnsi="Arial"/>
          <w:sz w:val="20"/>
          <w:szCs w:val="20"/>
          <w:color w:val="231F20"/>
        </w:rPr>
      </w:pPr>
    </w:p>
    <w:p>
      <w:pPr>
        <w:ind w:left="980" w:right="280" w:hanging="490"/>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&gt;1,000 total abstracts based on clinical and research data that have been accepted and presented at major scientific conferences.</w:t>
      </w:r>
    </w:p>
    <w:p>
      <w:pPr>
        <w:sectPr>
          <w:pgSz w:w="11880" w:h="15480" w:orient="portrait"/>
          <w:cols w:equalWidth="0" w:num="1">
            <w:col w:w="10420"/>
          </w:cols>
          <w:pgMar w:left="900" w:top="796" w:right="560"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420"/>
          </w:cols>
          <w:pgMar w:left="900" w:top="796" w:right="560" w:bottom="0" w:gutter="0" w:footer="0" w:header="0"/>
          <w:type w:val="continuous"/>
        </w:sectPr>
      </w:pPr>
    </w:p>
    <w:bookmarkStart w:id="35" w:name="page36"/>
    <w:bookmarkEnd w:id="35"/>
    <w:p>
      <w:pPr>
        <w:ind w:left="980" w:right="240" w:hanging="490"/>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&gt;200 oral presentations at scientific meetings such as the ASCO, ASCO Gastrointestinal and Genitourinary Cancer Symposiums, San Antonio Breast Cancer Symposium, and the American Heart Association Scientific Sessions.</w:t>
      </w:r>
    </w:p>
    <w:p>
      <w:pPr>
        <w:spacing w:after="0" w:line="223" w:lineRule="exact"/>
        <w:rPr>
          <w:sz w:val="20"/>
          <w:szCs w:val="20"/>
          <w:color w:val="auto"/>
        </w:rPr>
      </w:pPr>
    </w:p>
    <w:p>
      <w:pPr>
        <w:ind w:right="380" w:firstLine="490"/>
        <w:spacing w:after="0" w:line="268" w:lineRule="auto"/>
        <w:rPr>
          <w:sz w:val="20"/>
          <w:szCs w:val="20"/>
          <w:color w:val="auto"/>
        </w:rPr>
      </w:pPr>
      <w:r>
        <w:rPr>
          <w:rFonts w:ascii="Times New Roman" w:cs="Times New Roman" w:eastAsia="Times New Roman" w:hAnsi="Times New Roman"/>
          <w:sz w:val="20"/>
          <w:szCs w:val="20"/>
          <w:color w:val="231F20"/>
        </w:rPr>
        <w:t>We have a similar strategy in neuropsychiatry, in which we aim to increase the commercial adoption of our nP test for depression as part of the rapidly growing market for pharmacogenomic testing, with a goal to better understand, diagnose and treat neuropsychiatric disorders.</w:t>
      </w:r>
    </w:p>
    <w:p>
      <w:pPr>
        <w:spacing w:after="0" w:line="187" w:lineRule="exact"/>
        <w:rPr>
          <w:sz w:val="20"/>
          <w:szCs w:val="20"/>
          <w:color w:val="auto"/>
        </w:rPr>
      </w:pPr>
    </w:p>
    <w:p>
      <w:pPr>
        <w:jc w:val="both"/>
        <w:ind w:right="220" w:firstLine="490"/>
        <w:spacing w:after="0" w:line="268" w:lineRule="auto"/>
        <w:rPr>
          <w:sz w:val="20"/>
          <w:szCs w:val="20"/>
          <w:color w:val="auto"/>
        </w:rPr>
      </w:pPr>
      <w:r>
        <w:rPr>
          <w:rFonts w:ascii="Times New Roman" w:cs="Times New Roman" w:eastAsia="Times New Roman" w:hAnsi="Times New Roman"/>
          <w:sz w:val="20"/>
          <w:szCs w:val="20"/>
          <w:color w:val="231F20"/>
        </w:rPr>
        <w:t>Our commercial strategy for other disease areas is expected to follow our strategy in oncology and hereditary,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Testing</w:t>
      </w:r>
    </w:p>
    <w:p>
      <w:pPr>
        <w:spacing w:after="0" w:line="120"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231F20"/>
        </w:rPr>
        <w:t>Another component of our genomic testing involves testing performed in a research capacity, either by healthcare providers, such as academic medical centers or bio-pharma companies.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204"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231F20"/>
        </w:rPr>
        <w:t>As it relates to selling our Diagnostic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Data and applications</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231F20"/>
        </w:rPr>
        <w:t>In addition to our field sales force, our Data and applications products rely on a dedicated business development team focused on enterprise sales to pharmaceutical and biotech companies in the United States and abroad. Our strategy with each customer is to demonstrate the value proposition of our Platform, de-identified datasets, and broader product portfolio, and then to expand the utilization of our Data and applications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178" w:lineRule="exact"/>
        <w:rPr>
          <w:sz w:val="20"/>
          <w:szCs w:val="20"/>
          <w:color w:val="auto"/>
        </w:rPr>
      </w:pPr>
    </w:p>
    <w:p>
      <w:pPr>
        <w:ind w:left="1100" w:hanging="495"/>
        <w:spacing w:after="0"/>
        <w:tabs>
          <w:tab w:leader="none" w:pos="110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early stage research and development;</w:t>
      </w:r>
    </w:p>
    <w:p>
      <w:pPr>
        <w:spacing w:after="0" w:line="120" w:lineRule="exact"/>
        <w:rPr>
          <w:rFonts w:ascii="Times New Roman" w:cs="Times New Roman" w:eastAsia="Times New Roman" w:hAnsi="Times New Roman"/>
          <w:sz w:val="20"/>
          <w:szCs w:val="20"/>
          <w:color w:val="231F20"/>
        </w:rPr>
      </w:pPr>
    </w:p>
    <w:p>
      <w:pPr>
        <w:ind w:left="1100" w:hanging="495"/>
        <w:spacing w:after="0"/>
        <w:tabs>
          <w:tab w:leader="none" w:pos="110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discovery of new targets and mechanisms of acquired resistance;</w:t>
      </w:r>
    </w:p>
    <w:p>
      <w:pPr>
        <w:spacing w:after="0" w:line="113" w:lineRule="exact"/>
        <w:rPr>
          <w:rFonts w:ascii="Times New Roman" w:cs="Times New Roman" w:eastAsia="Times New Roman" w:hAnsi="Times New Roman"/>
          <w:sz w:val="20"/>
          <w:szCs w:val="20"/>
          <w:color w:val="231F20"/>
        </w:rPr>
      </w:pPr>
    </w:p>
    <w:p>
      <w:pPr>
        <w:ind w:left="1100" w:hanging="495"/>
        <w:spacing w:after="0"/>
        <w:tabs>
          <w:tab w:leader="none" w:pos="110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clinical trial patient identification and enrollment; and</w:t>
      </w:r>
    </w:p>
    <w:p>
      <w:pPr>
        <w:spacing w:after="0" w:line="120" w:lineRule="exact"/>
        <w:rPr>
          <w:rFonts w:ascii="Times New Roman" w:cs="Times New Roman" w:eastAsia="Times New Roman" w:hAnsi="Times New Roman"/>
          <w:sz w:val="20"/>
          <w:szCs w:val="20"/>
          <w:color w:val="231F20"/>
        </w:rPr>
      </w:pPr>
    </w:p>
    <w:p>
      <w:pPr>
        <w:ind w:left="1100" w:hanging="495"/>
        <w:spacing w:after="0"/>
        <w:tabs>
          <w:tab w:leader="none" w:pos="1100"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Analytic services, including cloud and compute.</w:t>
      </w:r>
    </w:p>
    <w:p>
      <w:pPr>
        <w:spacing w:after="0" w:line="285" w:lineRule="exact"/>
        <w:rPr>
          <w:sz w:val="20"/>
          <w:szCs w:val="20"/>
          <w:color w:val="auto"/>
        </w:rPr>
      </w:pPr>
    </w:p>
    <w:p>
      <w:pPr>
        <w:ind w:right="20" w:firstLine="490"/>
        <w:spacing w:after="0" w:line="268" w:lineRule="auto"/>
        <w:rPr>
          <w:sz w:val="20"/>
          <w:szCs w:val="20"/>
          <w:color w:val="auto"/>
        </w:rPr>
      </w:pPr>
      <w:r>
        <w:rPr>
          <w:rFonts w:ascii="Times New Roman" w:cs="Times New Roman" w:eastAsia="Times New Roman" w:hAnsi="Times New Roman"/>
          <w:sz w:val="20"/>
          <w:szCs w:val="20"/>
          <w:color w:val="231F20"/>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87" w:lineRule="exact"/>
        <w:rPr>
          <w:sz w:val="20"/>
          <w:szCs w:val="20"/>
          <w:color w:val="auto"/>
        </w:rPr>
      </w:pPr>
    </w:p>
    <w:p>
      <w:pPr>
        <w:jc w:val="both"/>
        <w:ind w:right="20" w:firstLine="490"/>
        <w:spacing w:after="0" w:line="268" w:lineRule="auto"/>
        <w:rPr>
          <w:sz w:val="20"/>
          <w:szCs w:val="20"/>
          <w:color w:val="auto"/>
        </w:rPr>
      </w:pPr>
      <w:r>
        <w:rPr>
          <w:rFonts w:ascii="Times New Roman" w:cs="Times New Roman" w:eastAsia="Times New Roman" w:hAnsi="Times New Roman"/>
          <w:sz w:val="20"/>
          <w:szCs w:val="20"/>
          <w:color w:val="231F20"/>
        </w:rPr>
        <w:t>As of December 31, 2025, we had approximately 30 sales executives in our Data and applications product line development organization. We divide these individuals by both geography and strategic account to ensure consistency and coordination across our sales efforts.</w:t>
      </w:r>
    </w:p>
    <w:p>
      <w:pPr>
        <w:spacing w:after="0" w:line="187" w:lineRule="exact"/>
        <w:rPr>
          <w:sz w:val="20"/>
          <w:szCs w:val="20"/>
          <w:color w:val="auto"/>
        </w:rPr>
      </w:pPr>
    </w:p>
    <w:p>
      <w:pPr>
        <w:ind w:right="280" w:firstLine="490"/>
        <w:spacing w:after="0" w:line="257" w:lineRule="auto"/>
        <w:rPr>
          <w:sz w:val="20"/>
          <w:szCs w:val="20"/>
          <w:color w:val="auto"/>
        </w:rPr>
      </w:pPr>
      <w:r>
        <w:rPr>
          <w:rFonts w:ascii="Times New Roman" w:cs="Times New Roman" w:eastAsia="Times New Roman" w:hAnsi="Times New Roman"/>
          <w:sz w:val="20"/>
          <w:szCs w:val="20"/>
          <w:color w:val="231F20"/>
        </w:rPr>
        <w:t>The business development personnel contacting life sciences companies is also responsible for commercializing our Applications. Our primary Application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ectPr>
          <w:pgSz w:w="11880" w:h="15480" w:orient="portrait"/>
          <w:cols w:equalWidth="0" w:num="1">
            <w:col w:w="10440"/>
          </w:cols>
          <w:pgMar w:left="900" w:top="810" w:right="54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440"/>
          </w:cols>
          <w:pgMar w:left="900" w:top="810" w:right="540" w:bottom="0" w:gutter="0" w:footer="0" w:header="0"/>
          <w:type w:val="continuous"/>
        </w:sectPr>
      </w:pPr>
    </w:p>
    <w:bookmarkStart w:id="36" w:name="page37"/>
    <w:bookmarkEnd w:id="36"/>
    <w:p>
      <w:pPr>
        <w:ind w:left="480"/>
        <w:spacing w:after="0"/>
        <w:rPr>
          <w:sz w:val="20"/>
          <w:szCs w:val="20"/>
          <w:color w:val="auto"/>
        </w:rPr>
      </w:pPr>
      <w:r>
        <w:rPr>
          <w:rFonts w:ascii="Times New Roman" w:cs="Times New Roman" w:eastAsia="Times New Roman" w:hAnsi="Times New Roman"/>
          <w:sz w:val="20"/>
          <w:szCs w:val="20"/>
          <w:color w:val="231F20"/>
        </w:rPr>
        <w:t>In addition, we continuously seek to bring new clinical diagnostic algorithms to market. We develop Algos in three ways:</w:t>
      </w:r>
    </w:p>
    <w:p>
      <w:pPr>
        <w:spacing w:after="0" w:line="36" w:lineRule="exact"/>
        <w:rPr>
          <w:sz w:val="20"/>
          <w:szCs w:val="20"/>
          <w:color w:val="auto"/>
        </w:rPr>
      </w:pPr>
    </w:p>
    <w:p>
      <w:pPr>
        <w:ind w:right="20"/>
        <w:spacing w:after="0" w:line="250" w:lineRule="auto"/>
        <w:tabs>
          <w:tab w:leader="none" w:pos="239"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may develop them internally based on our robust de-identified dataset; (ii) we may collaborate with a third party to develop Algos together (again leveraging our de-identified dataset); and (iii) we may license an existing Algo from a third party. Once we clinically validate an Algo, we typically bring it to market through our existing provider network by leveraging our Diagnostics sales force. For example, our HRD and TO Algos in oncology have been added to our standard requisition forms, online portal, and EHR integrations. Treating clinicians can order these Algos at the same time they place their standard clinical testing orders for our other Diagnostics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210"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20"/>
          <w:szCs w:val="20"/>
          <w:color w:val="231F20"/>
        </w:rPr>
        <w:t>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24" w:lineRule="exact"/>
        <w:rPr>
          <w:sz w:val="20"/>
          <w:szCs w:val="20"/>
          <w:color w:val="auto"/>
        </w:rPr>
      </w:pPr>
    </w:p>
    <w:p>
      <w:pPr>
        <w:jc w:val="both"/>
        <w:ind w:right="240" w:firstLine="490"/>
        <w:spacing w:after="0" w:line="268" w:lineRule="auto"/>
        <w:rPr>
          <w:sz w:val="20"/>
          <w:szCs w:val="20"/>
          <w:color w:val="auto"/>
        </w:rPr>
      </w:pPr>
      <w:r>
        <w:rPr>
          <w:rFonts w:ascii="Times New Roman" w:cs="Times New Roman" w:eastAsia="Times New Roman" w:hAnsi="Times New Roman"/>
          <w:sz w:val="20"/>
          <w:szCs w:val="20"/>
          <w:color w:val="231F20"/>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226"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231F20"/>
        </w:rPr>
        <w:t>Our Diagnostics product line primarily faces competition from diagnostics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neuropsychiatry include Myriad Genetics, Inc. and Genomind, Inc. Our primary competitors for our hereditary tests include GeneDx, Variantyx, and Baylor Genetics.</w:t>
      </w:r>
    </w:p>
    <w:p>
      <w:pPr>
        <w:spacing w:after="0" w:line="202"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231F20"/>
        </w:rPr>
        <w:t>Our Data and applications product line primarily faces competition from companies that help pharmaceutical and biotechnology companies acquire data to inform drug discovery and development. Our main competitors in this area are Flatiron Health, Inc., IQVIA Holdings Inc., ConcertAI, and others. Our Data and applications products also face competition from CROs, such as Fortrea, ICON, Syneos, PPD, and others, who provide data and clinical trial matching services to pharmaceutical and biotechnology companies.</w:t>
      </w:r>
    </w:p>
    <w:p>
      <w:pPr>
        <w:spacing w:after="0" w:line="195"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Our Applications products face competition from providers that are focused on providing laboratory testing or algorithm-based diagnostics for the disease and application areas in which our Algos are focused. With respect to Trials, our primary competitors include IQVIA, PPD, ICON and Syneos Health. With respect to Algos,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20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231F20"/>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420"/>
          </w:cols>
          <w:pgMar w:left="900" w:top="796" w:right="560" w:bottom="0" w:gutter="0" w:footer="0" w:header="0"/>
          <w:type w:val="continuous"/>
        </w:sectPr>
      </w:pPr>
    </w:p>
    <w:bookmarkStart w:id="37" w:name="page38"/>
    <w:bookmarkEnd w:id="37"/>
    <w:p>
      <w:pPr>
        <w:ind w:right="320" w:firstLine="490"/>
        <w:spacing w:after="0" w:line="287" w:lineRule="auto"/>
        <w:rPr>
          <w:sz w:val="20"/>
          <w:szCs w:val="20"/>
          <w:color w:val="auto"/>
        </w:rPr>
      </w:pPr>
      <w:r>
        <w:rPr>
          <w:rFonts w:ascii="Times New Roman" w:cs="Times New Roman" w:eastAsia="Times New Roman" w:hAnsi="Times New Roman"/>
          <w:sz w:val="20"/>
          <w:szCs w:val="20"/>
          <w:color w:val="231F20"/>
        </w:rPr>
        <w:t>For further discussion of the risks we face relating to competition, see the section titled “Risk factors— Risks Related to Our Business and Strategy.”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Payer coverage and reimbursement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Clinical Testing</w:t>
      </w:r>
    </w:p>
    <w:p>
      <w:pPr>
        <w:spacing w:after="0" w:line="120"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231F20"/>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204" w:lineRule="exact"/>
        <w:rPr>
          <w:sz w:val="20"/>
          <w:szCs w:val="20"/>
          <w:color w:val="auto"/>
        </w:rPr>
      </w:pPr>
    </w:p>
    <w:p>
      <w:pPr>
        <w:ind w:right="100" w:firstLine="490"/>
        <w:spacing w:after="0" w:line="262" w:lineRule="auto"/>
        <w:rPr>
          <w:sz w:val="20"/>
          <w:szCs w:val="20"/>
          <w:color w:val="auto"/>
        </w:rPr>
      </w:pPr>
      <w:r>
        <w:rPr>
          <w:rFonts w:ascii="Times New Roman" w:cs="Times New Roman" w:eastAsia="Times New Roman" w:hAnsi="Times New Roman"/>
          <w:sz w:val="20"/>
          <w:szCs w:val="20"/>
          <w:color w:val="231F20"/>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93" w:lineRule="exact"/>
        <w:rPr>
          <w:sz w:val="20"/>
          <w:szCs w:val="20"/>
          <w:color w:val="auto"/>
        </w:rPr>
      </w:pPr>
    </w:p>
    <w:p>
      <w:pPr>
        <w:ind w:right="60" w:firstLine="490"/>
        <w:spacing w:after="0" w:line="262" w:lineRule="auto"/>
        <w:rPr>
          <w:sz w:val="20"/>
          <w:szCs w:val="20"/>
          <w:color w:val="auto"/>
        </w:rPr>
      </w:pPr>
      <w:r>
        <w:rPr>
          <w:rFonts w:ascii="Times New Roman" w:cs="Times New Roman" w:eastAsia="Times New Roman" w:hAnsi="Times New Roman"/>
          <w:sz w:val="20"/>
          <w:szCs w:val="20"/>
          <w:color w:val="231F20"/>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93"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As of December 31, 2025, we had received payment on approximately 55% of our clinical oncology NGS tests and 50% of our hereditary tests across all payers performed from January 1, 2023 through December 31, 2024. We calculated this metric on a trailing basis based on payer adjudication timing. However, we continued to perform our NGS tests through December 31, 2025.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the Company's accounting policies. Our strategy to improve reimbursement is as follows:</w:t>
      </w:r>
    </w:p>
    <w:p>
      <w:pPr>
        <w:spacing w:after="0" w:line="71" w:lineRule="exact"/>
        <w:rPr>
          <w:sz w:val="20"/>
          <w:szCs w:val="20"/>
          <w:color w:val="auto"/>
        </w:rPr>
      </w:pPr>
    </w:p>
    <w:p>
      <w:pPr>
        <w:ind w:left="1100" w:right="100" w:hanging="495"/>
        <w:spacing w:after="0" w:line="258" w:lineRule="auto"/>
        <w:tabs>
          <w:tab w:leader="none" w:pos="11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 to work with NGS, our local MAC in Chicago, to maintain coverage of current assays, obtain coverage of new assays through engagement and reconsideration requests, and to continue various appeals when coverage is denied.</w:t>
      </w:r>
    </w:p>
    <w:p>
      <w:pPr>
        <w:spacing w:after="0" w:line="68" w:lineRule="exact"/>
        <w:rPr>
          <w:rFonts w:ascii="Times New Roman" w:cs="Times New Roman" w:eastAsia="Times New Roman" w:hAnsi="Times New Roman"/>
          <w:sz w:val="20"/>
          <w:szCs w:val="20"/>
          <w:color w:val="231F20"/>
        </w:rPr>
      </w:pPr>
    </w:p>
    <w:p>
      <w:pPr>
        <w:jc w:val="both"/>
        <w:ind w:left="1100" w:right="320" w:hanging="489"/>
        <w:spacing w:after="0" w:line="258" w:lineRule="auto"/>
        <w:tabs>
          <w:tab w:leader="none" w:pos="11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 to work with our new MAC, Palmetto, which covers our tests when performed out of our newest lab in Raleigh, North Carolina, to get the technical assessment of our assays approved and coverage policy in place for reimbursement.</w:t>
      </w:r>
    </w:p>
    <w:p>
      <w:pPr>
        <w:spacing w:after="0" w:line="68" w:lineRule="exact"/>
        <w:rPr>
          <w:rFonts w:ascii="Times New Roman" w:cs="Times New Roman" w:eastAsia="Times New Roman" w:hAnsi="Times New Roman"/>
          <w:sz w:val="20"/>
          <w:szCs w:val="20"/>
          <w:color w:val="231F20"/>
        </w:rPr>
      </w:pPr>
    </w:p>
    <w:p>
      <w:pPr>
        <w:ind w:left="1100" w:hanging="489"/>
        <w:spacing w:after="0"/>
        <w:tabs>
          <w:tab w:leader="none" w:pos="11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 to seek FDA approval of additional assays.</w:t>
      </w:r>
    </w:p>
    <w:p>
      <w:pPr>
        <w:spacing w:after="0" w:line="120" w:lineRule="exact"/>
        <w:rPr>
          <w:rFonts w:ascii="Times New Roman" w:cs="Times New Roman" w:eastAsia="Times New Roman" w:hAnsi="Times New Roman"/>
          <w:sz w:val="20"/>
          <w:szCs w:val="20"/>
          <w:color w:val="231F20"/>
        </w:rPr>
      </w:pPr>
    </w:p>
    <w:p>
      <w:pPr>
        <w:ind w:left="1100" w:hanging="489"/>
        <w:spacing w:after="0" w:line="277" w:lineRule="auto"/>
        <w:tabs>
          <w:tab w:leader="none" w:pos="110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 to work with commercial payers to both get in network and get our assay approved and reimbursement at a higher rate than it currently is.</w:t>
      </w:r>
    </w:p>
    <w:p>
      <w:pPr>
        <w:spacing w:after="0" w:line="199" w:lineRule="exact"/>
        <w:rPr>
          <w:sz w:val="20"/>
          <w:szCs w:val="20"/>
          <w:color w:val="auto"/>
        </w:rPr>
      </w:pPr>
    </w:p>
    <w:p>
      <w:pPr>
        <w:ind w:right="120" w:firstLine="490"/>
        <w:spacing w:after="0" w:line="287" w:lineRule="auto"/>
        <w:rPr>
          <w:sz w:val="20"/>
          <w:szCs w:val="20"/>
          <w:color w:val="auto"/>
        </w:rPr>
      </w:pPr>
      <w:r>
        <w:rPr>
          <w:rFonts w:ascii="Times New Roman" w:cs="Times New Roman" w:eastAsia="Times New Roman" w:hAnsi="Times New Roman"/>
          <w:sz w:val="20"/>
          <w:szCs w:val="20"/>
          <w:color w:val="231F20"/>
        </w:rPr>
        <w:t>At present, we have a team that is dedicated to the above, and if we are successful we would expect our reimbursement per assay to be more in line with other NGS providers who have adopted similar strategies, such as FMI and Guardant.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Algos</w:t>
      </w:r>
    </w:p>
    <w:p>
      <w:pPr>
        <w:spacing w:after="0" w:line="120"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20"/>
          <w:szCs w:val="20"/>
          <w:color w:val="231F20"/>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440"/>
          </w:cols>
          <w:pgMar w:left="900" w:top="796" w:right="540" w:bottom="0" w:gutter="0" w:footer="0" w:header="0"/>
          <w:type w:val="continuous"/>
        </w:sectPr>
      </w:pPr>
    </w:p>
    <w:bookmarkStart w:id="38" w:name="page39"/>
    <w:bookmarkEnd w:id="38"/>
    <w:p>
      <w:pPr>
        <w:ind w:right="20" w:firstLine="490"/>
        <w:spacing w:after="0" w:line="235" w:lineRule="auto"/>
        <w:rPr>
          <w:sz w:val="20"/>
          <w:szCs w:val="20"/>
          <w:color w:val="auto"/>
        </w:rPr>
      </w:pPr>
      <w:r>
        <w:rPr>
          <w:rFonts w:ascii="Times New Roman" w:cs="Times New Roman" w:eastAsia="Times New Roman" w:hAnsi="Times New Roman"/>
          <w:sz w:val="20"/>
          <w:szCs w:val="20"/>
          <w:color w:val="231F20"/>
        </w:rPr>
        <w:t>In sum, we expect that reimbursement for our Diagnostics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Operations</w:t>
      </w:r>
    </w:p>
    <w:p>
      <w:pPr>
        <w:spacing w:after="0" w:line="114"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231F20"/>
        </w:rPr>
        <w:t>We currently perform our laboratory tests in our clinical laboratories in Chicago, Atlanta, Raleigh, Aliso Viejo, and, effective December 2025, Minneapolis, Minnesota through our acquisition of OneOme. Our Chicago, Atlanta, Raleigh, Aliso Viejo and Minneapolis laboratories are CAP-accredited and CLIA-certified, and licensed in other states including, among others, New York, California, Maryland, Pennsylvania, and Rhode Island.</w:t>
      </w:r>
    </w:p>
    <w:p>
      <w:pPr>
        <w:spacing w:after="0" w:line="212" w:lineRule="exact"/>
        <w:rPr>
          <w:sz w:val="20"/>
          <w:szCs w:val="20"/>
          <w:color w:val="auto"/>
        </w:rPr>
      </w:pPr>
    </w:p>
    <w:p>
      <w:pPr>
        <w:ind w:right="100" w:firstLine="490"/>
        <w:spacing w:after="0" w:line="234" w:lineRule="auto"/>
        <w:rPr>
          <w:sz w:val="20"/>
          <w:szCs w:val="20"/>
          <w:color w:val="auto"/>
        </w:rPr>
      </w:pPr>
      <w:r>
        <w:rPr>
          <w:rFonts w:ascii="Times New Roman" w:cs="Times New Roman" w:eastAsia="Times New Roman" w:hAnsi="Times New Roman"/>
          <w:sz w:val="20"/>
          <w:szCs w:val="20"/>
          <w:color w:val="231F20"/>
        </w:rPr>
        <w:t>The scale our laboratories have been able to achieve in the approximately 10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At present, for our xT and xF tests, our laboratory workflows enable us to successfully deliver results over 98% of the time, assuming tissue is received that meets the minimum requirements we have outlined for our assays.</w:t>
      </w:r>
    </w:p>
    <w:p>
      <w:pPr>
        <w:spacing w:after="0" w:line="19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2025, our average turnaround time for our xT assays was approximately nine days, and our average turnaround time for xF was approximately eight days.</w:t>
      </w:r>
    </w:p>
    <w:p>
      <w:pPr>
        <w:spacing w:after="0" w:line="192" w:lineRule="exact"/>
        <w:rPr>
          <w:sz w:val="20"/>
          <w:szCs w:val="20"/>
          <w:color w:val="auto"/>
        </w:rPr>
      </w:pPr>
    </w:p>
    <w:p>
      <w:pPr>
        <w:ind w:right="100" w:firstLine="490"/>
        <w:spacing w:after="0" w:line="239" w:lineRule="auto"/>
        <w:rPr>
          <w:sz w:val="20"/>
          <w:szCs w:val="20"/>
          <w:color w:val="auto"/>
        </w:rPr>
      </w:pPr>
      <w:r>
        <w:rPr>
          <w:rFonts w:ascii="Times New Roman" w:cs="Times New Roman" w:eastAsia="Times New Roman" w:hAnsi="Times New Roman"/>
          <w:sz w:val="20"/>
          <w:szCs w:val="20"/>
          <w:color w:val="231F20"/>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Strategic Collaborations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AstraZeneca and Pathos</w:t>
      </w:r>
    </w:p>
    <w:p>
      <w:pPr>
        <w:spacing w:after="0" w:line="110"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231F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spacing w:after="0" w:line="187"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231F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spacing w:after="0" w:line="19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19"/>
          <w:szCs w:val="19"/>
          <w:color w:val="231F20"/>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w:t>
      </w:r>
    </w:p>
    <w:p>
      <w:pPr>
        <w:sectPr>
          <w:pgSz w:w="11880" w:h="15480" w:orient="portrait"/>
          <w:cols w:equalWidth="0" w:num="1">
            <w:col w:w="10440"/>
          </w:cols>
          <w:pgMar w:left="900" w:top="785" w:right="54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440"/>
          </w:cols>
          <w:pgMar w:left="900" w:top="785" w:right="540" w:bottom="0" w:gutter="0" w:footer="0" w:header="0"/>
          <w:type w:val="continuous"/>
        </w:sectPr>
      </w:pPr>
    </w:p>
    <w:bookmarkStart w:id="39" w:name="page40"/>
    <w:bookmarkEnd w:id="39"/>
    <w:p>
      <w:pPr>
        <w:spacing w:after="0" w:line="242" w:lineRule="auto"/>
        <w:rPr>
          <w:sz w:val="20"/>
          <w:szCs w:val="20"/>
          <w:color w:val="auto"/>
        </w:rPr>
      </w:pPr>
      <w:r>
        <w:rPr>
          <w:rFonts w:ascii="Times New Roman" w:cs="Times New Roman" w:eastAsia="Times New Roman" w:hAnsi="Times New Roman"/>
          <w:sz w:val="20"/>
          <w:szCs w:val="20"/>
          <w:color w:val="231F20"/>
        </w:rPr>
        <w:t>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AstraZeneca</w:t>
      </w:r>
    </w:p>
    <w:p>
      <w:pPr>
        <w:spacing w:after="0" w:line="110" w:lineRule="exact"/>
        <w:rPr>
          <w:sz w:val="20"/>
          <w:szCs w:val="20"/>
          <w:color w:val="auto"/>
        </w:rPr>
      </w:pPr>
    </w:p>
    <w:p>
      <w:pPr>
        <w:ind w:right="40" w:firstLine="490"/>
        <w:spacing w:after="0" w:line="237" w:lineRule="auto"/>
        <w:rPr>
          <w:sz w:val="20"/>
          <w:szCs w:val="20"/>
          <w:color w:val="auto"/>
        </w:rPr>
      </w:pPr>
      <w:r>
        <w:rPr>
          <w:rFonts w:ascii="Times New Roman" w:cs="Times New Roman" w:eastAsia="Times New Roman" w:hAnsi="Times New Roman"/>
          <w:sz w:val="20"/>
          <w:szCs w:val="20"/>
          <w:color w:val="231F20"/>
        </w:rPr>
        <w:t>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GlaxoSmithKline</w:t>
      </w:r>
    </w:p>
    <w:p>
      <w:pPr>
        <w:spacing w:after="0" w:line="110"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20"/>
          <w:szCs w:val="20"/>
          <w:color w:val="231F20"/>
        </w:rPr>
        <w:t>In August 2022, we entered into a Strategic Collaboration Agreement, or, as amended in May 2024, the GSK Agreement, with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Recursion Master Agreement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In November 2023, we entered into a Master Agreement, or the Recursion Agreement, with Recursion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Pharmaceuticals, Inc., or Recursion. Under the Recursion Agreement, we agreed to provide certain of our services and to license</w:t>
      </w:r>
    </w:p>
    <w:p>
      <w:pPr>
        <w:spacing w:after="0" w:line="229" w:lineRule="auto"/>
        <w:rPr>
          <w:sz w:val="20"/>
          <w:szCs w:val="20"/>
          <w:color w:val="auto"/>
        </w:rPr>
      </w:pPr>
      <w:r>
        <w:rPr>
          <w:rFonts w:ascii="Times New Roman" w:cs="Times New Roman" w:eastAsia="Times New Roman" w:hAnsi="Times New Roman"/>
          <w:sz w:val="20"/>
          <w:szCs w:val="20"/>
          <w:color w:val="231F20"/>
        </w:rPr>
        <w:t>certain data to Recursion, including a limited right to access our proprietary database of de-identified clinical and molecular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for certain therapeutic product development purposes. In exchange for these rights, Recursion will pay an initial license fee of $22</w:t>
      </w:r>
    </w:p>
    <w:p>
      <w:pPr>
        <w:spacing w:after="0" w:line="231" w:lineRule="auto"/>
        <w:rPr>
          <w:sz w:val="20"/>
          <w:szCs w:val="20"/>
          <w:color w:val="auto"/>
        </w:rPr>
      </w:pPr>
      <w:r>
        <w:rPr>
          <w:rFonts w:ascii="Times New Roman" w:cs="Times New Roman" w:eastAsia="Times New Roman" w:hAnsi="Times New Roman"/>
          <w:sz w:val="20"/>
          <w:szCs w:val="20"/>
          <w:color w:val="231F20"/>
        </w:rPr>
        <w:t>million and an annual license fee throughout the term of the agreement, which, together with the initial license fee, totals up to</w:t>
      </w:r>
    </w:p>
    <w:p>
      <w:pPr>
        <w:spacing w:after="0" w:line="229" w:lineRule="auto"/>
        <w:rPr>
          <w:sz w:val="20"/>
          <w:szCs w:val="20"/>
          <w:color w:val="auto"/>
        </w:rPr>
      </w:pPr>
      <w:r>
        <w:rPr>
          <w:rFonts w:ascii="Times New Roman" w:cs="Times New Roman" w:eastAsia="Times New Roman" w:hAnsi="Times New Roman"/>
          <w:sz w:val="20"/>
          <w:szCs w:val="20"/>
          <w:color w:val="231F20"/>
        </w:rPr>
        <w:t>$160 million. The term of the Recursion Agreement will continue through November 3, 2028, unless terminated sooner. In</w:t>
      </w:r>
    </w:p>
    <w:p>
      <w:pPr>
        <w:spacing w:after="0" w:line="230" w:lineRule="auto"/>
        <w:rPr>
          <w:sz w:val="20"/>
          <w:szCs w:val="20"/>
          <w:color w:val="auto"/>
        </w:rPr>
      </w:pPr>
      <w:r>
        <w:rPr>
          <w:rFonts w:ascii="Times New Roman" w:cs="Times New Roman" w:eastAsia="Times New Roman" w:hAnsi="Times New Roman"/>
          <w:sz w:val="20"/>
          <w:szCs w:val="20"/>
          <w:color w:val="231F20"/>
        </w:rPr>
        <w:t>addition to mutual rights to terminate for an uncured breach of the Recursion Agreement, Recursion may terminate the agreement</w:t>
      </w:r>
    </w:p>
    <w:p>
      <w:pPr>
        <w:spacing w:after="0"/>
        <w:rPr>
          <w:sz w:val="20"/>
          <w:szCs w:val="20"/>
          <w:color w:val="auto"/>
        </w:rPr>
      </w:pPr>
      <w:r>
        <w:rPr>
          <w:rFonts w:ascii="Times New Roman" w:cs="Times New Roman" w:eastAsia="Times New Roman" w:hAnsi="Times New Roman"/>
          <w:sz w:val="20"/>
          <w:szCs w:val="20"/>
          <w:color w:val="231F20"/>
        </w:rPr>
        <w:t>for convenience after three years upon 90 days prior notice, subject to payment by Recursion of an early termination fee.</w:t>
      </w:r>
    </w:p>
    <w:p>
      <w:pPr>
        <w:spacing w:after="0" w:line="222"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Quality Assurance</w:t>
      </w:r>
    </w:p>
    <w:p>
      <w:pPr>
        <w:spacing w:after="0" w:line="110" w:lineRule="exact"/>
        <w:rPr>
          <w:sz w:val="20"/>
          <w:szCs w:val="20"/>
          <w:color w:val="auto"/>
        </w:rPr>
      </w:pPr>
    </w:p>
    <w:p>
      <w:pPr>
        <w:ind w:right="120" w:firstLine="490"/>
        <w:spacing w:after="0" w:line="239" w:lineRule="auto"/>
        <w:rPr>
          <w:sz w:val="20"/>
          <w:szCs w:val="20"/>
          <w:color w:val="auto"/>
        </w:rPr>
      </w:pPr>
      <w:r>
        <w:rPr>
          <w:rFonts w:ascii="Times New Roman" w:cs="Times New Roman" w:eastAsia="Times New Roman" w:hAnsi="Times New Roman"/>
          <w:sz w:val="20"/>
          <w:szCs w:val="20"/>
          <w:color w:val="231F20"/>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215" w:lineRule="exact"/>
        <w:rPr>
          <w:sz w:val="20"/>
          <w:szCs w:val="20"/>
          <w:color w:val="auto"/>
        </w:rPr>
      </w:pPr>
    </w:p>
    <w:p>
      <w:pPr>
        <w:ind w:right="120" w:firstLine="490"/>
        <w:spacing w:after="0" w:line="237" w:lineRule="auto"/>
        <w:rPr>
          <w:sz w:val="20"/>
          <w:szCs w:val="20"/>
          <w:color w:val="auto"/>
        </w:rPr>
      </w:pPr>
      <w:r>
        <w:rPr>
          <w:rFonts w:ascii="Times New Roman" w:cs="Times New Roman" w:eastAsia="Times New Roman" w:hAnsi="Times New Roman"/>
          <w:sz w:val="20"/>
          <w:szCs w:val="20"/>
          <w:color w:val="231F20"/>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ectPr>
          <w:pgSz w:w="11880" w:h="15480" w:orient="portrait"/>
          <w:cols w:equalWidth="0" w:num="1">
            <w:col w:w="10420"/>
          </w:cols>
          <w:pgMar w:left="900" w:top="78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420"/>
          </w:cols>
          <w:pgMar w:left="900" w:top="785" w:right="5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231F20"/>
        </w:rPr>
        <w:t>Supply Chain</w:t>
      </w:r>
    </w:p>
    <w:p>
      <w:pPr>
        <w:spacing w:after="0" w:line="111" w:lineRule="exact"/>
        <w:rPr>
          <w:sz w:val="20"/>
          <w:szCs w:val="20"/>
          <w:color w:val="auto"/>
        </w:rPr>
      </w:pPr>
    </w:p>
    <w:p>
      <w:pPr>
        <w:jc w:val="both"/>
        <w:ind w:right="440" w:firstLine="490"/>
        <w:spacing w:after="0" w:line="249" w:lineRule="auto"/>
        <w:rPr>
          <w:sz w:val="20"/>
          <w:szCs w:val="20"/>
          <w:color w:val="auto"/>
        </w:rPr>
      </w:pPr>
      <w:r>
        <w:rPr>
          <w:rFonts w:ascii="Times New Roman" w:cs="Times New Roman" w:eastAsia="Times New Roman" w:hAnsi="Times New Roman"/>
          <w:sz w:val="20"/>
          <w:szCs w:val="20"/>
          <w:color w:val="231F20"/>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207"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31F20"/>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spacing w:after="0" w:line="207"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31F20"/>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Tecan US, Inc. We rely on standard commercial carriers for the delivery of samples to our laboratories.</w:t>
      </w:r>
    </w:p>
    <w:p>
      <w:pPr>
        <w:spacing w:after="0" w:line="213"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201" w:lineRule="exact"/>
        <w:rPr>
          <w:sz w:val="20"/>
          <w:szCs w:val="20"/>
          <w:color w:val="auto"/>
        </w:rPr>
      </w:pPr>
    </w:p>
    <w:p>
      <w:pPr>
        <w:ind w:right="120" w:firstLine="490"/>
        <w:spacing w:after="0" w:line="238" w:lineRule="auto"/>
        <w:rPr>
          <w:sz w:val="20"/>
          <w:szCs w:val="20"/>
          <w:color w:val="auto"/>
        </w:rPr>
      </w:pPr>
      <w:r>
        <w:rPr>
          <w:rFonts w:ascii="Times New Roman" w:cs="Times New Roman" w:eastAsia="Times New Roman" w:hAnsi="Times New Roman"/>
          <w:sz w:val="20"/>
          <w:szCs w:val="20"/>
          <w:color w:val="231F20"/>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 We have updated and amended the Google Cloud Agreement from time to time and signed an extension in February 2025.</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Laboratory Workflow Applications</w:t>
      </w:r>
    </w:p>
    <w:p>
      <w:pPr>
        <w:spacing w:after="0" w:line="111" w:lineRule="exact"/>
        <w:rPr>
          <w:sz w:val="20"/>
          <w:szCs w:val="20"/>
          <w:color w:val="auto"/>
        </w:rPr>
      </w:pPr>
    </w:p>
    <w:p>
      <w:pPr>
        <w:ind w:right="100" w:firstLine="490"/>
        <w:spacing w:after="0" w:line="294" w:lineRule="auto"/>
        <w:rPr>
          <w:sz w:val="20"/>
          <w:szCs w:val="20"/>
          <w:color w:val="auto"/>
        </w:rPr>
      </w:pPr>
      <w:r>
        <w:rPr>
          <w:rFonts w:ascii="Times New Roman" w:cs="Times New Roman" w:eastAsia="Times New Roman" w:hAnsi="Times New Roman"/>
          <w:sz w:val="19"/>
          <w:szCs w:val="19"/>
          <w:color w:val="231F20"/>
        </w:rPr>
        <w:t>With respect to the provision of laboratory services, in addition to Hub, our consumer- facing application, we have developed multiple software tools that facilitate back-end processing, workflow, and report generation. Our back-office software</w:t>
      </w:r>
    </w:p>
    <w:p>
      <w:pPr>
        <w:sectPr>
          <w:pgSz w:w="11880" w:h="15480" w:orient="portrait"/>
          <w:cols w:equalWidth="0" w:num="1">
            <w:col w:w="10400"/>
          </w:cols>
          <w:pgMar w:left="900" w:top="78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400"/>
          </w:cols>
          <w:pgMar w:left="900" w:top="789" w:right="580" w:bottom="0" w:gutter="0" w:footer="0" w:header="0"/>
          <w:type w:val="continuous"/>
        </w:sectPr>
      </w:pPr>
    </w:p>
    <w:bookmarkStart w:id="41" w:name="page42"/>
    <w:bookmarkEnd w:id="41"/>
    <w:p>
      <w:pPr>
        <w:ind w:right="440"/>
        <w:spacing w:after="0" w:line="268" w:lineRule="auto"/>
        <w:rPr>
          <w:sz w:val="20"/>
          <w:szCs w:val="20"/>
          <w:color w:val="auto"/>
        </w:rPr>
      </w:pPr>
      <w:r>
        <w:rPr>
          <w:rFonts w:ascii="Times New Roman" w:cs="Times New Roman" w:eastAsia="Times New Roman" w:hAnsi="Times New Roman"/>
          <w:sz w:val="20"/>
          <w:szCs w:val="20"/>
          <w:color w:val="231F20"/>
        </w:rPr>
        <w:t>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118745</wp:posOffset>
            </wp:positionV>
            <wp:extent cx="5943600" cy="4362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5943600" cy="436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90"/>
        <w:spacing w:after="0" w:line="250" w:lineRule="auto"/>
        <w:rPr>
          <w:sz w:val="20"/>
          <w:szCs w:val="20"/>
          <w:color w:val="auto"/>
        </w:rPr>
      </w:pPr>
      <w:r>
        <w:rPr>
          <w:rFonts w:ascii="Times New Roman" w:cs="Times New Roman" w:eastAsia="Times New Roman" w:hAnsi="Times New Roman"/>
          <w:sz w:val="20"/>
          <w:szCs w:val="20"/>
          <w:color w:val="231F20"/>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20"/>
          <w:szCs w:val="20"/>
          <w:i w:val="1"/>
          <w:iCs w:val="1"/>
          <w:color w:val="231F20"/>
        </w:rPr>
        <w:t>Tempus One,</w:t>
      </w:r>
      <w:r>
        <w:rPr>
          <w:rFonts w:ascii="Times New Roman" w:cs="Times New Roman" w:eastAsia="Times New Roman" w:hAnsi="Times New Roman"/>
          <w:sz w:val="20"/>
          <w:szCs w:val="20"/>
          <w:color w:val="231F20"/>
        </w:rPr>
        <w:t xml:space="preserve"> which is an application available in Hub or via mobile applications and which has AI assistant capabilities and relays information contained in our oncology reports and supporting database to physicians through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and other similar applications we develop, thereby enhancing the amount of information readily available to our ordering physicians.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Data Structuring Applications</w:t>
      </w:r>
    </w:p>
    <w:p>
      <w:pPr>
        <w:spacing w:after="0" w:line="12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we perform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We have also developed data abstraction tools that leverage artificial intelligence in a manner that significantly reduces the human cost of our abstraction efforts.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ectPr>
          <w:pgSz w:w="11880" w:h="15480" w:orient="portrait"/>
          <w:cols w:equalWidth="0" w:num="1">
            <w:col w:w="10420"/>
          </w:cols>
          <w:pgMar w:left="900" w:top="78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420"/>
          </w:cols>
          <w:pgMar w:left="900" w:top="789" w:right="56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231F20"/>
        </w:rPr>
        <w:t>Information Security</w:t>
      </w:r>
    </w:p>
    <w:p>
      <w:pPr>
        <w:spacing w:after="0" w:line="120"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99"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24"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99"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As of December 31, 2025, our patent portfolio and patent applications included 230 issued U.S. patents and allowed applications, 210 pending U.S. non-provisional patent applications, 5 pending U.S. provisional patent applications, 18 pending Patent Cooperation Treaty (international) patent applications, 138 issued foreign patents, 341 pending foreign patent applications, 31 licensed issued U.S. patents, 22 licensed pending U.S. patent application, 17 licensed issued foreign patents and 24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103" w:lineRule="exact"/>
        <w:rPr>
          <w:sz w:val="20"/>
          <w:szCs w:val="20"/>
          <w:color w:val="auto"/>
        </w:rPr>
      </w:pPr>
    </w:p>
    <w:p>
      <w:pPr>
        <w:ind w:left="1100" w:right="520" w:hanging="495"/>
        <w:spacing w:after="0" w:line="277" w:lineRule="auto"/>
        <w:tabs>
          <w:tab w:leader="none" w:pos="11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applications and patents relating to our Platform, including claims directed to product ordering processes; data processing and multimodal data analytics;</w:t>
      </w:r>
    </w:p>
    <w:p>
      <w:pPr>
        <w:spacing w:after="0" w:line="49" w:lineRule="exact"/>
        <w:rPr>
          <w:rFonts w:ascii="Times New Roman" w:cs="Times New Roman" w:eastAsia="Times New Roman" w:hAnsi="Times New Roman"/>
          <w:sz w:val="20"/>
          <w:szCs w:val="20"/>
          <w:color w:val="231F20"/>
        </w:rPr>
      </w:pPr>
    </w:p>
    <w:p>
      <w:pPr>
        <w:ind w:left="1100" w:right="120" w:hanging="489"/>
        <w:spacing w:after="0" w:line="277" w:lineRule="auto"/>
        <w:tabs>
          <w:tab w:leader="none" w:pos="11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applications and patents relating to our Diagnostics business, including claims directed to detecting and monitoring cancer and other diseases by determining genetic variations and other biomarkers in biological samples;</w:t>
      </w:r>
    </w:p>
    <w:p>
      <w:pPr>
        <w:spacing w:after="0" w:line="49" w:lineRule="exact"/>
        <w:rPr>
          <w:rFonts w:ascii="Times New Roman" w:cs="Times New Roman" w:eastAsia="Times New Roman" w:hAnsi="Times New Roman"/>
          <w:sz w:val="20"/>
          <w:szCs w:val="20"/>
          <w:color w:val="231F20"/>
        </w:rPr>
      </w:pPr>
    </w:p>
    <w:p>
      <w:pPr>
        <w:ind w:left="1100" w:right="340" w:hanging="495"/>
        <w:spacing w:after="0" w:line="277" w:lineRule="auto"/>
        <w:tabs>
          <w:tab w:leader="none" w:pos="11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applications and patents relating to our Data business, including claims directed to analysis of healthcare records and patient outcomes; and</w:t>
      </w:r>
    </w:p>
    <w:p>
      <w:pPr>
        <w:spacing w:after="0" w:line="49" w:lineRule="exact"/>
        <w:rPr>
          <w:rFonts w:ascii="Times New Roman" w:cs="Times New Roman" w:eastAsia="Times New Roman" w:hAnsi="Times New Roman"/>
          <w:sz w:val="20"/>
          <w:szCs w:val="20"/>
          <w:color w:val="231F20"/>
        </w:rPr>
      </w:pPr>
    </w:p>
    <w:p>
      <w:pPr>
        <w:ind w:left="1100" w:hanging="495"/>
        <w:spacing w:after="0" w:line="277" w:lineRule="auto"/>
        <w:tabs>
          <w:tab w:leader="none" w:pos="110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applications and patents related to our Algos business, including claims directed to machine learning diagnostics and predictions in cancer and cardiology.</w:t>
      </w:r>
    </w:p>
    <w:p>
      <w:pPr>
        <w:spacing w:after="0" w:line="199"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231F20"/>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w:t>
      </w:r>
    </w:p>
    <w:p>
      <w:pPr>
        <w:sectPr>
          <w:pgSz w:w="11880" w:h="15480" w:orient="portrait"/>
          <w:cols w:equalWidth="0" w:num="1">
            <w:col w:w="10440"/>
          </w:cols>
          <w:pgMar w:left="900" w:top="796" w:right="54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440"/>
          </w:cols>
          <w:pgMar w:left="900" w:top="796" w:right="540" w:bottom="0" w:gutter="0" w:footer="0" w:header="0"/>
          <w:type w:val="continuous"/>
        </w:sectPr>
      </w:pPr>
    </w:p>
    <w:bookmarkStart w:id="43" w:name="page44"/>
    <w:bookmarkEnd w:id="43"/>
    <w:p>
      <w:pPr>
        <w:ind w:right="40"/>
        <w:spacing w:after="0" w:line="287" w:lineRule="auto"/>
        <w:rPr>
          <w:sz w:val="20"/>
          <w:szCs w:val="20"/>
          <w:color w:val="auto"/>
        </w:rPr>
      </w:pPr>
      <w:r>
        <w:rPr>
          <w:rFonts w:ascii="Times New Roman" w:cs="Times New Roman" w:eastAsia="Times New Roman" w:hAnsi="Times New Roman"/>
          <w:sz w:val="20"/>
          <w:szCs w:val="20"/>
          <w:color w:val="231F20"/>
        </w:rPr>
        <w:t>protecting our platform, products, services, technologies and processes. In addition, any patents that we may hold, whether owned or licensed, may be challenged, circumvented or invalidated by third parties.</w:t>
      </w:r>
    </w:p>
    <w:p>
      <w:pPr>
        <w:spacing w:after="0" w:line="168" w:lineRule="exact"/>
        <w:rPr>
          <w:sz w:val="20"/>
          <w:szCs w:val="20"/>
          <w:color w:val="auto"/>
        </w:rPr>
      </w:pPr>
    </w:p>
    <w:p>
      <w:pPr>
        <w:ind w:right="240" w:firstLine="490"/>
        <w:spacing w:after="0" w:line="287" w:lineRule="auto"/>
        <w:rPr>
          <w:sz w:val="20"/>
          <w:szCs w:val="20"/>
          <w:color w:val="auto"/>
        </w:rPr>
      </w:pPr>
      <w:r>
        <w:rPr>
          <w:rFonts w:ascii="Times New Roman" w:cs="Times New Roman" w:eastAsia="Times New Roman" w:hAnsi="Times New Roman"/>
          <w:sz w:val="20"/>
          <w:szCs w:val="20"/>
          <w:color w:val="231F20"/>
        </w:rPr>
        <w:t>The success of our business strategy also depends in part on our continued ability to protect our branded services, and we own registered trademarks on “TEMPUS” and product related brand names in the United States and worldwide.</w:t>
      </w:r>
    </w:p>
    <w:p>
      <w:pPr>
        <w:spacing w:after="0" w:line="168"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20"/>
          <w:szCs w:val="20"/>
          <w:color w:val="231F20"/>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9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231F20"/>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Regulation of Medical Devices in the United States</w:t>
      </w:r>
    </w:p>
    <w:p>
      <w:pPr>
        <w:spacing w:after="0" w:line="120"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231F20"/>
        </w:rPr>
        <w:t>Some of our diagnostic products and services are subject to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FDA Premarket Clearance and Approval Requirements</w:t>
      </w:r>
    </w:p>
    <w:p>
      <w:pPr>
        <w:spacing w:after="0" w:line="120"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238"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20"/>
          <w:szCs w:val="20"/>
          <w:color w:val="231F20"/>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237"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231F20"/>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ectPr>
          <w:pgSz w:w="11880" w:h="15480" w:orient="portrait"/>
          <w:cols w:equalWidth="0" w:num="1">
            <w:col w:w="10440"/>
          </w:cols>
          <w:pgMar w:left="900" w:top="796" w:right="540" w:bottom="0"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440"/>
          </w:cols>
          <w:pgMar w:left="900" w:top="796" w:right="540" w:bottom="0" w:gutter="0" w:footer="0" w:header="0"/>
          <w:type w:val="continuous"/>
        </w:sectPr>
      </w:pPr>
    </w:p>
    <w:bookmarkStart w:id="44" w:name="page45"/>
    <w:bookmarkEnd w:id="44"/>
    <w:p>
      <w:pPr>
        <w:ind w:right="240" w:firstLine="490"/>
        <w:spacing w:after="0" w:line="257" w:lineRule="auto"/>
        <w:rPr>
          <w:sz w:val="20"/>
          <w:szCs w:val="20"/>
          <w:color w:val="auto"/>
        </w:rPr>
      </w:pPr>
      <w:r>
        <w:rPr>
          <w:rFonts w:ascii="Times New Roman" w:cs="Times New Roman" w:eastAsia="Times New Roman" w:hAnsi="Times New Roman"/>
          <w:sz w:val="20"/>
          <w:szCs w:val="20"/>
          <w:color w:val="231F20"/>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Emergency Use Authorization</w:t>
      </w:r>
    </w:p>
    <w:p>
      <w:pPr>
        <w:spacing w:after="0" w:line="120" w:lineRule="exact"/>
        <w:rPr>
          <w:sz w:val="20"/>
          <w:szCs w:val="20"/>
          <w:color w:val="auto"/>
        </w:rPr>
      </w:pPr>
    </w:p>
    <w:p>
      <w:pPr>
        <w:ind w:right="80" w:firstLine="490"/>
        <w:spacing w:after="0" w:line="268" w:lineRule="auto"/>
        <w:rPr>
          <w:sz w:val="20"/>
          <w:szCs w:val="20"/>
          <w:color w:val="auto"/>
        </w:rPr>
      </w:pPr>
      <w:r>
        <w:rPr>
          <w:rFonts w:ascii="Times New Roman" w:cs="Times New Roman" w:eastAsia="Times New Roman" w:hAnsi="Times New Roman"/>
          <w:sz w:val="20"/>
          <w:szCs w:val="20"/>
          <w:color w:val="231F20"/>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211"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Department of Health and Human Services, or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238" w:lineRule="exact"/>
        <w:rPr>
          <w:sz w:val="20"/>
          <w:szCs w:val="20"/>
          <w:color w:val="auto"/>
        </w:rPr>
      </w:pPr>
    </w:p>
    <w:p>
      <w:pPr>
        <w:ind w:right="20" w:firstLine="490"/>
        <w:spacing w:after="0" w:line="315" w:lineRule="auto"/>
        <w:rPr>
          <w:sz w:val="20"/>
          <w:szCs w:val="20"/>
          <w:color w:val="auto"/>
        </w:rPr>
      </w:pPr>
      <w:r>
        <w:rPr>
          <w:rFonts w:ascii="Times New Roman" w:cs="Times New Roman" w:eastAsia="Times New Roman" w:hAnsi="Times New Roman"/>
          <w:sz w:val="19"/>
          <w:szCs w:val="19"/>
          <w:color w:val="231F20"/>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Clinical Trials</w:t>
      </w:r>
    </w:p>
    <w:p>
      <w:pPr>
        <w:spacing w:after="0" w:line="120" w:lineRule="exact"/>
        <w:rPr>
          <w:sz w:val="20"/>
          <w:szCs w:val="20"/>
          <w:color w:val="auto"/>
        </w:rPr>
      </w:pPr>
    </w:p>
    <w:p>
      <w:pPr>
        <w:ind w:right="480" w:firstLine="490"/>
        <w:spacing w:after="0" w:line="259" w:lineRule="auto"/>
        <w:rPr>
          <w:sz w:val="20"/>
          <w:szCs w:val="20"/>
          <w:color w:val="auto"/>
        </w:rPr>
      </w:pPr>
      <w:r>
        <w:rPr>
          <w:rFonts w:ascii="Times New Roman" w:cs="Times New Roman" w:eastAsia="Times New Roman" w:hAnsi="Times New Roman"/>
          <w:sz w:val="20"/>
          <w:szCs w:val="20"/>
          <w:color w:val="231F20"/>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w:t>
      </w:r>
    </w:p>
    <w:p>
      <w:pPr>
        <w:ind w:right="220"/>
        <w:spacing w:after="0" w:line="251" w:lineRule="auto"/>
        <w:rPr>
          <w:sz w:val="20"/>
          <w:szCs w:val="20"/>
          <w:color w:val="auto"/>
        </w:rPr>
      </w:pPr>
      <w:r>
        <w:rPr>
          <w:rFonts w:ascii="Times New Roman" w:cs="Times New Roman" w:eastAsia="Times New Roman" w:hAnsi="Times New Roman"/>
          <w:sz w:val="20"/>
          <w:szCs w:val="20"/>
          <w:color w:val="231F20"/>
        </w:rPr>
        <w:t>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243"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231F20"/>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ectPr>
          <w:pgSz w:w="11880" w:h="15480" w:orient="portrait"/>
          <w:cols w:equalWidth="0" w:num="1">
            <w:col w:w="10440"/>
          </w:cols>
          <w:pgMar w:left="900" w:top="107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440"/>
          </w:cols>
          <w:pgMar w:left="900" w:top="1075" w:right="54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231F20"/>
        </w:rPr>
        <w:t>Post-market Regulation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After a device is cleared or approved for marketing, numerous and pervasive regulatory requirements continue to apply.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include:</w:t>
      </w:r>
    </w:p>
    <w:p>
      <w:pPr>
        <w:spacing w:after="0" w:line="222" w:lineRule="exact"/>
        <w:rPr>
          <w:sz w:val="20"/>
          <w:szCs w:val="20"/>
          <w:color w:val="auto"/>
        </w:rPr>
      </w:pPr>
    </w:p>
    <w:p>
      <w:pPr>
        <w:ind w:left="600" w:hanging="485"/>
        <w:spacing w:after="0"/>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establishment of registration and device listing with the FDA;</w:t>
      </w:r>
    </w:p>
    <w:p>
      <w:pPr>
        <w:spacing w:after="0" w:line="129" w:lineRule="exact"/>
        <w:rPr>
          <w:rFonts w:ascii="Times New Roman" w:cs="Times New Roman" w:eastAsia="Times New Roman" w:hAnsi="Times New Roman"/>
          <w:sz w:val="20"/>
          <w:szCs w:val="20"/>
          <w:color w:val="231F20"/>
        </w:rPr>
      </w:pPr>
    </w:p>
    <w:p>
      <w:pPr>
        <w:ind w:left="600" w:right="180" w:hanging="485"/>
        <w:spacing w:after="0" w:line="268"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67" w:lineRule="exact"/>
        <w:rPr>
          <w:rFonts w:ascii="Times New Roman" w:cs="Times New Roman" w:eastAsia="Times New Roman" w:hAnsi="Times New Roman"/>
          <w:sz w:val="20"/>
          <w:szCs w:val="20"/>
          <w:color w:val="231F20"/>
        </w:rPr>
      </w:pPr>
    </w:p>
    <w:p>
      <w:pPr>
        <w:ind w:left="600" w:right="40" w:hanging="485"/>
        <w:spacing w:after="0" w:line="287"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labeling regulations and FDA prohibitions against the promotion of investigational products, or “off-label” uses of cleared or approved products;</w:t>
      </w:r>
    </w:p>
    <w:p>
      <w:pPr>
        <w:spacing w:after="0" w:line="48"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requirements related to promotional activities;</w:t>
      </w:r>
    </w:p>
    <w:p>
      <w:pPr>
        <w:spacing w:after="0" w:line="129" w:lineRule="exact"/>
        <w:rPr>
          <w:rFonts w:ascii="Times New Roman" w:cs="Times New Roman" w:eastAsia="Times New Roman" w:hAnsi="Times New Roman"/>
          <w:sz w:val="20"/>
          <w:szCs w:val="20"/>
          <w:color w:val="231F20"/>
        </w:rPr>
      </w:pPr>
    </w:p>
    <w:p>
      <w:pPr>
        <w:ind w:left="600" w:right="860" w:hanging="485"/>
        <w:spacing w:after="0" w:line="287"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clearance or approval of product modifications to 510(k)-cleared devices that could significantly affect safety or effectiveness or that would constitute a major change in intended use of a cleared device;</w:t>
      </w:r>
    </w:p>
    <w:p>
      <w:pPr>
        <w:spacing w:after="0" w:line="48" w:lineRule="exact"/>
        <w:rPr>
          <w:rFonts w:ascii="Times New Roman" w:cs="Times New Roman" w:eastAsia="Times New Roman" w:hAnsi="Times New Roman"/>
          <w:sz w:val="20"/>
          <w:szCs w:val="20"/>
          <w:color w:val="231F20"/>
        </w:rPr>
      </w:pPr>
    </w:p>
    <w:p>
      <w:pPr>
        <w:ind w:left="600" w:right="60" w:hanging="485"/>
        <w:spacing w:after="0" w:line="268"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67" w:lineRule="exact"/>
        <w:rPr>
          <w:rFonts w:ascii="Times New Roman" w:cs="Times New Roman" w:eastAsia="Times New Roman" w:hAnsi="Times New Roman"/>
          <w:sz w:val="20"/>
          <w:szCs w:val="20"/>
          <w:color w:val="231F20"/>
        </w:rPr>
      </w:pPr>
    </w:p>
    <w:p>
      <w:pPr>
        <w:ind w:left="600" w:right="80" w:hanging="485"/>
        <w:spacing w:after="0" w:line="268"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67" w:lineRule="exact"/>
        <w:rPr>
          <w:rFonts w:ascii="Times New Roman" w:cs="Times New Roman" w:eastAsia="Times New Roman" w:hAnsi="Times New Roman"/>
          <w:sz w:val="20"/>
          <w:szCs w:val="20"/>
          <w:color w:val="231F20"/>
        </w:rPr>
      </w:pPr>
    </w:p>
    <w:p>
      <w:pPr>
        <w:ind w:left="600" w:right="100" w:hanging="485"/>
        <w:spacing w:after="0" w:line="287"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FDA’s recall authority, whereby the agency can order device manufacturers to recall from the market a product that is in violation of governing laws and regulations; and</w:t>
      </w:r>
    </w:p>
    <w:p>
      <w:pPr>
        <w:spacing w:after="0" w:line="48" w:lineRule="exact"/>
        <w:rPr>
          <w:rFonts w:ascii="Times New Roman" w:cs="Times New Roman" w:eastAsia="Times New Roman" w:hAnsi="Times New Roman"/>
          <w:sz w:val="20"/>
          <w:szCs w:val="20"/>
          <w:color w:val="231F20"/>
        </w:rPr>
      </w:pPr>
    </w:p>
    <w:p>
      <w:pPr>
        <w:ind w:left="600" w:right="200" w:hanging="485"/>
        <w:spacing w:after="0" w:line="287" w:lineRule="auto"/>
        <w:tabs>
          <w:tab w:leader="none" w:pos="6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post-market surveillance activities and regulations, which apply when deemed by the FDA to be necessary to protect the public health or to provide additional safety and effectiveness data for the device.</w:t>
      </w:r>
    </w:p>
    <w:p>
      <w:pPr>
        <w:spacing w:after="0" w:line="215" w:lineRule="exact"/>
        <w:rPr>
          <w:sz w:val="20"/>
          <w:szCs w:val="20"/>
          <w:color w:val="auto"/>
        </w:rPr>
      </w:pPr>
    </w:p>
    <w:p>
      <w:pPr>
        <w:ind w:right="200" w:firstLine="490"/>
        <w:spacing w:after="0" w:line="268" w:lineRule="auto"/>
        <w:rPr>
          <w:sz w:val="20"/>
          <w:szCs w:val="20"/>
          <w:color w:val="auto"/>
        </w:rPr>
      </w:pPr>
      <w:r>
        <w:rPr>
          <w:rFonts w:ascii="Times New Roman" w:cs="Times New Roman" w:eastAsia="Times New Roman" w:hAnsi="Times New Roman"/>
          <w:sz w:val="20"/>
          <w:szCs w:val="20"/>
          <w:color w:val="231F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67" w:lineRule="exact"/>
        <w:rPr>
          <w:sz w:val="20"/>
          <w:szCs w:val="20"/>
          <w:color w:val="auto"/>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untitled letters, warning letters, fines, injunctions, consent decrees and civil penalties;</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unanticipated expenditures to address or defend such actions;</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customer notifications for repair, replacement, refunds;</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recall, withdrawal, administrative detention or seizure;</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operating restrictions or partial suspension or total shutdown of production;</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refusal of or delay in granting our requests for 510(k) clearance or PMA approval of new tests or modified tests;</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operating restrictions, partial suspension or total shutdown of production;</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withdrawing 510(k) clearance or PMA approvals that are already granted;</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refusal to grant export approval; or</w:t>
      </w:r>
    </w:p>
    <w:p>
      <w:pPr>
        <w:spacing w:after="0" w:line="129" w:lineRule="exact"/>
        <w:rPr>
          <w:rFonts w:ascii="Times New Roman" w:cs="Times New Roman" w:eastAsia="Times New Roman" w:hAnsi="Times New Roman"/>
          <w:sz w:val="20"/>
          <w:szCs w:val="20"/>
          <w:color w:val="231F20"/>
        </w:rPr>
      </w:pPr>
    </w:p>
    <w:p>
      <w:pPr>
        <w:ind w:left="600" w:hanging="485"/>
        <w:spacing w:after="0"/>
        <w:tabs>
          <w:tab w:leader="none" w:pos="60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criminal prosecution.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Laboratory-Developed Tests (LDTs)</w:t>
      </w:r>
    </w:p>
    <w:p>
      <w:pPr>
        <w:spacing w:after="0" w:line="133"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231F20"/>
        </w:rPr>
        <w:t>LDTs have generally been considered to be tests that are designed, developed, validated and used within a single laboratory. The FDA previously took takes the position that it had the authority to regulate such tests as medical devices under the FDCA. The FDA also historically exercised enforcement discretion and did not required clearance or approval of LDTs prior to marketing. On May 6, 2024, the FDA published final regulations that purported to phase-out enforcement discretion over a period of four years and required compliance with device registration and listing requirements, medical device reporting requirements, 510(k) clearance, denovo authorization or Premarket Approval and the requirements of the FDA’s Quality System Regulation. In March 2025, however, a federal district court in the Northern District of Texas invalidated the proposed rule and held the FDA</w:t>
      </w:r>
    </w:p>
    <w:p>
      <w:pPr>
        <w:sectPr>
          <w:pgSz w:w="11880" w:h="15480" w:orient="portrait"/>
          <w:cols w:equalWidth="0" w:num="1">
            <w:col w:w="10440"/>
          </w:cols>
          <w:pgMar w:left="900" w:top="796" w:right="540" w:bottom="0" w:gutter="0" w:footer="0" w:header="0"/>
        </w:sect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440"/>
          </w:cols>
          <w:pgMar w:left="900" w:top="796" w:right="540" w:bottom="0" w:gutter="0" w:footer="0" w:header="0"/>
          <w:type w:val="continuous"/>
        </w:sectPr>
      </w:pPr>
    </w:p>
    <w:bookmarkStart w:id="46" w:name="page47"/>
    <w:bookmarkEnd w:id="46"/>
    <w:p>
      <w:pPr>
        <w:ind w:right="80"/>
        <w:spacing w:after="0" w:line="287" w:lineRule="auto"/>
        <w:rPr>
          <w:sz w:val="20"/>
          <w:szCs w:val="20"/>
          <w:color w:val="auto"/>
        </w:rPr>
      </w:pPr>
      <w:r>
        <w:rPr>
          <w:rFonts w:ascii="Times New Roman" w:cs="Times New Roman" w:eastAsia="Times New Roman" w:hAnsi="Times New Roman"/>
          <w:sz w:val="20"/>
          <w:szCs w:val="20"/>
          <w:color w:val="231F20"/>
        </w:rPr>
        <w:t>did not have the authority to regulate laboratory tests under the FDCA. In addition, the New York Clinical Laboratory Evaluation Program separately approves certain LDTs offered to New York State patients.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CLIA and State Laboratory Licensing</w:t>
      </w:r>
    </w:p>
    <w:p>
      <w:pPr>
        <w:spacing w:after="0" w:line="133"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231F20"/>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Raleigh, North Carolina, Aliso Viejo, California and Minneapolis, Minnesota. To renew our CLIA certificate, we are subject to survey and inspection every two years to assess compliance with program standards.</w:t>
      </w:r>
    </w:p>
    <w:p>
      <w:pPr>
        <w:spacing w:after="0" w:line="241"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231F20"/>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234"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color w:val="231F20"/>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20"/>
          <w:szCs w:val="20"/>
          <w:b w:val="1"/>
          <w:bCs w:val="1"/>
          <w:color w:val="231F20"/>
        </w:rPr>
        <w:t>.</w:t>
      </w:r>
    </w:p>
    <w:p>
      <w:pPr>
        <w:spacing w:after="0" w:line="231" w:lineRule="exact"/>
        <w:rPr>
          <w:sz w:val="20"/>
          <w:szCs w:val="20"/>
          <w:color w:val="auto"/>
        </w:rPr>
      </w:pPr>
    </w:p>
    <w:p>
      <w:pPr>
        <w:ind w:right="420" w:firstLine="490"/>
        <w:spacing w:after="0" w:line="262" w:lineRule="auto"/>
        <w:rPr>
          <w:sz w:val="20"/>
          <w:szCs w:val="20"/>
          <w:color w:val="auto"/>
        </w:rPr>
      </w:pPr>
      <w:r>
        <w:rPr>
          <w:rFonts w:ascii="Times New Roman" w:cs="Times New Roman" w:eastAsia="Times New Roman" w:hAnsi="Times New Roman"/>
          <w:sz w:val="20"/>
          <w:szCs w:val="20"/>
          <w:color w:val="231F20"/>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232"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231F20"/>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Atlanta, Georgia, Raleigh, North Carolina, Aliso Viejo, California and Minneapolis, Minnesota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Federal and State Health Care Laws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Federal Physician Self-Referral Prohibition</w:t>
      </w:r>
    </w:p>
    <w:p>
      <w:pPr>
        <w:spacing w:after="0" w:line="12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231F20"/>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w:t>
      </w:r>
    </w:p>
    <w:p>
      <w:pPr>
        <w:spacing w:after="0" w:line="250" w:lineRule="auto"/>
        <w:rPr>
          <w:sz w:val="20"/>
          <w:szCs w:val="20"/>
          <w:color w:val="auto"/>
        </w:rPr>
      </w:pPr>
      <w:r>
        <w:rPr>
          <w:rFonts w:ascii="Times New Roman" w:cs="Times New Roman" w:eastAsia="Times New Roman" w:hAnsi="Times New Roman"/>
          <w:sz w:val="20"/>
          <w:szCs w:val="20"/>
          <w:color w:val="231F20"/>
        </w:rPr>
        <w:t>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w:t>
      </w:r>
    </w:p>
    <w:p>
      <w:pPr>
        <w:sectPr>
          <w:pgSz w:w="11880" w:h="15480" w:orient="portrait"/>
          <w:cols w:equalWidth="0" w:num="1">
            <w:col w:w="10440"/>
          </w:cols>
          <w:pgMar w:left="900" w:top="796" w:right="540" w:bottom="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440"/>
          </w:cols>
          <w:pgMar w:left="900" w:top="796" w:right="540" w:bottom="0" w:gutter="0" w:footer="0" w:header="0"/>
          <w:type w:val="continuous"/>
        </w:sectPr>
      </w:pPr>
    </w:p>
    <w:bookmarkStart w:id="47" w:name="page48"/>
    <w:bookmarkEnd w:id="47"/>
    <w:p>
      <w:pPr>
        <w:ind w:right="60"/>
        <w:spacing w:after="0" w:line="262" w:lineRule="auto"/>
        <w:rPr>
          <w:sz w:val="20"/>
          <w:szCs w:val="20"/>
          <w:color w:val="auto"/>
        </w:rPr>
      </w:pPr>
      <w:r>
        <w:rPr>
          <w:rFonts w:ascii="Times New Roman" w:cs="Times New Roman" w:eastAsia="Times New Roman" w:hAnsi="Times New Roman"/>
          <w:sz w:val="20"/>
          <w:szCs w:val="20"/>
          <w:color w:val="231F20"/>
        </w:rPr>
        <w:t>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Federal Anti-Kickback Law</w:t>
      </w:r>
    </w:p>
    <w:p>
      <w:pPr>
        <w:spacing w:after="0" w:line="120"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231F20"/>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Health Care Laws</w:t>
      </w:r>
    </w:p>
    <w:p>
      <w:pPr>
        <w:spacing w:after="0" w:line="120" w:lineRule="exact"/>
        <w:rPr>
          <w:sz w:val="20"/>
          <w:szCs w:val="20"/>
          <w:color w:val="auto"/>
        </w:rPr>
      </w:pPr>
    </w:p>
    <w:p>
      <w:pPr>
        <w:ind w:right="120" w:firstLine="490"/>
        <w:spacing w:after="0" w:line="287" w:lineRule="auto"/>
        <w:rPr>
          <w:sz w:val="20"/>
          <w:szCs w:val="20"/>
          <w:color w:val="auto"/>
        </w:rPr>
      </w:pPr>
      <w:r>
        <w:rPr>
          <w:rFonts w:ascii="Times New Roman" w:cs="Times New Roman" w:eastAsia="Times New Roman" w:hAnsi="Times New Roman"/>
          <w:sz w:val="20"/>
          <w:szCs w:val="20"/>
          <w:color w:val="231F20"/>
        </w:rPr>
        <w:t>In addition to the requirements discussed above, several other health care fraud and abuse laws could have an effect on our business.</w:t>
      </w:r>
    </w:p>
    <w:p>
      <w:pPr>
        <w:spacing w:after="0" w:line="20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24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440"/>
          </w:cols>
          <w:pgMar w:left="900" w:top="796" w:right="540" w:bottom="0" w:gutter="0" w:footer="0" w:header="0"/>
          <w:type w:val="continuous"/>
        </w:sectPr>
      </w:pPr>
    </w:p>
    <w:bookmarkStart w:id="48" w:name="page49"/>
    <w:bookmarkEnd w:id="48"/>
    <w:p>
      <w:pPr>
        <w:ind w:firstLine="490"/>
        <w:spacing w:after="0" w:line="259" w:lineRule="auto"/>
        <w:rPr>
          <w:sz w:val="20"/>
          <w:szCs w:val="20"/>
          <w:color w:val="auto"/>
        </w:rPr>
      </w:pPr>
      <w:r>
        <w:rPr>
          <w:rFonts w:ascii="Times New Roman" w:cs="Times New Roman" w:eastAsia="Times New Roman" w:hAnsi="Times New Roman"/>
          <w:sz w:val="20"/>
          <w:szCs w:val="20"/>
          <w:color w:val="231F20"/>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23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244" w:lineRule="exact"/>
        <w:rPr>
          <w:sz w:val="20"/>
          <w:szCs w:val="20"/>
          <w:color w:val="auto"/>
        </w:rPr>
      </w:pPr>
    </w:p>
    <w:p>
      <w:pPr>
        <w:ind w:right="140" w:firstLine="490"/>
        <w:spacing w:after="0" w:line="255" w:lineRule="auto"/>
        <w:rPr>
          <w:sz w:val="20"/>
          <w:szCs w:val="20"/>
          <w:color w:val="auto"/>
        </w:rPr>
      </w:pPr>
      <w:r>
        <w:rPr>
          <w:rFonts w:ascii="Times New Roman" w:cs="Times New Roman" w:eastAsia="Times New Roman" w:hAnsi="Times New Roman"/>
          <w:sz w:val="20"/>
          <w:szCs w:val="20"/>
          <w:color w:val="231F20"/>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and covered subcontractors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238"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231F20"/>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Also, many states have laws similar to those listed above that may be broader in scope and may apply regardless of payer.</w:t>
      </w:r>
    </w:p>
    <w:p>
      <w:pPr>
        <w:spacing w:after="0" w:line="28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or RSUs,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Data Privacy and Security</w:t>
      </w:r>
    </w:p>
    <w:p>
      <w:pPr>
        <w:spacing w:after="0" w:line="125" w:lineRule="exact"/>
        <w:rPr>
          <w:sz w:val="20"/>
          <w:szCs w:val="20"/>
          <w:color w:val="auto"/>
        </w:rPr>
      </w:pPr>
    </w:p>
    <w:p>
      <w:pPr>
        <w:ind w:right="100" w:firstLine="490"/>
        <w:spacing w:after="0" w:line="257" w:lineRule="auto"/>
        <w:rPr>
          <w:sz w:val="20"/>
          <w:szCs w:val="20"/>
          <w:color w:val="auto"/>
        </w:rPr>
      </w:pPr>
      <w:r>
        <w:rPr>
          <w:rFonts w:ascii="Times New Roman" w:cs="Times New Roman" w:eastAsia="Times New Roman" w:hAnsi="Times New Roman"/>
          <w:sz w:val="20"/>
          <w:szCs w:val="20"/>
          <w:color w:val="231F20"/>
        </w:rPr>
        <w:t>In the ordinary course of our business, we may process personal or sensitive data. Accordingly, we are, and may in the future become, subject to numerous federal, state, local and foreign laws, regulations, standards, and guidance regarding data privacy and security. Such obligations may include, without limitation, the Federal Trade Commission Act, the Telephone Consumer Protection Act of 1991, the Children’s Online Privacy Protection Act of 1998, the Controlling the Assault of Non-Solicited Pornography And Marketing Act of 2003, the California Consumer Privacy Act of 2018, or CCPA, the Canadian Personal Information Protection and Electronic Documents Act, Canada’s Anti-Spam Legislation, the European Union’s General</w:t>
      </w:r>
    </w:p>
    <w:p>
      <w:pPr>
        <w:sectPr>
          <w:pgSz w:w="11880" w:h="15480" w:orient="portrait"/>
          <w:cols w:equalWidth="0" w:num="1">
            <w:col w:w="10440"/>
          </w:cols>
          <w:pgMar w:left="900" w:top="796" w:right="540" w:bottom="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440"/>
          </w:cols>
          <w:pgMar w:left="900" w:top="796" w:right="540" w:bottom="0" w:gutter="0" w:footer="0" w:header="0"/>
          <w:type w:val="continuous"/>
        </w:sectPr>
      </w:pPr>
    </w:p>
    <w:bookmarkStart w:id="49" w:name="page50"/>
    <w:bookmarkEnd w:id="49"/>
    <w:p>
      <w:pPr>
        <w:ind w:right="20"/>
        <w:spacing w:after="0" w:line="253" w:lineRule="auto"/>
        <w:rPr>
          <w:sz w:val="20"/>
          <w:szCs w:val="20"/>
          <w:color w:val="auto"/>
        </w:rPr>
      </w:pPr>
      <w:r>
        <w:rPr>
          <w:rFonts w:ascii="Times New Roman" w:cs="Times New Roman" w:eastAsia="Times New Roman" w:hAnsi="Times New Roman"/>
          <w:sz w:val="20"/>
          <w:szCs w:val="20"/>
          <w:color w:val="231F20"/>
        </w:rPr>
        <w:t>Data Protection Regulation 2016/679, or EU GDPR, the EU GDPR as it forms part of United Kingdom, or UK law by virtue of section 3 of the European Union (Withdrawal) Act 2018 or UK GDPR, the ePrivacy Directive, and the Payment Card Industry Data Security Standard, or PCI DSS. In addition,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04"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231F20"/>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20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231F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spacing w:after="0" w:line="207" w:lineRule="exact"/>
        <w:rPr>
          <w:sz w:val="20"/>
          <w:szCs w:val="20"/>
          <w:color w:val="auto"/>
        </w:rPr>
      </w:pPr>
    </w:p>
    <w:p>
      <w:pPr>
        <w:ind w:right="180" w:firstLine="490"/>
        <w:spacing w:after="0" w:line="257" w:lineRule="auto"/>
        <w:rPr>
          <w:sz w:val="20"/>
          <w:szCs w:val="20"/>
          <w:color w:val="auto"/>
        </w:rPr>
      </w:pPr>
      <w:r>
        <w:rPr>
          <w:rFonts w:ascii="Times New Roman" w:cs="Times New Roman" w:eastAsia="Times New Roman" w:hAnsi="Times New Roman"/>
          <w:sz w:val="20"/>
          <w:szCs w:val="20"/>
          <w:color w:val="231F20"/>
        </w:rPr>
        <w:t>Outside the United States, there are an increasing number of laws and regulations governing the collection, use and processing of personal data. For example, under the EU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97" w:lineRule="exact"/>
        <w:rPr>
          <w:sz w:val="20"/>
          <w:szCs w:val="20"/>
          <w:color w:val="auto"/>
        </w:rPr>
      </w:pPr>
    </w:p>
    <w:p>
      <w:pPr>
        <w:ind w:right="60" w:firstLine="490"/>
        <w:spacing w:after="0" w:line="257" w:lineRule="auto"/>
        <w:rPr>
          <w:sz w:val="20"/>
          <w:szCs w:val="20"/>
          <w:color w:val="auto"/>
        </w:rPr>
      </w:pPr>
      <w:r>
        <w:rPr>
          <w:rFonts w:ascii="Times New Roman" w:cs="Times New Roman" w:eastAsia="Times New Roman" w:hAnsi="Times New Roman"/>
          <w:sz w:val="20"/>
          <w:szCs w:val="20"/>
          <w:color w:val="231F20"/>
        </w:rPr>
        <w:t>For more information regarding risks relating to data privacy and security, see “Risk Factors – Risks Related to Our Highly Regulated Industry–We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Health Reform</w:t>
      </w:r>
    </w:p>
    <w:p>
      <w:pPr>
        <w:spacing w:after="0" w:line="124" w:lineRule="exact"/>
        <w:rPr>
          <w:sz w:val="20"/>
          <w:szCs w:val="20"/>
          <w:color w:val="auto"/>
        </w:rPr>
      </w:pPr>
    </w:p>
    <w:p>
      <w:pPr>
        <w:ind w:right="100" w:firstLine="490"/>
        <w:spacing w:after="0" w:line="262" w:lineRule="auto"/>
        <w:rPr>
          <w:sz w:val="20"/>
          <w:szCs w:val="20"/>
          <w:color w:val="auto"/>
        </w:rPr>
      </w:pPr>
      <w:r>
        <w:rPr>
          <w:rFonts w:ascii="Times New Roman" w:cs="Times New Roman" w:eastAsia="Times New Roman" w:hAnsi="Times New Roman"/>
          <w:sz w:val="20"/>
          <w:szCs w:val="20"/>
          <w:color w:val="231F20"/>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420"/>
          </w:cols>
          <w:pgMar w:left="900" w:top="796" w:right="560" w:bottom="0" w:gutter="0" w:footer="0" w:header="0"/>
          <w:type w:val="continuous"/>
        </w:sectPr>
      </w:pPr>
    </w:p>
    <w:bookmarkStart w:id="50" w:name="page51"/>
    <w:bookmarkEnd w:id="50"/>
    <w:p>
      <w:pPr>
        <w:ind w:right="40" w:firstLine="490"/>
        <w:spacing w:after="0" w:line="254" w:lineRule="auto"/>
        <w:rPr>
          <w:sz w:val="20"/>
          <w:szCs w:val="20"/>
          <w:color w:val="auto"/>
        </w:rPr>
      </w:pPr>
      <w:r>
        <w:rPr>
          <w:rFonts w:ascii="Times New Roman" w:cs="Times New Roman" w:eastAsia="Times New Roman" w:hAnsi="Times New Roman"/>
          <w:sz w:val="20"/>
          <w:szCs w:val="20"/>
          <w:color w:val="231F20"/>
        </w:rPr>
        <w:t>Since its enactment, there have been efforts to repeal, replace, and amend all or part of the ACA. For example, on July 4, 2025, the One Big Beautiful Bill Act, or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unclear how any such challenges and litigation, and the healthcare reform measures of the current administration will impact the ACA.</w:t>
      </w:r>
    </w:p>
    <w:p>
      <w:pPr>
        <w:spacing w:after="0" w:line="241" w:lineRule="exact"/>
        <w:rPr>
          <w:sz w:val="20"/>
          <w:szCs w:val="20"/>
          <w:color w:val="auto"/>
        </w:rPr>
      </w:pPr>
    </w:p>
    <w:p>
      <w:pPr>
        <w:jc w:val="both"/>
        <w:ind w:right="100" w:firstLine="490"/>
        <w:spacing w:after="0" w:line="262" w:lineRule="auto"/>
        <w:rPr>
          <w:sz w:val="20"/>
          <w:szCs w:val="20"/>
          <w:color w:val="auto"/>
        </w:rPr>
      </w:pPr>
      <w:r>
        <w:rPr>
          <w:rFonts w:ascii="Times New Roman" w:cs="Times New Roman" w:eastAsia="Times New Roman" w:hAnsi="Times New Roman"/>
          <w:sz w:val="20"/>
          <w:szCs w:val="20"/>
          <w:color w:val="231F20"/>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unless additional Congressional action is taken.</w:t>
      </w:r>
    </w:p>
    <w:p>
      <w:pPr>
        <w:spacing w:after="0" w:line="232" w:lineRule="exact"/>
        <w:rPr>
          <w:sz w:val="20"/>
          <w:szCs w:val="20"/>
          <w:color w:val="auto"/>
        </w:rPr>
      </w:pPr>
    </w:p>
    <w:p>
      <w:pPr>
        <w:ind w:right="140" w:firstLine="490"/>
        <w:spacing w:after="0" w:line="262" w:lineRule="auto"/>
        <w:rPr>
          <w:sz w:val="20"/>
          <w:szCs w:val="20"/>
          <w:color w:val="auto"/>
        </w:rPr>
      </w:pPr>
      <w:r>
        <w:rPr>
          <w:rFonts w:ascii="Times New Roman" w:cs="Times New Roman" w:eastAsia="Times New Roman" w:hAnsi="Times New Roman"/>
          <w:sz w:val="20"/>
          <w:szCs w:val="20"/>
          <w:color w:val="231F20"/>
        </w:rPr>
        <w:t>The current administration is pursuing policies to reduce regulations and expenditures across government agencies including at the Department of Health and Human Services, the FDA, CMS and related agencies. Such actions and policies may, among other things, significantly reduce U.S. medical device prices, potentially impacting manufacturers’ global pricing strategies and profitability, while increasing their operational costs and compliance risks.</w:t>
      </w: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expect that additional state, federal, and foreign healthcare reform measures will be adopted in the future.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Coverage and Reimbursement</w:t>
      </w:r>
    </w:p>
    <w:p>
      <w:pPr>
        <w:spacing w:after="0" w:line="124" w:lineRule="exact"/>
        <w:rPr>
          <w:sz w:val="20"/>
          <w:szCs w:val="20"/>
          <w:color w:val="auto"/>
        </w:rPr>
      </w:pPr>
    </w:p>
    <w:p>
      <w:pPr>
        <w:ind w:right="80" w:firstLine="490"/>
        <w:spacing w:after="0" w:line="268" w:lineRule="auto"/>
        <w:rPr>
          <w:sz w:val="20"/>
          <w:szCs w:val="20"/>
          <w:color w:val="auto"/>
        </w:rPr>
      </w:pPr>
      <w:r>
        <w:rPr>
          <w:rFonts w:ascii="Times New Roman" w:cs="Times New Roman" w:eastAsia="Times New Roman" w:hAnsi="Times New Roman"/>
          <w:sz w:val="20"/>
          <w:szCs w:val="20"/>
          <w:color w:val="231F20"/>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w:t>
      </w:r>
    </w:p>
    <w:p>
      <w:pPr>
        <w:spacing w:after="0" w:line="226" w:lineRule="exact"/>
        <w:rPr>
          <w:sz w:val="20"/>
          <w:szCs w:val="20"/>
          <w:color w:val="auto"/>
        </w:rPr>
      </w:pPr>
    </w:p>
    <w:p>
      <w:pPr>
        <w:ind w:right="220" w:firstLine="490"/>
        <w:spacing w:after="0" w:line="255" w:lineRule="auto"/>
        <w:rPr>
          <w:sz w:val="20"/>
          <w:szCs w:val="20"/>
          <w:color w:val="auto"/>
        </w:rPr>
      </w:pPr>
      <w:r>
        <w:rPr>
          <w:rFonts w:ascii="Times New Roman" w:cs="Times New Roman" w:eastAsia="Times New Roman" w:hAnsi="Times New Roman"/>
          <w:sz w:val="20"/>
          <w:szCs w:val="20"/>
          <w:color w:val="231F20"/>
        </w:rPr>
        <w:t>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238" w:lineRule="exact"/>
        <w:rPr>
          <w:sz w:val="20"/>
          <w:szCs w:val="20"/>
          <w:color w:val="auto"/>
        </w:rPr>
      </w:pPr>
    </w:p>
    <w:p>
      <w:pPr>
        <w:ind w:firstLine="490"/>
        <w:spacing w:after="0" w:line="268" w:lineRule="auto"/>
        <w:rPr>
          <w:sz w:val="20"/>
          <w:szCs w:val="20"/>
          <w:color w:val="auto"/>
        </w:rPr>
      </w:pPr>
      <w:r>
        <w:rPr>
          <w:rFonts w:ascii="Times New Roman" w:cs="Times New Roman" w:eastAsia="Times New Roman" w:hAnsi="Times New Roman"/>
          <w:sz w:val="20"/>
          <w:szCs w:val="20"/>
          <w:color w:val="231F20"/>
        </w:rPr>
        <w:t>Although we are a participating provider with several commercial payers, some large commercial payers have issued non-coverage policies that consider tissue and liquid comprehensive genomic profile testing, including certain of our Diagnostics tests, as experimental or investigational.</w:t>
      </w:r>
    </w:p>
    <w:p>
      <w:pPr>
        <w:spacing w:after="0" w:line="226"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2025, Medicare claims represented 26% of our clinical oncology testing volume and 10% of our hereditary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247" w:lineRule="exact"/>
        <w:rPr>
          <w:sz w:val="20"/>
          <w:szCs w:val="20"/>
          <w:color w:val="auto"/>
        </w:rPr>
      </w:pPr>
    </w:p>
    <w:p>
      <w:pPr>
        <w:ind w:right="360" w:firstLine="490"/>
        <w:spacing w:after="0" w:line="288" w:lineRule="auto"/>
        <w:rPr>
          <w:sz w:val="20"/>
          <w:szCs w:val="20"/>
          <w:color w:val="auto"/>
        </w:rPr>
      </w:pPr>
      <w:r>
        <w:rPr>
          <w:rFonts w:ascii="Times New Roman" w:cs="Times New Roman" w:eastAsia="Times New Roman" w:hAnsi="Times New Roman"/>
          <w:sz w:val="19"/>
          <w:szCs w:val="19"/>
          <w:color w:val="231F20"/>
        </w:rPr>
        <w:t>For example, Medicare’s NCD for NGS, first established in 2018 and subsequently updated in 2020, states that NGS oncology tests (such as our xT and xF tests), would be covered by Medicare nationally if and when: (1) performed in a CLIA-certified laboratory, (2) ordered by a treating physician, (3) the patient meets certain clinical and treatment criteria, including</w:t>
      </w:r>
    </w:p>
    <w:p>
      <w:pPr>
        <w:sectPr>
          <w:pgSz w:w="11880" w:h="15480" w:orient="portrait"/>
          <w:cols w:equalWidth="0" w:num="1">
            <w:col w:w="10440"/>
          </w:cols>
          <w:pgMar w:left="900" w:top="796" w:right="54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440"/>
          </w:cols>
          <w:pgMar w:left="900" w:top="796" w:right="540" w:bottom="0" w:gutter="0" w:footer="0" w:header="0"/>
          <w:type w:val="continuous"/>
        </w:sectPr>
      </w:pPr>
    </w:p>
    <w:bookmarkStart w:id="51" w:name="page52"/>
    <w:bookmarkEnd w:id="51"/>
    <w:p>
      <w:pPr>
        <w:ind w:right="40"/>
        <w:spacing w:after="0" w:line="255" w:lineRule="auto"/>
        <w:rPr>
          <w:sz w:val="20"/>
          <w:szCs w:val="20"/>
          <w:color w:val="auto"/>
        </w:rPr>
      </w:pPr>
      <w:r>
        <w:rPr>
          <w:rFonts w:ascii="Times New Roman" w:cs="Times New Roman" w:eastAsia="Times New Roman" w:hAnsi="Times New Roman"/>
          <w:sz w:val="20"/>
          <w:szCs w:val="20"/>
          <w:color w:val="231F20"/>
        </w:rPr>
        <w:t>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meets the criteria for reimbursement under the NCD. In addition, effective July 1, 2024, our xT CDX assay was awarded Advanced Diagnostic Laboratory Test status by CMS.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w:t>
      </w:r>
    </w:p>
    <w:p>
      <w:pPr>
        <w:spacing w:after="0" w:line="229" w:lineRule="exact"/>
        <w:rPr>
          <w:sz w:val="20"/>
          <w:szCs w:val="20"/>
          <w:color w:val="auto"/>
        </w:rPr>
      </w:pPr>
    </w:p>
    <w:p>
      <w:pPr>
        <w:ind w:right="160" w:firstLine="490"/>
        <w:spacing w:after="0" w:line="257" w:lineRule="auto"/>
        <w:rPr>
          <w:sz w:val="20"/>
          <w:szCs w:val="20"/>
          <w:color w:val="auto"/>
        </w:rPr>
      </w:pPr>
      <w:r>
        <w:rPr>
          <w:rFonts w:ascii="Times New Roman" w:cs="Times New Roman" w:eastAsia="Times New Roman" w:hAnsi="Times New Roman"/>
          <w:sz w:val="20"/>
          <w:szCs w:val="20"/>
          <w:color w:val="231F20"/>
        </w:rPr>
        <w:t>National Government Services, Inc. is the local MAC that makes local coverage determinations, or LCDs, for tests conducted at our Chicago laboratory. National Government Services has issued two LCDs related to genetic testing in cancer, each of which currently requires claims to be submitted under a single current procedural terminology, or CPT, code that describes the test. Since issuing the LCDs, National Government Services has, from time to time, issued modifications and interpretations of the LCDs and associated guidance documents that may impact how we bill for, and how National Government Services reimburses, our diagnostic tests.</w:t>
      </w:r>
    </w:p>
    <w:p>
      <w:pPr>
        <w:spacing w:after="0" w:line="11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Palmetto is the MAC jurisdiction that determines reimbursement for tests conducted at our Raleigh and Atlanta laboratories. Noridian is the MAC jurisdiction that determines reimbursement for tests conducted at our Aliso Viejo laboratory. Both Palmetto and Noridian are subject to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232"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Other factors, beyond the NCD and applicable LCD’s, impact how we bill for our tests, whether they are reimbursed by third party-payors, and the amount we receive from government payors. For example, CMS has specific processes, such as the gapfill process, for determining the amount we are reimbursed for certain laboratory tests. In addition, certain CMS regulations prevent us from billing Medicare directly for tests provided to Medicare beneficiaries in certain situations when the test is ordered as part of a beneficiary’s inpatient stay at a hospital. At the same time, CMS has adopted an exception to its laboratory date of service rules, and if certain conditions are met, molecular testing laboratories such as us can rely on that exception to bill Medicare directly, instead of seeking payment from the hospital. If this exception is repealed or curtailed by CMS, if the laboratory date of service regulation is otherwise changed to adversely impact our ability to bill Medicare directly, or if we incorrectly implement billing procedures related to the date of service exception, our revenue could be materially reduced, and we could be subject to further regulatory actions.</w:t>
      </w:r>
    </w:p>
    <w:p>
      <w:pPr>
        <w:spacing w:after="0" w:line="20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coverage policies and third-party reimbursement rates may change at any time. Even if favorable coverage and reimbursement status is attained for one or more of our tests, less favorable coverage policies and reimbursement rates may be implemented in the future. We cannot predict whether, under what circumstances, or at what price levels payers will cover and reimburse our tests.</w:t>
      </w:r>
    </w:p>
    <w:p>
      <w:pPr>
        <w:spacing w:after="0" w:line="201" w:lineRule="exact"/>
        <w:rPr>
          <w:sz w:val="20"/>
          <w:szCs w:val="20"/>
          <w:color w:val="auto"/>
        </w:rPr>
      </w:pPr>
    </w:p>
    <w:p>
      <w:pPr>
        <w:ind w:right="460" w:firstLine="490"/>
        <w:spacing w:after="0" w:line="247" w:lineRule="auto"/>
        <w:rPr>
          <w:sz w:val="20"/>
          <w:szCs w:val="20"/>
          <w:color w:val="auto"/>
        </w:rPr>
      </w:pPr>
      <w:r>
        <w:rPr>
          <w:rFonts w:ascii="Times New Roman" w:cs="Times New Roman" w:eastAsia="Times New Roman" w:hAnsi="Times New Roman"/>
          <w:sz w:val="20"/>
          <w:szCs w:val="20"/>
          <w:color w:val="231F20"/>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440"/>
          </w:cols>
          <w:pgMar w:left="900" w:top="796" w:right="54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w:t>
      </w:r>
    </w:p>
    <w:p>
      <w:pPr>
        <w:spacing w:after="0" w:line="12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As of December 31, 2025, we had more than 3,800 employees, of which 1,232 were technical and were engaged in product and engineering, and research and development. As of December 31, 2025, 1,163 employees were based at our headquarters in Chicago, Illinois, 264 employees were based in Orange County, California and 130 employees were based in Raleigh, North Carolina. Some of our laboratory employees in our Chicago location are represented by a labor union and covered under a collective bargaining agreement that we entered into with the International Association of Machinists and Aerospace Workers, or IAM. Even though we are currently unaware of other unionization efforts, it is possible that other employees may also seek to unionize. We consider our relationship with our employees to be positive.</w:t>
      </w:r>
    </w:p>
    <w:p>
      <w:pPr>
        <w:spacing w:after="0" w:line="232"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231F20"/>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124" w:lineRule="exact"/>
        <w:rPr>
          <w:sz w:val="20"/>
          <w:szCs w:val="20"/>
          <w:color w:val="auto"/>
        </w:rPr>
      </w:pPr>
    </w:p>
    <w:p>
      <w:pPr>
        <w:ind w:right="80" w:firstLine="490"/>
        <w:spacing w:after="0" w:line="256" w:lineRule="auto"/>
        <w:rPr>
          <w:sz w:val="20"/>
          <w:szCs w:val="20"/>
          <w:color w:val="auto"/>
        </w:rPr>
      </w:pPr>
      <w:r>
        <w:rPr>
          <w:rFonts w:ascii="Times New Roman" w:cs="Times New Roman" w:eastAsia="Times New Roman" w:hAnsi="Times New Roman"/>
          <w:sz w:val="20"/>
          <w:szCs w:val="20"/>
          <w:color w:val="231F20"/>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Effective August 7, 2025, we reincorporated, by conversion, from a Delaware corporation to a Nevada corporation. Our principal executive offices are located at 600 West Chicago Avenue, Suite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510 Chicago, Illinois 60654, and our telephone number is (800) 976-5448. Our website address is www.tempus.com. Information contained on, or that can be accessed through, our website is not incorporated by reference into this Annual Report on Form 10-K, and you should not consider information on our website to be part hereof. We completed our IPO in June 2024, and our Class A common stock is listed on the Nasdaq Global Select Market under the symbol “TEM.”</w:t>
      </w:r>
    </w:p>
    <w:p>
      <w:pPr>
        <w:spacing w:after="0" w:line="234" w:lineRule="exact"/>
        <w:rPr>
          <w:sz w:val="20"/>
          <w:szCs w:val="20"/>
          <w:color w:val="auto"/>
        </w:rPr>
      </w:pPr>
    </w:p>
    <w:p>
      <w:pPr>
        <w:jc w:val="both"/>
        <w:ind w:right="100" w:firstLine="490"/>
        <w:spacing w:after="0" w:line="268" w:lineRule="auto"/>
        <w:rPr>
          <w:sz w:val="20"/>
          <w:szCs w:val="20"/>
          <w:color w:val="auto"/>
        </w:rPr>
      </w:pPr>
      <w:r>
        <w:rPr>
          <w:rFonts w:ascii="Times New Roman" w:cs="Times New Roman" w:eastAsia="Times New Roman" w:hAnsi="Times New Roman"/>
          <w:sz w:val="20"/>
          <w:szCs w:val="20"/>
          <w:color w:val="231F20"/>
        </w:rPr>
        <w:t>The Tempus logo, “Tempus” and our other registered and common law trade names, trademarks and service marks are the property of Tempus AI, Inc. or our subsidiaries. Other trade names, trademarks and service marks used herein are the property of their respective owners.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Additional Information</w:t>
      </w:r>
    </w:p>
    <w:p>
      <w:pPr>
        <w:spacing w:after="0" w:line="124"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We intend to announce material information to the public through filings with the Securities and Exchange Commission, or the SEC, on the investor relations page of our website, which is located at investors.tempus.com,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Exchange Act. We make available on our investor relations website, free of charge, copies of these reports and other information as soon as reasonably practicable after we file such material with or furnish it to the SEC. The SEC also maintains a website that contains our SEC filings at www.sec.gov. Information found on, or accessible through these websites is not part of, and is not incorporated into, this Annual Report on Form 10-K or in any other report or document we file.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6"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i w:val="1"/>
          <w:iCs w:val="1"/>
          <w:color w:val="231F20"/>
        </w:rPr>
        <w:t>A description of the risks and uncertainties associated with our business is set forth below. You should carefully consider the risks described below as well as the other information in this Annual Report on Form 10-K, including our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w:t>
      </w:r>
    </w:p>
    <w:p>
      <w:pPr>
        <w:sectPr>
          <w:pgSz w:w="11880" w:h="15480" w:orient="portrait"/>
          <w:cols w:equalWidth="0" w:num="1">
            <w:col w:w="10440"/>
          </w:cols>
          <w:pgMar w:left="900" w:top="79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440"/>
          </w:cols>
          <w:pgMar w:left="900" w:top="790" w:right="54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231F20"/>
        </w:rPr>
        <w:t>Summary Risk Factors</w:t>
      </w:r>
    </w:p>
    <w:p>
      <w:pPr>
        <w:spacing w:after="0" w:line="124"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231F20"/>
        </w:rPr>
        <w:t>Our business is subject to numerous risks and uncertainties, including those described more fully below in this Annual Report on Form 10-K. The following is a summary of principal risks and uncertainties that could materially adversely affect our business, financial condition, and results of operations. This summary should be read in conjunction with the rest of Item 1A. Risk Factors and should not be relied upon as an exhaustive summary of the material risks and uncertainties facing our business.</w:t>
      </w:r>
    </w:p>
    <w:p>
      <w:pPr>
        <w:spacing w:after="0" w:line="73" w:lineRule="exact"/>
        <w:rPr>
          <w:sz w:val="20"/>
          <w:szCs w:val="20"/>
          <w:color w:val="auto"/>
        </w:rPr>
      </w:pPr>
    </w:p>
    <w:p>
      <w:pPr>
        <w:ind w:left="980" w:right="8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have incurred significant losses since inception, we may continue to incur losses in the future, and we may not be able to generate sufficient revenue to achieve and maintain profitability.</w:t>
      </w:r>
    </w:p>
    <w:p>
      <w:pPr>
        <w:spacing w:after="0" w:line="68"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current or future products may not achieve or maintain sufficient commercial market acceptance.</w:t>
      </w:r>
    </w:p>
    <w:p>
      <w:pPr>
        <w:spacing w:after="0" w:line="133" w:lineRule="exact"/>
        <w:rPr>
          <w:rFonts w:ascii="Arial" w:cs="Arial" w:eastAsia="Arial" w:hAnsi="Arial"/>
          <w:sz w:val="20"/>
          <w:szCs w:val="20"/>
          <w:color w:val="231F20"/>
        </w:rPr>
      </w:pPr>
    </w:p>
    <w:p>
      <w:pPr>
        <w:ind w:left="980" w:right="32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operating results may fluctuate significantly, which makes our future operating results difficult to predict and could cause our operating results to fall below expectations or any guidance we may provide.</w:t>
      </w:r>
    </w:p>
    <w:p>
      <w:pPr>
        <w:spacing w:after="0" w:line="68"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success of our business depends on our continued access to, and ability to monetize, de-identified patient data.</w:t>
      </w:r>
    </w:p>
    <w:p>
      <w:pPr>
        <w:spacing w:after="0" w:line="133" w:lineRule="exact"/>
        <w:rPr>
          <w:rFonts w:ascii="Arial" w:cs="Arial" w:eastAsia="Arial" w:hAnsi="Arial"/>
          <w:sz w:val="20"/>
          <w:szCs w:val="20"/>
          <w:color w:val="231F20"/>
        </w:rPr>
      </w:pPr>
    </w:p>
    <w:p>
      <w:pPr>
        <w:ind w:left="980" w:right="32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limited operating history and rapid growth make it difficult to evaluate our future prospects and the risks and challenges we may encounter.</w:t>
      </w:r>
    </w:p>
    <w:p>
      <w:pPr>
        <w:spacing w:after="0" w:line="68" w:lineRule="exact"/>
        <w:rPr>
          <w:rFonts w:ascii="Arial" w:cs="Arial" w:eastAsia="Arial" w:hAnsi="Arial"/>
          <w:sz w:val="20"/>
          <w:szCs w:val="20"/>
          <w:color w:val="231F20"/>
        </w:rPr>
      </w:pPr>
    </w:p>
    <w:p>
      <w:pPr>
        <w:ind w:left="980" w:right="30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may need to raise additional capital to fund our existing operations, develop our Platform, commercialize new products or expand our operations.</w:t>
      </w:r>
    </w:p>
    <w:p>
      <w:pPr>
        <w:spacing w:after="0" w:line="68" w:lineRule="exact"/>
        <w:rPr>
          <w:rFonts w:ascii="Arial" w:cs="Arial" w:eastAsia="Arial" w:hAnsi="Arial"/>
          <w:sz w:val="20"/>
          <w:szCs w:val="20"/>
          <w:color w:val="231F20"/>
        </w:rPr>
      </w:pPr>
    </w:p>
    <w:p>
      <w:pPr>
        <w:ind w:left="980" w:hanging="490"/>
        <w:spacing w:after="0"/>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Applications product line is nascent.</w:t>
      </w:r>
    </w:p>
    <w:p>
      <w:pPr>
        <w:spacing w:after="0" w:line="133" w:lineRule="exact"/>
        <w:rPr>
          <w:rFonts w:ascii="Arial" w:cs="Arial" w:eastAsia="Arial" w:hAnsi="Arial"/>
          <w:sz w:val="20"/>
          <w:szCs w:val="20"/>
          <w:color w:val="231F20"/>
        </w:rPr>
      </w:pPr>
    </w:p>
    <w:p>
      <w:pPr>
        <w:ind w:left="980" w:right="200" w:hanging="490"/>
        <w:spacing w:after="0" w:line="257"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84" w:lineRule="exact"/>
        <w:rPr>
          <w:rFonts w:ascii="Arial" w:cs="Arial" w:eastAsia="Arial" w:hAnsi="Arial"/>
          <w:sz w:val="20"/>
          <w:szCs w:val="20"/>
          <w:color w:val="231F20"/>
        </w:rPr>
      </w:pPr>
    </w:p>
    <w:p>
      <w:pPr>
        <w:ind w:left="980" w:right="20" w:hanging="490"/>
        <w:spacing w:after="0" w:line="257"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4" w:lineRule="exact"/>
        <w:rPr>
          <w:rFonts w:ascii="Arial" w:cs="Arial" w:eastAsia="Arial" w:hAnsi="Arial"/>
          <w:sz w:val="20"/>
          <w:szCs w:val="20"/>
          <w:color w:val="231F20"/>
        </w:rPr>
      </w:pPr>
    </w:p>
    <w:p>
      <w:pPr>
        <w:ind w:left="98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If we are unable to obtain or maintain adequate reimbursement for our Diagnostics product line outside of the United States, our ability to expand internationally will be compromised.</w:t>
      </w:r>
    </w:p>
    <w:p>
      <w:pPr>
        <w:spacing w:after="0" w:line="68" w:lineRule="exact"/>
        <w:rPr>
          <w:rFonts w:ascii="Arial" w:cs="Arial" w:eastAsia="Arial" w:hAnsi="Arial"/>
          <w:sz w:val="20"/>
          <w:szCs w:val="20"/>
          <w:color w:val="231F20"/>
        </w:rPr>
      </w:pPr>
    </w:p>
    <w:p>
      <w:pPr>
        <w:ind w:left="980" w:right="66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Labor relations matters could have a material adverse effect on our business, reputation, prospects, results of operations and financial condition.</w:t>
      </w:r>
    </w:p>
    <w:p>
      <w:pPr>
        <w:spacing w:after="0" w:line="68" w:lineRule="exact"/>
        <w:rPr>
          <w:rFonts w:ascii="Arial" w:cs="Arial" w:eastAsia="Arial" w:hAnsi="Arial"/>
          <w:sz w:val="20"/>
          <w:szCs w:val="20"/>
          <w:color w:val="231F20"/>
        </w:rPr>
      </w:pPr>
    </w:p>
    <w:p>
      <w:pPr>
        <w:ind w:left="980" w:right="54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use AI in our products and services which may result in operational challenges, legal liability, reputational concerns and competitive risks.</w:t>
      </w:r>
    </w:p>
    <w:p>
      <w:pPr>
        <w:spacing w:after="0" w:line="68" w:lineRule="exact"/>
        <w:rPr>
          <w:rFonts w:ascii="Arial" w:cs="Arial" w:eastAsia="Arial" w:hAnsi="Arial"/>
          <w:sz w:val="20"/>
          <w:szCs w:val="20"/>
          <w:color w:val="231F20"/>
        </w:rPr>
      </w:pPr>
    </w:p>
    <w:p>
      <w:pPr>
        <w:ind w:left="980" w:right="28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If we cannot compete successfully with our competitors, we may be unable to increase or sustain our revenue or to achieve and then sustain profitability.</w:t>
      </w:r>
    </w:p>
    <w:p>
      <w:pPr>
        <w:spacing w:after="0" w:line="68" w:lineRule="exact"/>
        <w:rPr>
          <w:rFonts w:ascii="Arial" w:cs="Arial" w:eastAsia="Arial" w:hAnsi="Arial"/>
          <w:sz w:val="20"/>
          <w:szCs w:val="20"/>
          <w:color w:val="231F20"/>
        </w:rPr>
      </w:pPr>
    </w:p>
    <w:p>
      <w:pPr>
        <w:ind w:left="98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industries in which we operate are subject to rapid change, which could make our Platform, our current products and any future products we may develop obsolete.</w:t>
      </w:r>
    </w:p>
    <w:p>
      <w:pPr>
        <w:spacing w:after="0" w:line="68" w:lineRule="exact"/>
        <w:rPr>
          <w:rFonts w:ascii="Arial" w:cs="Arial" w:eastAsia="Arial" w:hAnsi="Arial"/>
          <w:sz w:val="20"/>
          <w:szCs w:val="20"/>
          <w:color w:val="231F20"/>
        </w:rPr>
      </w:pPr>
    </w:p>
    <w:p>
      <w:pPr>
        <w:ind w:left="980" w:right="4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existing and any future debt may affect our flexibility in operating and developing our business and our ability to satisfy our obligations.</w:t>
      </w:r>
    </w:p>
    <w:p>
      <w:pPr>
        <w:spacing w:after="0" w:line="68" w:lineRule="exact"/>
        <w:rPr>
          <w:rFonts w:ascii="Arial" w:cs="Arial" w:eastAsia="Arial" w:hAnsi="Arial"/>
          <w:sz w:val="20"/>
          <w:szCs w:val="20"/>
          <w:color w:val="231F20"/>
        </w:rPr>
      </w:pPr>
    </w:p>
    <w:p>
      <w:pPr>
        <w:ind w:left="980" w:right="340" w:hanging="490"/>
        <w:spacing w:after="0" w:line="301" w:lineRule="auto"/>
        <w:tabs>
          <w:tab w:leader="none" w:pos="980" w:val="left"/>
        </w:tabs>
        <w:numPr>
          <w:ilvl w:val="0"/>
          <w:numId w:val="21"/>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We rely on a limited number of suppliers or, in some cases, sole suppliers, for some of our laboratory instruments and materials and may not be able to find replacements or promptly transition to alternative suppliers.</w:t>
      </w:r>
    </w:p>
    <w:p>
      <w:pPr>
        <w:spacing w:after="0" w:line="45" w:lineRule="exact"/>
        <w:rPr>
          <w:rFonts w:ascii="Arial" w:cs="Arial" w:eastAsia="Arial" w:hAnsi="Arial"/>
          <w:sz w:val="19"/>
          <w:szCs w:val="19"/>
          <w:color w:val="231F20"/>
        </w:rPr>
      </w:pPr>
    </w:p>
    <w:p>
      <w:pPr>
        <w:ind w:left="980" w:right="50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International expansion of our business exposes us to business, regulatory, political, operational, financial, and economic risks associated with doing business outside of the United States.</w:t>
      </w:r>
    </w:p>
    <w:p>
      <w:pPr>
        <w:spacing w:after="0" w:line="68" w:lineRule="exact"/>
        <w:rPr>
          <w:rFonts w:ascii="Arial" w:cs="Arial" w:eastAsia="Arial" w:hAnsi="Arial"/>
          <w:sz w:val="20"/>
          <w:szCs w:val="20"/>
          <w:color w:val="231F20"/>
        </w:rPr>
      </w:pPr>
    </w:p>
    <w:p>
      <w:pPr>
        <w:ind w:left="980" w:right="40" w:hanging="490"/>
        <w:spacing w:after="0" w:line="24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99" w:lineRule="exact"/>
        <w:rPr>
          <w:rFonts w:ascii="Arial" w:cs="Arial" w:eastAsia="Arial" w:hAnsi="Arial"/>
          <w:sz w:val="20"/>
          <w:szCs w:val="20"/>
          <w:color w:val="231F20"/>
        </w:rPr>
      </w:pPr>
    </w:p>
    <w:p>
      <w:pPr>
        <w:ind w:left="980" w:right="20" w:hanging="490"/>
        <w:spacing w:after="0" w:line="274"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conduct business in a heavily regulated industry, and changes in regulations or violations of regulations may, directly or indirectly, reduce our revenue, adversely affect our business, financial condition and results of operations.</w:t>
      </w:r>
    </w:p>
    <w:p>
      <w:pPr>
        <w:sectPr>
          <w:pgSz w:w="11880" w:h="15480" w:orient="portrait"/>
          <w:cols w:equalWidth="0" w:num="1">
            <w:col w:w="10440"/>
          </w:cols>
          <w:pgMar w:left="900" w:top="792" w:right="54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440"/>
          </w:cols>
          <w:pgMar w:left="900" w:top="792" w:right="540" w:bottom="0" w:gutter="0" w:footer="0" w:header="0"/>
          <w:type w:val="continuous"/>
        </w:sectPr>
      </w:pPr>
    </w:p>
    <w:bookmarkStart w:id="54" w:name="page55"/>
    <w:bookmarkEnd w:id="54"/>
    <w:p>
      <w:pPr>
        <w:ind w:left="980" w:right="300" w:hanging="490"/>
        <w:spacing w:after="0" w:line="274"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Certain of our tests are currently marketed as LDTs, and future changes in FDA enforcement discretion for LDTs could subject our operations to much more significant regulatory requirements.</w:t>
      </w:r>
    </w:p>
    <w:p>
      <w:pPr>
        <w:spacing w:after="0" w:line="68" w:lineRule="exact"/>
        <w:rPr>
          <w:rFonts w:ascii="Arial" w:cs="Arial" w:eastAsia="Arial" w:hAnsi="Arial"/>
          <w:sz w:val="20"/>
          <w:szCs w:val="20"/>
          <w:color w:val="231F20"/>
        </w:rPr>
      </w:pPr>
    </w:p>
    <w:p>
      <w:pPr>
        <w:ind w:left="980" w:right="120" w:hanging="490"/>
        <w:spacing w:after="0" w:line="251"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91" w:lineRule="exact"/>
        <w:rPr>
          <w:rFonts w:ascii="Arial" w:cs="Arial" w:eastAsia="Arial" w:hAnsi="Arial"/>
          <w:sz w:val="20"/>
          <w:szCs w:val="20"/>
          <w:color w:val="231F20"/>
        </w:rPr>
      </w:pPr>
    </w:p>
    <w:p>
      <w:pPr>
        <w:ind w:left="980" w:hanging="490"/>
        <w:spacing w:after="0" w:line="251"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91" w:lineRule="exact"/>
        <w:rPr>
          <w:rFonts w:ascii="Arial" w:cs="Arial" w:eastAsia="Arial" w:hAnsi="Arial"/>
          <w:sz w:val="20"/>
          <w:szCs w:val="20"/>
          <w:color w:val="231F20"/>
        </w:rPr>
      </w:pPr>
    </w:p>
    <w:p>
      <w:pPr>
        <w:ind w:left="980" w:right="140" w:hanging="490"/>
        <w:spacing w:after="0" w:line="251"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have and may in the future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91" w:lineRule="exact"/>
        <w:rPr>
          <w:rFonts w:ascii="Arial" w:cs="Arial" w:eastAsia="Arial" w:hAnsi="Arial"/>
          <w:sz w:val="20"/>
          <w:szCs w:val="20"/>
          <w:color w:val="231F20"/>
        </w:rPr>
      </w:pPr>
    </w:p>
    <w:p>
      <w:pPr>
        <w:ind w:left="980" w:right="80" w:hanging="490"/>
        <w:spacing w:after="0" w:line="251"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91" w:lineRule="exact"/>
        <w:rPr>
          <w:rFonts w:ascii="Arial" w:cs="Arial" w:eastAsia="Arial" w:hAnsi="Arial"/>
          <w:sz w:val="20"/>
          <w:szCs w:val="20"/>
          <w:color w:val="231F20"/>
        </w:rPr>
      </w:pPr>
    </w:p>
    <w:p>
      <w:pPr>
        <w:ind w:left="980" w:right="80" w:hanging="490"/>
        <w:spacing w:after="0" w:line="251"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91" w:lineRule="exact"/>
        <w:rPr>
          <w:rFonts w:ascii="Arial" w:cs="Arial" w:eastAsia="Arial" w:hAnsi="Arial"/>
          <w:sz w:val="20"/>
          <w:szCs w:val="20"/>
          <w:color w:val="231F20"/>
        </w:rPr>
      </w:pPr>
    </w:p>
    <w:p>
      <w:pPr>
        <w:ind w:left="980" w:right="80" w:hanging="490"/>
        <w:spacing w:after="0" w:line="274"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The dual class structure of our common stock has the effect of concentrating voting control with our Chief Executive Officer, Founder and Chairman, which will limit your ability to influence the outcome of important decisions.</w:t>
      </w:r>
    </w:p>
    <w:p>
      <w:pPr>
        <w:spacing w:after="0" w:line="68" w:lineRule="exact"/>
        <w:rPr>
          <w:rFonts w:ascii="Arial" w:cs="Arial" w:eastAsia="Arial" w:hAnsi="Arial"/>
          <w:sz w:val="20"/>
          <w:szCs w:val="20"/>
          <w:color w:val="231F20"/>
        </w:rPr>
      </w:pPr>
    </w:p>
    <w:p>
      <w:pPr>
        <w:ind w:left="980" w:hanging="490"/>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Our stock price may be volatile, and the value of our Class A common stock may decline.</w:t>
      </w:r>
    </w:p>
    <w:p>
      <w:pPr>
        <w:spacing w:after="0" w:line="133" w:lineRule="exact"/>
        <w:rPr>
          <w:rFonts w:ascii="Arial" w:cs="Arial" w:eastAsia="Arial" w:hAnsi="Arial"/>
          <w:sz w:val="20"/>
          <w:szCs w:val="20"/>
          <w:color w:val="231F20"/>
        </w:rPr>
      </w:pPr>
    </w:p>
    <w:p>
      <w:pPr>
        <w:ind w:left="980" w:right="220" w:hanging="490"/>
        <w:spacing w:after="0" w:line="257"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Strategy</w:t>
      </w:r>
    </w:p>
    <w:p>
      <w:pPr>
        <w:spacing w:after="0" w:line="124" w:lineRule="exact"/>
        <w:rPr>
          <w:sz w:val="20"/>
          <w:szCs w:val="20"/>
          <w:color w:val="auto"/>
        </w:rPr>
      </w:pPr>
    </w:p>
    <w:p>
      <w:pPr>
        <w:ind w:left="480"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significant losses since inception, we may continue to incur losses in the future, and we may not be able to generate sufficient revenue to achieve and maintain profitability.</w:t>
      </w:r>
    </w:p>
    <w:p>
      <w:pPr>
        <w:spacing w:after="0" w:line="49"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We have incurred significant losses since our inception. For the years ended December 31, 2025, 2024 and 2023, we incurred net losses of $245.0 million, $705.8 million and $214.1 million, respectively. As of December 31, 2025, we had an accumulated deficit of $2.4 billion. To date, we have financed our operations principally from the sale of stock and convertible securities, the incurrence of debt and revenue from our Diagnostics and Data and applications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or certification for our diagnostic tests, sales and marketing activities for our Diagnostics and Data and applications businesses. We will need to generate substantial revenue to achieve and then sustain profitability, and even if we achieve profitability, we cannot be sure that we will remain profitable for any period of time.</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current or future products may not achieve or maintain sufficient commercial market acceptance.</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We believe our commercial success is dependent upon our ability to continue to successfully market and sell our current Diagnostics products, including both Oncology testing (legacy Tempus) and Hereditary testing (legacy Ambry Genetics), to continue to grow our Data and applications business by expanding our current relationships and developing new relationships with clinicians and pharmaceutical and biotechnology customers, and to develop and commercialize new products based on our Platform, including by expanding our Diagnostics product line to new disease areas and by advancing our Applications product</w:t>
      </w:r>
    </w:p>
    <w:p>
      <w:pPr>
        <w:sectPr>
          <w:pgSz w:w="11880" w:h="15480" w:orient="portrait"/>
          <w:cols w:equalWidth="0" w:num="1">
            <w:col w:w="10400"/>
          </w:cols>
          <w:pgMar w:left="900" w:top="81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400"/>
          </w:cols>
          <w:pgMar w:left="900" w:top="812" w:right="580" w:bottom="0" w:gutter="0" w:footer="0" w:header="0"/>
          <w:type w:val="continuous"/>
        </w:sectPr>
      </w:pPr>
    </w:p>
    <w:bookmarkStart w:id="55" w:name="page56"/>
    <w:bookmarkEnd w:id="55"/>
    <w:p>
      <w:pPr>
        <w:ind w:right="60"/>
        <w:spacing w:after="0" w:line="277" w:lineRule="auto"/>
        <w:rPr>
          <w:sz w:val="20"/>
          <w:szCs w:val="20"/>
          <w:color w:val="auto"/>
        </w:rPr>
      </w:pPr>
      <w:r>
        <w:rPr>
          <w:rFonts w:ascii="Times New Roman" w:cs="Times New Roman" w:eastAsia="Times New Roman" w:hAnsi="Times New Roman"/>
          <w:sz w:val="20"/>
          <w:szCs w:val="20"/>
          <w:color w:val="231F20"/>
        </w:rPr>
        <w:t>line. Our ability to achieve and maintain sufficient commercial market acceptance of our existing and future products will depend on a number of factors, including:</w:t>
      </w:r>
    </w:p>
    <w:p>
      <w:pPr>
        <w:spacing w:after="0" w:line="64" w:lineRule="exact"/>
        <w:rPr>
          <w:sz w:val="20"/>
          <w:szCs w:val="20"/>
          <w:color w:val="auto"/>
        </w:rPr>
      </w:pPr>
    </w:p>
    <w:p>
      <w:pPr>
        <w:ind w:left="98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increase awareness of our Diagnostics and algorithmic diagnostic tests and other Applications, including new product offerings as they become available;</w:t>
      </w:r>
    </w:p>
    <w:p>
      <w:pPr>
        <w:spacing w:after="0" w:line="64"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rate of adoption and/or endorsement of our Diagnostics and algorithmic diagnostic tests and Applications by clinicians, pharmaceutical and biotechnology companies, KOLs, and advocacy groups;</w:t>
      </w:r>
    </w:p>
    <w:p>
      <w:pPr>
        <w:spacing w:after="0" w:line="64" w:lineRule="exact"/>
        <w:rPr>
          <w:rFonts w:ascii="Arial" w:cs="Arial" w:eastAsia="Arial" w:hAnsi="Arial"/>
          <w:sz w:val="20"/>
          <w:szCs w:val="20"/>
          <w:color w:val="231F20"/>
        </w:rPr>
      </w:pPr>
    </w:p>
    <w:p>
      <w:pPr>
        <w:ind w:left="980" w:right="80" w:hanging="490"/>
        <w:spacing w:after="0" w:line="258"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scope of obtaining any necessary approvals or certification by regulatory authorities, including the FDA, for our diagnostic tests, any software offerings, Applications, or any features of our Platform, in each case, that may be subject to regulatory oversight;</w:t>
      </w:r>
    </w:p>
    <w:p>
      <w:pPr>
        <w:spacing w:after="0" w:line="81" w:lineRule="exact"/>
        <w:rPr>
          <w:rFonts w:ascii="Arial" w:cs="Arial" w:eastAsia="Arial" w:hAnsi="Arial"/>
          <w:sz w:val="20"/>
          <w:szCs w:val="20"/>
          <w:color w:val="231F20"/>
        </w:rPr>
      </w:pPr>
    </w:p>
    <w:p>
      <w:pPr>
        <w:ind w:left="980" w:right="24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positive coverage decisions for our tests from additional commercial payers and to broaden the scope of indications included in such coverage decisions;</w:t>
      </w:r>
    </w:p>
    <w:p>
      <w:pPr>
        <w:spacing w:after="0" w:line="64" w:lineRule="exact"/>
        <w:rPr>
          <w:rFonts w:ascii="Arial" w:cs="Arial" w:eastAsia="Arial" w:hAnsi="Arial"/>
          <w:sz w:val="20"/>
          <w:szCs w:val="20"/>
          <w:color w:val="231F20"/>
        </w:rPr>
      </w:pPr>
    </w:p>
    <w:p>
      <w:pPr>
        <w:ind w:left="980" w:right="80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reimbursement and expanded coverage from government payers, including Medicare or comparable foreign programs;</w:t>
      </w:r>
    </w:p>
    <w:p>
      <w:pPr>
        <w:spacing w:after="0" w:line="64" w:lineRule="exact"/>
        <w:rPr>
          <w:rFonts w:ascii="Arial" w:cs="Arial" w:eastAsia="Arial" w:hAnsi="Arial"/>
          <w:sz w:val="20"/>
          <w:szCs w:val="20"/>
          <w:color w:val="231F20"/>
        </w:rPr>
      </w:pPr>
    </w:p>
    <w:p>
      <w:pPr>
        <w:ind w:left="980" w:right="36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increase demand for our Data and applications business, including by expanding our database of de-identified patient information and increasing the utility of our product offerings;</w:t>
      </w:r>
    </w:p>
    <w:p>
      <w:pPr>
        <w:spacing w:after="0" w:line="64" w:lineRule="exact"/>
        <w:rPr>
          <w:rFonts w:ascii="Arial" w:cs="Arial" w:eastAsia="Arial" w:hAnsi="Arial"/>
          <w:sz w:val="20"/>
          <w:szCs w:val="20"/>
          <w:color w:val="231F20"/>
        </w:rPr>
      </w:pPr>
    </w:p>
    <w:p>
      <w:pPr>
        <w:ind w:left="980" w:right="32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expand into new disease areas, including neuropsychiatry, cardiology, radiology, digital pathology, and other indications;</w:t>
      </w:r>
    </w:p>
    <w:p>
      <w:pPr>
        <w:spacing w:after="0" w:line="64" w:lineRule="exact"/>
        <w:rPr>
          <w:rFonts w:ascii="Arial" w:cs="Arial" w:eastAsia="Arial" w:hAnsi="Arial"/>
          <w:sz w:val="20"/>
          <w:szCs w:val="20"/>
          <w:color w:val="231F20"/>
        </w:rPr>
      </w:pPr>
    </w:p>
    <w:p>
      <w:pPr>
        <w:ind w:left="980" w:right="38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build and maintain robust data sets with respect to patient populations in geographic regions that we may seek to enter in the future;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our investments in Platform development, product innovation and commercial growth;</w:t>
      </w:r>
    </w:p>
    <w:p>
      <w:pPr>
        <w:spacing w:after="0" w:line="133"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public perception of our products, those of our competitors and the industry in which we operate, including our ability to avoid adverse publicity from defects or errors;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further validate our Platform through clinical research and accompanying publications.</w:t>
      </w:r>
    </w:p>
    <w:p>
      <w:pPr>
        <w:spacing w:after="0" w:line="239"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231F20"/>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308" w:lineRule="exact"/>
        <w:rPr>
          <w:sz w:val="20"/>
          <w:szCs w:val="20"/>
          <w:color w:val="auto"/>
        </w:rPr>
      </w:pPr>
    </w:p>
    <w:p>
      <w:pPr>
        <w:ind w:left="48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operating results may fluctuate significantly, which makes our future operating results difficult to predict and could cause our operating results to fall below expectations or any guidance we may provide.</w:t>
      </w:r>
    </w:p>
    <w:p>
      <w:pPr>
        <w:spacing w:after="0" w:line="49"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8" w:lineRule="exact"/>
        <w:rPr>
          <w:sz w:val="20"/>
          <w:szCs w:val="20"/>
          <w:color w:val="auto"/>
        </w:rPr>
      </w:pPr>
    </w:p>
    <w:p>
      <w:pPr>
        <w:ind w:left="980" w:right="400" w:hanging="490"/>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and level of investment in, research, development, regulatory approval or certification and commercialization activities relating to our Platform and products, which may change from time to time;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volume and customer mix of our Diagnostics, algorithmic diagnostic testing and other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start and completion of projects in which our Data and applications products are utilized;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introduction of new products or product enhancements by us or others in our industry;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coverage and reimbursement policies with respect to our products and products that compete with our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expenditures that we may incur to acquire, develop or commercialize additional products and technologies;</w:t>
      </w:r>
    </w:p>
    <w:p>
      <w:pPr>
        <w:spacing w:after="0" w:line="133" w:lineRule="exact"/>
        <w:rPr>
          <w:rFonts w:ascii="Arial" w:cs="Arial" w:eastAsia="Arial" w:hAnsi="Arial"/>
          <w:sz w:val="20"/>
          <w:szCs w:val="20"/>
          <w:color w:val="231F20"/>
        </w:rPr>
      </w:pPr>
    </w:p>
    <w:p>
      <w:pPr>
        <w:ind w:left="980" w:right="220" w:hanging="490"/>
        <w:spacing w:after="0" w:line="276" w:lineRule="auto"/>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governmental regulations, including with respect to privacy and data security and medical device regulation, and our compliance therewith, or in the status of our regulatory approvals, certifications or applications;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accounting pronouncements or changes in our accounting policies;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developments or disruptions in the business and operations of our clinical, commercial and other partners;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440"/>
          </w:cols>
          <w:pgMar w:left="900" w:top="796" w:right="540" w:bottom="0" w:gutter="0" w:footer="0" w:header="0"/>
          <w:type w:val="continuous"/>
        </w:sectPr>
      </w:pPr>
    </w:p>
    <w:bookmarkStart w:id="56" w:name="page57"/>
    <w:bookmarkEnd w:id="56"/>
    <w:p>
      <w:pPr>
        <w:ind w:left="980" w:right="80" w:hanging="490"/>
        <w:spacing w:after="0" w:line="258"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natural disasters, political and economic instability, including wars (such as the armed conflict between Russia and Ukraine and the hostilities in the Middle East), terrorism, and political unrest, epidemics or pandemics, boycotts, curtailment of trade and other business restrictions; and</w:t>
      </w:r>
    </w:p>
    <w:p>
      <w:pPr>
        <w:spacing w:after="0" w:line="81" w:lineRule="exact"/>
        <w:rPr>
          <w:rFonts w:ascii="Arial" w:cs="Arial" w:eastAsia="Arial" w:hAnsi="Arial"/>
          <w:sz w:val="20"/>
          <w:szCs w:val="20"/>
          <w:color w:val="231F20"/>
        </w:rPr>
      </w:pPr>
    </w:p>
    <w:p>
      <w:pPr>
        <w:ind w:left="980" w:right="120" w:hanging="490"/>
        <w:spacing w:after="0" w:line="252"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market conditions, including fluctuations in inflation and interest rates, government bank closures, liquidity concerns at other financial institutions, and other factors, including factors unrelated to our operating performance or the operating performance of our competitors, which may impact not only our business, but the value of our marketable securities.</w:t>
      </w:r>
    </w:p>
    <w:p>
      <w:pPr>
        <w:spacing w:after="0" w:line="19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206"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In addition, the demand for our Diagnostics and Data and applications products will depend in part upon the research and development and clinical budgets of pharmaceutical and biotechnology customers, which are impacted by factors beyond our control, such as:</w:t>
      </w:r>
    </w:p>
    <w:p>
      <w:pPr>
        <w:spacing w:after="0" w:line="83" w:lineRule="exact"/>
        <w:rPr>
          <w:sz w:val="20"/>
          <w:szCs w:val="20"/>
          <w:color w:val="auto"/>
        </w:rPr>
      </w:pPr>
    </w:p>
    <w:p>
      <w:pPr>
        <w:ind w:left="980" w:right="820" w:hanging="490"/>
        <w:spacing w:after="0" w:line="276"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government programs (such as the National Institutes of Health) that provide funding to research institutions and companies;</w:t>
      </w:r>
    </w:p>
    <w:p>
      <w:pPr>
        <w:spacing w:after="0" w:line="64" w:lineRule="exact"/>
        <w:rPr>
          <w:rFonts w:ascii="Arial" w:cs="Arial" w:eastAsia="Arial" w:hAnsi="Arial"/>
          <w:sz w:val="20"/>
          <w:szCs w:val="20"/>
          <w:color w:val="231F20"/>
        </w:rPr>
      </w:pPr>
    </w:p>
    <w:p>
      <w:pPr>
        <w:ind w:left="980" w:right="20" w:hanging="490"/>
        <w:spacing w:after="0" w:line="252" w:lineRule="auto"/>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macroeconomic conditions (including any impact of unforeseen events such as the armed conflict between Russia and Ukraine and the hostilities in the Middle East), the political climate and the impact of public health emergencies such as the COVID-19 pandemic, tariffs and trade restrictions, inflation rates and, interest rates, government closures of banks and liquidity concerns at other financial institutions;</w:t>
      </w:r>
    </w:p>
    <w:p>
      <w:pPr>
        <w:spacing w:after="0" w:line="87"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regulatory environment;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budgetary cycles;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competitor products or pricing;</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market-driven pressures to consolidate operations and reduce costs;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acceptance of relatively new products.</w:t>
      </w:r>
    </w:p>
    <w:p>
      <w:pPr>
        <w:spacing w:after="0" w:line="23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Uncertainty in the current political environment could also impact our business. In addition to potential changes in government programs and the research and development and clinical budgets of our potential customers, changes in government staffing or funding levels could affect various aspects of our business. For example, the reimbursement rates we receive from government payers may experience downward pressures, and certain of our products that require government review or approval may experience delays in obtaining requisite authorizations. Conversely, the government may implement programs to accelerate the adoption of artificial intelligence within the healthcare industry, which could have a favorable impact on our operations. Given these uncertainties, it is impossible to predict how a shifting political environment may influence our operations.</w:t>
      </w:r>
    </w:p>
    <w:p>
      <w:pPr>
        <w:spacing w:after="0" w:line="20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Our operating results may fluctuate significantly due to reductions and delays in research and development or clinical expenditures by our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ectPr>
          <w:pgSz w:w="11880" w:h="15480" w:orient="portrait"/>
          <w:cols w:equalWidth="0" w:num="1">
            <w:col w:w="10440"/>
          </w:cols>
          <w:pgMar w:left="900" w:top="81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440"/>
          </w:cols>
          <w:pgMar w:left="900" w:top="810" w:right="540" w:bottom="0" w:gutter="0" w:footer="0" w:header="0"/>
          <w:type w:val="continuous"/>
        </w:sectPr>
      </w:pPr>
    </w:p>
    <w:bookmarkStart w:id="57" w:name="page58"/>
    <w:bookmarkEnd w:id="57"/>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The success of our business depends on our continued access to, and ability to monetize, de-identified patient data.</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Diagnostics tests and through other sources is critical to our ability to offer the products and services across both of our product lines.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successfully in build and maintain sufficiently large relevant data sets and obtain the permissions necessary to de-identify and use that data for commercial purposes.</w:t>
      </w:r>
    </w:p>
    <w:p>
      <w:pPr>
        <w:spacing w:after="0" w:line="206"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Our ability to maintain, expand and monetize our datasets is subject to a number of factors, many of which are outside of our control. With respect to data included in our Data and applications products, we rely on a combination of the statutory rights available to us as a HIPAA covered entity and as a Health Insurance Portability and Accountability Act, or HIPAA, business associate. As a HIPAA covered entity, we utilize data generated through our provision of Diagnostics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(including the development of foundation models, which depend on our ability to leverage de-identified data), or otherwise limit data-driven activities that benefit us. Moreover, due to lack of valid notice, sufficient consents or waiver, we may be subject to claims or liability for use or disclosure of data or other information.</w:t>
      </w:r>
    </w:p>
    <w:p>
      <w:pPr>
        <w:spacing w:after="0" w:line="21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are also dependent on the healthcare institutions within our network continuing to provide us with broad access to multimodal data to support the robustness of our Diagnostics tests and other offerings, as well as on establishing and maintaining our collaborations with third party organizations with access to large, multimodal datasets,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Diagnostics testing, along with corresponding clinical data we may have structured as part of providing testing also may allow those providers to use data in ways that may be harmful to our business interests.</w:t>
      </w:r>
    </w:p>
    <w:p>
      <w:pPr>
        <w:spacing w:after="0" w:line="20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440"/>
          </w:cols>
          <w:pgMar w:left="900" w:top="796" w:right="540" w:bottom="0" w:gutter="0" w:footer="0" w:header="0"/>
          <w:type w:val="continuous"/>
        </w:sectPr>
      </w:pPr>
    </w:p>
    <w:bookmarkStart w:id="58" w:name="page59"/>
    <w:bookmarkEnd w:id="58"/>
    <w:p>
      <w:pPr>
        <w:ind w:left="480" w:right="9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continued adoption of our products and services is dependent on a number of factors, many of which are interrelated.</w:t>
      </w:r>
    </w:p>
    <w:p>
      <w:pPr>
        <w:spacing w:after="0" w:line="49"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31F20"/>
        </w:rPr>
        <w:t>Our ability to execute our growth strategy and become profitable is highly dependent on a number of factors, many of which are interrelated.</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Continued adoption and use of our Diagnostics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those providers, if at all, which could in turn hinder the growth of sales of our tests. If we are unable to achieve commercial success for our tests, our business, financial condition and results of operations would be materially and adversely affected. We are also particularly dependent on our clinical oncology and hereditary tests, which collectively accounted for 74%, 63% and 63% of our revenue in the years ended December 31, 2025, 2024 and 2023, respectively. We cannot ensure that our oncology and hereditary tests will continue to maintain or gain market acceptance, and any failure to do so would materially harm our business, financial condition and results of operations.</w:t>
      </w:r>
    </w:p>
    <w:p>
      <w:pPr>
        <w:spacing w:after="0" w:line="20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Continued adoption of and use of our Data and applications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but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21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scope and robustness of the Data and applications products that we can offer our customers also depend significantly on the continued success of our Diagnostics product line, as the data that we collect through genomic testing is an essential component of our Data and applications products. Further, we believe that growth in the use of our Data and applications products will help drive awareness and adoption of our Diagnostics product line, which in turn will drive further growth within our Data and applications product line. However, there can be no assurance that we will realize these synergies.</w:t>
      </w:r>
    </w:p>
    <w:p>
      <w:pPr>
        <w:spacing w:after="0" w:line="317" w:lineRule="exact"/>
        <w:rPr>
          <w:sz w:val="20"/>
          <w:szCs w:val="20"/>
          <w:color w:val="auto"/>
        </w:rPr>
      </w:pPr>
    </w:p>
    <w:p>
      <w:pPr>
        <w:ind w:left="480"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limited operating history and rapid growth make it difficult to evaluate our future prospects and the risks and challenges we may encounter.</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and research and development efforts as contemplated elsewhere in this Annual Report on Form 10-K.</w:t>
      </w:r>
    </w:p>
    <w:p>
      <w:pPr>
        <w:spacing w:after="0" w:line="206" w:lineRule="exact"/>
        <w:rPr>
          <w:sz w:val="20"/>
          <w:szCs w:val="20"/>
          <w:color w:val="auto"/>
        </w:rPr>
      </w:pPr>
    </w:p>
    <w:p>
      <w:pPr>
        <w:ind w:right="40" w:firstLine="490"/>
        <w:spacing w:after="0" w:line="263" w:lineRule="auto"/>
        <w:rPr>
          <w:sz w:val="20"/>
          <w:szCs w:val="20"/>
          <w:color w:val="auto"/>
        </w:rPr>
      </w:pPr>
      <w:r>
        <w:rPr>
          <w:rFonts w:ascii="Times New Roman" w:cs="Times New Roman" w:eastAsia="Times New Roman" w:hAnsi="Times New Roman"/>
          <w:sz w:val="19"/>
          <w:szCs w:val="19"/>
          <w:color w:val="231F20"/>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ectPr>
          <w:pgSz w:w="11880" w:h="15480" w:orient="portrait"/>
          <w:cols w:equalWidth="0" w:num="1">
            <w:col w:w="10440"/>
          </w:cols>
          <w:pgMar w:left="900" w:top="796" w:right="540"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440"/>
          </w:cols>
          <w:pgMar w:left="900" w:top="796" w:right="540" w:bottom="0" w:gutter="0" w:footer="0" w:header="0"/>
          <w:type w:val="continuous"/>
        </w:sectPr>
      </w:pPr>
    </w:p>
    <w:bookmarkStart w:id="59" w:name="page60"/>
    <w:bookmarkEnd w:id="59"/>
    <w:p>
      <w:pPr>
        <w:ind w:left="480"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need to raise additional capital to fund our existing operations, develop our Platform, commercialize new products or expand our operations.</w:t>
      </w:r>
    </w:p>
    <w:p>
      <w:pPr>
        <w:spacing w:after="0" w:line="49"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We may need to raise additional capital in the future to expand our business, meet existing obligations, pursue acquisitions or strategic investments, or take advantage of financing opportunities or for other reasons, including to:</w:t>
      </w:r>
    </w:p>
    <w:p>
      <w:pPr>
        <w:spacing w:after="0" w:line="64" w:lineRule="exact"/>
        <w:rPr>
          <w:sz w:val="20"/>
          <w:szCs w:val="20"/>
          <w:color w:val="auto"/>
        </w:rPr>
      </w:pPr>
    </w:p>
    <w:p>
      <w:pPr>
        <w:ind w:left="980" w:right="280" w:hanging="490"/>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 our sales and marketing efforts to drive market adoption of our current products and services, and address competitive developments;</w:t>
      </w:r>
    </w:p>
    <w:p>
      <w:pPr>
        <w:spacing w:after="0" w:line="64" w:lineRule="exact"/>
        <w:rPr>
          <w:rFonts w:ascii="Arial" w:cs="Arial" w:eastAsia="Arial" w:hAnsi="Arial"/>
          <w:sz w:val="20"/>
          <w:szCs w:val="20"/>
          <w:color w:val="231F20"/>
        </w:rPr>
      </w:pPr>
    </w:p>
    <w:p>
      <w:pPr>
        <w:ind w:left="980" w:right="400" w:hanging="490"/>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fund development and marketing efforts of our products under development or any other future products we may develop;</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license or invest in technologies;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or invest in complementary businesses or assets;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finance capital expenditures and general and administrative expenses.</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Our present and future funding requirements will depend on many factors, including:</w:t>
      </w:r>
    </w:p>
    <w:p>
      <w:pPr>
        <w:spacing w:after="0" w:line="134" w:lineRule="exact"/>
        <w:rPr>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achieve revenue growth and favorable gross profits;</w:t>
      </w:r>
    </w:p>
    <w:p>
      <w:pPr>
        <w:spacing w:after="0" w:line="133"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establishing payer coverage and reimbursement arrangements with domestic and international commercial payers and government payers;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expanding our laboratory operations and product offerings, including our sales and marketing efforts;</w:t>
      </w:r>
    </w:p>
    <w:p>
      <w:pPr>
        <w:spacing w:after="0" w:line="133"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and costs of our sales and marketing activities associated with, establishing adoption of and reimbursement for our current products, including our diagnostic tests and our data analytics products;</w:t>
      </w:r>
    </w:p>
    <w:p>
      <w:pPr>
        <w:spacing w:after="0" w:line="64"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rate at which we choose to advance, rate of progress in, and costs of our research and development activities associated with, products in development;</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related to our international expansion; and</w:t>
      </w:r>
    </w:p>
    <w:p>
      <w:pPr>
        <w:spacing w:after="0" w:line="133" w:lineRule="exact"/>
        <w:rPr>
          <w:rFonts w:ascii="Arial" w:cs="Arial" w:eastAsia="Arial" w:hAnsi="Arial"/>
          <w:sz w:val="20"/>
          <w:szCs w:val="20"/>
          <w:color w:val="231F20"/>
        </w:rPr>
      </w:pPr>
    </w:p>
    <w:p>
      <w:pPr>
        <w:ind w:left="980" w:right="520" w:hanging="490"/>
        <w:spacing w:after="0" w:line="276" w:lineRule="auto"/>
        <w:tabs>
          <w:tab w:leader="none" w:pos="98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costs of, and delays in product development as a result of any existing or new regulatory oversight applicable to our products.</w:t>
      </w:r>
    </w:p>
    <w:p>
      <w:pPr>
        <w:spacing w:after="0" w:line="170"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231F20"/>
        </w:rPr>
        <w:t>We are party to a credit agreement with Ares Capital Corporation, under which we have $206.0 million outstanding in term loans and $100.0 million outstanding in revolving credit facility as of December 31, 2025. We also have $750.0 million outstanding aggregate principal amount of 0.75% Convertible Senior Notes due 2030. In addition, we are party to a Controlled Equity Offering</w:t>
      </w:r>
      <w:r>
        <w:rPr>
          <w:rFonts w:ascii="Times New Roman" w:cs="Times New Roman" w:eastAsia="Times New Roman" w:hAnsi="Times New Roman"/>
          <w:sz w:val="26"/>
          <w:szCs w:val="26"/>
          <w:color w:val="231F20"/>
          <w:vertAlign w:val="superscript"/>
        </w:rPr>
        <w:t>SM</w:t>
      </w:r>
      <w:r>
        <w:rPr>
          <w:rFonts w:ascii="Times New Roman" w:cs="Times New Roman" w:eastAsia="Times New Roman" w:hAnsi="Times New Roman"/>
          <w:sz w:val="20"/>
          <w:szCs w:val="20"/>
          <w:color w:val="231F20"/>
        </w:rPr>
        <w:t>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having an aggregate offering price of up to $500.0 million. In addition to the foregoing sources of capital, we may seek to sell equity securities, through the ATM or otherwise, or convertible securities, enter into additional credit facilities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Applications product line is nascent.</w:t>
      </w:r>
    </w:p>
    <w:p>
      <w:pPr>
        <w:spacing w:after="0" w:line="120"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231F20"/>
        </w:rPr>
        <w:t>We have limited commercialized algorithms within our Applications product line. Revenue generated from Applications is reported within our Data and applications product line and was $20.2 million, $ 12.4 million and $5.5 million for the years ended December 31, 2025, 2024 and 2023, respectively, which represents 1.6%, 1.8% and 1.0% of our total revenue in each period. We have a number of additional algorithms in development and we may not be successful in developing and commercializing these or</w:t>
      </w:r>
    </w:p>
    <w:p>
      <w:pPr>
        <w:sectPr>
          <w:pgSz w:w="11880" w:h="15480" w:orient="portrait"/>
          <w:cols w:equalWidth="0" w:num="1">
            <w:col w:w="10420"/>
          </w:cols>
          <w:pgMar w:left="900" w:top="796" w:right="560"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420"/>
          </w:cols>
          <w:pgMar w:left="900" w:top="796" w:right="560" w:bottom="0" w:gutter="0" w:footer="0" w:header="0"/>
          <w:type w:val="continuous"/>
        </w:sectPr>
      </w:pPr>
    </w:p>
    <w:bookmarkStart w:id="60" w:name="page61"/>
    <w:bookmarkEnd w:id="60"/>
    <w:p>
      <w:pPr>
        <w:ind w:right="60"/>
        <w:spacing w:after="0" w:line="244" w:lineRule="auto"/>
        <w:rPr>
          <w:sz w:val="20"/>
          <w:szCs w:val="20"/>
          <w:color w:val="auto"/>
        </w:rPr>
      </w:pPr>
      <w:r>
        <w:rPr>
          <w:rFonts w:ascii="Times New Roman" w:cs="Times New Roman" w:eastAsia="Times New Roman" w:hAnsi="Times New Roman"/>
          <w:sz w:val="20"/>
          <w:szCs w:val="20"/>
          <w:color w:val="231F20"/>
        </w:rPr>
        <w:t>future algorithms, or in attaining our other development targets. Further, the scope and robustness of the Applications that we can offer our customers depend significantly on the continued success of our Diagnostics product line and access to third-party data, of which there can be no assurance. We also cannot accurately estimate how our future Applications will be priced, whether reimbursement can be obtained or whether we will generate any revenue from such Applications. Further, the use of diagnostics that are entirely algorithmic in nature is novel which (a) today represents only a small proportion of the diagnostics market (b) may be subject to existing and entirely new regulations that may substantially impact their adoption, use, reimbursement and ongoing viability, and (c) involves nascent billing and reimbursement policies, which could limit their adoption, use, and reimbursement. While we believe Applications represent a significant long-term opportunity for us, there can be no assurances that a robust and sustained market for such diagnostics will develop or that we will successfully compete in any such market.</w:t>
      </w:r>
    </w:p>
    <w:p>
      <w:pPr>
        <w:spacing w:after="0" w:line="326" w:lineRule="exact"/>
        <w:rPr>
          <w:sz w:val="20"/>
          <w:szCs w:val="20"/>
          <w:color w:val="auto"/>
        </w:rPr>
      </w:pPr>
    </w:p>
    <w:p>
      <w:pPr>
        <w:ind w:left="480"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New product development and commercialization involve a lengthy and complex process and we may be unable to develop or commercialize new products on a timely basis, or at all.</w:t>
      </w:r>
    </w:p>
    <w:p>
      <w:pPr>
        <w:spacing w:after="0" w:line="49"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Products that are under development have taken time and considerable resources to develop, and we may not be able to complete the development and commercialization of such products on a timely basis, or at all.</w:t>
      </w:r>
    </w:p>
    <w:p>
      <w:pPr>
        <w:spacing w:after="0" w:line="169"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Before we can commercialize any new Diagnostics or algorithmic diagnostic products, we will need to expend significant funds in order to:</w:t>
      </w:r>
    </w:p>
    <w:p>
      <w:pPr>
        <w:spacing w:after="0" w:line="64" w:lineRule="exact"/>
        <w:rPr>
          <w:sz w:val="20"/>
          <w:szCs w:val="20"/>
          <w:color w:val="auto"/>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conduct substantial research and development, including validation studies and, in some cases, clinical trials;</w:t>
      </w:r>
    </w:p>
    <w:p>
      <w:pPr>
        <w:spacing w:after="0" w:line="133" w:lineRule="exact"/>
        <w:rPr>
          <w:rFonts w:ascii="Arial" w:cs="Arial" w:eastAsia="Arial" w:hAnsi="Arial"/>
          <w:sz w:val="20"/>
          <w:szCs w:val="20"/>
          <w:color w:val="231F20"/>
        </w:rPr>
      </w:pPr>
    </w:p>
    <w:p>
      <w:pPr>
        <w:ind w:left="980" w:right="520" w:hanging="490"/>
        <w:spacing w:after="0" w:line="276" w:lineRule="auto"/>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further develop and scale our laboratory or algorithmic processes to accommodate diagnostic tests in additional disease areas;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further develop and scale our infrastructure to be able to analyze increasingly large amounts of data.</w:t>
      </w:r>
    </w:p>
    <w:p>
      <w:pPr>
        <w:spacing w:after="0" w:line="239"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Our diagnostic product development process involves a high degree of risk, and product development efforts may fail for many reasons, including:</w:t>
      </w:r>
    </w:p>
    <w:p>
      <w:pPr>
        <w:spacing w:after="0" w:line="64" w:lineRule="exact"/>
        <w:rPr>
          <w:sz w:val="20"/>
          <w:szCs w:val="20"/>
          <w:color w:val="auto"/>
        </w:rPr>
      </w:pPr>
    </w:p>
    <w:p>
      <w:pPr>
        <w:ind w:left="980" w:hanging="490"/>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of the diagnostic product to perform as expected, including defects and errors;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lack of validation data or validation activities that subsequently may be challenged or questioned; or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demonstrate the clinical utility of the diagnostic test.</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Expanding the offerings of our Data and applications business is also a speculative and risky endeavor and may require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w:t>
      </w:r>
    </w:p>
    <w:p>
      <w:pPr>
        <w:spacing w:after="0" w:line="106" w:lineRule="exact"/>
        <w:rPr>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additional access to patient healthcare information that is relevant to the products we offer;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correctly identify current and future customer needs and preferences;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allocate our research and development funding to areas with higher growth prospects;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anticipate and respond to our competitors’ development of new products and technological innovations.</w:t>
      </w:r>
    </w:p>
    <w:p>
      <w:pPr>
        <w:spacing w:after="0" w:line="239"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231F20"/>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94"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231F20"/>
        </w:rPr>
        <w:t>As we develop our products, we have made and will have to continue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Applications business, and we may exert limited or no control over such development efforts.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addition, in our development and commercialization plans for our offerings, we may forego other opportunities that may provide greater revenue or be more profitable. For example, while we expect to continue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ectPr>
          <w:pgSz w:w="11880" w:h="15480" w:orient="portrait"/>
          <w:cols w:equalWidth="0" w:num="1">
            <w:col w:w="10420"/>
          </w:cols>
          <w:pgMar w:left="900" w:top="796" w:right="560" w:bottom="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420"/>
          </w:cols>
          <w:pgMar w:left="900" w:top="796" w:right="560" w:bottom="0" w:gutter="0" w:footer="0" w:header="0"/>
          <w:type w:val="continuous"/>
        </w:sectPr>
      </w:pPr>
    </w:p>
    <w:bookmarkStart w:id="61" w:name="page62"/>
    <w:bookmarkEnd w:id="61"/>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successful in updating or otherwise enhancing our Platform and products.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We have developed multiple genomics diagnostics tests across oncology (including hereditary tests,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Notified Bodies’ and other regulatory bodies’ clearances, authorizations, certifications or approvals before we can market the updated product.</w:t>
      </w:r>
    </w:p>
    <w:p>
      <w:pPr>
        <w:spacing w:after="0" w:line="20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FDA’s and Notified Bodies’ clearance, authorization, approval or certification pathways are likely to require significant time and expenditures. The FDA, or other applicable regulatory authority or Notified Bodies may not clear, authorize, certify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certification,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20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88" w:lineRule="exact"/>
        <w:rPr>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correctly identify current and future customer needs and preferences;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allocate our research and development funding to areas with higher growth prospects;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anticipate and respond to our competitors’ development of new products and technological innovations;</w:t>
      </w:r>
    </w:p>
    <w:p>
      <w:pPr>
        <w:spacing w:after="0" w:line="133"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innovate and develop new technologies and applications, and acquire or obtain rights to third-party technologies that may have valuable applications in the markets we serve;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successfully develop and commercialize new technologies and applications in a timely manner;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convince customers to adopt new technologies and applications.</w:t>
      </w:r>
    </w:p>
    <w:p>
      <w:pPr>
        <w:spacing w:after="0" w:line="239" w:lineRule="exact"/>
        <w:rPr>
          <w:sz w:val="20"/>
          <w:szCs w:val="20"/>
          <w:color w:val="auto"/>
        </w:rPr>
      </w:pPr>
    </w:p>
    <w:p>
      <w:pPr>
        <w:ind w:right="720" w:firstLine="490"/>
        <w:spacing w:after="0" w:line="277" w:lineRule="auto"/>
        <w:rPr>
          <w:sz w:val="20"/>
          <w:szCs w:val="20"/>
          <w:color w:val="auto"/>
        </w:rPr>
      </w:pPr>
      <w:r>
        <w:rPr>
          <w:rFonts w:ascii="Times New Roman" w:cs="Times New Roman" w:eastAsia="Times New Roman" w:hAnsi="Times New Roman"/>
          <w:sz w:val="20"/>
          <w:szCs w:val="20"/>
          <w:color w:val="231F20"/>
        </w:rPr>
        <w:t>The expenses or losses associated with unsuccessful expansion of our Platform could adversely affect our business, financial condition and results of operations.</w:t>
      </w:r>
    </w:p>
    <w:p>
      <w:pPr>
        <w:spacing w:after="0" w:line="289" w:lineRule="exact"/>
        <w:rPr>
          <w:sz w:val="20"/>
          <w:szCs w:val="20"/>
          <w:color w:val="auto"/>
        </w:rPr>
      </w:pPr>
    </w:p>
    <w:p>
      <w:pPr>
        <w:ind w:left="480" w:right="5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not successful in leveraging our Platform to identify, develop and commercialize additional genomic and algorithmic tests, our ability to expand our business and achieve our strategic objectives would be impaired.</w:t>
      </w:r>
    </w:p>
    <w:p>
      <w:pPr>
        <w:spacing w:after="0" w:line="4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20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ectPr>
          <w:pgSz w:w="11880" w:h="15480" w:orient="portrait"/>
          <w:cols w:equalWidth="0" w:num="1">
            <w:col w:w="10440"/>
          </w:cols>
          <w:pgMar w:left="900" w:top="796" w:right="540" w:bottom="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440"/>
          </w:cols>
          <w:pgMar w:left="900" w:top="796" w:right="540" w:bottom="0" w:gutter="0" w:footer="0" w:header="0"/>
          <w:type w:val="continuous"/>
        </w:sectPr>
      </w:pPr>
    </w:p>
    <w:bookmarkStart w:id="62" w:name="page63"/>
    <w:bookmarkEnd w:id="62"/>
    <w:p>
      <w:pPr>
        <w:ind w:left="480"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existing and new products fail to achieve and sustain sufficient scientific acceptance, we will not generate expected revenue and our prospects may be harmed.</w:t>
      </w:r>
    </w:p>
    <w:p>
      <w:pPr>
        <w:spacing w:after="0" w:line="49"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The life sciences scientific community comprises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 reviewed journal as a measure of success. In such journal publications, the researchers will describe not only their discoveries but also the methods and typically the products used to fuel such discoveries. Mentions in peer-reviewed journal publications are a good barometer for the general acceptance of our products as best practices. Ensuring that early adopters and key opinion leaders publish research involving the use of our products is critical to gaining widespread acceptance and market growth. Continuing to establish and maintain good relationships with such key opinion leaders is vital to growing our market. The number of times our products were mentioned in peer-reviewed publications has increased significantly in recent years. As of December 31, 2025, our products have been mentioned in over 800 peer-reviewed articles published in major journals.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324"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diagnostic products, or our competitors’ diagnostic products, could have defects or errors or otherwise fail to meet the expectations of patients, healthcare providers, and third-party payers; in such cases our operating results, reputation and business could suffer.</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success of our Diagnostics and algorithmic diagnostic products depends in part on patients’, healthcare providers, and third-party payers’ confidence that our Platform can provide reliable, high- 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333" w:lineRule="exact"/>
        <w:rPr>
          <w:sz w:val="20"/>
          <w:szCs w:val="20"/>
          <w:color w:val="auto"/>
        </w:rPr>
      </w:pPr>
    </w:p>
    <w:p>
      <w:pPr>
        <w:ind w:left="480"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support demand for our current and future Diagnostics product line, including ensuring that we have adequate capacity to meet increased demand, or we are unable to successfully manage our anticipated growth, our business could suffer.</w:t>
      </w:r>
    </w:p>
    <w:p>
      <w:pPr>
        <w:spacing w:after="0" w:line="68"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As the volume of our Diagnostics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Diagnostics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202" w:lineRule="exact"/>
        <w:rPr>
          <w:sz w:val="20"/>
          <w:szCs w:val="20"/>
          <w:color w:val="auto"/>
        </w:rPr>
      </w:pPr>
    </w:p>
    <w:p>
      <w:pPr>
        <w:ind w:right="100" w:firstLine="490"/>
        <w:spacing w:after="0" w:line="305" w:lineRule="auto"/>
        <w:rPr>
          <w:sz w:val="20"/>
          <w:szCs w:val="20"/>
          <w:color w:val="auto"/>
        </w:rPr>
      </w:pPr>
      <w:r>
        <w:rPr>
          <w:rFonts w:ascii="Times New Roman" w:cs="Times New Roman" w:eastAsia="Times New Roman" w:hAnsi="Times New Roman"/>
          <w:sz w:val="19"/>
          <w:szCs w:val="19"/>
          <w:color w:val="231F20"/>
        </w:rPr>
        <w:t>As we commercialize additional Diagnostics products, we will need to incorporate new equipment, implement new technology systems and laboratory processes, and hire new personnel with different qualifications. Failure to manage this growth</w:t>
      </w:r>
    </w:p>
    <w:p>
      <w:pPr>
        <w:sectPr>
          <w:pgSz w:w="11880" w:h="15480" w:orient="portrait"/>
          <w:cols w:equalWidth="0" w:num="1">
            <w:col w:w="10440"/>
          </w:cols>
          <w:pgMar w:left="900" w:top="796" w:right="540" w:bottom="0"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440"/>
          </w:cols>
          <w:pgMar w:left="900" w:top="796" w:right="540" w:bottom="0" w:gutter="0" w:footer="0" w:header="0"/>
          <w:type w:val="continuous"/>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20"/>
          <w:szCs w:val="20"/>
          <w:color w:val="231F20"/>
        </w:rPr>
        <w:t>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8" w:lineRule="exact"/>
        <w:rPr>
          <w:sz w:val="20"/>
          <w:szCs w:val="20"/>
          <w:color w:val="auto"/>
        </w:rPr>
      </w:pPr>
    </w:p>
    <w:p>
      <w:pPr>
        <w:ind w:right="100" w:firstLine="490"/>
        <w:spacing w:after="0" w:line="270" w:lineRule="auto"/>
        <w:rPr>
          <w:sz w:val="20"/>
          <w:szCs w:val="20"/>
          <w:color w:val="auto"/>
        </w:rPr>
      </w:pPr>
      <w:r>
        <w:rPr>
          <w:rFonts w:ascii="Times New Roman" w:cs="Times New Roman" w:eastAsia="Times New Roman" w:hAnsi="Times New Roman"/>
          <w:sz w:val="19"/>
          <w:szCs w:val="19"/>
          <w:color w:val="231F20"/>
        </w:rPr>
        <w:t>Our ability to attract and retain individuals to support the expansion of our Diagnostics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77"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231F20"/>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Ethical, legal and social concerns related to the use of genetic information could reduce demand for our tests.</w:t>
      </w:r>
    </w:p>
    <w:p>
      <w:pPr>
        <w:spacing w:after="0" w:line="24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Genetic testing has raised ethical, legal and social issues regarding privacy rights and the appropriate uses of the resulting information. Governmental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clinicians to be reluctant to order, hereditary tests even if permissible; they may also refuse genetic testing due to concerns regarding eligibility for life or other insurance. Ethical and social concerns may also influence U.S. and foreign patent offices and courts with regard to patent protection for technology relevant to our business.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326" w:lineRule="exact"/>
        <w:rPr>
          <w:sz w:val="20"/>
          <w:szCs w:val="20"/>
          <w:color w:val="auto"/>
        </w:rPr>
      </w:pPr>
    </w:p>
    <w:p>
      <w:pPr>
        <w:ind w:left="480"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59" w:lineRule="exact"/>
        <w:rPr>
          <w:sz w:val="20"/>
          <w:szCs w:val="20"/>
          <w:color w:val="auto"/>
        </w:rPr>
      </w:pPr>
    </w:p>
    <w:p>
      <w:pPr>
        <w:ind w:right="20" w:firstLine="490"/>
        <w:spacing w:after="0"/>
        <w:rPr>
          <w:sz w:val="20"/>
          <w:szCs w:val="20"/>
          <w:color w:val="auto"/>
        </w:rPr>
      </w:pPr>
      <w:r>
        <w:rPr>
          <w:rFonts w:ascii="Times New Roman" w:cs="Times New Roman" w:eastAsia="Times New Roman" w:hAnsi="Times New Roman"/>
          <w:sz w:val="20"/>
          <w:szCs w:val="20"/>
          <w:color w:val="231F20"/>
        </w:rPr>
        <w:t>As of December 31, 2025, we had received payment on approximately 55% of our clinical oncology next generation sequencing, or NGS, tests and 50% of our hereditary tests across all payers performed from January 1, 2023 through December 31, 2024. We calculated this metric on a trailing basis based on payer adjudication timing. For the years ended December 31, 2025, 2024 and 2023, our average reimbursement for NGS tests in oncology (i.e., excluding hereditary testing) was approximately $1,600, $ 1,510 and $1,450, respectively. For the year ended December 31, 2025 and 2024, our average reimbursement for NGS tests in hereditary testing was approximately $770 and $760, on a pro forma basis, for which pro forma amounts have been calculated after applying the Company's accounting policies.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26% of our clinical oncology tests were for Medicare beneficiaries in the years ended December 31, 2025, 2024 and 2023, respectively. Approximately 10% of our hereditary tests were for Medicare beneficiaries in the year ended December 31, 2025.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298" w:lineRule="exact"/>
        <w:rPr>
          <w:sz w:val="20"/>
          <w:szCs w:val="20"/>
          <w:color w:val="auto"/>
        </w:rPr>
      </w:pPr>
    </w:p>
    <w:p>
      <w:pPr>
        <w:ind w:right="20" w:firstLine="490"/>
        <w:spacing w:after="0" w:line="233" w:lineRule="auto"/>
        <w:rPr>
          <w:sz w:val="20"/>
          <w:szCs w:val="20"/>
          <w:color w:val="auto"/>
        </w:rPr>
      </w:pPr>
      <w:r>
        <w:rPr>
          <w:rFonts w:ascii="Times New Roman" w:cs="Times New Roman" w:eastAsia="Times New Roman" w:hAnsi="Times New Roman"/>
          <w:sz w:val="20"/>
          <w:szCs w:val="20"/>
          <w:color w:val="231F20"/>
        </w:rPr>
        <w:t>In addition, because our Diagnostics and algorithmic diagnostic tests represent new approaches to the diagnosis and detection of diseases or hereditary risk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97" w:lineRule="exact"/>
        <w:rPr>
          <w:sz w:val="20"/>
          <w:szCs w:val="20"/>
          <w:color w:val="auto"/>
        </w:rPr>
      </w:pPr>
    </w:p>
    <w:p>
      <w:pPr>
        <w:jc w:val="both"/>
        <w:ind w:right="140" w:firstLine="490"/>
        <w:spacing w:after="0" w:line="246" w:lineRule="auto"/>
        <w:rPr>
          <w:sz w:val="20"/>
          <w:szCs w:val="20"/>
          <w:color w:val="auto"/>
        </w:rPr>
      </w:pPr>
      <w:r>
        <w:rPr>
          <w:rFonts w:ascii="Times New Roman" w:cs="Times New Roman" w:eastAsia="Times New Roman" w:hAnsi="Times New Roman"/>
          <w:sz w:val="20"/>
          <w:szCs w:val="20"/>
          <w:color w:val="231F20"/>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w:t>
      </w:r>
    </w:p>
    <w:p>
      <w:pPr>
        <w:sectPr>
          <w:pgSz w:w="11880" w:h="15480" w:orient="portrait"/>
          <w:cols w:equalWidth="0" w:num="1">
            <w:col w:w="10420"/>
          </w:cols>
          <w:pgMar w:left="900" w:top="796" w:right="560" w:bottom="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420"/>
          </w:cols>
          <w:pgMar w:left="900" w:top="796" w:right="560" w:bottom="0" w:gutter="0" w:footer="0" w:header="0"/>
          <w:type w:val="continuous"/>
        </w:sectPr>
      </w:pPr>
    </w:p>
    <w:bookmarkStart w:id="64" w:name="page65"/>
    <w:bookmarkEnd w:id="64"/>
    <w:p>
      <w:pPr>
        <w:ind w:right="80"/>
        <w:spacing w:after="0" w:line="234" w:lineRule="auto"/>
        <w:rPr>
          <w:sz w:val="20"/>
          <w:szCs w:val="20"/>
          <w:color w:val="auto"/>
        </w:rPr>
      </w:pPr>
      <w:r>
        <w:rPr>
          <w:rFonts w:ascii="Times New Roman" w:cs="Times New Roman" w:eastAsia="Times New Roman" w:hAnsi="Times New Roman"/>
          <w:sz w:val="20"/>
          <w:szCs w:val="20"/>
          <w:color w:val="231F20"/>
        </w:rPr>
        <w:t>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4" w:lineRule="exact"/>
        <w:rPr>
          <w:sz w:val="20"/>
          <w:szCs w:val="20"/>
          <w:color w:val="auto"/>
        </w:rPr>
      </w:pPr>
    </w:p>
    <w:p>
      <w:pPr>
        <w:ind w:right="20" w:firstLine="490"/>
        <w:spacing w:after="0" w:line="232" w:lineRule="auto"/>
        <w:rPr>
          <w:sz w:val="20"/>
          <w:szCs w:val="20"/>
          <w:color w:val="auto"/>
        </w:rPr>
      </w:pPr>
      <w:r>
        <w:rPr>
          <w:rFonts w:ascii="Times New Roman" w:cs="Times New Roman" w:eastAsia="Times New Roman" w:hAnsi="Times New Roman"/>
          <w:sz w:val="20"/>
          <w:szCs w:val="20"/>
          <w:color w:val="231F20"/>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207"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Although we are a participating provider with several commercial payers, some large commercial payers have issued non-coverage policies that consider tissue and liquid comprehensive genomic profile testing, including certain of our Diagnostics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9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95" w:lineRule="exact"/>
        <w:rPr>
          <w:sz w:val="20"/>
          <w:szCs w:val="20"/>
          <w:color w:val="auto"/>
        </w:rPr>
      </w:pPr>
    </w:p>
    <w:p>
      <w:pPr>
        <w:ind w:right="20" w:firstLine="490"/>
        <w:spacing w:after="0" w:line="230" w:lineRule="auto"/>
        <w:rPr>
          <w:sz w:val="20"/>
          <w:szCs w:val="20"/>
          <w:color w:val="auto"/>
        </w:rPr>
      </w:pPr>
      <w:r>
        <w:rPr>
          <w:rFonts w:ascii="Times New Roman" w:cs="Times New Roman" w:eastAsia="Times New Roman" w:hAnsi="Times New Roman"/>
          <w:sz w:val="20"/>
          <w:szCs w:val="20"/>
          <w:color w:val="231F20"/>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2025, Medicare claims represented 26% of our clinical oncology testing volume and 10% of our hereditary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98" w:lineRule="exact"/>
        <w:rPr>
          <w:sz w:val="20"/>
          <w:szCs w:val="20"/>
          <w:color w:val="auto"/>
        </w:rPr>
      </w:pPr>
    </w:p>
    <w:p>
      <w:pPr>
        <w:ind w:right="40" w:firstLine="490"/>
        <w:spacing w:after="0" w:line="230" w:lineRule="auto"/>
        <w:rPr>
          <w:sz w:val="20"/>
          <w:szCs w:val="20"/>
          <w:color w:val="auto"/>
        </w:rPr>
      </w:pPr>
      <w:r>
        <w:rPr>
          <w:rFonts w:ascii="Times New Roman" w:cs="Times New Roman" w:eastAsia="Times New Roman" w:hAnsi="Times New Roman"/>
          <w:sz w:val="20"/>
          <w:szCs w:val="20"/>
          <w:color w:val="231F20"/>
        </w:rPr>
        <w:t>For example, Medicare’s NCD for NGS first established in 2018 and subsequently updated in 2020, states that NGS oncology tests (such as our |xT and |xF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meets the criteria for reimbursement under the NCD. In addition, effective July 1, 2024, our xT CDX assay was awarded Advanced Diagnostic Laboratory Test status by CMS. The NGS NCD also states that each MAC may provide local coverage of other next-generation sequencing tests for cancer patients only when the test is performed by a CLIA-certified laboratory, ordered</w:t>
      </w:r>
    </w:p>
    <w:p>
      <w:pPr>
        <w:sectPr>
          <w:pgSz w:w="11880" w:h="15480" w:orient="portrait"/>
          <w:cols w:equalWidth="0" w:num="1">
            <w:col w:w="10440"/>
          </w:cols>
          <w:pgMar w:left="900" w:top="787" w:right="540"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440"/>
          </w:cols>
          <w:pgMar w:left="900" w:top="787" w:right="540" w:bottom="0" w:gutter="0" w:footer="0" w:header="0"/>
          <w:type w:val="continuous"/>
        </w:sectPr>
      </w:pPr>
    </w:p>
    <w:bookmarkStart w:id="65" w:name="page66"/>
    <w:bookmarkEnd w:id="65"/>
    <w:p>
      <w:pPr>
        <w:ind w:right="140"/>
        <w:spacing w:after="0" w:line="244" w:lineRule="auto"/>
        <w:rPr>
          <w:sz w:val="20"/>
          <w:szCs w:val="20"/>
          <w:color w:val="auto"/>
        </w:rPr>
      </w:pPr>
      <w:r>
        <w:rPr>
          <w:rFonts w:ascii="Times New Roman" w:cs="Times New Roman" w:eastAsia="Times New Roman" w:hAnsi="Times New Roman"/>
          <w:sz w:val="20"/>
          <w:szCs w:val="20"/>
          <w:color w:val="231F20"/>
        </w:rPr>
        <w:t>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87" w:lineRule="exact"/>
        <w:rPr>
          <w:sz w:val="20"/>
          <w:szCs w:val="20"/>
          <w:color w:val="auto"/>
        </w:rPr>
      </w:pPr>
    </w:p>
    <w:p>
      <w:pPr>
        <w:ind w:right="160" w:firstLine="490"/>
        <w:spacing w:after="0" w:line="234" w:lineRule="auto"/>
        <w:rPr>
          <w:sz w:val="20"/>
          <w:szCs w:val="20"/>
          <w:color w:val="auto"/>
        </w:rPr>
      </w:pPr>
      <w:r>
        <w:rPr>
          <w:rFonts w:ascii="Times New Roman" w:cs="Times New Roman" w:eastAsia="Times New Roman" w:hAnsi="Times New Roman"/>
          <w:sz w:val="20"/>
          <w:szCs w:val="20"/>
          <w:color w:val="231F20"/>
        </w:rPr>
        <w:t>National Government Services, Inc. is the local MAC that makes local coverage determinations, or LCDs, for tests conducted at our Chicago laboratory. National Government Services has issued two LCDs related to genetic testing in cancer, each of which currently requires claims to be submitted under a single current procedural terminology, or CPT, code that describes the test. Since issuing the LCDs, National Government Services has, from time to time, issued modifications and interpretations of the LCDs and associated guidance documents that may impact how we bill for, and how National Government Services reimburses, our diagnostic tests.</w:t>
      </w:r>
    </w:p>
    <w:p>
      <w:pPr>
        <w:spacing w:after="0" w:line="192"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231F20"/>
        </w:rPr>
        <w:t>Palmetto is the MAC jurisdiction that determines reimbursement for tests conducted at our Raleigh and Atlanta laboratories. Noridian is the MAC jurisdiction that determines reimbursement for tests conducted at our Aliso Viejo laboratory. Both Palmetto and Noridian are subject to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200"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Other factors, beyond the NCD and applicable LCD’s, impact how we bill for our tests, whether they are reimbursed by third party-payors, and the amount we receive from government payors. For example, CMS has specific processes, such as the gapfill process, for determining the amount we are reimbursed for certain laboratory tests. In addition, certain CMS regulations prevent us from billing Medicare directly for tests provided to Medicare beneficiaries in certain situations when the test is ordered as part of a beneficiary’s inpatient stay at a hospital. At the same time, CMS has adopted an exception to its laboratory date of service rules, and if certain conditions are met, molecular testing laboratories such as us can rely on that exception to bill Medicare directly, instead of seeking payment from the hospital. If this exception is repealed or curtailed by CMS, if the laboratory date of service regulation is otherwise changed to adversely impact our ability to bill Medicare directly, or if we incorrectly implement billing procedures related to the date of service exception, our revenue could be materially reduced, and we could be subject to further regulatory actions.</w:t>
      </w:r>
    </w:p>
    <w:p>
      <w:pPr>
        <w:spacing w:after="0" w:line="21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coverage policies and third-party reimbursement rates may change at any time. Even if favorable coverage and reimbursement status is attained for one or more of our tests, less favorable coverage policies and reimbursement rates may be implemented in the future.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333" w:lineRule="exact"/>
        <w:rPr>
          <w:sz w:val="20"/>
          <w:szCs w:val="20"/>
          <w:color w:val="auto"/>
        </w:rPr>
      </w:pPr>
    </w:p>
    <w:p>
      <w:pPr>
        <w:ind w:left="480"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or maintain adequate reimbursement for our Diagnostics product line outside of the United States, our ability to expand internationally will be compromised.</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 substantial portion of our Diagnostics product line revenues come from third-party payer reimbursement. In many countries outside of the United States, reimbursement systems vary significantly by country and by region within some countries, and reimbursement approvals must be obtained on a country-by-country basis and various coverage, pricing and reimbursement approvals are required for our tests to be available to patients in significant volume. In the EU some countries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On January 12, 2025, Regulation No 2021/2282 on Health Technology Assessment, or HTA Regulation, entered into application through a phased implementation and is intended to harmonize the clinical benefit assessment of HTA across the European Union. Selected high-risk medical</w:t>
      </w:r>
    </w:p>
    <w:p>
      <w:pPr>
        <w:sectPr>
          <w:pgSz w:w="11880" w:h="15480" w:orient="portrait"/>
          <w:cols w:equalWidth="0" w:num="1">
            <w:col w:w="10440"/>
          </w:cols>
          <w:pgMar w:left="900" w:top="785" w:right="540" w:bottom="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440"/>
          </w:cols>
          <w:pgMar w:left="900" w:top="785" w:right="540" w:bottom="0" w:gutter="0" w:footer="0" w:header="0"/>
          <w:type w:val="continuous"/>
        </w:sectPr>
      </w:pPr>
    </w:p>
    <w:bookmarkStart w:id="66" w:name="page67"/>
    <w:bookmarkEnd w:id="66"/>
    <w:p>
      <w:pPr>
        <w:ind w:right="540"/>
        <w:spacing w:after="0" w:line="258" w:lineRule="auto"/>
        <w:rPr>
          <w:sz w:val="20"/>
          <w:szCs w:val="20"/>
          <w:color w:val="auto"/>
        </w:rPr>
      </w:pPr>
      <w:r>
        <w:rPr>
          <w:rFonts w:ascii="Times New Roman" w:cs="Times New Roman" w:eastAsia="Times New Roman" w:hAnsi="Times New Roman"/>
          <w:sz w:val="20"/>
          <w:szCs w:val="20"/>
          <w:color w:val="231F20"/>
        </w:rPr>
        <w:t>devices will be required to be assessed under these rules in 2026. We expect that it will take several years to establish broad coverage and reimbursement for our tests with payers in countries outside of the United States, and our efforts may not be successful.</w:t>
      </w:r>
    </w:p>
    <w:p>
      <w:pPr>
        <w:spacing w:after="0" w:line="18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8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308" w:lineRule="exact"/>
        <w:rPr>
          <w:sz w:val="20"/>
          <w:szCs w:val="20"/>
          <w:color w:val="auto"/>
        </w:rPr>
      </w:pPr>
    </w:p>
    <w:p>
      <w:pPr>
        <w:ind w:left="480"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Labor relations matters could have a material adverse effect on our business, reputation, prospects, results of operations and financial condition.</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In March 2024, the NLRB held an election, at which the defined collective bargaining unit voted to unionize and for the IAM to serve as the collective bargaining representative. In April 2025, we entered into a collective bargaining agreement with the IAM. We are unable to predict whether we will be successful in reaching future collective bargaining agreements, or the incremental cost and expense that may result from such future bargaining efforts. In addition, to the extent such future bargaining efforts take longer than anticipated, or to the extent they are unsuccessful, impacted employees may threaten and/or engage in work stoppages and strikes, our labor costs may increase as a result, and our ability to offer diagnostic tests may be impacted. Even though we are currently unaware of other unionization efforts, it is possible that other employees may also seek to unionize. The unavailability of laboratory staff, or our inability to control labor costs related to these matters and future efforts to unionize, could have a material adverse effect on our business, reputation, prospects, results of operations and financial condition.</w:t>
      </w:r>
    </w:p>
    <w:p>
      <w:pPr>
        <w:spacing w:after="0" w:line="326" w:lineRule="exact"/>
        <w:rPr>
          <w:sz w:val="20"/>
          <w:szCs w:val="20"/>
          <w:color w:val="auto"/>
        </w:rPr>
      </w:pPr>
    </w:p>
    <w:p>
      <w:pPr>
        <w:ind w:left="48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use AI in our products and services which may result in operational challenges, legal liability, reputational concerns and competitive risks.</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AI enables and is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20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the European Union’s Artificial Intelligence Act, or the AI Act, which took effect on August 1, 2024, and provides for administrative fines of up to 35 million Euros or 7% of a company’s total worldwide annual turnover for the preceding financial year, whichever is the greater). In addition, the use and deployment of AI present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213" w:lineRule="exact"/>
        <w:rPr>
          <w:sz w:val="20"/>
          <w:szCs w:val="20"/>
          <w:color w:val="auto"/>
        </w:rPr>
      </w:pPr>
    </w:p>
    <w:p>
      <w:pPr>
        <w:ind w:right="180" w:firstLine="490"/>
        <w:spacing w:after="0" w:line="270" w:lineRule="auto"/>
        <w:rPr>
          <w:sz w:val="20"/>
          <w:szCs w:val="20"/>
          <w:color w:val="auto"/>
        </w:rPr>
      </w:pPr>
      <w:r>
        <w:rPr>
          <w:rFonts w:ascii="Times New Roman" w:cs="Times New Roman" w:eastAsia="Times New Roman" w:hAnsi="Times New Roman"/>
          <w:sz w:val="19"/>
          <w:szCs w:val="19"/>
          <w:color w:val="231F20"/>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applications assist in producing are deficient or inaccurate, we could</w:t>
      </w:r>
    </w:p>
    <w:p>
      <w:pPr>
        <w:sectPr>
          <w:pgSz w:w="11880" w:h="15480" w:orient="portrait"/>
          <w:cols w:equalWidth="0" w:num="1">
            <w:col w:w="10440"/>
          </w:cols>
          <w:pgMar w:left="900" w:top="796" w:right="540" w:bottom="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440"/>
          </w:cols>
          <w:pgMar w:left="900" w:top="796" w:right="540" w:bottom="0" w:gutter="0" w:footer="0" w:header="0"/>
          <w:type w:val="continuous"/>
        </w:sectPr>
      </w:pPr>
    </w:p>
    <w:bookmarkStart w:id="67" w:name="page68"/>
    <w:bookmarkEnd w:id="67"/>
    <w:p>
      <w:pPr>
        <w:ind w:right="220"/>
        <w:spacing w:after="0" w:line="258" w:lineRule="auto"/>
        <w:rPr>
          <w:sz w:val="20"/>
          <w:szCs w:val="20"/>
          <w:color w:val="auto"/>
        </w:rPr>
      </w:pPr>
      <w:r>
        <w:rPr>
          <w:rFonts w:ascii="Times New Roman" w:cs="Times New Roman" w:eastAsia="Times New Roman" w:hAnsi="Times New Roman"/>
          <w:sz w:val="20"/>
          <w:szCs w:val="20"/>
          <w:color w:val="231F20"/>
        </w:rPr>
        <w:t>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231F20"/>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94"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understand that the terms “AI,” “Machine Learning,” "Agentic AI,"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94" w:lineRule="exact"/>
        <w:rPr>
          <w:sz w:val="20"/>
          <w:szCs w:val="20"/>
          <w:color w:val="auto"/>
        </w:rPr>
      </w:pPr>
    </w:p>
    <w:p>
      <w:pPr>
        <w:ind w:left="980" w:right="400" w:hanging="490"/>
        <w:spacing w:after="0" w:line="258"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Machine Learning is a type of AI where the computer software is tasked with learning without being explicitly programmed. Instead, the software learns and adapts through a combination of instruction from humans and self-experimentation.</w:t>
      </w:r>
    </w:p>
    <w:p>
      <w:pPr>
        <w:spacing w:after="0" w:line="81"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Agentic AI is a type of AI that can function independently to actively achieve specific outcomes with limited human involvement through pre-programmed planning, reasoning, and decision execution.</w:t>
      </w:r>
    </w:p>
    <w:p>
      <w:pPr>
        <w:spacing w:after="0" w:line="64"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Generative AI is a type of AI that can take different types of inputs (such as text, image, audio, video, code, etc.) and generate new content using a variety of different modalities and based on a sophisticated and advanced set of rules.</w:t>
      </w:r>
    </w:p>
    <w:p>
      <w:pPr>
        <w:spacing w:after="0" w:line="64"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Large Language Models are algorithms that can recognize, summarize, translate, predict, answer questions about, and generate content using very large datasets, such as our own multimodal clinical- molecular database.</w:t>
      </w:r>
    </w:p>
    <w:p>
      <w:pPr>
        <w:spacing w:after="0" w:line="64"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Neural Networks are a type of machine learning that teach computers to process data in a way that is inspired by the human brain. Neural networks use interconnected nodes or neurons, much in the same way the human brain does.</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use of AI tools may pose particular risks to our proprietary software and systems and subject us to legal liability.</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use AI tools (including generative AI) in our business and expect to use AI tools in the future. Using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94"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231F20"/>
        </w:rPr>
        <w:t>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420"/>
          </w:cols>
          <w:pgMar w:left="900" w:top="796" w:right="560" w:bottom="0" w:gutter="0" w:footer="0" w:header="0"/>
          <w:type w:val="continuous"/>
        </w:sectPr>
      </w:pPr>
    </w:p>
    <w:bookmarkStart w:id="68" w:name="page69"/>
    <w:bookmarkEnd w:id="68"/>
    <w:p>
      <w:pPr>
        <w:ind w:left="480" w:right="160"/>
        <w:spacing w:after="0" w:line="270" w:lineRule="auto"/>
        <w:rPr>
          <w:sz w:val="20"/>
          <w:szCs w:val="20"/>
          <w:color w:val="auto"/>
        </w:rPr>
      </w:pPr>
      <w:r>
        <w:rPr>
          <w:rFonts w:ascii="Times New Roman" w:cs="Times New Roman" w:eastAsia="Times New Roman" w:hAnsi="Times New Roman"/>
          <w:sz w:val="20"/>
          <w:szCs w:val="20"/>
          <w:b w:val="1"/>
          <w:bCs w:val="1"/>
          <w:i w:val="1"/>
          <w:iCs w:val="1"/>
          <w:color w:val="231F20"/>
        </w:rPr>
        <w:t>We may experience challenges with the acquisition, development, enhancement or deployment of technology necessary for our businesses.</w:t>
      </w:r>
    </w:p>
    <w:p>
      <w:pPr>
        <w:spacing w:after="0" w:line="49"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231F20"/>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319" w:lineRule="exact"/>
        <w:rPr>
          <w:sz w:val="20"/>
          <w:szCs w:val="20"/>
          <w:color w:val="auto"/>
        </w:rPr>
      </w:pPr>
    </w:p>
    <w:p>
      <w:pPr>
        <w:ind w:left="480" w:right="540"/>
        <w:spacing w:after="0" w:line="270" w:lineRule="auto"/>
        <w:rPr>
          <w:sz w:val="20"/>
          <w:szCs w:val="20"/>
          <w:color w:val="auto"/>
        </w:rPr>
      </w:pPr>
      <w:r>
        <w:rPr>
          <w:rFonts w:ascii="Times New Roman" w:cs="Times New Roman" w:eastAsia="Times New Roman" w:hAnsi="Times New Roman"/>
          <w:sz w:val="20"/>
          <w:szCs w:val="20"/>
          <w:b w:val="1"/>
          <w:bCs w:val="1"/>
          <w:i w:val="1"/>
          <w:iCs w:val="1"/>
          <w:color w:val="231F20"/>
        </w:rPr>
        <w:t>If we cannot compete successfully with our competitors, we may be unable to increase or sustain our revenue or to achieve and then sustain profitability.</w:t>
      </w:r>
    </w:p>
    <w:p>
      <w:pPr>
        <w:spacing w:after="0" w:line="49" w:lineRule="exact"/>
        <w:rPr>
          <w:sz w:val="20"/>
          <w:szCs w:val="20"/>
          <w:color w:val="auto"/>
        </w:rPr>
      </w:pPr>
    </w:p>
    <w:p>
      <w:pPr>
        <w:ind w:right="300" w:firstLine="490"/>
        <w:spacing w:after="0" w:line="245" w:lineRule="auto"/>
        <w:rPr>
          <w:sz w:val="20"/>
          <w:szCs w:val="20"/>
          <w:color w:val="auto"/>
        </w:rPr>
      </w:pPr>
      <w:r>
        <w:rPr>
          <w:rFonts w:ascii="Times New Roman" w:cs="Times New Roman" w:eastAsia="Times New Roman" w:hAnsi="Times New Roman"/>
          <w:sz w:val="20"/>
          <w:szCs w:val="20"/>
          <w:color w:val="231F20"/>
        </w:rPr>
        <w:t>Growing understanding of the importance of biomarkers linked with therapy selection and response, disease monitoring, and early detection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93" w:lineRule="exact"/>
        <w:rPr>
          <w:sz w:val="20"/>
          <w:szCs w:val="20"/>
          <w:color w:val="auto"/>
        </w:rPr>
      </w:pPr>
    </w:p>
    <w:p>
      <w:pPr>
        <w:ind w:right="180" w:firstLine="490"/>
        <w:spacing w:after="0"/>
        <w:rPr>
          <w:sz w:val="20"/>
          <w:szCs w:val="20"/>
          <w:color w:val="auto"/>
        </w:rPr>
      </w:pPr>
      <w:r>
        <w:rPr>
          <w:rFonts w:ascii="Times New Roman" w:cs="Times New Roman" w:eastAsia="Times New Roman" w:hAnsi="Times New Roman"/>
          <w:sz w:val="20"/>
          <w:szCs w:val="20"/>
          <w:color w:val="231F20"/>
        </w:rPr>
        <w:t>Our competitors with respect to our Diagnostics products include certain diagnostics companies, such as Foundation Medicine, Inc., which was acquired by Roche Holdings, Inc., Caris Life Sciences, Guardant Health, Inc., Neogenomics, ResolutionBio, which was acquired by Agilent, and Natera, Inc., among others, with respect to our currently marketed precision oncology tests, and legacy diagnostic laboratories, such as Quest and LabCorp. In addition, our competitors for our pharmacogenetic test in neuropsychiatry include Myriad Genetics, Inc. and Genomind, Inc. With respect to our hereditary products, our competitors include GeneDx, Variantyx, and Baylor Genetics.</w:t>
      </w:r>
    </w:p>
    <w:p>
      <w:pPr>
        <w:spacing w:after="0" w:line="19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Our competitors with respect to our Data and applications products include Flatiron Health, Inc., IQVIA Holdings Inc., and ConcertAI, among others. Furthermore, our Data and applications products also face competition from CROs, such as Fortrea, ICON, Syneos, PPD, and others, who provide data and clinical trial matching services to pharmaceutical and biotechnology companies.</w:t>
      </w:r>
    </w:p>
    <w:p>
      <w:pPr>
        <w:spacing w:after="0" w:line="193" w:lineRule="exact"/>
        <w:rPr>
          <w:sz w:val="20"/>
          <w:szCs w:val="20"/>
          <w:color w:val="auto"/>
        </w:rPr>
      </w:pPr>
    </w:p>
    <w:p>
      <w:pPr>
        <w:ind w:right="120" w:firstLine="490"/>
        <w:spacing w:after="0"/>
        <w:rPr>
          <w:sz w:val="20"/>
          <w:szCs w:val="20"/>
          <w:color w:val="auto"/>
        </w:rPr>
      </w:pPr>
      <w:r>
        <w:rPr>
          <w:rFonts w:ascii="Times New Roman" w:cs="Times New Roman" w:eastAsia="Times New Roman" w:hAnsi="Times New Roman"/>
          <w:sz w:val="20"/>
          <w:szCs w:val="20"/>
          <w:color w:val="231F20"/>
        </w:rPr>
        <w:t>Our competitors with respect to our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In cardiology, we believe our competitors may include HeartFlow Inc., Anumana, Inc., and Eko Devices, Inc. In addition, we are aware that academic medical centers may be developing their own Applications and may decide to enter this market.</w:t>
      </w:r>
    </w:p>
    <w:p>
      <w:pPr>
        <w:spacing w:after="0" w:line="199"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334" w:lineRule="exact"/>
        <w:rPr>
          <w:sz w:val="20"/>
          <w:szCs w:val="20"/>
          <w:color w:val="auto"/>
        </w:rPr>
      </w:pPr>
    </w:p>
    <w:p>
      <w:pPr>
        <w:ind w:left="480"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sizes of the markets for our current and future products have not been established with precision, and may be smaller than we estimate.</w:t>
      </w:r>
    </w:p>
    <w:p>
      <w:pPr>
        <w:spacing w:after="0" w:line="4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w:t>
      </w:r>
    </w:p>
    <w:p>
      <w:pPr>
        <w:sectPr>
          <w:pgSz w:w="11880" w:h="15480" w:orient="portrait"/>
          <w:cols w:equalWidth="0" w:num="1">
            <w:col w:w="10440"/>
          </w:cols>
          <w:pgMar w:left="900" w:top="790" w:right="54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440"/>
          </w:cols>
          <w:pgMar w:left="900" w:top="790" w:right="540" w:bottom="0" w:gutter="0" w:footer="0" w:header="0"/>
          <w:type w:val="continuous"/>
        </w:sectPr>
      </w:pPr>
    </w:p>
    <w:bookmarkStart w:id="69" w:name="page70"/>
    <w:bookmarkEnd w:id="69"/>
    <w:p>
      <w:pPr>
        <w:ind w:right="20"/>
        <w:spacing w:after="0" w:line="244" w:lineRule="auto"/>
        <w:rPr>
          <w:sz w:val="20"/>
          <w:szCs w:val="20"/>
          <w:color w:val="auto"/>
        </w:rPr>
      </w:pPr>
      <w:r>
        <w:rPr>
          <w:rFonts w:ascii="Times New Roman" w:cs="Times New Roman" w:eastAsia="Times New Roman" w:hAnsi="Times New Roman"/>
          <w:sz w:val="20"/>
          <w:szCs w:val="20"/>
          <w:color w:val="231F20"/>
        </w:rPr>
        <w:t>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326" w:lineRule="exact"/>
        <w:rPr>
          <w:sz w:val="20"/>
          <w:szCs w:val="20"/>
          <w:color w:val="auto"/>
        </w:rPr>
      </w:pPr>
    </w:p>
    <w:p>
      <w:pPr>
        <w:ind w:left="480"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industries in which we operate are subject to rapid change, which could make our Platform, our current products and any future products we may develop obsolete.</w:t>
      </w:r>
    </w:p>
    <w:p>
      <w:pPr>
        <w:spacing w:after="0" w:line="49" w:lineRule="exact"/>
        <w:rPr>
          <w:sz w:val="20"/>
          <w:szCs w:val="20"/>
          <w:color w:val="auto"/>
        </w:rPr>
      </w:pPr>
    </w:p>
    <w:p>
      <w:pPr>
        <w:ind w:right="120" w:firstLine="490"/>
        <w:spacing w:after="0" w:line="242" w:lineRule="auto"/>
        <w:rPr>
          <w:sz w:val="20"/>
          <w:szCs w:val="20"/>
          <w:color w:val="auto"/>
        </w:rPr>
      </w:pPr>
      <w:r>
        <w:rPr>
          <w:rFonts w:ascii="Times New Roman" w:cs="Times New Roman" w:eastAsia="Times New Roman" w:hAnsi="Times New Roman"/>
          <w:sz w:val="20"/>
          <w:szCs w:val="20"/>
          <w:color w:val="231F20"/>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and hereditary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and hereditary risk,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333" w:lineRule="exact"/>
        <w:rPr>
          <w:sz w:val="20"/>
          <w:szCs w:val="20"/>
          <w:color w:val="auto"/>
        </w:rPr>
      </w:pPr>
    </w:p>
    <w:p>
      <w:pPr>
        <w:ind w:left="480"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317" w:lineRule="exact"/>
        <w:rPr>
          <w:sz w:val="20"/>
          <w:szCs w:val="20"/>
          <w:color w:val="auto"/>
        </w:rPr>
      </w:pPr>
    </w:p>
    <w:p>
      <w:pPr>
        <w:ind w:left="480"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8"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231F20"/>
        </w:rPr>
        <w:t>We may not be able to market, sell or distribute our data products and diagnostic tests, and other products we may develop effectively enough to support our planned growth. We currently sell our Diagnostics and algorithmic diagnostic tests to healthcare providers and hospital systems in the United States through our own sales organization and leverage distributors to help sell our</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420"/>
          </w:cols>
          <w:pgMar w:left="900" w:top="796" w:right="560" w:bottom="0" w:gutter="0" w:footer="0" w:header="0"/>
          <w:type w:val="continuous"/>
        </w:sectPr>
      </w:pPr>
    </w:p>
    <w:bookmarkStart w:id="70" w:name="page71"/>
    <w:bookmarkEnd w:id="70"/>
    <w:p>
      <w:pPr>
        <w:ind w:right="420"/>
        <w:spacing w:after="0" w:line="277" w:lineRule="auto"/>
        <w:rPr>
          <w:sz w:val="20"/>
          <w:szCs w:val="20"/>
          <w:color w:val="auto"/>
        </w:rPr>
      </w:pPr>
      <w:r>
        <w:rPr>
          <w:rFonts w:ascii="Times New Roman" w:cs="Times New Roman" w:eastAsia="Times New Roman" w:hAnsi="Times New Roman"/>
          <w:sz w:val="20"/>
          <w:szCs w:val="20"/>
          <w:color w:val="231F20"/>
        </w:rPr>
        <w:t>diagnostic tests in international markets, and we sell our Data and applications products to pharmaceutical and biotechnology companies through our business development team.</w:t>
      </w:r>
    </w:p>
    <w:p>
      <w:pPr>
        <w:spacing w:after="0" w:line="169"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Each of our target markets is large, distinct and diverse. As a result, we believe it is necessary for many of our sales representatives and business development managers to have established diagnostic- or healthcare data- 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20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314" w:lineRule="exact"/>
        <w:rPr>
          <w:sz w:val="20"/>
          <w:szCs w:val="20"/>
          <w:color w:val="auto"/>
        </w:rPr>
      </w:pPr>
    </w:p>
    <w:p>
      <w:pPr>
        <w:ind w:left="480"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not successful in executing our strategy to increase sales of our Data and applications products to large pharmaceutical and biotechnology customers, our results of operations may suffer.</w:t>
      </w:r>
    </w:p>
    <w:p>
      <w:pPr>
        <w:spacing w:after="0" w:line="4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An important part of our growth strategy is to increase sales of Data and applications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3" w:lineRule="exact"/>
        <w:rPr>
          <w:sz w:val="20"/>
          <w:szCs w:val="20"/>
          <w:color w:val="auto"/>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leverage held by large customers in negotiating contractual arrangements with us;</w:t>
      </w:r>
    </w:p>
    <w:p>
      <w:pPr>
        <w:spacing w:after="0" w:line="133" w:lineRule="exact"/>
        <w:rPr>
          <w:rFonts w:ascii="Arial" w:cs="Arial" w:eastAsia="Arial" w:hAnsi="Arial"/>
          <w:sz w:val="20"/>
          <w:szCs w:val="20"/>
          <w:color w:val="231F20"/>
        </w:rPr>
      </w:pPr>
    </w:p>
    <w:p>
      <w:pPr>
        <w:ind w:left="980" w:right="180" w:hanging="490"/>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key decision makers within these organizations that may negatively impact our ability to negotiate in the future;</w:t>
      </w:r>
    </w:p>
    <w:p>
      <w:pPr>
        <w:spacing w:after="0" w:line="64"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customer employees may perceive that our products pose a threat to their internal control and advocate for internally developed solutions over our product;</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resources may be spent on a potential customer that ultimately elects not to purchase our products;</w:t>
      </w:r>
    </w:p>
    <w:p>
      <w:pPr>
        <w:spacing w:after="0" w:line="133"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more stringent requirements in our service contracts, including stricter service response times, and increased penalties for any failure to meet service requirements;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increased competition from larger competitors that traditionally target large enterprises and government entities;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less predictability in completing some of our sales than we do with smaller customers; and</w:t>
      </w:r>
    </w:p>
    <w:p>
      <w:pPr>
        <w:spacing w:after="0" w:line="133" w:lineRule="exact"/>
        <w:rPr>
          <w:rFonts w:ascii="Arial" w:cs="Arial" w:eastAsia="Arial" w:hAnsi="Arial"/>
          <w:sz w:val="20"/>
          <w:szCs w:val="20"/>
          <w:color w:val="231F20"/>
        </w:rPr>
      </w:pPr>
    </w:p>
    <w:p>
      <w:pPr>
        <w:ind w:left="980" w:right="940" w:hanging="490"/>
        <w:spacing w:after="0" w:line="276" w:lineRule="auto"/>
        <w:tabs>
          <w:tab w:leader="none" w:pos="98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that advancements in AI allow our Data customers to develop models that serve as functional equivalents of our database and render our own products obsolete.</w:t>
      </w:r>
    </w:p>
    <w:p>
      <w:pPr>
        <w:spacing w:after="0" w:line="17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applications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213"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440"/>
          </w:cols>
          <w:pgMar w:left="900" w:top="796" w:right="540" w:bottom="0" w:gutter="0" w:footer="0" w:header="0"/>
          <w:type w:val="continuous"/>
        </w:sectPr>
      </w:pPr>
    </w:p>
    <w:bookmarkStart w:id="71" w:name="page72"/>
    <w:bookmarkEnd w:id="71"/>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231F20"/>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308" w:lineRule="exact"/>
        <w:rPr>
          <w:sz w:val="20"/>
          <w:szCs w:val="20"/>
          <w:color w:val="auto"/>
        </w:rPr>
      </w:pPr>
    </w:p>
    <w:p>
      <w:pPr>
        <w:ind w:left="480"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existing customers do not renew their licenses, do not buy additional products from us, or renew at lower prices, our business and operating results will suffer.</w:t>
      </w:r>
    </w:p>
    <w:p>
      <w:pPr>
        <w:spacing w:after="0" w:line="49"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2025, we derived $132.7 million, or approximately 42% and 10%, of our Data and applications product line revenue and total revenue, respectively, from three customers. We expect to continue to derive a significant portion of our Data and applications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1" w:lineRule="exact"/>
        <w:rPr>
          <w:sz w:val="20"/>
          <w:szCs w:val="20"/>
          <w:color w:val="auto"/>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price, performance, and functionality of our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price, performance, and functionality of competing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our support services;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complementary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success of competitive products or technologies;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stability, performance, and security of our technological infrastructure;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business environment of our customers.</w:t>
      </w:r>
    </w:p>
    <w:p>
      <w:pPr>
        <w:spacing w:after="0" w:line="23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deliver our Insights product through license agreements that allow our customers to use de-identified datasets for a specified term or for specified uses. Our customers have no obligation to renew their licenses for our Data and applications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applications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206"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231F20"/>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197"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231F20"/>
        </w:rPr>
        <w:t>In April 2025, we entered into expanded multi-year strategic collaborations with AstraZeneca and Pathos for the development of a foundation model in the field of oncology. Under this collaboration, we will work together with AstraZeneca and Pathos to build the foundation model, which will incorporate our multi-modal de-identified oncology data, and once complete, the model will be shared among all three parties to advance their individual efforts to improve patient care. The development and deployment of foundation models could ultimately reduce demand for our Data and applications products, as once a company is able to utilize a foundation model to advance its business objectives, it may no longer have a need to license our de-identified data. Any significant decrease in the demand for, or value of, our Data and applications products would have a material adverse effect on our financial condition and results of operations. Also, there is no guarantee that our development efforts will be successful, or that the foundation model will achieve its intended purpose.</w:t>
      </w:r>
    </w:p>
    <w:p>
      <w:pPr>
        <w:spacing w:after="0" w:line="326" w:lineRule="exact"/>
        <w:rPr>
          <w:sz w:val="20"/>
          <w:szCs w:val="20"/>
          <w:color w:val="auto"/>
        </w:rPr>
      </w:pPr>
    </w:p>
    <w:p>
      <w:pPr>
        <w:jc w:val="both"/>
        <w:ind w:left="480"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 significant portion of our Data and applications product line revenue are generated by sales to life sciences industry customers, and factors that adversely affect this industry could also adversely affect our Data and applications business sales.</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A significant portion of our current Data and applications products sales are to customers in the life sciences industry, in particular the pharmaceutical and biotechnology industry. Demand for our Data and applications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420"/>
          </w:cols>
          <w:pgMar w:left="900" w:top="796" w:right="560" w:bottom="0" w:gutter="0" w:footer="0" w:header="0"/>
          <w:type w:val="continuous"/>
        </w:sectPr>
      </w:pPr>
    </w:p>
    <w:bookmarkStart w:id="72" w:name="page73"/>
    <w:bookmarkEnd w:id="72"/>
    <w:p>
      <w:pPr>
        <w:ind w:right="40"/>
        <w:spacing w:after="0" w:line="245" w:lineRule="auto"/>
        <w:rPr>
          <w:sz w:val="20"/>
          <w:szCs w:val="20"/>
          <w:color w:val="auto"/>
        </w:rPr>
      </w:pPr>
      <w:r>
        <w:rPr>
          <w:rFonts w:ascii="Times New Roman" w:cs="Times New Roman" w:eastAsia="Times New Roman" w:hAnsi="Times New Roman"/>
          <w:sz w:val="20"/>
          <w:szCs w:val="20"/>
          <w:color w:val="231F20"/>
        </w:rPr>
        <w:t>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322"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6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If we are unable to collect receivables from our customers, our operating results may be adversely affected.</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While the majority of our current customers are well-established large companies and hospital systems, we also provide our Data and applications products to smaller institutions and companies and our Diagnostics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320" w:lineRule="exact"/>
        <w:rPr>
          <w:sz w:val="20"/>
          <w:szCs w:val="20"/>
          <w:color w:val="auto"/>
        </w:rPr>
      </w:pPr>
    </w:p>
    <w:p>
      <w:pPr>
        <w:ind w:left="480"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existing and any future debt may affect our flexibility in operating and developing our business and our ability to satisfy our obligations.</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As of December 31, 2025, we had indebtedness of $1.3 billion, comprising (i) $ 208.7 million under the convertible promissory note, as amended, or the Second Amended Note, that we issued to Google LLC, or Google, (ii) $206.0 million of senior secured term loans, or the Additional Term Loan Facility, and $100.0 million in priority revolving loan commitments, or the Revolving Credit Facility, pursuant to a credit agreement, or as amended, the Credit Agreement, with affiliates of Ares Capital Corporation, or Ares and (iii) $750.0 million of 0.75% Convertible Senior Notes due 2030, or the Notes, Our current and future indebtedness may have significant negative effects on our operations, including:</w:t>
      </w:r>
    </w:p>
    <w:p>
      <w:pPr>
        <w:spacing w:after="0" w:line="94" w:lineRule="exact"/>
        <w:rPr>
          <w:sz w:val="20"/>
          <w:szCs w:val="20"/>
          <w:color w:val="auto"/>
        </w:rPr>
      </w:pPr>
    </w:p>
    <w:p>
      <w:pPr>
        <w:ind w:left="980" w:right="100" w:hanging="490"/>
        <w:spacing w:after="0" w:line="258"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1" w:lineRule="exact"/>
        <w:rPr>
          <w:rFonts w:ascii="Arial" w:cs="Arial" w:eastAsia="Arial" w:hAnsi="Arial"/>
          <w:sz w:val="20"/>
          <w:szCs w:val="20"/>
          <w:color w:val="231F20"/>
        </w:rPr>
      </w:pPr>
    </w:p>
    <w:p>
      <w:pPr>
        <w:ind w:left="980" w:right="220" w:hanging="490"/>
        <w:spacing w:after="0" w:line="258"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1" w:lineRule="exact"/>
        <w:rPr>
          <w:rFonts w:ascii="Arial" w:cs="Arial" w:eastAsia="Arial" w:hAnsi="Arial"/>
          <w:sz w:val="20"/>
          <w:szCs w:val="20"/>
          <w:color w:val="231F20"/>
        </w:rPr>
      </w:pPr>
    </w:p>
    <w:p>
      <w:pPr>
        <w:ind w:left="980" w:hanging="490"/>
        <w:spacing w:after="0" w:line="247" w:lineRule="auto"/>
        <w:tabs>
          <w:tab w:leader="none" w:pos="98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requiring us to repay the principal and accrued interest on the Second Amended Note if we terminate our agreement with Google for use of Google Cloud or as a result of an event of default under the operating covenants in the Second Amended Note, or requiring us to repay the principal and accrued interest on the Additional Term Loan Facility and/or the Revolving Credit Facility in an event of default under the covenants of the Credit Agreement, any of which could impair our liquidity and reduce the availability of our cash flow to fund working capital, capital expenditures, acquisitions and other important needs;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420"/>
          </w:cols>
          <w:pgMar w:left="900" w:top="796" w:right="560" w:bottom="0" w:gutter="0" w:footer="0" w:header="0"/>
          <w:type w:val="continuous"/>
        </w:sectPr>
      </w:pPr>
    </w:p>
    <w:bookmarkStart w:id="73" w:name="page74"/>
    <w:bookmarkEnd w:id="73"/>
    <w:p>
      <w:pPr>
        <w:ind w:left="980" w:right="80" w:hanging="490"/>
        <w:spacing w:after="0" w:line="258"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81" w:lineRule="exact"/>
        <w:rPr>
          <w:rFonts w:ascii="Arial" w:cs="Arial" w:eastAsia="Arial" w:hAnsi="Arial"/>
          <w:sz w:val="20"/>
          <w:szCs w:val="20"/>
          <w:color w:val="231F20"/>
        </w:rPr>
      </w:pPr>
    </w:p>
    <w:p>
      <w:pPr>
        <w:ind w:left="980" w:right="380" w:hanging="490"/>
        <w:spacing w:after="0" w:line="258"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 the event the conditional conversion feature of the Notes is triggered, requiring us under applicable accounting rules to reclassify all or a portion of the outstanding principal of the Notes as a current rather than a long-term liability, which would result in a material reduction of our net working capital; and</w:t>
      </w:r>
    </w:p>
    <w:p>
      <w:pPr>
        <w:spacing w:after="0" w:line="81"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requiring us, in certain circumstances, to obtain approval from Ares and/or the lenders party to the Credit Agreement before embarking on certain mergers, acquisitions, capital expenditures, or other operational issues.</w:t>
      </w:r>
    </w:p>
    <w:p>
      <w:pPr>
        <w:spacing w:after="0" w:line="1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We intend to satisfy our current and future debt service obligations with our then existing cash and cash equivalents. However, we may not have sufficient funds, and may be unable to arrange for additional financing, to pay the amounts due under the the Second Amended Note, Additional Term Loan Facility, the Revolving Credit Facility, the Notes, or any other debt instruments. In addition, the Second Amended Note and the Credit Agreement, contain, and the agreements governing our future indebtedness may contain, restrictive covenants that may limit our ability to engage in activities that may be in our long-term best interest. These restrictive covenants include, among others,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322" w:lineRule="exact"/>
        <w:rPr>
          <w:sz w:val="20"/>
          <w:szCs w:val="20"/>
          <w:color w:val="auto"/>
        </w:rPr>
      </w:pPr>
    </w:p>
    <w:p>
      <w:pPr>
        <w:ind w:left="480"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on a limited number of suppliers or, in some cases, sole suppliers, for some of our laboratory instruments and materials and may not be able to find replacements or promptly transition to alternative suppliers.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33%, 39% and 33% of total vendor payments for the years ended December 31, 2025, 2024 and 2023, respectively. Amounts due to this supplier were approximately $15.9 million at December 31, 2025.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20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326" w:lineRule="exact"/>
        <w:rPr>
          <w:sz w:val="20"/>
          <w:szCs w:val="20"/>
          <w:color w:val="auto"/>
        </w:rPr>
      </w:pPr>
    </w:p>
    <w:p>
      <w:pPr>
        <w:ind w:left="480"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Certain disruptions in supply of, and changes in the competitive environment for, raw materials and components integral to the manufacturing of our products may adversely affect our ability to achieve and maintain profitability.</w:t>
      </w:r>
    </w:p>
    <w:p>
      <w:pPr>
        <w:spacing w:after="0" w:line="49"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We use a broad range of materials and supplies, including chemicals and other electronic components, in our Diagnostics product line. A significant disruption in the supply of these materials, including disruptions like those stemming from the pandemics and epidemics, could decrease production and shipping levels, materially increase our operating costs and materially adversely affect our profit margins. Shortages of materials or interruptions in transportation systems, labor strikes, work</w:t>
      </w:r>
    </w:p>
    <w:p>
      <w:pPr>
        <w:sectPr>
          <w:pgSz w:w="11880" w:h="15480" w:orient="portrait"/>
          <w:cols w:equalWidth="0" w:num="1">
            <w:col w:w="10420"/>
          </w:cols>
          <w:pgMar w:left="900" w:top="810" w:right="560" w:bottom="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420"/>
          </w:cols>
          <w:pgMar w:left="900" w:top="810" w:right="560" w:bottom="0" w:gutter="0" w:footer="0" w:header="0"/>
          <w:type w:val="continuous"/>
        </w:sectPr>
      </w:pPr>
    </w:p>
    <w:bookmarkStart w:id="74" w:name="page75"/>
    <w:bookmarkEnd w:id="74"/>
    <w:p>
      <w:pPr>
        <w:ind w:right="20"/>
        <w:spacing w:after="0" w:line="244" w:lineRule="auto"/>
        <w:rPr>
          <w:sz w:val="20"/>
          <w:szCs w:val="20"/>
          <w:color w:val="auto"/>
        </w:rPr>
      </w:pPr>
      <w:r>
        <w:rPr>
          <w:rFonts w:ascii="Times New Roman" w:cs="Times New Roman" w:eastAsia="Times New Roman" w:hAnsi="Times New Roman"/>
          <w:sz w:val="20"/>
          <w:szCs w:val="20"/>
          <w:color w:val="231F20"/>
        </w:rPr>
        <w:t>stoppages, infectious disease, epidemics or pandemics, outbreaks, conflict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326" w:lineRule="exact"/>
        <w:rPr>
          <w:sz w:val="20"/>
          <w:szCs w:val="20"/>
          <w:color w:val="auto"/>
        </w:rPr>
      </w:pPr>
    </w:p>
    <w:p>
      <w:pPr>
        <w:ind w:left="480"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existing laboratory and storage facilities become damaged or inoperable or we are required to vacate our existing facilities, our ability to perform our tests and pursue our research and development efforts may be jeopardized.</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currently derive nearly all of our diagnostic revenue from tests performed at laboratory facilities located in Chicago, Illinois, Atlanta, Georgia, Raleigh, North Carolina, Aliso Viejo, California and Minneapolis, Minnesota and these facilities generally do not have completely redundant capabilities. Our facilities and equipment could be harmed or rendered inoperable by natural or man-made disasters, including war, fire, earthquake, power loss, communications failure or terrorism, which may render it difficult or impossible for us to operate our Diagnostics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21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308" w:lineRule="exact"/>
        <w:rPr>
          <w:sz w:val="20"/>
          <w:szCs w:val="20"/>
          <w:color w:val="auto"/>
        </w:rPr>
      </w:pPr>
    </w:p>
    <w:p>
      <w:pPr>
        <w:ind w:left="480"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on commercial courier delivery services to transport samples to our laboratory facility in a timely and cost-efficient manner and if these delivery services are disrupted, our business will be harmed.</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Raleigh, Aliso Viejo or Minneapolis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322" w:lineRule="exact"/>
        <w:rPr>
          <w:sz w:val="20"/>
          <w:szCs w:val="20"/>
          <w:color w:val="auto"/>
        </w:rPr>
      </w:pPr>
    </w:p>
    <w:p>
      <w:pPr>
        <w:ind w:left="480"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cannot provide quality technical support and services for our Data and applications products, we could lose customers and our business and prospects will suffer.</w:t>
      </w:r>
    </w:p>
    <w:p>
      <w:pPr>
        <w:spacing w:after="0" w:line="49"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Our ability to provide relevant information to customers of our Data and applications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440"/>
          </w:cols>
          <w:pgMar w:left="900" w:top="796" w:right="540" w:bottom="0" w:gutter="0" w:footer="0" w:header="0"/>
          <w:type w:val="continuous"/>
        </w:sectPr>
      </w:pPr>
    </w:p>
    <w:bookmarkStart w:id="75" w:name="page76"/>
    <w:bookmarkEnd w:id="75"/>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Seasonality may cause fluctuations in our revenue and results of operations.</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Class A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326" w:lineRule="exact"/>
        <w:rPr>
          <w:sz w:val="20"/>
          <w:szCs w:val="20"/>
          <w:color w:val="auto"/>
        </w:rPr>
      </w:pPr>
    </w:p>
    <w:p>
      <w:pPr>
        <w:ind w:left="480"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International expansion of our business exposes us to business, regulatory, political, operational, financial, and economic risks associated with doing business outside of the United States.</w:t>
      </w:r>
    </w:p>
    <w:p>
      <w:pPr>
        <w:spacing w:after="0" w:line="4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and applications business to pharmaceutical and biotechnology customers outside of the United States. Doing business internationally involves a number of risks, including:</w:t>
      </w:r>
    </w:p>
    <w:p>
      <w:pPr>
        <w:spacing w:after="0" w:line="88" w:lineRule="exact"/>
        <w:rPr>
          <w:sz w:val="20"/>
          <w:szCs w:val="20"/>
          <w:color w:val="auto"/>
        </w:rPr>
      </w:pPr>
    </w:p>
    <w:p>
      <w:pPr>
        <w:ind w:left="980" w:right="80" w:hanging="490"/>
        <w:spacing w:after="0" w:line="269" w:lineRule="auto"/>
        <w:tabs>
          <w:tab w:leader="none" w:pos="980" w:val="left"/>
        </w:tabs>
        <w:numPr>
          <w:ilvl w:val="0"/>
          <w:numId w:val="38"/>
        </w:numPr>
        <w:rPr>
          <w:rFonts w:ascii="Arial" w:cs="Arial" w:eastAsia="Arial" w:hAnsi="Arial"/>
          <w:sz w:val="19"/>
          <w:szCs w:val="19"/>
          <w:color w:val="231F20"/>
        </w:rPr>
      </w:pPr>
      <w:r>
        <w:rPr>
          <w:rFonts w:ascii="Times New Roman" w:cs="Times New Roman" w:eastAsia="Times New Roman" w:hAnsi="Times New Roman"/>
          <w:sz w:val="19"/>
          <w:szCs w:val="19"/>
          <w:color w:val="231F20"/>
        </w:rPr>
        <w:t>multiple, conflicting and changing laws and regulations such as privacy regulations, including regulations that limit our ability to collect, distribute, transfer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73" w:lineRule="exact"/>
        <w:rPr>
          <w:rFonts w:ascii="Arial" w:cs="Arial" w:eastAsia="Arial" w:hAnsi="Arial"/>
          <w:sz w:val="19"/>
          <w:szCs w:val="19"/>
          <w:color w:val="231F20"/>
        </w:rPr>
      </w:pPr>
    </w:p>
    <w:p>
      <w:pPr>
        <w:ind w:left="980" w:right="400" w:hanging="490"/>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by us, our distributors, our local partners to obtain regulatory approvals or certifications for the use of our products in various countries;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additional potentially blocking or relevant third-party patent or other intellectual property rights;</w:t>
      </w:r>
    </w:p>
    <w:p>
      <w:pPr>
        <w:spacing w:after="0" w:line="133" w:lineRule="exact"/>
        <w:rPr>
          <w:rFonts w:ascii="Arial" w:cs="Arial" w:eastAsia="Arial" w:hAnsi="Arial"/>
          <w:sz w:val="20"/>
          <w:szCs w:val="20"/>
          <w:color w:val="231F20"/>
        </w:rPr>
      </w:pPr>
    </w:p>
    <w:p>
      <w:pPr>
        <w:ind w:left="980" w:right="780" w:hanging="490"/>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complexities and difficulties in obtaining intellectual property protection and maintaining and enforcing our intellectual property rights;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staffing and managing foreign operations;</w:t>
      </w:r>
    </w:p>
    <w:p>
      <w:pPr>
        <w:spacing w:after="0" w:line="133" w:lineRule="exact"/>
        <w:rPr>
          <w:rFonts w:ascii="Arial" w:cs="Arial" w:eastAsia="Arial" w:hAnsi="Arial"/>
          <w:sz w:val="20"/>
          <w:szCs w:val="20"/>
          <w:color w:val="231F20"/>
        </w:rPr>
      </w:pPr>
    </w:p>
    <w:p>
      <w:pPr>
        <w:ind w:left="980" w:right="240" w:hanging="490"/>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complexities associated with managing multiple payer reimbursement regimes, government payers, or patient self-pay systems;</w:t>
      </w:r>
    </w:p>
    <w:p>
      <w:pPr>
        <w:spacing w:after="0" w:line="64" w:lineRule="exact"/>
        <w:rPr>
          <w:rFonts w:ascii="Arial" w:cs="Arial" w:eastAsia="Arial" w:hAnsi="Arial"/>
          <w:sz w:val="20"/>
          <w:szCs w:val="20"/>
          <w:color w:val="231F20"/>
        </w:rPr>
      </w:pPr>
    </w:p>
    <w:p>
      <w:pPr>
        <w:ind w:left="980" w:right="1060" w:hanging="490"/>
        <w:spacing w:after="0" w:line="276"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logistics and regulations associated with shipping blood samples, including infrastructure conditions and transportation delays;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patient populations that are underrepresented in our databases;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limits in our ability to penetrate international markets if we are not able to perform our tests locally;</w:t>
      </w:r>
    </w:p>
    <w:p>
      <w:pPr>
        <w:spacing w:after="0" w:line="133" w:lineRule="exact"/>
        <w:rPr>
          <w:rFonts w:ascii="Arial" w:cs="Arial" w:eastAsia="Arial" w:hAnsi="Arial"/>
          <w:sz w:val="20"/>
          <w:szCs w:val="20"/>
          <w:color w:val="231F20"/>
        </w:rPr>
      </w:pPr>
    </w:p>
    <w:p>
      <w:pPr>
        <w:ind w:left="980" w:right="320" w:hanging="490"/>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81"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natural disasters, political and economic instability, including wars (such as the armed conflict between Russia and Ukraine and the hostilities in the Middle East), terrorism, and political unrest, boycotts, curtailment of trade and other business restrictions;</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public health or similar issues, such as epidemics or pandemics, that could cause business disruption; and</w:t>
      </w:r>
    </w:p>
    <w:p>
      <w:pPr>
        <w:spacing w:after="0" w:line="133" w:lineRule="exact"/>
        <w:rPr>
          <w:rFonts w:ascii="Arial" w:cs="Arial" w:eastAsia="Arial" w:hAnsi="Arial"/>
          <w:sz w:val="20"/>
          <w:szCs w:val="20"/>
          <w:color w:val="231F20"/>
        </w:rPr>
      </w:pPr>
    </w:p>
    <w:p>
      <w:pPr>
        <w:ind w:left="980" w:right="40" w:hanging="490"/>
        <w:spacing w:after="0" w:line="258" w:lineRule="auto"/>
        <w:tabs>
          <w:tab w:leader="none" w:pos="98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87"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31F20"/>
        </w:rPr>
        <w:t>Any of these factors could significantly harm our future international expansion and operations and, consequently, our revenue and results of operations.</w:t>
      </w:r>
    </w:p>
    <w:p>
      <w:pPr>
        <w:sectPr>
          <w:pgSz w:w="11880" w:h="15480" w:orient="portrait"/>
          <w:cols w:equalWidth="0" w:num="1">
            <w:col w:w="10400"/>
          </w:cols>
          <w:pgMar w:left="900" w:top="796" w:right="5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400"/>
          </w:cols>
          <w:pgMar w:left="900" w:top="796" w:right="5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231F20"/>
        </w:rPr>
        <w:t>Risks Related to Our Highly Regulated Industry</w:t>
      </w:r>
    </w:p>
    <w:p>
      <w:pPr>
        <w:spacing w:after="0" w:line="12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8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In the ordinary course of business, we collect, receive, store, process, generate, use, transfer, disclose, make accessible, protect, secure, dispose of, transmit, and share (collectively, “process”) personal data and other sensitive information, including large amounts of personal health and financial information,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8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or HITECH, imposes specific requirements relating to the privacy, security, and transmission of individually identifiable protected health information.</w:t>
      </w:r>
    </w:p>
    <w:p>
      <w:pPr>
        <w:spacing w:after="0" w:line="77"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HIPAA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or if we serve as a business associate on behalf of another covered entity, we must have a written business associate contract or other arrangement with the business associate that establishes specifically what the business associate (or covered entity) has been engaged to do and requires the business associate to comply with the same requirements.</w:t>
      </w:r>
    </w:p>
    <w:p>
      <w:pPr>
        <w:spacing w:after="0" w:line="8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Numerous U.S. states have enacted comprehensive privacy laws that impose certain obligations on covered businesses, including providing specific disclosures in privacy notices and affording residents with certain rights concerning their personal data or laws governing the privacy of consumer health data, which can be broadly defined. As applicable, such rights may include the right to access, correct, or delete certain data, to opt-out of certain data processing activities, such as targeted advertising, profiling, and automated decision-making, and to require patient-level consents for the use of other types of health data. The exercise of these rights may impact our business and ability to provide our products and services. Certain states also impose stricter requirements for processing certain personal data or consumer health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generally exempt some data processed in the context of clinical trials, or enumerate other exceptions, but these developments may further complicate compliance efforts, and increase legal risk and compliance costs for us, the third parties with whom we work. Similar laws are being considered in several states, as well as at the federal and local levels, and we expect more states to pass similar laws in the future.</w:t>
      </w:r>
    </w:p>
    <w:p>
      <w:pPr>
        <w:spacing w:after="0" w:line="9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These laws and regulations are not necessarily preempted by HIPAA, particularly if a state affords greater protection to individuals than HIPAA. Where state laws differ from HIPAA, we may have to comply with these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 In addition, the interpretation and</w:t>
      </w:r>
    </w:p>
    <w:p>
      <w:pPr>
        <w:sectPr>
          <w:pgSz w:w="11880" w:h="15480" w:orient="portrait"/>
          <w:cols w:equalWidth="0" w:num="1">
            <w:col w:w="10420"/>
          </w:cols>
          <w:pgMar w:left="900" w:top="792" w:right="56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420"/>
          </w:cols>
          <w:pgMar w:left="900" w:top="792" w:right="560" w:bottom="0" w:gutter="0" w:footer="0" w:header="0"/>
          <w:type w:val="continuous"/>
        </w:sectPr>
      </w:pPr>
    </w:p>
    <w:bookmarkStart w:id="77" w:name="page78"/>
    <w:bookmarkEnd w:id="77"/>
    <w:p>
      <w:pPr>
        <w:ind w:right="520"/>
        <w:spacing w:after="0" w:line="305" w:lineRule="auto"/>
        <w:rPr>
          <w:sz w:val="20"/>
          <w:szCs w:val="20"/>
          <w:color w:val="auto"/>
        </w:rPr>
      </w:pPr>
      <w:r>
        <w:rPr>
          <w:rFonts w:ascii="Times New Roman" w:cs="Times New Roman" w:eastAsia="Times New Roman" w:hAnsi="Times New Roman"/>
          <w:sz w:val="19"/>
          <w:szCs w:val="19"/>
          <w:color w:val="231F20"/>
        </w:rPr>
        <w:t>application of consumer, health-related, and data protection laws, especially with respect to genetic samples and data, in the United States, the EU (including all countries in the EEA), and elsewhere are often uncertain, contradictory, and in flux.</w:t>
      </w:r>
    </w:p>
    <w:p>
      <w:pPr>
        <w:spacing w:after="0" w:line="25"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Outside the United States, an increasing number of laws, regulations, and industry standards govern data privacy and security. For example, EU GDPR and UK GDPR (collectively, GDPR)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w:t>
      </w:r>
    </w:p>
    <w:p>
      <w:pPr>
        <w:spacing w:after="0" w:line="93"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such as the Department of Justice are also 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w:t>
      </w:r>
    </w:p>
    <w:p>
      <w:pPr>
        <w:spacing w:after="0" w:line="99"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Our employees and personnel use generative AI and machine learning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7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We use AI/machine learning to assist us in making certain decisions, which is regulated by certain privacy laws. Due to inaccuracies or flaws in the inputs, outputs, or logic of the AI/machine learning, the model could be biased and could lead us to make decisions that could bias certain individuals (or classes of individuals), and adversely impact their rights, employment, and ability to obtain certain pricing, products, services, or benefits.</w:t>
      </w:r>
    </w:p>
    <w:p>
      <w:pPr>
        <w:spacing w:after="0" w:line="7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addition, we use AI, including generative AI, and machine learning technologies in our products and services. The development and use of AI/machine learning present various privacy and security risks that may impact our business. AI/machine learning are subject to privacy and data security laws, as well as increasing regulation and scrutiny. Several jurisdictions around the globe, including Europe and certain U.S. states, have proposed enacted, or are considering laws governing the development and use of AI/machine learning,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w:t>
      </w:r>
    </w:p>
    <w:p>
      <w:pPr>
        <w:sectPr>
          <w:pgSz w:w="11880" w:h="15480" w:orient="portrait"/>
          <w:cols w:equalWidth="0" w:num="1">
            <w:col w:w="10420"/>
          </w:cols>
          <w:pgMar w:left="900" w:top="796" w:right="560" w:bottom="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420"/>
          </w:cols>
          <w:pgMar w:left="900" w:top="796" w:right="560" w:bottom="0" w:gutter="0" w:footer="0" w:header="0"/>
          <w:type w:val="continuous"/>
        </w:sectPr>
      </w:pPr>
    </w:p>
    <w:bookmarkStart w:id="78" w:name="page79"/>
    <w:bookmarkEnd w:id="78"/>
    <w:p>
      <w:pPr>
        <w:ind w:right="60"/>
        <w:spacing w:after="0" w:line="244" w:lineRule="auto"/>
        <w:rPr>
          <w:sz w:val="20"/>
          <w:szCs w:val="20"/>
          <w:color w:val="auto"/>
        </w:rPr>
      </w:pPr>
      <w:r>
        <w:rPr>
          <w:rFonts w:ascii="Times New Roman" w:cs="Times New Roman" w:eastAsia="Times New Roman" w:hAnsi="Times New Roman"/>
          <w:sz w:val="20"/>
          <w:szCs w:val="20"/>
          <w:color w:val="231F20"/>
        </w:rPr>
        <w:t>annual turnover for the preceding financial year, whichever is the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Additionally, certain privacy laws extend rights to consumers (such as the right to delete certain personal data) and regulate automated decision making, which may be incompatible with our use of AI/machine learning. These obligations may make it harder for us to conduct our business using AI/machine learning, lead to regulatory fines or penalties, require us to change our business practices, retrain our AI/machine learning, or prevent or limit our use of AI/machine learning. For example, the FTC has required other companies to turn over (or disgorge) valuable insights or trainings generated through the use of AI/machine learning where they allege the company has violated privacy and consumer protection laws. If we cannot use AI/machine learning or that use is restricted, our business may be less efficient, or we may be at a competitive disadvantage.</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publish privacy policies, marketing materials, whitepapers, and other statements, such as statements related to compliance with certain certifications or self-regulatory principles, concerning data privacy,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8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the third parties with whom we work may fail to comply with such obligations, which could negatively impact our business operations. Future or past business transactions (such as acquisitions, integrations, and other commercial relationships) could expose, and have exposed, us to additional privacy, security and compliance risks, and these third parties have been, and may in the future be, subject to litigation, regulatory investigations and other risks relating to privacy and security arising out of business transactions. For example, Ambry, which we acquired in February 2025, and another third party with whom we work, have experienced data breaches which required notification to certain impacted individuals and government regulators, and for which regulator investigations remain ongoing.</w:t>
      </w:r>
    </w:p>
    <w:p>
      <w:pPr>
        <w:spacing w:after="0" w:line="8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202"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440"/>
          </w:cols>
          <w:pgMar w:left="900" w:top="796" w:right="540" w:bottom="0" w:gutter="0" w:footer="0" w:header="0"/>
          <w:type w:val="continuous"/>
        </w:sectPr>
      </w:pPr>
    </w:p>
    <w:bookmarkStart w:id="79" w:name="page80"/>
    <w:bookmarkEnd w:id="79"/>
    <w:p>
      <w:pPr>
        <w:ind w:left="480"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conduct business in a heavily regulated industry, and changes in regulations or violations of regulations may, directly or indirectly, reduce our revenue, adversely affect our business, financial condition and results of operations.</w:t>
      </w:r>
    </w:p>
    <w:p>
      <w:pPr>
        <w:spacing w:after="0" w:line="49"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83" w:lineRule="exact"/>
        <w:rPr>
          <w:sz w:val="20"/>
          <w:szCs w:val="20"/>
          <w:color w:val="auto"/>
        </w:rPr>
      </w:pPr>
    </w:p>
    <w:p>
      <w:pPr>
        <w:ind w:left="980" w:right="720" w:hanging="490"/>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laws applicable to test ordering, documentation of tests ordered, billing practices and claims payment and/or regulatory agencies enforcing those laws and regulations;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health care fraud and abuse laws;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laboratory anti-mark-up laws;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coverage and reimbursement levels by Medicare, Medicaid, other governmental payers and private insurers;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restrictions on coverage of and reimbursement for tests;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laws governing laboratory testing, including CLIA, and state licensing laws;</w:t>
      </w:r>
    </w:p>
    <w:p>
      <w:pPr>
        <w:spacing w:after="0" w:line="133" w:lineRule="exact"/>
        <w:rPr>
          <w:rFonts w:ascii="Arial" w:cs="Arial" w:eastAsia="Arial" w:hAnsi="Arial"/>
          <w:sz w:val="20"/>
          <w:szCs w:val="20"/>
          <w:color w:val="231F20"/>
        </w:rPr>
      </w:pPr>
    </w:p>
    <w:p>
      <w:pPr>
        <w:ind w:left="980" w:right="640" w:hanging="490"/>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laws and enforcement policies governing the development, use and distribution of diagnostic medical devices, including laboratory developed tests, or LDTs;</w:t>
      </w:r>
    </w:p>
    <w:p>
      <w:pPr>
        <w:spacing w:after="0" w:line="64" w:lineRule="exact"/>
        <w:rPr>
          <w:rFonts w:ascii="Arial" w:cs="Arial" w:eastAsia="Arial" w:hAnsi="Arial"/>
          <w:sz w:val="20"/>
          <w:szCs w:val="20"/>
          <w:color w:val="231F20"/>
        </w:rPr>
      </w:pPr>
    </w:p>
    <w:p>
      <w:pPr>
        <w:ind w:left="980" w:right="840" w:hanging="490"/>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laws and enforcement policies governing the use of AI in analyzing data, including data in healthcare related areas;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state and local laws governing the handling and disposal of medical and hazardous waste;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Occupational Safety and Health Administration rules and regulations;</w:t>
      </w:r>
    </w:p>
    <w:p>
      <w:pPr>
        <w:spacing w:after="0" w:line="133" w:lineRule="exact"/>
        <w:rPr>
          <w:rFonts w:ascii="Arial" w:cs="Arial" w:eastAsia="Arial" w:hAnsi="Arial"/>
          <w:sz w:val="20"/>
          <w:szCs w:val="20"/>
          <w:color w:val="231F20"/>
        </w:rPr>
      </w:pPr>
    </w:p>
    <w:p>
      <w:pPr>
        <w:ind w:left="980" w:right="600" w:hanging="490"/>
        <w:spacing w:after="0" w:line="276"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the Health Insurance Portability and Accountability Act of 1996, or HIPAA, and similar state data privacy and security laws;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consumer protection laws;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similar foreign laws and regulations in the countries in which we operate or may operate in the future.</w:t>
      </w:r>
    </w:p>
    <w:p>
      <w:pPr>
        <w:spacing w:after="0" w:line="23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 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w:t>
      </w:r>
    </w:p>
    <w:p>
      <w:pPr>
        <w:spacing w:after="0" w:line="20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 xml:space="preserve">In the EEA, in order to place an </w:t>
      </w:r>
      <w:r>
        <w:rPr>
          <w:rFonts w:ascii="Times New Roman" w:cs="Times New Roman" w:eastAsia="Times New Roman" w:hAnsi="Times New Roman"/>
          <w:sz w:val="20"/>
          <w:szCs w:val="20"/>
          <w:i w:val="1"/>
          <w:iCs w:val="1"/>
          <w:color w:val="231F20"/>
        </w:rPr>
        <w:t>in vitro</w:t>
      </w:r>
      <w:r>
        <w:rPr>
          <w:rFonts w:ascii="Times New Roman" w:cs="Times New Roman" w:eastAsia="Times New Roman" w:hAnsi="Times New Roman"/>
          <w:sz w:val="20"/>
          <w:szCs w:val="20"/>
          <w:color w:val="231F20"/>
        </w:rPr>
        <w:t xml:space="preserve"> diagnostic medical device, or IVD, or an accessory to an IVD, on the market, or put it into service in the EEA, the device must be designed, developed, manufactured and marketed in compliance with the relevant legal framework. On May 26, 2022, the Regulation on </w:t>
      </w:r>
      <w:r>
        <w:rPr>
          <w:rFonts w:ascii="Times New Roman" w:cs="Times New Roman" w:eastAsia="Times New Roman" w:hAnsi="Times New Roman"/>
          <w:sz w:val="20"/>
          <w:szCs w:val="20"/>
          <w:i w:val="1"/>
          <w:iCs w:val="1"/>
          <w:color w:val="231F20"/>
        </w:rPr>
        <w:t>In-Vitro</w:t>
      </w:r>
      <w:r>
        <w:rPr>
          <w:rFonts w:ascii="Times New Roman" w:cs="Times New Roman" w:eastAsia="Times New Roman" w:hAnsi="Times New Roman"/>
          <w:sz w:val="20"/>
          <w:szCs w:val="20"/>
          <w:color w:val="231F20"/>
        </w:rPr>
        <w:t xml:space="preserve"> Diagnostic Medical Devices (Regulation (EU) 2017/746), or IVDR, entered into application, repealing and replacing the Directive on </w:t>
      </w:r>
      <w:r>
        <w:rPr>
          <w:rFonts w:ascii="Times New Roman" w:cs="Times New Roman" w:eastAsia="Times New Roman" w:hAnsi="Times New Roman"/>
          <w:sz w:val="20"/>
          <w:szCs w:val="20"/>
          <w:i w:val="1"/>
          <w:iCs w:val="1"/>
          <w:color w:val="231F20"/>
        </w:rPr>
        <w:t>In-Vitro</w:t>
      </w:r>
      <w:r>
        <w:rPr>
          <w:rFonts w:ascii="Times New Roman" w:cs="Times New Roman" w:eastAsia="Times New Roman" w:hAnsi="Times New Roman"/>
          <w:sz w:val="20"/>
          <w:szCs w:val="20"/>
          <w:color w:val="231F20"/>
        </w:rPr>
        <w:t xml:space="preserve"> Diagnostic Medical Devices (98/79/EC), or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The IVDR also establishes transitional provisions permitting certain devices that have been CE marked in accordance with the IVDD to continue to be placed on the EEA market under strict conditions and for a specific period of time depending on the risk classification of the device. Medical devices are governed by the Regulation on Medical Devices (Regulation (EU) 2017/745) (“MDR”) which entered into application on May 26, 2021, repealing and replacing the Directive on Medical Devices (93/42/EC) (the “MDD”). The MDR establishes similar provisions to the IVDR in relation to medical devices. If we do not comply with these requirements or fail to adequately comply, our business, financial condition and results of operations may be harmed.</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420"/>
          </w:cols>
          <w:pgMar w:left="900" w:top="796" w:right="560" w:bottom="0" w:gutter="0" w:footer="0" w:header="0"/>
          <w:type w:val="continuous"/>
        </w:sectPr>
      </w:pPr>
    </w:p>
    <w:bookmarkStart w:id="80" w:name="page81"/>
    <w:bookmarkEnd w:id="80"/>
    <w:p>
      <w:pPr>
        <w:ind w:firstLine="490"/>
        <w:spacing w:after="0" w:line="236" w:lineRule="exact"/>
        <w:rPr>
          <w:sz w:val="20"/>
          <w:szCs w:val="20"/>
          <w:color w:val="auto"/>
        </w:rPr>
      </w:pPr>
      <w:r>
        <w:rPr>
          <w:rFonts w:ascii="Times New Roman" w:cs="Times New Roman" w:eastAsia="Times New Roman" w:hAnsi="Times New Roman"/>
          <w:sz w:val="20"/>
          <w:szCs w:val="20"/>
          <w:color w:val="231F20"/>
        </w:rPr>
        <w:t>Changes in the current regulatory framework for algorithmic diagnostic products and services can impose additional regulatory burdens on us. Recent changes to the European Union regulatory framework for IVDs may materially impact our operations, product availability, compliance costs, and market access in the EU. In July 2024, Regulation (EU) 2024/1860 entered into application. The Regulation extends existing IVDR transition timelines and imposes new manufacturer obligations, including mandatory pre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notification of supply interruptions starting January 10, 2025. In addition, the Regulation introduces the gradual rollout of EUDAMED, the EU’s central database for medical devices and diagnostics. Starting from May 28, 2026, the use of the first four modules will become mandatory - actor registration, UDI/Devices registration, notified bodies and certificates, and Market Surveillance. Furthermore, on December 16, 2025, the European Commission published a proposal to amend the MDR and the IVDR with the stated objective of simplifying and reducing the regulatory burden, addressing certification bottlenecks, and improving predictability while maintaining patient safety. The proposal introduces broad changes, including more flexible clinical</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evidence pathways, removal of fixed certificate validity periods, and adjustments to classification rules that may shift certain devices into lower risk categories.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32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Certain of our tests are currently marketed as LDTs, and future changes in FDA enforcement discretion for LDTs could subject our operations to much more significant regulatory requirements.</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FDA has historically operated under a policy of enforcement discretion with respect to LDTs whereby the FDA did not actively enforce its regulatory requirements for such tests. On May 6, 2024, the FDA published final regulations that took effect on July 5, 2024, and which attempted to phase-out enforcement discretion over a period of four years and required compliance with device registration and listing requirements, medical device reporting requirements, 510(k) clearance, denovo authorization or Premarket Approval and the requirements of the FDA’s Quality System Regulation. In March 2025, however, a federal district court in the Northern District of Texas vacated and set aside the FDA’s final rule, which effectively ended the FDA’s attempt to regulate such diagnostic tests as medical devices and called into question the agency’s long-standing policy of enforcement discretion with respect to LDT’s. It is unclear whether this or future administrations will attempt to reinstitute such policies, or how the changing regulatory regime might impact our business.</w:t>
      </w:r>
    </w:p>
    <w:p>
      <w:pPr>
        <w:spacing w:after="0" w:line="8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A decision to re-implement these regulations, or the potential for congressional legislation governing laboratory developed tests, could cause us to stop selling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w:t>
      </w:r>
    </w:p>
    <w:p>
      <w:pPr>
        <w:spacing w:after="0" w:line="322" w:lineRule="exact"/>
        <w:rPr>
          <w:sz w:val="20"/>
          <w:szCs w:val="20"/>
          <w:color w:val="auto"/>
        </w:rPr>
      </w:pPr>
    </w:p>
    <w:p>
      <w:pPr>
        <w:ind w:left="480"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There is no guarantee that the FDA will grant 510(k) clearance or a premarket approval or that comparable foreign regulatory authorities will grant the necessary clearance, approval or certification of our products and failure to obtain necessary clearances, approvals or certification for our products would adversely affect our ability to grow our business.</w:t>
      </w:r>
    </w:p>
    <w:p>
      <w:pPr>
        <w:spacing w:after="0" w:line="6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w:t>
      </w:r>
    </w:p>
    <w:p>
      <w:pPr>
        <w:spacing w:after="0" w:line="19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420"/>
          </w:cols>
          <w:pgMar w:left="900" w:top="796" w:right="560" w:bottom="0" w:gutter="0" w:footer="0" w:header="0"/>
          <w:type w:val="continuous"/>
        </w:sectPr>
      </w:pPr>
    </w:p>
    <w:bookmarkStart w:id="81" w:name="page82"/>
    <w:bookmarkEnd w:id="81"/>
    <w:p>
      <w:pPr>
        <w:ind w:left="500"/>
        <w:spacing w:after="0"/>
        <w:rPr>
          <w:sz w:val="20"/>
          <w:szCs w:val="20"/>
          <w:color w:val="auto"/>
        </w:rPr>
      </w:pPr>
      <w:r>
        <w:rPr>
          <w:rFonts w:ascii="Times New Roman" w:cs="Times New Roman" w:eastAsia="Times New Roman" w:hAnsi="Times New Roman"/>
          <w:sz w:val="20"/>
          <w:szCs w:val="20"/>
          <w:color w:val="231F20"/>
        </w:rPr>
        <w:t>The FDA can delay, limit or deny clearance or approval of a device for many reasons, including:</w:t>
      </w:r>
    </w:p>
    <w:p>
      <w:pPr>
        <w:spacing w:after="0" w:line="134" w:lineRule="exact"/>
        <w:rPr>
          <w:sz w:val="20"/>
          <w:szCs w:val="20"/>
          <w:color w:val="auto"/>
        </w:rPr>
      </w:pPr>
    </w:p>
    <w:p>
      <w:pPr>
        <w:ind w:left="980" w:right="34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demonstrate to the satisfaction of the FDA that our products are safe or effective for their intended uses;</w:t>
      </w:r>
    </w:p>
    <w:p>
      <w:pPr>
        <w:spacing w:after="0" w:line="64" w:lineRule="exact"/>
        <w:rPr>
          <w:rFonts w:ascii="Arial" w:cs="Arial" w:eastAsia="Arial" w:hAnsi="Arial"/>
          <w:sz w:val="20"/>
          <w:szCs w:val="20"/>
          <w:color w:val="231F20"/>
        </w:rPr>
      </w:pPr>
    </w:p>
    <w:p>
      <w:pPr>
        <w:ind w:left="980" w:right="56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disagreement of the FDA with the design, conduct or implementation of our clinical trials or the analysis or interpretation of data from our pre-clinical studies or clinical trials;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serious and unexpected adverse effects experienced by participants in our clinical trials;</w:t>
      </w:r>
    </w:p>
    <w:p>
      <w:pPr>
        <w:spacing w:after="0" w:line="133" w:lineRule="exact"/>
        <w:rPr>
          <w:rFonts w:ascii="Arial" w:cs="Arial" w:eastAsia="Arial" w:hAnsi="Arial"/>
          <w:sz w:val="20"/>
          <w:szCs w:val="20"/>
          <w:color w:val="231F20"/>
        </w:rPr>
      </w:pPr>
    </w:p>
    <w:p>
      <w:pPr>
        <w:ind w:left="980" w:right="28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data from our pre-clinical studies and clinical trials may be insufficient to support clearance or approval, where required;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demonstrate that the clinical and other benefits of any of our tests outweigh the risks;</w:t>
      </w:r>
    </w:p>
    <w:p>
      <w:pPr>
        <w:spacing w:after="0" w:line="133" w:lineRule="exact"/>
        <w:rPr>
          <w:rFonts w:ascii="Arial" w:cs="Arial" w:eastAsia="Arial" w:hAnsi="Arial"/>
          <w:sz w:val="20"/>
          <w:szCs w:val="20"/>
          <w:color w:val="231F20"/>
        </w:rPr>
      </w:pPr>
    </w:p>
    <w:p>
      <w:pPr>
        <w:ind w:left="980" w:right="160" w:hanging="490"/>
        <w:spacing w:after="0" w:line="252"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87" w:lineRule="exact"/>
        <w:rPr>
          <w:rFonts w:ascii="Arial" w:cs="Arial" w:eastAsia="Arial" w:hAnsi="Arial"/>
          <w:sz w:val="20"/>
          <w:szCs w:val="20"/>
          <w:color w:val="231F20"/>
        </w:rPr>
      </w:pPr>
    </w:p>
    <w:p>
      <w:pPr>
        <w:ind w:left="980" w:right="42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identify deficiencies in our marketing application, and in our manufacturing processes, facilities or analytical methods or those of our third-party contract manufacturers;</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for approval policies or regulations of the FDA to change significantly in a manner rendering our clinical data or regulatory filings insufficient for the clearance or approval; and</w:t>
      </w:r>
    </w:p>
    <w:p>
      <w:pPr>
        <w:spacing w:after="0" w:line="64" w:lineRule="exact"/>
        <w:rPr>
          <w:rFonts w:ascii="Arial" w:cs="Arial" w:eastAsia="Arial" w:hAnsi="Arial"/>
          <w:sz w:val="20"/>
          <w:szCs w:val="20"/>
          <w:color w:val="231F20"/>
        </w:rPr>
      </w:pPr>
    </w:p>
    <w:p>
      <w:pPr>
        <w:ind w:left="980" w:right="500" w:hanging="490"/>
        <w:spacing w:after="0" w:line="276" w:lineRule="auto"/>
        <w:tabs>
          <w:tab w:leader="none" w:pos="98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color w:val="231F20"/>
        </w:rPr>
        <w:t>the FDA may audit our clinical trial data and conclude that the data is not sufficiently reliable to support a PMA application.</w:t>
      </w:r>
    </w:p>
    <w:p>
      <w:pPr>
        <w:spacing w:after="0" w:line="1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foreign jurisdictions, we may be required to procure similar regulatory approvals, clearances or certification prior to marketing our diagnostic products. For example, in the Europe Union, we need to comply with the new MDR and IVDR. IVDs must comply with the General Safety and Performance Requirements (“GSPRs”) set out in Annex I to the IVDR and medical devices must comply with the GSPRs set out in Annex I to the MDR. Compliance with these requirements is a prerequisite to be able to affix the CE Mark to IVDs or medical devices, without which they cannot be marketed or sold in the EEA. To demonstrate compliance with the GSPRs provided in the IVDR or the MDR and obtain the right to affix the CE mark, medical devices manufacturers must undergo a conformity assessment procedure. Depending on the type of IVD or medical device and its classification, the conformity assessment procedure may require the intervention of a Notified Body. The Notified Body issues a CE Certificate of Conformity following successful completion of a conformity assessment procedure conducted in relation to the IVD or medical device and its manufacturer and their conformity with the GSPRs. This Certificate and the related conformity assessment process entitles the manufacturer to affix the CE mark to its IVDs or medical devices after having prepared and signed a related EU Declaration of Conformity. Obtaining the requisite regulatory approvals, clearances or certification in foreign jurisdictions can be expensive and may involve considerable delay.</w:t>
      </w:r>
    </w:p>
    <w:p>
      <w:pPr>
        <w:spacing w:after="0" w:line="203"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Any delay or failure to obtain necessary regulatory approvals, clearances or certification would have a material adverse effect on our business, financial condition and results of operations.</w:t>
      </w:r>
    </w:p>
    <w:p>
      <w:pPr>
        <w:spacing w:after="0" w:line="289" w:lineRule="exact"/>
        <w:rPr>
          <w:sz w:val="20"/>
          <w:szCs w:val="20"/>
          <w:color w:val="auto"/>
        </w:rPr>
      </w:pPr>
    </w:p>
    <w:p>
      <w:pPr>
        <w:ind w:left="480"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Modifications to our FDA-cleared, approved or CE marked products may require new 510(k) clearances or premarket approvals or certification, or may require us to cease marketing or recall the modified products until clearances are obtained.</w:t>
      </w:r>
    </w:p>
    <w:p>
      <w:pPr>
        <w:spacing w:after="0" w:line="6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 Similarly, in the EU, for any products we have CE marked, future changes or updates to our products, which affect their safety or efficacy, may require new Notified Body certification before we may sell the revised product.</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440"/>
          </w:cols>
          <w:pgMar w:left="900" w:top="796" w:right="540" w:bottom="0" w:gutter="0" w:footer="0" w:header="0"/>
          <w:type w:val="continuous"/>
        </w:sectPr>
      </w:pPr>
    </w:p>
    <w:bookmarkStart w:id="82" w:name="page83"/>
    <w:bookmarkEnd w:id="82"/>
    <w:p>
      <w:pPr>
        <w:ind w:left="480"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products may in the future be subject to product recalls. A recall of our products, either voluntarily or at the direction of the FDA or another governmental authority or regulatory authority, or the discovery of serious safety issues with our products, could have a significant adverse impact on us.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FDA and international regulatory bodies have the authority to require the recall of commercialized products that are subject to FDA or foreign applicable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or CE marked tests in the EU,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or a foreign regulatory authority. If the FDA or a foreign regulatory authority disagrees with our determinations, the FDA or a foreign regulatory authority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213"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If we initiate a correction or removal for one of our tests, issue a safety alert or undertake a field action or recall to reduce a risk to health imposed by the test, this could lead to increased scrutiny by the FDA and foreign regulatory authorities and our customers regarding the quality and safety of our tests and to negative publicity, including FDA or a foreign regulatory authority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Arterys, Inc., a company we acquired in 2022, and Paige AI, Inc., a company we acquired in 2025, have developed several medical devices that are regulated by the FDA and EU legislation governing medical devices.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w:t>
      </w:r>
    </w:p>
    <w:p>
      <w:pPr>
        <w:spacing w:after="0" w:line="317" w:lineRule="exact"/>
        <w:rPr>
          <w:sz w:val="20"/>
          <w:szCs w:val="20"/>
          <w:color w:val="auto"/>
        </w:rPr>
      </w:pPr>
    </w:p>
    <w:p>
      <w:pPr>
        <w:ind w:left="480"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“research use only” and any potential “investigational use only” products could become subject to more onerous regulation by the FDA or other regulatory authorities in the future, which could increase our costs and delay our commercialization efforts, thereby materially and adversely affecting our business, financial condition and results of operations.</w:t>
      </w:r>
    </w:p>
    <w:p>
      <w:pPr>
        <w:spacing w:after="0" w:line="7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202"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ectPr>
          <w:pgSz w:w="11880" w:h="15480" w:orient="portrait"/>
          <w:cols w:equalWidth="0" w:num="1">
            <w:col w:w="10420"/>
          </w:cols>
          <w:pgMar w:left="900" w:top="796" w:right="560" w:bottom="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420"/>
          </w:cols>
          <w:pgMar w:left="900" w:top="796" w:right="560" w:bottom="0" w:gutter="0" w:footer="0" w:header="0"/>
          <w:type w:val="continuous"/>
        </w:sectPr>
      </w:pPr>
    </w:p>
    <w:bookmarkStart w:id="83" w:name="page84"/>
    <w:bookmarkEnd w:id="83"/>
    <w:p>
      <w:pPr>
        <w:ind w:left="480" w:right="640"/>
        <w:spacing w:after="0" w:line="265" w:lineRule="auto"/>
        <w:rPr>
          <w:sz w:val="20"/>
          <w:szCs w:val="20"/>
          <w:color w:val="auto"/>
        </w:rPr>
      </w:pPr>
      <w:r>
        <w:rPr>
          <w:rFonts w:ascii="Times New Roman" w:cs="Times New Roman" w:eastAsia="Times New Roman" w:hAnsi="Times New Roman"/>
          <w:sz w:val="20"/>
          <w:szCs w:val="20"/>
          <w:b w:val="1"/>
          <w:bCs w:val="1"/>
          <w:i w:val="1"/>
          <w:iCs w:val="1"/>
          <w:color w:val="231F20"/>
        </w:rPr>
        <w:t>Even if we receive regulatory approval or certification of our products, we will continue to be subject to extensive regulatory oversight.</w:t>
      </w:r>
    </w:p>
    <w:p>
      <w:pPr>
        <w:spacing w:after="0" w:line="49"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231F20"/>
        </w:rPr>
        <w:t>Medical devices are subject to extensive regulation by the FDA in the United States, European Union legislation in the European Economic Area, or EEA, enforced by the Competent Authorities of EEA countries, and comparable regulatory authorities in other territories where we do or may do business. If any of our products are approved by the FDA, or other comparable foreign regulatory authorities, or CE marked in accordance with EU legislation governing medical devices or IVDs,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 Similar considerations and requirements apply in relation to those products we have CE marked in the EEA, or for any products we may CE mark in the future in accordance with the IVDR or the MDR.</w:t>
      </w:r>
    </w:p>
    <w:p>
      <w:pPr>
        <w:spacing w:after="0" w:line="194" w:lineRule="exact"/>
        <w:rPr>
          <w:sz w:val="20"/>
          <w:szCs w:val="20"/>
          <w:color w:val="auto"/>
        </w:rPr>
      </w:pPr>
    </w:p>
    <w:p>
      <w:pPr>
        <w:ind w:right="100" w:firstLine="490"/>
        <w:spacing w:after="0" w:line="236" w:lineRule="auto"/>
        <w:rPr>
          <w:sz w:val="20"/>
          <w:szCs w:val="20"/>
          <w:color w:val="auto"/>
        </w:rPr>
      </w:pPr>
      <w:r>
        <w:rPr>
          <w:rFonts w:ascii="Times New Roman" w:cs="Times New Roman" w:eastAsia="Times New Roman" w:hAnsi="Times New Roman"/>
          <w:sz w:val="20"/>
          <w:szCs w:val="20"/>
          <w:color w:val="231F20"/>
        </w:rPr>
        <w:t>The FDA the FTC and comparable foreign regulatory authorities also regulate the advertising and promotion of medical devices to ensure that their promotional claims made are consistent with the applicable marketing authorizations or certification, that there are adequate and reasonable data to substantiate the claims, and that the promotional labeling and advertising is neither false nor misleading in any respect. If the FDA, FTC or a comparable foreign regulatory authority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94" w:lineRule="exact"/>
        <w:rPr>
          <w:sz w:val="20"/>
          <w:szCs w:val="20"/>
          <w:color w:val="auto"/>
        </w:rPr>
      </w:pPr>
    </w:p>
    <w:p>
      <w:pPr>
        <w:ind w:right="60" w:firstLine="490"/>
        <w:spacing w:after="0"/>
        <w:rPr>
          <w:sz w:val="20"/>
          <w:szCs w:val="20"/>
          <w:color w:val="auto"/>
        </w:rPr>
      </w:pPr>
      <w:r>
        <w:rPr>
          <w:rFonts w:ascii="Times New Roman" w:cs="Times New Roman" w:eastAsia="Times New Roman" w:hAnsi="Times New Roman"/>
          <w:sz w:val="20"/>
          <w:szCs w:val="20"/>
          <w:color w:val="231F20"/>
        </w:rPr>
        <w:t>The FDA, state and foreign authorities have broad enforcement powers. Our failure to comply with applicable regulatory requirements could result in enforcement action by the FDA, state or foreign regulatory authorities, or actions by Notified Bodies in the EEA in relation to the CE Certificate of Conformity they have issued in accordance with EU legislation governing medical devices or IVDs, which may include any of the following sanctions:</w:t>
      </w:r>
    </w:p>
    <w:p>
      <w:pPr>
        <w:spacing w:after="0" w:line="88" w:lineRule="exact"/>
        <w:rPr>
          <w:sz w:val="20"/>
          <w:szCs w:val="20"/>
          <w:color w:val="auto"/>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publicity, warning letters, untitled letters, fines, injunctions, consent decrees and civil penalties;</w:t>
      </w:r>
    </w:p>
    <w:p>
      <w:pPr>
        <w:spacing w:after="0" w:line="122"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repair, replacement, refunds, recalls, termination of distribution, administrative detention or seizures of our products;</w:t>
      </w:r>
    </w:p>
    <w:p>
      <w:pPr>
        <w:spacing w:after="0" w:line="122"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restrictions, partial suspension or total shutdown of production;</w:t>
      </w:r>
    </w:p>
    <w:p>
      <w:pPr>
        <w:spacing w:after="0" w:line="122"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customer notifications or repair, replacement or refunds;</w:t>
      </w:r>
    </w:p>
    <w:p>
      <w:pPr>
        <w:spacing w:after="0" w:line="122" w:lineRule="exact"/>
        <w:rPr>
          <w:rFonts w:ascii="Arial" w:cs="Arial" w:eastAsia="Arial" w:hAnsi="Arial"/>
          <w:sz w:val="20"/>
          <w:szCs w:val="20"/>
          <w:color w:val="231F20"/>
        </w:rPr>
      </w:pPr>
    </w:p>
    <w:p>
      <w:pPr>
        <w:ind w:left="980" w:hanging="490"/>
        <w:spacing w:after="0" w:line="265" w:lineRule="auto"/>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refusing our requests for clearances, approvals or certification of new products, new intended uses or modifications to existing products;</w:t>
      </w:r>
    </w:p>
    <w:p>
      <w:pPr>
        <w:spacing w:after="0" w:line="62"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withdrawals of current clearances, approvals or certification, resulting in prohibitions on sales of our products;</w:t>
      </w:r>
    </w:p>
    <w:p>
      <w:pPr>
        <w:spacing w:after="0" w:line="122"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to issue certificates needed to export products for sale in other countries; and</w:t>
      </w:r>
    </w:p>
    <w:p>
      <w:pPr>
        <w:spacing w:after="0" w:line="122" w:lineRule="exact"/>
        <w:rPr>
          <w:rFonts w:ascii="Arial" w:cs="Arial" w:eastAsia="Arial" w:hAnsi="Arial"/>
          <w:sz w:val="20"/>
          <w:szCs w:val="20"/>
          <w:color w:val="231F20"/>
        </w:rPr>
      </w:pPr>
    </w:p>
    <w:p>
      <w:pPr>
        <w:ind w:left="980" w:hanging="490"/>
        <w:spacing w:after="0"/>
        <w:tabs>
          <w:tab w:leader="none" w:pos="98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color w:val="231F20"/>
        </w:rPr>
        <w:t>criminal prosecution.</w:t>
      </w:r>
    </w:p>
    <w:p>
      <w:pPr>
        <w:spacing w:after="0" w:line="228" w:lineRule="exact"/>
        <w:rPr>
          <w:sz w:val="20"/>
          <w:szCs w:val="20"/>
          <w:color w:val="auto"/>
        </w:rPr>
      </w:pPr>
    </w:p>
    <w:p>
      <w:pPr>
        <w:ind w:right="120" w:firstLine="490"/>
        <w:spacing w:after="0" w:line="265" w:lineRule="auto"/>
        <w:rPr>
          <w:sz w:val="20"/>
          <w:szCs w:val="20"/>
          <w:color w:val="auto"/>
        </w:rPr>
      </w:pPr>
      <w:r>
        <w:rPr>
          <w:rFonts w:ascii="Times New Roman" w:cs="Times New Roman" w:eastAsia="Times New Roman" w:hAnsi="Times New Roman"/>
          <w:sz w:val="20"/>
          <w:szCs w:val="20"/>
          <w:color w:val="231F20"/>
        </w:rPr>
        <w:t>Any of these sanctions could also result in higher than anticipated costs or lower than anticipated sales of our products and have a material adverse effect on our business, financial condition and results of operations.</w:t>
      </w:r>
    </w:p>
    <w:p>
      <w:pPr>
        <w:spacing w:after="0" w:line="169" w:lineRule="exact"/>
        <w:rPr>
          <w:sz w:val="20"/>
          <w:szCs w:val="20"/>
          <w:color w:val="auto"/>
        </w:rPr>
      </w:pPr>
    </w:p>
    <w:p>
      <w:pPr>
        <w:ind w:right="560" w:firstLine="490"/>
        <w:spacing w:after="0" w:line="237" w:lineRule="auto"/>
        <w:rPr>
          <w:sz w:val="20"/>
          <w:szCs w:val="20"/>
          <w:color w:val="auto"/>
        </w:rPr>
      </w:pPr>
      <w:r>
        <w:rPr>
          <w:rFonts w:ascii="Times New Roman" w:cs="Times New Roman" w:eastAsia="Times New Roman" w:hAnsi="Times New Roman"/>
          <w:sz w:val="20"/>
          <w:szCs w:val="20"/>
          <w:color w:val="231F20"/>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 Similar considerations apply in foreign countries.</w:t>
      </w:r>
    </w:p>
    <w:p>
      <w:pPr>
        <w:spacing w:after="0" w:line="206" w:lineRule="exact"/>
        <w:rPr>
          <w:sz w:val="20"/>
          <w:szCs w:val="20"/>
          <w:color w:val="auto"/>
        </w:rPr>
      </w:pPr>
    </w:p>
    <w:p>
      <w:pPr>
        <w:ind w:right="140" w:firstLine="490"/>
        <w:spacing w:after="0" w:line="261" w:lineRule="auto"/>
        <w:rPr>
          <w:sz w:val="20"/>
          <w:szCs w:val="20"/>
          <w:color w:val="auto"/>
        </w:rPr>
      </w:pPr>
      <w:r>
        <w:rPr>
          <w:rFonts w:ascii="Times New Roman" w:cs="Times New Roman" w:eastAsia="Times New Roman" w:hAnsi="Times New Roman"/>
          <w:sz w:val="19"/>
          <w:szCs w:val="19"/>
          <w:color w:val="231F20"/>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w:t>
      </w:r>
    </w:p>
    <w:p>
      <w:pPr>
        <w:sectPr>
          <w:pgSz w:w="11880" w:h="15480" w:orient="portrait"/>
          <w:cols w:equalWidth="0" w:num="1">
            <w:col w:w="10420"/>
          </w:cols>
          <w:pgMar w:left="900" w:top="787" w:right="560" w:bottom="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420"/>
          </w:cols>
          <w:pgMar w:left="900" w:top="787" w:right="560" w:bottom="0" w:gutter="0" w:footer="0" w:header="0"/>
          <w:type w:val="continuous"/>
        </w:sectPr>
      </w:pPr>
    </w:p>
    <w:bookmarkStart w:id="84" w:name="page85"/>
    <w:bookmarkEnd w:id="84"/>
    <w:p>
      <w:pPr>
        <w:ind w:right="240"/>
        <w:spacing w:after="0" w:line="252" w:lineRule="auto"/>
        <w:rPr>
          <w:sz w:val="20"/>
          <w:szCs w:val="20"/>
          <w:color w:val="auto"/>
        </w:rPr>
      </w:pPr>
      <w:r>
        <w:rPr>
          <w:rFonts w:ascii="Times New Roman" w:cs="Times New Roman" w:eastAsia="Times New Roman" w:hAnsi="Times New Roman"/>
          <w:sz w:val="20"/>
          <w:szCs w:val="20"/>
          <w:color w:val="231F20"/>
        </w:rPr>
        <w:t>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94"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changes to the regulatory system implemented in the EU by the IVDR and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would also be required to provide clinical data in the form of a clinical evaluation or performance report. Fulfillment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or the MDR for any of our products, or the continued use of any CE Certificate of Conformity issued under the IVDR or MDR.</w:t>
      </w:r>
    </w:p>
    <w:p>
      <w:pPr>
        <w:spacing w:after="0" w:line="20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88" w:lineRule="exact"/>
        <w:rPr>
          <w:sz w:val="20"/>
          <w:szCs w:val="20"/>
          <w:color w:val="auto"/>
        </w:rPr>
      </w:pPr>
    </w:p>
    <w:p>
      <w:pPr>
        <w:ind w:right="960" w:firstLine="490"/>
        <w:spacing w:after="0" w:line="277" w:lineRule="auto"/>
        <w:rPr>
          <w:sz w:val="20"/>
          <w:szCs w:val="20"/>
          <w:color w:val="auto"/>
        </w:rPr>
      </w:pPr>
      <w:r>
        <w:rPr>
          <w:rFonts w:ascii="Times New Roman" w:cs="Times New Roman" w:eastAsia="Times New Roman" w:hAnsi="Times New Roman"/>
          <w:sz w:val="20"/>
          <w:szCs w:val="20"/>
          <w:color w:val="231F20"/>
        </w:rPr>
        <w:t>The FDA’s and other regulatory authorities’ policies may change and additional government regulations may be promulgated that could prevent, limit or delay regulatory clearance, approval or certification of our diagnostic tests.</w:t>
      </w:r>
    </w:p>
    <w:p>
      <w:pPr>
        <w:spacing w:after="0" w:line="16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We also cannot predict the likelihood, nature or extent of government regulation that may arise from future legislation or administrative or executive action, either in the United States or abroad, including the potential impact of the U.S. Supreme Court’s decision in Loper Bright Enterprises vs. Raimondo, which curtails the power of federal agencies to interpret the laws they administer.</w:t>
      </w:r>
    </w:p>
    <w:p>
      <w:pPr>
        <w:spacing w:after="0" w:line="314" w:lineRule="exact"/>
        <w:rPr>
          <w:sz w:val="20"/>
          <w:szCs w:val="20"/>
          <w:color w:val="auto"/>
        </w:rPr>
      </w:pPr>
    </w:p>
    <w:p>
      <w:pPr>
        <w:ind w:left="480"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never obtain approval or certification in foreign jurisdictions for any of our products and, even if we do, we may never be able to commercialize them in any other jurisdiction, which would limit our ability to realize their full market potential.</w:t>
      </w:r>
    </w:p>
    <w:p>
      <w:pPr>
        <w:spacing w:after="0" w:line="6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and certification processes vary among countries and can involve additional product testing and validation and additional administrative review periods.</w:t>
      </w:r>
    </w:p>
    <w:p>
      <w:pPr>
        <w:spacing w:after="0" w:line="19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Seeking foreign regulatory clearance, authorization, approval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approvals or certification in international markets, or if those approvals or certification are delayed, our target market will be reduced and our ability to realize the full market potential of our products will be unrealized.</w:t>
      </w:r>
    </w:p>
    <w:p>
      <w:pPr>
        <w:spacing w:after="0" w:line="320" w:lineRule="exact"/>
        <w:rPr>
          <w:sz w:val="20"/>
          <w:szCs w:val="20"/>
          <w:color w:val="auto"/>
        </w:rPr>
      </w:pPr>
    </w:p>
    <w:p>
      <w:pPr>
        <w:ind w:left="480"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8" w:lineRule="exact"/>
        <w:rPr>
          <w:sz w:val="20"/>
          <w:szCs w:val="20"/>
          <w:color w:val="auto"/>
        </w:rPr>
      </w:pPr>
    </w:p>
    <w:p>
      <w:pPr>
        <w:ind w:right="60" w:firstLine="490"/>
        <w:spacing w:after="0" w:line="270" w:lineRule="auto"/>
        <w:rPr>
          <w:sz w:val="20"/>
          <w:szCs w:val="20"/>
          <w:color w:val="auto"/>
        </w:rPr>
      </w:pPr>
      <w:r>
        <w:rPr>
          <w:rFonts w:ascii="Times New Roman" w:cs="Times New Roman" w:eastAsia="Times New Roman" w:hAnsi="Times New Roman"/>
          <w:sz w:val="19"/>
          <w:szCs w:val="19"/>
          <w:color w:val="231F20"/>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w:t>
      </w:r>
    </w:p>
    <w:p>
      <w:pPr>
        <w:sectPr>
          <w:pgSz w:w="11880" w:h="15480" w:orient="portrait"/>
          <w:cols w:equalWidth="0" w:num="1">
            <w:col w:w="10440"/>
          </w:cols>
          <w:pgMar w:left="900" w:top="796" w:right="540" w:bottom="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440"/>
          </w:cols>
          <w:pgMar w:left="900" w:top="796" w:right="540" w:bottom="0" w:gutter="0" w:footer="0" w:header="0"/>
          <w:type w:val="continuous"/>
        </w:sectPr>
      </w:pPr>
    </w:p>
    <w:bookmarkStart w:id="85" w:name="page86"/>
    <w:bookmarkEnd w:id="85"/>
    <w:p>
      <w:pPr>
        <w:ind w:right="340"/>
        <w:spacing w:after="0" w:line="249" w:lineRule="auto"/>
        <w:rPr>
          <w:sz w:val="20"/>
          <w:szCs w:val="20"/>
          <w:color w:val="auto"/>
        </w:rPr>
      </w:pPr>
      <w:r>
        <w:rPr>
          <w:rFonts w:ascii="Times New Roman" w:cs="Times New Roman" w:eastAsia="Times New Roman" w:hAnsi="Times New Roman"/>
          <w:sz w:val="20"/>
          <w:szCs w:val="20"/>
          <w:color w:val="231F20"/>
        </w:rPr>
        <w:t>certification is also required in order for us to be eligible to bill state and federal healthcare programs, as well as commercial payers, for our tests. We have a current CLIA certificate to perform our tests at our laboratories in Chicago, Illinois, Atlanta, Georgia, Raleigh, North Carolina, Aliso Viejo, California and Minneapolis, Minnesota. To maintain this certificate, we are subject to survey and inspection every two years. Moreover, CLIA inspectors may make random inspections of our laboratory from time to time. Similar considerations may apply in foreign countries.</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We are also required to maintain clinical laboratory licenses to perform testing in Illinois, Georgia, North Carolina, and California.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North Carolina Georgia, and California, our laboratories are licensed in Rhode Island, Pennsylvania, New York and Maryland, among others.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9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202"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Raleigh, North Carolina, Aliso Viejo, California and Minneapolis, Minnesota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320" w:lineRule="exact"/>
        <w:rPr>
          <w:sz w:val="20"/>
          <w:szCs w:val="20"/>
          <w:color w:val="auto"/>
        </w:rPr>
      </w:pPr>
    </w:p>
    <w:p>
      <w:pPr>
        <w:ind w:left="480" w:right="3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numerous federal, state and foreign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68"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Our operations are subject to other extensive federal, state, local and foreign laws and regulations, all of which are subject to change. These laws and regulations may include, among others:</w:t>
      </w:r>
    </w:p>
    <w:p>
      <w:pPr>
        <w:spacing w:after="0" w:line="64" w:lineRule="exact"/>
        <w:rPr>
          <w:sz w:val="20"/>
          <w:szCs w:val="20"/>
          <w:color w:val="auto"/>
        </w:rPr>
      </w:pPr>
    </w:p>
    <w:p>
      <w:pPr>
        <w:ind w:left="980" w:right="320" w:hanging="490"/>
        <w:spacing w:after="0" w:line="249" w:lineRule="auto"/>
        <w:tabs>
          <w:tab w:leader="none" w:pos="98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w:t>
      </w:r>
    </w:p>
    <w:p>
      <w:pPr>
        <w:sectPr>
          <w:pgSz w:w="11880" w:h="15480" w:orient="portrait"/>
          <w:cols w:equalWidth="0" w:num="1">
            <w:col w:w="10440"/>
          </w:cols>
          <w:pgMar w:left="900" w:top="796" w:right="54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440"/>
          </w:cols>
          <w:pgMar w:left="900" w:top="796" w:right="540" w:bottom="0" w:gutter="0" w:footer="0" w:header="0"/>
          <w:type w:val="continuous"/>
        </w:sectPr>
      </w:pPr>
    </w:p>
    <w:bookmarkStart w:id="86" w:name="page87"/>
    <w:bookmarkEnd w:id="86"/>
    <w:p>
      <w:pPr>
        <w:ind w:left="490"/>
        <w:spacing w:after="0" w:line="243" w:lineRule="auto"/>
        <w:rPr>
          <w:sz w:val="20"/>
          <w:szCs w:val="20"/>
          <w:color w:val="auto"/>
        </w:rPr>
      </w:pPr>
      <w:r>
        <w:rPr>
          <w:rFonts w:ascii="Times New Roman" w:cs="Times New Roman" w:eastAsia="Times New Roman" w:hAnsi="Times New Roman"/>
          <w:sz w:val="20"/>
          <w:szCs w:val="20"/>
          <w:color w:val="231F20"/>
        </w:rPr>
        <w:t xml:space="preserve">interpreted to include anything of value.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20"/>
          <w:szCs w:val="20"/>
          <w:i w:val="1"/>
          <w:iCs w:val="1"/>
          <w:color w:val="231F20"/>
        </w:rPr>
        <w:t>per se</w:t>
      </w:r>
      <w:r>
        <w:rPr>
          <w:rFonts w:ascii="Times New Roman" w:cs="Times New Roman" w:eastAsia="Times New Roman" w:hAnsi="Times New Roman"/>
          <w:sz w:val="20"/>
          <w:szCs w:val="20"/>
          <w:color w:val="231F20"/>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7" w:lineRule="exact"/>
        <w:rPr>
          <w:sz w:val="20"/>
          <w:szCs w:val="20"/>
          <w:color w:val="auto"/>
        </w:rPr>
      </w:pPr>
    </w:p>
    <w:p>
      <w:pPr>
        <w:ind w:left="490" w:hanging="490"/>
        <w:spacing w:after="0" w:line="242" w:lineRule="auto"/>
        <w:tabs>
          <w:tab w:leader="none" w:pos="49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6" w:lineRule="exact"/>
        <w:rPr>
          <w:rFonts w:ascii="Arial" w:cs="Arial" w:eastAsia="Arial" w:hAnsi="Arial"/>
          <w:sz w:val="20"/>
          <w:szCs w:val="20"/>
          <w:color w:val="231F20"/>
        </w:rPr>
      </w:pPr>
    </w:p>
    <w:p>
      <w:pPr>
        <w:ind w:left="490" w:right="120" w:hanging="490"/>
        <w:spacing w:after="0" w:line="246" w:lineRule="auto"/>
        <w:tabs>
          <w:tab w:leader="none" w:pos="49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3" w:lineRule="exact"/>
        <w:rPr>
          <w:rFonts w:ascii="Arial" w:cs="Arial" w:eastAsia="Arial" w:hAnsi="Arial"/>
          <w:sz w:val="20"/>
          <w:szCs w:val="20"/>
          <w:color w:val="231F20"/>
        </w:rPr>
      </w:pPr>
    </w:p>
    <w:p>
      <w:pPr>
        <w:ind w:left="490" w:right="80" w:hanging="490"/>
        <w:spacing w:after="0" w:line="249" w:lineRule="auto"/>
        <w:tabs>
          <w:tab w:leader="none" w:pos="49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0" w:lineRule="exact"/>
        <w:rPr>
          <w:rFonts w:ascii="Arial" w:cs="Arial" w:eastAsia="Arial" w:hAnsi="Arial"/>
          <w:sz w:val="20"/>
          <w:szCs w:val="20"/>
          <w:color w:val="231F20"/>
        </w:rPr>
      </w:pPr>
    </w:p>
    <w:p>
      <w:pPr>
        <w:jc w:val="both"/>
        <w:ind w:left="490" w:right="220" w:hanging="490"/>
        <w:spacing w:after="0" w:line="258" w:lineRule="auto"/>
        <w:tabs>
          <w:tab w:leader="none" w:pos="49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1" w:lineRule="exact"/>
        <w:rPr>
          <w:rFonts w:ascii="Arial" w:cs="Arial" w:eastAsia="Arial" w:hAnsi="Arial"/>
          <w:sz w:val="20"/>
          <w:szCs w:val="20"/>
          <w:color w:val="231F20"/>
        </w:rPr>
      </w:pPr>
    </w:p>
    <w:p>
      <w:pPr>
        <w:ind w:left="490" w:right="40" w:hanging="490"/>
        <w:spacing w:after="0" w:line="244" w:lineRule="auto"/>
        <w:tabs>
          <w:tab w:leader="none" w:pos="49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85" w:lineRule="exact"/>
        <w:rPr>
          <w:rFonts w:ascii="Arial" w:cs="Arial" w:eastAsia="Arial" w:hAnsi="Arial"/>
          <w:sz w:val="20"/>
          <w:szCs w:val="20"/>
          <w:color w:val="231F20"/>
        </w:rPr>
      </w:pPr>
    </w:p>
    <w:p>
      <w:pPr>
        <w:ind w:left="490" w:right="200" w:hanging="490"/>
        <w:spacing w:after="0" w:line="257" w:lineRule="auto"/>
        <w:tabs>
          <w:tab w:leader="none" w:pos="49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w:t>
      </w:r>
    </w:p>
    <w:p>
      <w:pPr>
        <w:sectPr>
          <w:pgSz w:w="11880" w:h="15480" w:orient="portrait"/>
          <w:cols w:equalWidth="0" w:num="1">
            <w:col w:w="9950"/>
          </w:cols>
          <w:pgMar w:left="1390" w:top="796" w:right="540" w:bottom="0" w:gutter="0" w:footer="0" w:header="0"/>
        </w:sectPr>
      </w:pPr>
    </w:p>
    <w:p>
      <w:pPr>
        <w:spacing w:after="0" w:line="201" w:lineRule="exact"/>
        <w:rPr>
          <w:sz w:val="20"/>
          <w:szCs w:val="20"/>
          <w:color w:val="auto"/>
        </w:rPr>
      </w:pPr>
    </w:p>
    <w:p>
      <w:pPr>
        <w:jc w:val="center"/>
        <w:ind w:right="490"/>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950"/>
          </w:cols>
          <w:pgMar w:left="1390" w:top="796" w:right="540" w:bottom="0" w:gutter="0" w:footer="0" w:header="0"/>
          <w:type w:val="continuous"/>
        </w:sectPr>
      </w:pPr>
    </w:p>
    <w:bookmarkStart w:id="87" w:name="page88"/>
    <w:bookmarkEnd w:id="87"/>
    <w:p>
      <w:pPr>
        <w:ind w:left="980" w:right="40"/>
        <w:spacing w:after="0" w:line="233" w:lineRule="auto"/>
        <w:rPr>
          <w:sz w:val="20"/>
          <w:szCs w:val="20"/>
          <w:color w:val="auto"/>
        </w:rPr>
      </w:pPr>
      <w:r>
        <w:rPr>
          <w:rFonts w:ascii="Times New Roman" w:cs="Times New Roman" w:eastAsia="Times New Roman" w:hAnsi="Times New Roman"/>
          <w:sz w:val="20"/>
          <w:szCs w:val="20"/>
          <w:color w:val="231F20"/>
        </w:rPr>
        <w:t>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20"/>
          <w:szCs w:val="20"/>
          <w:i w:val="1"/>
          <w:iCs w:val="1"/>
          <w:color w:val="231F20"/>
        </w:rPr>
        <w:t>qui tam</w:t>
      </w:r>
      <w:r>
        <w:rPr>
          <w:rFonts w:ascii="Times New Roman" w:cs="Times New Roman" w:eastAsia="Times New Roman" w:hAnsi="Times New Roman"/>
          <w:sz w:val="20"/>
          <w:szCs w:val="20"/>
          <w:color w:val="231F20"/>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91" w:lineRule="exact"/>
        <w:rPr>
          <w:sz w:val="20"/>
          <w:szCs w:val="20"/>
          <w:color w:val="auto"/>
        </w:rPr>
      </w:pPr>
    </w:p>
    <w:p>
      <w:pPr>
        <w:ind w:left="980" w:right="20" w:hanging="490"/>
        <w:spacing w:after="0" w:line="235"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86" w:lineRule="exact"/>
        <w:rPr>
          <w:rFonts w:ascii="Arial" w:cs="Arial" w:eastAsia="Arial" w:hAnsi="Arial"/>
          <w:sz w:val="20"/>
          <w:szCs w:val="20"/>
          <w:color w:val="231F20"/>
        </w:rPr>
      </w:pPr>
    </w:p>
    <w:p>
      <w:pPr>
        <w:ind w:left="980" w:hanging="490"/>
        <w:spacing w:after="0" w:line="237"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0" w:lineRule="exact"/>
        <w:rPr>
          <w:rFonts w:ascii="Arial" w:cs="Arial" w:eastAsia="Arial" w:hAnsi="Arial"/>
          <w:sz w:val="20"/>
          <w:szCs w:val="20"/>
          <w:color w:val="231F20"/>
        </w:rPr>
      </w:pPr>
    </w:p>
    <w:p>
      <w:pPr>
        <w:ind w:left="980" w:right="20" w:hanging="490"/>
        <w:spacing w:after="0" w:line="237"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0" w:lineRule="exact"/>
        <w:rPr>
          <w:rFonts w:ascii="Arial" w:cs="Arial" w:eastAsia="Arial" w:hAnsi="Arial"/>
          <w:sz w:val="20"/>
          <w:szCs w:val="20"/>
          <w:color w:val="231F20"/>
        </w:rPr>
      </w:pPr>
    </w:p>
    <w:p>
      <w:pPr>
        <w:ind w:left="980" w:right="120" w:hanging="490"/>
        <w:spacing w:after="0" w:line="265" w:lineRule="auto"/>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federal and state fraud and abuse laws, such as state anti-kickback, self-referrals, false claims and anti- markup laws, any of which may extend to services reimbursable by any payer, including private insurers;</w:t>
      </w:r>
    </w:p>
    <w:p>
      <w:pPr>
        <w:spacing w:after="0" w:line="62" w:lineRule="exact"/>
        <w:rPr>
          <w:rFonts w:ascii="Arial" w:cs="Arial" w:eastAsia="Arial" w:hAnsi="Arial"/>
          <w:sz w:val="20"/>
          <w:szCs w:val="20"/>
          <w:color w:val="231F20"/>
        </w:rPr>
      </w:pPr>
    </w:p>
    <w:p>
      <w:pPr>
        <w:ind w:left="980" w:right="2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87" w:lineRule="exact"/>
        <w:rPr>
          <w:rFonts w:ascii="Arial" w:cs="Arial" w:eastAsia="Arial" w:hAnsi="Arial"/>
          <w:sz w:val="20"/>
          <w:szCs w:val="20"/>
          <w:color w:val="231F20"/>
        </w:rPr>
      </w:pPr>
    </w:p>
    <w:p>
      <w:pPr>
        <w:ind w:left="980" w:hanging="490"/>
        <w:spacing w:after="0"/>
        <w:tabs>
          <w:tab w:leader="none" w:pos="98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similar foreign laws and regulations in the countries in which we operate or may operate in the future.</w:t>
      </w:r>
    </w:p>
    <w:p>
      <w:pPr>
        <w:spacing w:after="0" w:line="228" w:lineRule="exact"/>
        <w:rPr>
          <w:sz w:val="20"/>
          <w:szCs w:val="20"/>
          <w:color w:val="auto"/>
        </w:rPr>
      </w:pPr>
    </w:p>
    <w:p>
      <w:pPr>
        <w:ind w:right="60" w:firstLine="490"/>
        <w:spacing w:after="0" w:line="234" w:lineRule="auto"/>
        <w:rPr>
          <w:sz w:val="20"/>
          <w:szCs w:val="20"/>
          <w:color w:val="auto"/>
        </w:rPr>
      </w:pPr>
      <w:r>
        <w:rPr>
          <w:rFonts w:ascii="Times New Roman" w:cs="Times New Roman" w:eastAsia="Times New Roman" w:hAnsi="Times New Roman"/>
          <w:sz w:val="20"/>
          <w:szCs w:val="20"/>
          <w:color w:val="231F20"/>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203"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ectPr>
          <w:pgSz w:w="11880" w:h="15480" w:orient="portrait"/>
          <w:cols w:equalWidth="0" w:num="1">
            <w:col w:w="10440"/>
          </w:cols>
          <w:pgMar w:left="900" w:top="7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440"/>
          </w:cols>
          <w:pgMar w:left="900" w:top="787" w:right="540" w:bottom="0" w:gutter="0" w:footer="0" w:header="0"/>
          <w:type w:val="continuous"/>
        </w:sectPr>
      </w:pPr>
    </w:p>
    <w:bookmarkStart w:id="88" w:name="page89"/>
    <w:bookmarkEnd w:id="88"/>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208"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31F20"/>
        </w:rPr>
        <w:t>As part of the detailed regulatory regime discussed above, we routinely receive requests for medical records and billing information from certain Unified Program Integrity Contractors, or UPICs, or other auditing agencies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have continued to produce responsive documents on a rolling basis since that time. While we believe our programs and payments comply with the Anti-Kickback statute and other applicable regulations, no assurance can be given as to the timing or outcome of the government’s investigation, or that it will not result in a material adverse effect on our business.</w:t>
      </w:r>
    </w:p>
    <w:p>
      <w:pPr>
        <w:spacing w:after="0" w:line="20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20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ectPr>
          <w:pgSz w:w="11880" w:h="15480" w:orient="portrait"/>
          <w:cols w:equalWidth="0" w:num="1">
            <w:col w:w="10400"/>
          </w:cols>
          <w:pgMar w:left="900" w:top="79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400"/>
          </w:cols>
          <w:pgMar w:left="900" w:top="796" w:right="580" w:bottom="0" w:gutter="0" w:footer="0" w:header="0"/>
          <w:type w:val="continuous"/>
        </w:sectPr>
      </w:pPr>
    </w:p>
    <w:bookmarkStart w:id="89" w:name="page90"/>
    <w:bookmarkEnd w:id="89"/>
    <w:p>
      <w:pPr>
        <w:ind w:left="480"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seek to ensure that all data and biological samples that we receive have been collected from patients, subjects or participants who have provided the necessary informed consent for purposes that extend to all associated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or as a business associate in order to enable us to perform de-identification services.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333" w:lineRule="exact"/>
        <w:rPr>
          <w:sz w:val="20"/>
          <w:szCs w:val="20"/>
          <w:color w:val="auto"/>
        </w:rPr>
      </w:pPr>
    </w:p>
    <w:p>
      <w:pPr>
        <w:ind w:left="480"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fines, penalties, licensure requirements, or legal liability, if it is determined that through our test reports we are practicing medicine without a license.</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322" w:lineRule="exact"/>
        <w:rPr>
          <w:sz w:val="20"/>
          <w:szCs w:val="20"/>
          <w:color w:val="auto"/>
        </w:rPr>
      </w:pPr>
    </w:p>
    <w:p>
      <w:pPr>
        <w:ind w:left="480"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billing and claim processing are complex and time-consuming, and any delay in submitting claims or failure to comply with applicable billing requirements could hinder collection and have an adverse effect on our revenue.</w:t>
      </w:r>
    </w:p>
    <w:p>
      <w:pPr>
        <w:spacing w:after="0" w:line="49"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8" w:lineRule="exact"/>
        <w:rPr>
          <w:sz w:val="20"/>
          <w:szCs w:val="20"/>
          <w:color w:val="auto"/>
        </w:rPr>
      </w:pPr>
    </w:p>
    <w:p>
      <w:pPr>
        <w:ind w:left="980" w:right="160" w:hanging="490"/>
        <w:spacing w:after="0" w:line="276"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between the list prices for our test, the reimbursement rates of payers, the amounts we charge healthcare institutions directly, and the cost to patients who pay for our tests out-of-pocket;</w:t>
      </w:r>
    </w:p>
    <w:p>
      <w:pPr>
        <w:spacing w:after="0" w:line="64" w:lineRule="exact"/>
        <w:rPr>
          <w:rFonts w:ascii="Arial" w:cs="Arial" w:eastAsia="Arial" w:hAnsi="Arial"/>
          <w:sz w:val="20"/>
          <w:szCs w:val="20"/>
          <w:color w:val="231F20"/>
        </w:rPr>
      </w:pPr>
    </w:p>
    <w:p>
      <w:pPr>
        <w:ind w:left="980" w:right="300" w:hanging="490"/>
        <w:spacing w:after="0" w:line="258" w:lineRule="auto"/>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complex federal, state and foreign regulations related to billing government healthcare programs, including Medicare and Medicaid or comparable foreign programs, to the extent our tests are covered by such programs;</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coverage among payers and the effect of patient co-payments or co-insurance;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information, pre-authorization and other billing requirements among payers;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to codes and coding instructions governing our tests;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incorrect or missing billing information;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resources required to manage the billing and claim appeals process.</w:t>
      </w:r>
    </w:p>
    <w:p>
      <w:pPr>
        <w:spacing w:after="0" w:line="23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ectPr>
          <w:pgSz w:w="11880" w:h="15480" w:orient="portrait"/>
          <w:cols w:equalWidth="0" w:num="1">
            <w:col w:w="10420"/>
          </w:cols>
          <w:pgMar w:left="900" w:top="796" w:right="560" w:bottom="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420"/>
          </w:cols>
          <w:pgMar w:left="900" w:top="796" w:right="560" w:bottom="0" w:gutter="0" w:footer="0" w:header="0"/>
          <w:type w:val="continuous"/>
        </w:sectPr>
      </w:pPr>
    </w:p>
    <w:bookmarkStart w:id="90" w:name="page91"/>
    <w:bookmarkEnd w:id="90"/>
    <w:p>
      <w:pPr>
        <w:ind w:right="120" w:firstLine="490"/>
        <w:spacing w:after="0" w:line="242" w:lineRule="auto"/>
        <w:rPr>
          <w:sz w:val="20"/>
          <w:szCs w:val="20"/>
          <w:color w:val="auto"/>
        </w:rPr>
      </w:pPr>
      <w:r>
        <w:rPr>
          <w:rFonts w:ascii="Times New Roman" w:cs="Times New Roman" w:eastAsia="Times New Roman" w:hAnsi="Times New Roman"/>
          <w:sz w:val="20"/>
          <w:szCs w:val="20"/>
          <w:color w:val="231F20"/>
        </w:rPr>
        <w:t>In addition, the coding procedure used by third-party payers to identify various procedures, including our tests, during the billing process is complex, does not adapt well to our tests and may not enable coverage and adequate reimbursement rates. Third -party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continuously updating and evaluating our approach to ensure consistency with all applicable policies, rules, and regulations.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213"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Use of certain coding to bill for certain products can result in the claim being examined to determine what test was provided, whether the test was appropriate and medically necessary, and whether payment should be rendered.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20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2025, approximately 50% of the liquid biopsy tests we provide are ordered in proximity to a solid tissue-based test, and over 90%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326" w:lineRule="exact"/>
        <w:rPr>
          <w:sz w:val="20"/>
          <w:szCs w:val="20"/>
          <w:color w:val="auto"/>
        </w:rPr>
      </w:pPr>
    </w:p>
    <w:p>
      <w:pPr>
        <w:ind w:left="480"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healthcare laws, regulations and policies could increase our costs, decrease our sales and revenue and negatively impact reimbursement for our tests.</w:t>
      </w:r>
    </w:p>
    <w:p>
      <w:pPr>
        <w:spacing w:after="0" w:line="4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w:t>
      </w:r>
    </w:p>
    <w:p>
      <w:pPr>
        <w:spacing w:after="0" w:line="188"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Since its enactment, there have been efforts to repeal, replace, and amend all or part of the ACA. For example, on July 4, 2025,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The OBBBA also narrowed access to ACA marketplace exchange enrollment and declined to extend the ACA enhanced advanced premium tax credits, that expired at the end of 2025, which, among other provisions in the law, are anticipated to reduce the number of Americans with health insurance. Congress is also considering proposed legislation intended to further reduce healthcare costs with alternatives to replace the expired ACA subsidies. It is unclear how any additional healthcare reform measures will impact the ACA and our business.</w:t>
      </w:r>
    </w:p>
    <w:p>
      <w:pPr>
        <w:spacing w:after="0" w:line="202" w:lineRule="exact"/>
        <w:rPr>
          <w:sz w:val="20"/>
          <w:szCs w:val="20"/>
          <w:color w:val="auto"/>
        </w:rPr>
      </w:pPr>
    </w:p>
    <w:p>
      <w:pPr>
        <w:jc w:val="both"/>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440"/>
          </w:cols>
          <w:pgMar w:left="900" w:top="796" w:right="540" w:bottom="0" w:gutter="0" w:footer="0" w:header="0"/>
          <w:type w:val="continuous"/>
        </w:sectPr>
      </w:pPr>
    </w:p>
    <w:bookmarkStart w:id="91" w:name="page92"/>
    <w:bookmarkEnd w:id="91"/>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The current administration is pursuing policies to reduce regulations and expenditures across government agencies including at the Department of Health and Human Services, the FDA, CMS and related agencies. Such actions and policies may, among other things, significantly reduce U.S. medical device prices, potentially impacting manufacturers’ global pricing strategies and profitability, while increasing their operational costs and compliance risks.</w:t>
      </w:r>
    </w:p>
    <w:p>
      <w:pPr>
        <w:spacing w:after="0" w:line="19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We face risks related to handling of hazardous materials and other regulations governing environmental safety.</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We could be adversely affected by violations of the FCPA and other anti-bribery laws.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124" w:lineRule="exact"/>
        <w:rPr>
          <w:sz w:val="20"/>
          <w:szCs w:val="20"/>
          <w:color w:val="auto"/>
        </w:rPr>
      </w:pPr>
    </w:p>
    <w:p>
      <w:pPr>
        <w:ind w:left="480"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89"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231F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420"/>
          </w:cols>
          <w:pgMar w:left="900" w:top="796" w:right="560" w:bottom="0" w:gutter="0" w:footer="0" w:header="0"/>
          <w:type w:val="continuous"/>
        </w:sectPr>
      </w:pPr>
    </w:p>
    <w:bookmarkStart w:id="92" w:name="page93"/>
    <w:bookmarkEnd w:id="92"/>
    <w:p>
      <w:pPr>
        <w:ind w:right="20" w:firstLine="490"/>
        <w:spacing w:after="0" w:line="232" w:lineRule="auto"/>
        <w:rPr>
          <w:sz w:val="20"/>
          <w:szCs w:val="20"/>
          <w:color w:val="auto"/>
        </w:rPr>
      </w:pPr>
      <w:r>
        <w:rPr>
          <w:rFonts w:ascii="Times New Roman" w:cs="Times New Roman" w:eastAsia="Times New Roman" w:hAnsi="Times New Roman"/>
          <w:sz w:val="20"/>
          <w:szCs w:val="20"/>
          <w:color w:val="231F20"/>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211"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231F20"/>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20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20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ectPr>
          <w:pgSz w:w="11880" w:h="15480" w:orient="portrait"/>
          <w:cols w:equalWidth="0" w:num="1">
            <w:col w:w="10440"/>
          </w:cols>
          <w:pgMar w:left="900" w:top="789" w:right="54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440"/>
          </w:cols>
          <w:pgMar w:left="900" w:top="789" w:right="540" w:bottom="0" w:gutter="0" w:footer="0" w:header="0"/>
          <w:type w:val="continuous"/>
        </w:sectPr>
      </w:pPr>
    </w:p>
    <w:bookmarkStart w:id="93" w:name="page94"/>
    <w:bookmarkEnd w:id="93"/>
    <w:p>
      <w:pPr>
        <w:ind w:left="480"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patent law in the United States and other jurisdictions could diminish the value of patents in general, thereby impairing our ability to protect our Platform and products.</w:t>
      </w:r>
    </w:p>
    <w:p>
      <w:pPr>
        <w:spacing w:after="0" w:line="4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20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206"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231F20"/>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Issued patents covering our Platform or products could be found invalid or unenforceable if challenged.</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20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or interference proceedings and other similar proceedings in foreign jurisdictions. Any successful third- 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420"/>
          </w:cols>
          <w:pgMar w:left="900" w:top="796" w:right="560" w:bottom="0" w:gutter="0" w:footer="0" w:header="0"/>
          <w:type w:val="continuous"/>
        </w:sectPr>
      </w:pPr>
    </w:p>
    <w:bookmarkStart w:id="94" w:name="page95"/>
    <w:bookmarkEnd w:id="94"/>
    <w:p>
      <w:pPr>
        <w:ind w:right="180"/>
        <w:spacing w:after="0" w:line="277" w:lineRule="auto"/>
        <w:rPr>
          <w:sz w:val="20"/>
          <w:szCs w:val="20"/>
          <w:color w:val="auto"/>
        </w:rPr>
      </w:pPr>
      <w:r>
        <w:rPr>
          <w:rFonts w:ascii="Times New Roman" w:cs="Times New Roman" w:eastAsia="Times New Roman" w:hAnsi="Times New Roman"/>
          <w:sz w:val="20"/>
          <w:szCs w:val="20"/>
          <w:color w:val="231F20"/>
        </w:rPr>
        <w:t>applications is threatened, regardless of the outcome, it could dissuade companies from collaborating with us to license, develop or commercialize our current or future products.</w:t>
      </w:r>
    </w:p>
    <w:p>
      <w:pPr>
        <w:spacing w:after="0" w:line="16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203"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213"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87"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231F20"/>
        </w:rPr>
        <w:t>The intellectual property landscape in the next generation sequencing,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 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us.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w:t>
      </w:r>
    </w:p>
    <w:p>
      <w:pPr>
        <w:spacing w:after="0" w:line="198" w:lineRule="exact"/>
        <w:rPr>
          <w:sz w:val="20"/>
          <w:szCs w:val="20"/>
          <w:color w:val="auto"/>
        </w:rPr>
      </w:pPr>
    </w:p>
    <w:p>
      <w:pPr>
        <w:ind w:right="20" w:firstLine="490"/>
        <w:spacing w:after="0" w:line="239" w:lineRule="auto"/>
        <w:rPr>
          <w:sz w:val="20"/>
          <w:szCs w:val="20"/>
          <w:color w:val="auto"/>
        </w:rPr>
      </w:pPr>
      <w:r>
        <w:rPr>
          <w:rFonts w:ascii="Times New Roman" w:cs="Times New Roman" w:eastAsia="Times New Roman" w:hAnsi="Times New Roman"/>
          <w:sz w:val="20"/>
          <w:szCs w:val="20"/>
          <w:color w:val="231F20"/>
        </w:rPr>
        <w:t>From time to time we may receive notifications from third parties purportedly asserting certain intellectual property rights with respect to our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w:t>
      </w:r>
      <w:r>
        <w:rPr>
          <w:rFonts w:ascii="Times New Roman" w:cs="Times New Roman" w:eastAsia="Times New Roman" w:hAnsi="Times New Roman"/>
          <w:sz w:val="10"/>
          <w:szCs w:val="10"/>
          <w:color w:val="231F20"/>
        </w:rPr>
        <w:t>®</w:t>
      </w:r>
      <w:r>
        <w:rPr>
          <w:rFonts w:ascii="Times New Roman" w:cs="Times New Roman" w:eastAsia="Times New Roman" w:hAnsi="Times New Roman"/>
          <w:sz w:val="20"/>
          <w:szCs w:val="20"/>
          <w:color w:val="231F20"/>
        </w:rPr>
        <w:t xml:space="preserve"> test methodologies “appear to share similarities with methods that the HUB has used in its own organoid work.” Similarly, on January</w:t>
      </w:r>
    </w:p>
    <w:p>
      <w:pPr>
        <w:sectPr>
          <w:pgSz w:w="11880" w:h="15480" w:orient="portrait"/>
          <w:cols w:equalWidth="0" w:num="1">
            <w:col w:w="10440"/>
          </w:cols>
          <w:pgMar w:left="900" w:top="796" w:right="540" w:bottom="0" w:gutter="0" w:footer="0" w:header="0"/>
        </w:sect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10440"/>
          </w:cols>
          <w:pgMar w:left="900" w:top="796" w:right="540" w:bottom="0" w:gutter="0" w:footer="0" w:header="0"/>
          <w:type w:val="continuous"/>
        </w:sectPr>
      </w:pPr>
    </w:p>
    <w:bookmarkStart w:id="95" w:name="page96"/>
    <w:bookmarkEnd w:id="95"/>
    <w:p>
      <w:pPr>
        <w:ind w:right="80"/>
        <w:spacing w:after="0" w:line="234" w:lineRule="auto"/>
        <w:rPr>
          <w:sz w:val="20"/>
          <w:szCs w:val="20"/>
          <w:color w:val="auto"/>
        </w:rPr>
      </w:pPr>
      <w:r>
        <w:rPr>
          <w:rFonts w:ascii="Times New Roman" w:cs="Times New Roman" w:eastAsia="Times New Roman" w:hAnsi="Times New Roman"/>
          <w:sz w:val="20"/>
          <w:szCs w:val="20"/>
          <w:color w:val="231F20"/>
        </w:rPr>
        <w:t>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Ambry Genetics has also received a letter from Molecular Loop. While the letter received on behalf of HUB Organoids contains no specific allegations that SEngine infringes certain patents controlled by HUB Organoids referenced in the letter, and while the letters received on behalf of Molecular Loop contains only generalized allegations that Tempus and Ambry Genetics may infringe certain patents controlled by Molecular Loop referenced in the letters, and while we have received and may in the future receive letters alleging patent infringement from other third parties, if any claims against us were made by these parties, including any claim that any portion of our products and services infringes any of the referenced patents, or any other patents held by a third party,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319" w:lineRule="exact"/>
        <w:rPr>
          <w:sz w:val="20"/>
          <w:szCs w:val="20"/>
          <w:color w:val="auto"/>
        </w:rPr>
      </w:pPr>
    </w:p>
    <w:p>
      <w:pPr>
        <w:ind w:left="480" w:right="40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We rely on licenses from third parties to provide certain products, and if we lose these licenses or if our rights under these licenses are limited, then our business will be adversely impacted.</w:t>
      </w:r>
    </w:p>
    <w:p>
      <w:pPr>
        <w:spacing w:after="0" w:line="48" w:lineRule="exact"/>
        <w:rPr>
          <w:sz w:val="20"/>
          <w:szCs w:val="20"/>
          <w:color w:val="auto"/>
        </w:rPr>
      </w:pPr>
    </w:p>
    <w:p>
      <w:pPr>
        <w:ind w:right="60" w:firstLine="490"/>
        <w:spacing w:after="0" w:line="235" w:lineRule="auto"/>
        <w:rPr>
          <w:sz w:val="20"/>
          <w:szCs w:val="20"/>
          <w:color w:val="auto"/>
        </w:rPr>
      </w:pPr>
      <w:r>
        <w:rPr>
          <w:rFonts w:ascii="Times New Roman" w:cs="Times New Roman" w:eastAsia="Times New Roman" w:hAnsi="Times New Roman"/>
          <w:sz w:val="20"/>
          <w:szCs w:val="20"/>
          <w:color w:val="231F20"/>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201" w:lineRule="exact"/>
        <w:rPr>
          <w:sz w:val="20"/>
          <w:szCs w:val="20"/>
          <w:color w:val="auto"/>
        </w:rPr>
      </w:pPr>
    </w:p>
    <w:p>
      <w:pPr>
        <w:ind w:right="40" w:firstLine="490"/>
        <w:spacing w:after="0" w:line="237" w:lineRule="auto"/>
        <w:rPr>
          <w:sz w:val="20"/>
          <w:szCs w:val="20"/>
          <w:color w:val="auto"/>
        </w:rPr>
      </w:pPr>
      <w:r>
        <w:rPr>
          <w:rFonts w:ascii="Times New Roman" w:cs="Times New Roman" w:eastAsia="Times New Roman" w:hAnsi="Times New Roman"/>
          <w:sz w:val="20"/>
          <w:szCs w:val="20"/>
          <w:color w:val="231F20"/>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or certification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Moreover, disputes could arise with respect to any aspect of our license agreements, including:</w:t>
      </w:r>
    </w:p>
    <w:p>
      <w:pPr>
        <w:spacing w:after="0" w:line="134" w:lineRule="exact"/>
        <w:rPr>
          <w:sz w:val="20"/>
          <w:szCs w:val="20"/>
          <w:color w:val="auto"/>
        </w:rPr>
      </w:pPr>
    </w:p>
    <w:p>
      <w:pPr>
        <w:ind w:left="980" w:hanging="490"/>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rights granted under the license agreement and other interpretation-related issues;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our financial or other obligations under the license agreement;</w:t>
      </w:r>
    </w:p>
    <w:p>
      <w:pPr>
        <w:spacing w:after="0" w:line="133" w:lineRule="exact"/>
        <w:rPr>
          <w:rFonts w:ascii="Arial" w:cs="Arial" w:eastAsia="Arial" w:hAnsi="Arial"/>
          <w:sz w:val="20"/>
          <w:szCs w:val="20"/>
          <w:color w:val="231F20"/>
        </w:rPr>
      </w:pPr>
    </w:p>
    <w:p>
      <w:pPr>
        <w:ind w:left="980" w:right="900" w:hanging="490"/>
        <w:spacing w:after="0" w:line="276" w:lineRule="auto"/>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extent to which our Platform, products, and processes infringe, misappropriate, or otherwise violate the intellectual property of the licensor that is not subject to the licensing agreement;</w:t>
      </w:r>
    </w:p>
    <w:p>
      <w:pPr>
        <w:spacing w:after="0" w:line="64"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licensing of patent and other rights controlled by our licensors or developed under our collaborative development relationships to others;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sublicensing of patent and other rights;</w:t>
      </w:r>
    </w:p>
    <w:p>
      <w:pPr>
        <w:spacing w:after="0" w:line="133"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inventorship and ownership of inventions and know-how licensed to us or resulting from the joint creation or use of intellectual property by our licensors, us and/or our partners;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6"/>
        </w:numPr>
        <w:rPr>
          <w:rFonts w:ascii="Arial" w:cs="Arial" w:eastAsia="Arial" w:hAnsi="Arial"/>
          <w:sz w:val="20"/>
          <w:szCs w:val="20"/>
          <w:color w:val="231F20"/>
        </w:rPr>
      </w:pPr>
      <w:r>
        <w:rPr>
          <w:rFonts w:ascii="Times New Roman" w:cs="Times New Roman" w:eastAsia="Times New Roman" w:hAnsi="Times New Roman"/>
          <w:sz w:val="20"/>
          <w:szCs w:val="20"/>
          <w:color w:val="231F20"/>
        </w:rPr>
        <w:t>the validity, enforceability or priority of licensed patent rights.</w:t>
      </w:r>
    </w:p>
    <w:p>
      <w:pPr>
        <w:spacing w:after="0" w:line="239"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color w:val="231F20"/>
        </w:rPr>
        <w:t>If we do not prevail in such disputes, we may lose any of such license agreements, the license agreements may not be meaningful for our business and operations, and we may be subject to unnecessary or additional payment obligations.</w:t>
      </w:r>
    </w:p>
    <w:p>
      <w:pPr>
        <w:spacing w:after="0" w:line="16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ectPr>
          <w:pgSz w:w="11880" w:h="15480" w:orient="portrait"/>
          <w:cols w:equalWidth="0" w:num="1">
            <w:col w:w="10440"/>
          </w:cols>
          <w:pgMar w:left="900" w:top="789" w:right="54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10440"/>
          </w:cols>
          <w:pgMar w:left="900" w:top="789" w:right="540" w:bottom="0" w:gutter="0" w:footer="0" w:header="0"/>
          <w:type w:val="continuous"/>
        </w:sectPr>
      </w:pPr>
    </w:p>
    <w:bookmarkStart w:id="96" w:name="page97"/>
    <w:bookmarkEnd w:id="96"/>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332" w:lineRule="exact"/>
        <w:rPr>
          <w:sz w:val="20"/>
          <w:szCs w:val="20"/>
          <w:color w:val="auto"/>
        </w:rPr>
      </w:pPr>
    </w:p>
    <w:p>
      <w:pPr>
        <w:ind w:left="480"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3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or enforce our intellectual property rights adequately throughout the world.</w:t>
      </w:r>
    </w:p>
    <w:p>
      <w:pPr>
        <w:spacing w:after="0" w:line="12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10440"/>
          </w:cols>
          <w:pgMar w:left="900" w:top="796" w:right="540" w:bottom="0" w:gutter="0" w:footer="0" w:header="0"/>
          <w:type w:val="continuous"/>
        </w:sectPr>
      </w:pPr>
    </w:p>
    <w:bookmarkStart w:id="97" w:name="page98"/>
    <w:bookmarkEnd w:id="97"/>
    <w:p>
      <w:pPr>
        <w:ind w:right="20"/>
        <w:spacing w:after="0" w:line="277" w:lineRule="auto"/>
        <w:rPr>
          <w:sz w:val="20"/>
          <w:szCs w:val="20"/>
          <w:color w:val="auto"/>
        </w:rPr>
      </w:pPr>
      <w:r>
        <w:rPr>
          <w:rFonts w:ascii="Times New Roman" w:cs="Times New Roman" w:eastAsia="Times New Roman" w:hAnsi="Times New Roman"/>
          <w:sz w:val="20"/>
          <w:szCs w:val="20"/>
          <w:color w:val="231F20"/>
        </w:rPr>
        <w:t>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209"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317" w:lineRule="exact"/>
        <w:rPr>
          <w:sz w:val="20"/>
          <w:szCs w:val="20"/>
          <w:color w:val="auto"/>
        </w:rPr>
      </w:pPr>
    </w:p>
    <w:p>
      <w:pPr>
        <w:ind w:left="480"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trade secrets, the value of our Platform and other technology could be materially adversely affected and our business could be harmed.</w:t>
      </w:r>
    </w:p>
    <w:p>
      <w:pPr>
        <w:spacing w:after="0" w:line="44"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231F20"/>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200"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19"/>
          <w:szCs w:val="19"/>
          <w:color w:val="231F20"/>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78"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231F20"/>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319" w:lineRule="exact"/>
        <w:rPr>
          <w:sz w:val="20"/>
          <w:szCs w:val="20"/>
          <w:color w:val="auto"/>
        </w:rPr>
      </w:pPr>
    </w:p>
    <w:p>
      <w:pPr>
        <w:ind w:left="480" w:right="100"/>
        <w:spacing w:after="0" w:line="251"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8"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10440"/>
          </w:cols>
          <w:pgMar w:left="900" w:top="796" w:right="540" w:bottom="0" w:gutter="0" w:footer="0" w:header="0"/>
          <w:type w:val="continuous"/>
        </w:sectPr>
      </w:pPr>
    </w:p>
    <w:bookmarkStart w:id="98" w:name="page99"/>
    <w:bookmarkEnd w:id="98"/>
    <w:p>
      <w:pPr>
        <w:ind w:right="220"/>
        <w:spacing w:after="0"/>
        <w:rPr>
          <w:sz w:val="20"/>
          <w:szCs w:val="20"/>
          <w:color w:val="auto"/>
        </w:rPr>
      </w:pPr>
      <w:r>
        <w:rPr>
          <w:rFonts w:ascii="Times New Roman" w:cs="Times New Roman" w:eastAsia="Times New Roman" w:hAnsi="Times New Roman"/>
          <w:sz w:val="20"/>
          <w:szCs w:val="20"/>
          <w:color w:val="231F20"/>
        </w:rPr>
        <w:t>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31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7" w:lineRule="exact"/>
        <w:rPr>
          <w:sz w:val="20"/>
          <w:szCs w:val="20"/>
          <w:color w:val="auto"/>
        </w:rPr>
      </w:pPr>
    </w:p>
    <w:p>
      <w:pPr>
        <w:ind w:right="80" w:firstLine="490"/>
        <w:spacing w:after="0" w:line="235" w:lineRule="auto"/>
        <w:rPr>
          <w:sz w:val="20"/>
          <w:szCs w:val="20"/>
          <w:color w:val="auto"/>
        </w:rPr>
      </w:pPr>
      <w:r>
        <w:rPr>
          <w:rFonts w:ascii="Times New Roman" w:cs="Times New Roman" w:eastAsia="Times New Roman" w:hAnsi="Times New Roman"/>
          <w:sz w:val="20"/>
          <w:szCs w:val="20"/>
          <w:color w:val="231F20"/>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201"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321" w:lineRule="exact"/>
        <w:rPr>
          <w:sz w:val="20"/>
          <w:szCs w:val="20"/>
          <w:color w:val="auto"/>
        </w:rPr>
      </w:pPr>
    </w:p>
    <w:p>
      <w:pPr>
        <w:ind w:left="480" w:right="40"/>
        <w:spacing w:after="0" w:line="268"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challenging the inventorship or ownership of our owned or licensed intellectual property or claims asserting ownership of what we regard as our own intellectual property.</w:t>
      </w:r>
    </w:p>
    <w:p>
      <w:pPr>
        <w:spacing w:after="0" w:line="48" w:lineRule="exact"/>
        <w:rPr>
          <w:sz w:val="20"/>
          <w:szCs w:val="20"/>
          <w:color w:val="auto"/>
        </w:rPr>
      </w:pPr>
    </w:p>
    <w:p>
      <w:pPr>
        <w:ind w:right="40" w:firstLine="490"/>
        <w:spacing w:after="0" w:line="234" w:lineRule="auto"/>
        <w:rPr>
          <w:sz w:val="20"/>
          <w:szCs w:val="20"/>
          <w:color w:val="auto"/>
        </w:rPr>
      </w:pPr>
      <w:r>
        <w:rPr>
          <w:rFonts w:ascii="Times New Roman" w:cs="Times New Roman" w:eastAsia="Times New Roman" w:hAnsi="Times New Roman"/>
          <w:sz w:val="20"/>
          <w:szCs w:val="20"/>
          <w:color w:val="231F20"/>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99"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ectPr>
          <w:pgSz w:w="11880" w:h="15480" w:orient="portrait"/>
          <w:cols w:equalWidth="0" w:num="1">
            <w:col w:w="10420"/>
          </w:cols>
          <w:pgMar w:left="900" w:top="790" w:right="56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10420"/>
          </w:cols>
          <w:pgMar w:left="900" w:top="790" w:right="560" w:bottom="0" w:gutter="0" w:footer="0" w:header="0"/>
          <w:type w:val="continuous"/>
        </w:sectPr>
      </w:pPr>
    </w:p>
    <w:bookmarkStart w:id="99" w:name="page100"/>
    <w:bookmarkEnd w:id="99"/>
    <w:p>
      <w:pPr>
        <w:ind w:left="48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21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20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202"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231F20"/>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9"/>
          <w:szCs w:val="19"/>
          <w:i w:val="1"/>
          <w:iCs w:val="1"/>
          <w:color w:val="231F20"/>
        </w:rPr>
        <w:t>inter partes</w:t>
      </w:r>
      <w:r>
        <w:rPr>
          <w:rFonts w:ascii="Times New Roman" w:cs="Times New Roman" w:eastAsia="Times New Roman" w:hAnsi="Times New Roman"/>
          <w:sz w:val="19"/>
          <w:szCs w:val="19"/>
          <w:color w:val="231F20"/>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w:t>
      </w:r>
    </w:p>
    <w:p>
      <w:pPr>
        <w:sectPr>
          <w:pgSz w:w="11880" w:h="15480" w:orient="portrait"/>
          <w:cols w:equalWidth="0" w:num="1">
            <w:col w:w="10420"/>
          </w:cols>
          <w:pgMar w:left="900" w:top="796" w:right="560" w:bottom="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10420"/>
          </w:cols>
          <w:pgMar w:left="900" w:top="796" w:right="560" w:bottom="0" w:gutter="0" w:footer="0" w:header="0"/>
          <w:type w:val="continuous"/>
        </w:sectPr>
      </w:pPr>
    </w:p>
    <w:bookmarkStart w:id="100" w:name="page101"/>
    <w:bookmarkEnd w:id="100"/>
    <w:p>
      <w:pPr>
        <w:spacing w:after="0" w:line="252" w:lineRule="auto"/>
        <w:rPr>
          <w:sz w:val="20"/>
          <w:szCs w:val="20"/>
          <w:color w:val="auto"/>
        </w:rPr>
      </w:pPr>
      <w:r>
        <w:rPr>
          <w:rFonts w:ascii="Times New Roman" w:cs="Times New Roman" w:eastAsia="Times New Roman" w:hAnsi="Times New Roman"/>
          <w:sz w:val="20"/>
          <w:szCs w:val="20"/>
          <w:color w:val="231F20"/>
        </w:rPr>
        <w:t>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19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20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20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21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Such litigation or proceedings could substantially increase our operating losses and reduce the resources available for development activities or any future sales, marketing or distribution activities.</w:t>
      </w:r>
    </w:p>
    <w:p>
      <w:pPr>
        <w:spacing w:after="0" w:line="20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10420"/>
          </w:cols>
          <w:pgMar w:left="900" w:top="796" w:right="560" w:bottom="0" w:gutter="0" w:footer="0" w:header="0"/>
          <w:type w:val="continuous"/>
        </w:sectPr>
      </w:pPr>
    </w:p>
    <w:bookmarkStart w:id="101" w:name="page102"/>
    <w:bookmarkEnd w:id="101"/>
    <w:p>
      <w:pPr>
        <w:ind w:left="480"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for an adequate amount of time.</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address all potential threats.</w:t>
      </w:r>
    </w:p>
    <w:p>
      <w:pPr>
        <w:spacing w:after="0" w:line="120" w:lineRule="exact"/>
        <w:rPr>
          <w:sz w:val="20"/>
          <w:szCs w:val="20"/>
          <w:color w:val="auto"/>
        </w:rPr>
      </w:pPr>
    </w:p>
    <w:p>
      <w:pPr>
        <w:jc w:val="both"/>
        <w:ind w:right="160" w:firstLine="490"/>
        <w:spacing w:after="0" w:line="305" w:lineRule="auto"/>
        <w:rPr>
          <w:sz w:val="20"/>
          <w:szCs w:val="20"/>
          <w:color w:val="auto"/>
        </w:rPr>
      </w:pPr>
      <w:r>
        <w:rPr>
          <w:rFonts w:ascii="Times New Roman" w:cs="Times New Roman" w:eastAsia="Times New Roman" w:hAnsi="Times New Roman"/>
          <w:sz w:val="19"/>
          <w:szCs w:val="19"/>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9" w:lineRule="exact"/>
        <w:rPr>
          <w:sz w:val="20"/>
          <w:szCs w:val="20"/>
          <w:color w:val="auto"/>
        </w:rPr>
      </w:pPr>
    </w:p>
    <w:p>
      <w:pPr>
        <w:ind w:left="980" w:right="10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make products that are similar to ours, but that are not covered by the claims of the patents that we license or may own in the future;</w:t>
      </w:r>
    </w:p>
    <w:p>
      <w:pPr>
        <w:spacing w:after="0" w:line="64"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license partners or future collaborators, might not have been the first to make the inventions covered by the issued patent or pending patent applications that we license or may own in the future;</w:t>
      </w:r>
    </w:p>
    <w:p>
      <w:pPr>
        <w:spacing w:after="0" w:line="64" w:lineRule="exact"/>
        <w:rPr>
          <w:rFonts w:ascii="Arial" w:cs="Arial" w:eastAsia="Arial" w:hAnsi="Arial"/>
          <w:sz w:val="20"/>
          <w:szCs w:val="20"/>
          <w:color w:val="231F20"/>
        </w:rPr>
      </w:pPr>
    </w:p>
    <w:p>
      <w:pPr>
        <w:ind w:left="980" w:right="28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license partners or future collaborators, might not have been the first to file patent applications covering certain of our or their inventions;</w:t>
      </w:r>
    </w:p>
    <w:p>
      <w:pPr>
        <w:spacing w:after="0" w:line="64" w:lineRule="exact"/>
        <w:rPr>
          <w:rFonts w:ascii="Arial" w:cs="Arial" w:eastAsia="Arial" w:hAnsi="Arial"/>
          <w:sz w:val="20"/>
          <w:szCs w:val="20"/>
          <w:color w:val="231F20"/>
        </w:rPr>
      </w:pPr>
    </w:p>
    <w:p>
      <w:pPr>
        <w:ind w:left="980" w:right="34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independently develop similar or alternative technologies or duplicate any of our technologies without infringing our owned or licensed intellectual property rights;</w:t>
      </w:r>
    </w:p>
    <w:p>
      <w:pPr>
        <w:spacing w:after="0" w:line="64" w:lineRule="exact"/>
        <w:rPr>
          <w:rFonts w:ascii="Arial" w:cs="Arial" w:eastAsia="Arial" w:hAnsi="Arial"/>
          <w:sz w:val="20"/>
          <w:szCs w:val="20"/>
          <w:color w:val="231F20"/>
        </w:rPr>
      </w:pPr>
    </w:p>
    <w:p>
      <w:pPr>
        <w:ind w:left="980" w:right="44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our pending licensed patent applications or those that we may own in the future will not lead to issued patents;</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that we hold rights to now or in the future may be held invalid or unenforceable, including as a result of legal challenges by our competitors;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have access to the same intellectual property rights licensed to us in the future on a nonexclusive basis;</w:t>
      </w:r>
    </w:p>
    <w:p>
      <w:pPr>
        <w:spacing w:after="0" w:line="133" w:lineRule="exact"/>
        <w:rPr>
          <w:rFonts w:ascii="Arial" w:cs="Arial" w:eastAsia="Arial" w:hAnsi="Arial"/>
          <w:sz w:val="20"/>
          <w:szCs w:val="20"/>
          <w:color w:val="231F20"/>
        </w:rPr>
      </w:pPr>
    </w:p>
    <w:p>
      <w:pPr>
        <w:ind w:left="980" w:right="240" w:hanging="490"/>
        <w:spacing w:after="0" w:line="258"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additional proprietary technologies that are patentable;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or other intellectual property rights of others may have an adverse effect on our business; or</w:t>
      </w:r>
    </w:p>
    <w:p>
      <w:pPr>
        <w:spacing w:after="0" w:line="133" w:lineRule="exact"/>
        <w:rPr>
          <w:rFonts w:ascii="Arial" w:cs="Arial" w:eastAsia="Arial" w:hAnsi="Arial"/>
          <w:sz w:val="20"/>
          <w:szCs w:val="20"/>
          <w:color w:val="231F20"/>
        </w:rPr>
      </w:pPr>
    </w:p>
    <w:p>
      <w:pPr>
        <w:ind w:left="980" w:right="320" w:hanging="490"/>
        <w:spacing w:after="0" w:line="276" w:lineRule="auto"/>
        <w:tabs>
          <w:tab w:leader="none" w:pos="980" w:val="left"/>
        </w:tabs>
        <w:numPr>
          <w:ilvl w:val="0"/>
          <w:numId w:val="47"/>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Any of the foregoing could have a material adverse effect on our business, financial condition and results of operations.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10440"/>
          </w:cols>
          <w:pgMar w:left="900" w:top="796" w:right="540" w:bottom="0" w:gutter="0" w:footer="0" w:header="0"/>
          <w:type w:val="continuous"/>
        </w:sectPr>
      </w:pPr>
    </w:p>
    <w:bookmarkStart w:id="102" w:name="page103"/>
    <w:bookmarkEnd w:id="102"/>
    <w:p>
      <w:pPr>
        <w:ind w:left="480" w:right="4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8" w:lineRule="exact"/>
        <w:rPr>
          <w:sz w:val="20"/>
          <w:szCs w:val="20"/>
          <w:color w:val="auto"/>
        </w:rPr>
      </w:pPr>
    </w:p>
    <w:p>
      <w:pPr>
        <w:ind w:right="100" w:firstLine="490"/>
        <w:spacing w:after="0" w:line="238" w:lineRule="auto"/>
        <w:rPr>
          <w:sz w:val="20"/>
          <w:szCs w:val="20"/>
          <w:color w:val="auto"/>
        </w:rPr>
      </w:pPr>
      <w:r>
        <w:rPr>
          <w:rFonts w:ascii="Times New Roman" w:cs="Times New Roman" w:eastAsia="Times New Roman" w:hAnsi="Times New Roman"/>
          <w:sz w:val="20"/>
          <w:szCs w:val="20"/>
          <w:color w:val="231F20"/>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00" w:lineRule="exact"/>
        <w:rPr>
          <w:sz w:val="20"/>
          <w:szCs w:val="20"/>
          <w:color w:val="auto"/>
        </w:rPr>
      </w:pPr>
    </w:p>
    <w:p>
      <w:pPr>
        <w:ind w:right="40" w:firstLine="490"/>
        <w:spacing w:after="0" w:line="239" w:lineRule="auto"/>
        <w:rPr>
          <w:sz w:val="20"/>
          <w:szCs w:val="20"/>
          <w:color w:val="auto"/>
        </w:rPr>
      </w:pPr>
      <w:r>
        <w:rPr>
          <w:rFonts w:ascii="Times New Roman" w:cs="Times New Roman" w:eastAsia="Times New Roman" w:hAnsi="Times New Roman"/>
          <w:sz w:val="20"/>
          <w:szCs w:val="20"/>
          <w:color w:val="231F20"/>
        </w:rPr>
        <w:t>In addition, to the extent we use open source technologies or licensed third-party technologies in our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319" w:lineRule="exact"/>
        <w:rPr>
          <w:sz w:val="20"/>
          <w:szCs w:val="20"/>
          <w:color w:val="auto"/>
        </w:rPr>
      </w:pPr>
    </w:p>
    <w:p>
      <w:pPr>
        <w:ind w:left="480" w:right="140"/>
        <w:spacing w:after="0" w:line="270" w:lineRule="auto"/>
        <w:rPr>
          <w:sz w:val="20"/>
          <w:szCs w:val="20"/>
          <w:color w:val="auto"/>
        </w:rPr>
      </w:pPr>
      <w:r>
        <w:rPr>
          <w:rFonts w:ascii="Times New Roman" w:cs="Times New Roman" w:eastAsia="Times New Roman" w:hAnsi="Times New Roman"/>
          <w:sz w:val="20"/>
          <w:szCs w:val="20"/>
          <w:b w:val="1"/>
          <w:bCs w:val="1"/>
          <w:i w:val="1"/>
          <w:iCs w:val="1"/>
          <w:color w:val="231F20"/>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49"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231F20"/>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w:t>
      </w:r>
    </w:p>
    <w:p>
      <w:pPr>
        <w:spacing w:after="0" w:line="206"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231F20"/>
        </w:rPr>
        <w:t>Further, on July 12, 2024, the AI Act was published in the Official Journal of the European Union and will follow a phased implementation process with the bulk of its requirements currently scheduled to become applicable from August 2, 2026, including the core of various requirements relevant to the “high-risk” AI systems referred to below (although, based upon certain targeted amendments suggested by the European Commission as part of its Digital Omnibus Regulation Proposal, the implementation date of such requirements may be delayed to a later date). The AI Act will establish, among other things, a risk-based governance framework for regulating AI systems in the EU. This framework would categorize AI systems, based largely on</w:t>
      </w:r>
    </w:p>
    <w:p>
      <w:pPr>
        <w:sectPr>
          <w:pgSz w:w="11880" w:h="15480" w:orient="portrait"/>
          <w:cols w:equalWidth="0" w:num="1">
            <w:col w:w="10440"/>
          </w:cols>
          <w:pgMar w:left="900" w:top="796" w:right="540" w:bottom="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10440"/>
          </w:cols>
          <w:pgMar w:left="900" w:top="796" w:right="540" w:bottom="0" w:gutter="0" w:footer="0" w:header="0"/>
          <w:type w:val="continuous"/>
        </w:sectPr>
      </w:pPr>
    </w:p>
    <w:bookmarkStart w:id="103" w:name="page104"/>
    <w:bookmarkEnd w:id="103"/>
    <w:p>
      <w:pPr>
        <w:spacing w:after="0" w:line="241" w:lineRule="auto"/>
        <w:rPr>
          <w:sz w:val="20"/>
          <w:szCs w:val="20"/>
          <w:color w:val="auto"/>
        </w:rPr>
      </w:pPr>
      <w:r>
        <w:rPr>
          <w:rFonts w:ascii="Times New Roman" w:cs="Times New Roman" w:eastAsia="Times New Roman" w:hAnsi="Times New Roman"/>
          <w:sz w:val="20"/>
          <w:szCs w:val="20"/>
          <w:color w:val="231F20"/>
        </w:rPr>
        <w:t>the risks associated with such AI systems’ intended purposes or their capabilities, for example, prohibiting certain “unacceptable” AI practices, classifying certain AI systems as “high-risk” systems that must meet stringent compliance requirements (including various transparency, conformity and risk assessment, monitoring, and human oversight requirements), introducing specific compliance obligations for certain “general-purpose AI systems” (more commonly known as foundation models) with all other AI systems being considered either limited risk (requiring primarily adherence to certain transparency requirements) or low risk. There is a risk that our use of AI may obligate us to comply with the applicable requirements of the AI Act, which may impose additional costs on us, increase our risk of liability or adversely affect our business.</w:t>
      </w:r>
    </w:p>
    <w:p>
      <w:pPr>
        <w:spacing w:after="0" w:line="201" w:lineRule="exact"/>
        <w:rPr>
          <w:sz w:val="20"/>
          <w:szCs w:val="20"/>
          <w:color w:val="auto"/>
        </w:rPr>
      </w:pPr>
    </w:p>
    <w:p>
      <w:pPr>
        <w:ind w:right="160" w:firstLine="490"/>
        <w:spacing w:after="0" w:line="241" w:lineRule="auto"/>
        <w:rPr>
          <w:sz w:val="20"/>
          <w:szCs w:val="20"/>
          <w:color w:val="auto"/>
        </w:rPr>
      </w:pPr>
      <w:r>
        <w:rPr>
          <w:rFonts w:ascii="Times New Roman" w:cs="Times New Roman" w:eastAsia="Times New Roman" w:hAnsi="Times New Roman"/>
          <w:sz w:val="20"/>
          <w:szCs w:val="20"/>
          <w:color w:val="231F20"/>
        </w:rPr>
        <w:t>On December 11, 2025, President Trump signed an executive order titled “Ensuring a National Policy Framework for Artificial Intelligence.” The order directs federal agencies to challenge and preempt AI state AI laws that are inconsistent with federal policy. The order’s primary goal is to replace a patchwork of varying state regulations with a single, minimally burdensome federal standard. Due to the uncertainty in the regulatory framework, and the potential that 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Convertible Notes</w:t>
      </w:r>
    </w:p>
    <w:p>
      <w:pPr>
        <w:spacing w:after="0" w:line="120" w:lineRule="exact"/>
        <w:rPr>
          <w:sz w:val="20"/>
          <w:szCs w:val="20"/>
          <w:color w:val="auto"/>
        </w:rPr>
      </w:pPr>
    </w:p>
    <w:p>
      <w:pPr>
        <w:ind w:left="480" w:right="320"/>
        <w:spacing w:after="0" w:line="254" w:lineRule="auto"/>
        <w:rPr>
          <w:sz w:val="20"/>
          <w:szCs w:val="20"/>
          <w:color w:val="auto"/>
        </w:rPr>
      </w:pPr>
      <w:r>
        <w:rPr>
          <w:rFonts w:ascii="Times New Roman" w:cs="Times New Roman" w:eastAsia="Times New Roman" w:hAnsi="Times New Roman"/>
          <w:sz w:val="20"/>
          <w:szCs w:val="20"/>
          <w:b w:val="1"/>
          <w:bCs w:val="1"/>
          <w:i w:val="1"/>
          <w:iCs w:val="1"/>
          <w:color w:val="231F20"/>
        </w:rPr>
        <w:t>Our Notes and the issuance of shares of our Class A common stock upon conversion of the Notes, if any, may impact our financial results, result in dilution to our stockholders, create downward pressure on the price of our Class A common stock, and restrict our ability to raise additional capital or to engage in a beneficial takeover.</w:t>
      </w:r>
    </w:p>
    <w:p>
      <w:pPr>
        <w:spacing w:after="0" w:line="66" w:lineRule="exact"/>
        <w:rPr>
          <w:sz w:val="20"/>
          <w:szCs w:val="20"/>
          <w:color w:val="auto"/>
        </w:rPr>
      </w:pPr>
    </w:p>
    <w:p>
      <w:pPr>
        <w:ind w:right="180" w:firstLine="490"/>
        <w:spacing w:after="0" w:line="273" w:lineRule="auto"/>
        <w:rPr>
          <w:sz w:val="20"/>
          <w:szCs w:val="20"/>
          <w:color w:val="auto"/>
        </w:rPr>
      </w:pPr>
      <w:r>
        <w:rPr>
          <w:rFonts w:ascii="Times New Roman" w:cs="Times New Roman" w:eastAsia="Times New Roman" w:hAnsi="Times New Roman"/>
          <w:sz w:val="20"/>
          <w:szCs w:val="20"/>
          <w:color w:val="231F20"/>
        </w:rPr>
        <w:t>In July 2025, we issued $750.0 million in aggregate principal amount of Notes. We are subject to a variety of risks related to the Notes, such as:</w:t>
      </w:r>
    </w:p>
    <w:p>
      <w:pPr>
        <w:spacing w:after="0" w:line="66" w:lineRule="exact"/>
        <w:rPr>
          <w:sz w:val="20"/>
          <w:szCs w:val="20"/>
          <w:color w:val="auto"/>
        </w:rPr>
      </w:pPr>
    </w:p>
    <w:p>
      <w:pPr>
        <w:jc w:val="both"/>
        <w:ind w:left="980" w:right="560" w:hanging="490"/>
        <w:spacing w:after="0" w:line="258"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servicing our debt requires a certain level of cash flow or financing from other sources, and our ability to make scheduled payments of the principal and interest, or to refinance or repurchase our Notes depends on our future performance, which is subject to economic, financial, competitive and other factors beyond our control;</w:t>
      </w:r>
    </w:p>
    <w:p>
      <w:pPr>
        <w:spacing w:after="0" w:line="81" w:lineRule="exact"/>
        <w:rPr>
          <w:rFonts w:ascii="Arial" w:cs="Arial" w:eastAsia="Arial" w:hAnsi="Arial"/>
          <w:sz w:val="20"/>
          <w:szCs w:val="20"/>
          <w:color w:val="231F20"/>
        </w:rPr>
      </w:pPr>
    </w:p>
    <w:p>
      <w:pPr>
        <w:jc w:val="both"/>
        <w:ind w:left="980" w:right="80" w:hanging="490"/>
        <w:spacing w:after="0" w:line="258"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refinance or repurchase our indebtedness will depend on the capital markets and our financial condition at such time, and if we are unable to engage in any of these activities or engage in these activities on desirable terms, we may be unable to meet the obligations of our Notes;</w:t>
      </w:r>
    </w:p>
    <w:p>
      <w:pPr>
        <w:spacing w:after="0" w:line="81"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deliver cash to noteholders upon conversion of their Notes, the payment of cash could adversely affect our liquidity;</w:t>
      </w:r>
    </w:p>
    <w:p>
      <w:pPr>
        <w:spacing w:after="0" w:line="64" w:lineRule="exact"/>
        <w:rPr>
          <w:rFonts w:ascii="Arial" w:cs="Arial" w:eastAsia="Arial" w:hAnsi="Arial"/>
          <w:sz w:val="20"/>
          <w:szCs w:val="20"/>
          <w:color w:val="231F20"/>
        </w:rPr>
      </w:pPr>
    </w:p>
    <w:p>
      <w:pPr>
        <w:ind w:left="980" w:right="200" w:hanging="490"/>
        <w:spacing w:after="0" w:line="258"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if shares of our Class A common stock are issued to the holders of the Notes upon conversion, there will be dilution to our stockholders’ equity and the market price of our Class A common stock may decrease due to the additional selling pressure in the market;</w:t>
      </w:r>
    </w:p>
    <w:p>
      <w:pPr>
        <w:spacing w:after="0" w:line="81" w:lineRule="exact"/>
        <w:rPr>
          <w:rFonts w:ascii="Arial" w:cs="Arial" w:eastAsia="Arial" w:hAnsi="Arial"/>
          <w:sz w:val="20"/>
          <w:szCs w:val="20"/>
          <w:color w:val="231F20"/>
        </w:rPr>
      </w:pPr>
    </w:p>
    <w:p>
      <w:pPr>
        <w:ind w:left="980" w:right="580" w:hanging="490"/>
        <w:spacing w:after="0" w:line="276"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certain provisions in the indentures governing the Notes may delay or prevent an otherwise beneficial takeover attempt of us; and</w:t>
      </w:r>
    </w:p>
    <w:p>
      <w:pPr>
        <w:spacing w:after="0" w:line="64" w:lineRule="exact"/>
        <w:rPr>
          <w:rFonts w:ascii="Arial" w:cs="Arial" w:eastAsia="Arial" w:hAnsi="Arial"/>
          <w:sz w:val="20"/>
          <w:szCs w:val="20"/>
          <w:color w:val="231F20"/>
        </w:rPr>
      </w:pPr>
    </w:p>
    <w:p>
      <w:pPr>
        <w:ind w:left="980" w:right="40" w:hanging="490"/>
        <w:spacing w:after="0" w:line="247" w:lineRule="auto"/>
        <w:tabs>
          <w:tab w:leader="none" w:pos="980" w:val="left"/>
        </w:tabs>
        <w:numPr>
          <w:ilvl w:val="0"/>
          <w:numId w:val="4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from time to time seek to retire or purchase our outstanding debt, including the Notes, through cash purchases and/or exchanges for other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315" w:lineRule="exact"/>
        <w:rPr>
          <w:sz w:val="20"/>
          <w:szCs w:val="20"/>
          <w:color w:val="auto"/>
        </w:rPr>
      </w:pPr>
    </w:p>
    <w:p>
      <w:pPr>
        <w:ind w:left="480" w:right="60"/>
        <w:spacing w:after="0" w:line="273" w:lineRule="auto"/>
        <w:rPr>
          <w:sz w:val="20"/>
          <w:szCs w:val="20"/>
          <w:color w:val="auto"/>
        </w:rPr>
      </w:pPr>
      <w:r>
        <w:rPr>
          <w:rFonts w:ascii="Times New Roman" w:cs="Times New Roman" w:eastAsia="Times New Roman" w:hAnsi="Times New Roman"/>
          <w:sz w:val="20"/>
          <w:szCs w:val="20"/>
          <w:b w:val="1"/>
          <w:bCs w:val="1"/>
          <w:i w:val="1"/>
          <w:iCs w:val="1"/>
          <w:color w:val="231F20"/>
        </w:rPr>
        <w:t>The conditional conversion feature of the Notes, if triggered, may adversely affect our financial condition and operating results.</w:t>
      </w:r>
    </w:p>
    <w:p>
      <w:pPr>
        <w:spacing w:after="0" w:line="4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ectPr>
          <w:pgSz w:w="11880" w:h="15480" w:orient="portrait"/>
          <w:cols w:equalWidth="0" w:num="1">
            <w:col w:w="10440"/>
          </w:cols>
          <w:pgMar w:left="900" w:top="79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10440"/>
          </w:cols>
          <w:pgMar w:left="900" w:top="792" w:right="540" w:bottom="0" w:gutter="0" w:footer="0" w:header="0"/>
          <w:type w:val="continuous"/>
        </w:sectPr>
      </w:pPr>
    </w:p>
    <w:bookmarkStart w:id="104" w:name="page105"/>
    <w:bookmarkEnd w:id="104"/>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The Capped Call may affect the value of the Notes and our Class A common stock.</w:t>
      </w:r>
    </w:p>
    <w:p>
      <w:pPr>
        <w:spacing w:after="0" w:line="115" w:lineRule="exact"/>
        <w:rPr>
          <w:sz w:val="20"/>
          <w:szCs w:val="20"/>
          <w:color w:val="auto"/>
        </w:rPr>
      </w:pPr>
    </w:p>
    <w:p>
      <w:pPr>
        <w:ind w:right="180" w:firstLine="490"/>
        <w:spacing w:after="0" w:line="242" w:lineRule="auto"/>
        <w:rPr>
          <w:sz w:val="20"/>
          <w:szCs w:val="20"/>
          <w:color w:val="auto"/>
        </w:rPr>
      </w:pPr>
      <w:r>
        <w:rPr>
          <w:rFonts w:ascii="Times New Roman" w:cs="Times New Roman" w:eastAsia="Times New Roman" w:hAnsi="Times New Roman"/>
          <w:sz w:val="20"/>
          <w:szCs w:val="20"/>
          <w:color w:val="231F20"/>
        </w:rPr>
        <w:t>In connection with the issuance of the Notes, we entered into capped call transactions, or the Capped Call, with one of the initial purchasers and certain other financial institutions, or the option counterparties. The Capped Call cover, subject to customary adjustments, the number of shares of our Class A common stock initially underlying the Notes. The Capped Call Transactions are expected generally to reduce the potential dilution to our Class A common stock upon any conversion of Notes and/or offset any cash payments we are required to make in excess of the principal amount of converted Notes, as the case may be, with such reduction and/or offset subject to a cap.</w:t>
      </w:r>
    </w:p>
    <w:p>
      <w:pPr>
        <w:spacing w:after="0" w:line="81"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231F20"/>
        </w:rPr>
        <w:t>In connection with establishing their initial hedges of the Capped Call the option counterparties or their respective affiliates likely entered into various derivative transactions with respect to our Class A common stock and/or purchased shares of our Class A common stock concurrently with or shortly after the pricing of the Notes, including with, or from, as the case may be, certain investors in the Notes. 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issuance of the Notes and prior to the maturity of the Notes (and are likely to do so during the 20 trading day period beginning on the 21st scheduled trading day prior to the maturity date of the Notes, or, to the extent we exercise the relevant election under the Capped Call, following any repurchase, redemption, or conversion of the Notes). 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 and the value of the Notes.</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counterparty risk with respect to the Capped Call.</w:t>
      </w:r>
    </w:p>
    <w:p>
      <w:pPr>
        <w:spacing w:after="0" w:line="116" w:lineRule="exact"/>
        <w:rPr>
          <w:sz w:val="20"/>
          <w:szCs w:val="20"/>
          <w:color w:val="auto"/>
        </w:rPr>
      </w:pPr>
    </w:p>
    <w:p>
      <w:pPr>
        <w:ind w:right="220" w:firstLine="490"/>
        <w:spacing w:after="0" w:line="273" w:lineRule="auto"/>
        <w:rPr>
          <w:sz w:val="20"/>
          <w:szCs w:val="20"/>
          <w:color w:val="auto"/>
        </w:rPr>
      </w:pPr>
      <w:r>
        <w:rPr>
          <w:rFonts w:ascii="Times New Roman" w:cs="Times New Roman" w:eastAsia="Times New Roman" w:hAnsi="Times New Roman"/>
          <w:sz w:val="20"/>
          <w:szCs w:val="20"/>
          <w:color w:val="231F20"/>
        </w:rPr>
        <w:t>The option counterparties are financial institutions, and we will be subject to the risk that any or all of them might default under the Capped Call. Our exposure to the credit risk of the option counterparties will not be secured by any collateral.</w:t>
      </w:r>
    </w:p>
    <w:p>
      <w:pPr>
        <w:spacing w:after="0" w:line="48" w:lineRule="exact"/>
        <w:rPr>
          <w:sz w:val="20"/>
          <w:szCs w:val="20"/>
          <w:color w:val="auto"/>
        </w:rPr>
      </w:pPr>
    </w:p>
    <w:p>
      <w:pPr>
        <w:ind w:right="60" w:firstLine="490"/>
        <w:spacing w:after="0"/>
        <w:rPr>
          <w:sz w:val="20"/>
          <w:szCs w:val="20"/>
          <w:color w:val="auto"/>
        </w:rPr>
      </w:pPr>
      <w:r>
        <w:rPr>
          <w:rFonts w:ascii="Times New Roman" w:cs="Times New Roman" w:eastAsia="Times New Roman" w:hAnsi="Times New Roman"/>
          <w:sz w:val="20"/>
          <w:szCs w:val="20"/>
          <w:color w:val="231F20"/>
        </w:rPr>
        <w:t>Global economic conditions have from time to time resulted in the actual or perceived failure or financial difficulties of many financial institutions and could adversely affect the option counterparties’ performance under the Capped Call.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83" w:lineRule="exact"/>
        <w:rPr>
          <w:sz w:val="20"/>
          <w:szCs w:val="20"/>
          <w:color w:val="auto"/>
        </w:rPr>
      </w:pPr>
    </w:p>
    <w:p>
      <w:pPr>
        <w:jc w:val="both"/>
        <w:ind w:right="80" w:firstLine="490"/>
        <w:spacing w:after="0" w:line="247" w:lineRule="auto"/>
        <w:rPr>
          <w:sz w:val="20"/>
          <w:szCs w:val="20"/>
          <w:color w:val="auto"/>
        </w:rPr>
      </w:pPr>
      <w:r>
        <w:rPr>
          <w:rFonts w:ascii="Times New Roman" w:cs="Times New Roman" w:eastAsia="Times New Roman" w:hAnsi="Times New Roman"/>
          <w:sz w:val="20"/>
          <w:szCs w:val="20"/>
          <w:color w:val="231F20"/>
        </w:rPr>
        <w:t>In addition, the terms of the Capped Call may be subject to adjustment, modification or, in some cases, renegotiation in the event of certain corporate and other transactions. The Capped Call may not operate as we intend in the event that we are required to adjust the terms of such instruments as a result of transactions in the future or in the event of other unanticipated developments that may adversely affect the functioning of the Capped Call.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Class A Common Stock</w:t>
      </w:r>
    </w:p>
    <w:p>
      <w:pPr>
        <w:spacing w:after="0" w:line="119" w:lineRule="exact"/>
        <w:rPr>
          <w:sz w:val="20"/>
          <w:szCs w:val="20"/>
          <w:color w:val="auto"/>
        </w:rPr>
      </w:pPr>
    </w:p>
    <w:p>
      <w:pPr>
        <w:ind w:left="480" w:right="300"/>
        <w:spacing w:after="0" w:line="273" w:lineRule="auto"/>
        <w:rPr>
          <w:sz w:val="20"/>
          <w:szCs w:val="20"/>
          <w:color w:val="auto"/>
        </w:rPr>
      </w:pPr>
      <w:r>
        <w:rPr>
          <w:rFonts w:ascii="Times New Roman" w:cs="Times New Roman" w:eastAsia="Times New Roman" w:hAnsi="Times New Roman"/>
          <w:sz w:val="20"/>
          <w:szCs w:val="20"/>
          <w:b w:val="1"/>
          <w:bCs w:val="1"/>
          <w:i w:val="1"/>
          <w:iCs w:val="1"/>
          <w:color w:val="231F20"/>
        </w:rPr>
        <w:t>The dual class structure of our common stock has the effect of concentrating voting control with our Chief Executive Officer, Founder and Chairman, which will limit your ability to influence the outcome of important decisions.</w:t>
      </w:r>
    </w:p>
    <w:p>
      <w:pPr>
        <w:spacing w:after="0" w:line="48"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231F20"/>
        </w:rPr>
        <w:t>Our Class B common stock has 30 votes per share and our Class A common stock has one vote per share. As of December 31, 2025, our Chief Executive Officer, Founder, and Chairman, Eric Lefkofsky, who, collectively with his controlled entities, holds all our outstanding shares of Class B common stock, beneficially owned shares representing approximately 58.2% of the voting power of our outstanding capital stock. As a result, Mr. Lefkofsky has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limits the ability of other stockholders to influence corporate matters and may cause us to make strategic decisions that could involve risks to you or that may not be aligned with your interests. In addition, Mr. Lefkofsky serves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ectPr>
          <w:pgSz w:w="11880" w:h="15480" w:orient="portrait"/>
          <w:cols w:equalWidth="0" w:num="1">
            <w:col w:w="10440"/>
          </w:cols>
          <w:pgMar w:left="900" w:top="79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10440"/>
          </w:cols>
          <w:pgMar w:left="900" w:top="792" w:right="540" w:bottom="0" w:gutter="0" w:footer="0" w:header="0"/>
          <w:type w:val="continuous"/>
        </w:sectPr>
      </w:pPr>
    </w:p>
    <w:bookmarkStart w:id="105" w:name="page106"/>
    <w:bookmarkEnd w:id="105"/>
    <w:p>
      <w:pPr>
        <w:ind w:left="480" w:right="380"/>
        <w:spacing w:after="0" w:line="273" w:lineRule="auto"/>
        <w:rPr>
          <w:sz w:val="20"/>
          <w:szCs w:val="20"/>
          <w:color w:val="auto"/>
        </w:rPr>
      </w:pPr>
      <w:r>
        <w:rPr>
          <w:rFonts w:ascii="Times New Roman" w:cs="Times New Roman" w:eastAsia="Times New Roman" w:hAnsi="Times New Roman"/>
          <w:sz w:val="20"/>
          <w:szCs w:val="20"/>
          <w:b w:val="1"/>
          <w:bCs w:val="1"/>
          <w:i w:val="1"/>
          <w:iCs w:val="1"/>
          <w:color w:val="231F20"/>
        </w:rPr>
        <w:t>We have not elected to take advantage of the “controlled company” exemption to the corporate governance rules for publicly listed companies but may do so in the future.</w:t>
      </w:r>
    </w:p>
    <w:p>
      <w:pPr>
        <w:spacing w:after="0" w:line="48" w:lineRule="exact"/>
        <w:rPr>
          <w:sz w:val="20"/>
          <w:szCs w:val="20"/>
          <w:color w:val="auto"/>
        </w:rPr>
      </w:pPr>
    </w:p>
    <w:p>
      <w:pPr>
        <w:ind w:right="80" w:firstLine="490"/>
        <w:spacing w:after="0"/>
        <w:rPr>
          <w:sz w:val="20"/>
          <w:szCs w:val="20"/>
          <w:color w:val="auto"/>
        </w:rPr>
      </w:pPr>
      <w:r>
        <w:rPr>
          <w:rFonts w:ascii="Times New Roman" w:cs="Times New Roman" w:eastAsia="Times New Roman" w:hAnsi="Times New Roman"/>
          <w:sz w:val="20"/>
          <w:szCs w:val="20"/>
          <w:color w:val="231F20"/>
        </w:rPr>
        <w:t>Because our Chief Executive Officer, Founder, and Chairman, Eric Lefkofsky, who, collectively with his controlled entities, holds all our outstanding shares of Class B common stock, beneficially owns shares representing in excess of 50% of the voting power of our outstanding capital stock,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We cannot predict the impact our dual class structure may have on the market price of our Class A common stock.</w:t>
      </w:r>
    </w:p>
    <w:p>
      <w:pPr>
        <w:spacing w:after="0" w:line="115"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231F20"/>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An active public trading market for our Class A common stock may not continue to develop or be sustained.</w:t>
      </w:r>
    </w:p>
    <w:p>
      <w:pPr>
        <w:spacing w:after="0" w:line="115"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31F20"/>
        </w:rPr>
        <w:t>Prior to the IPO, there was no public market for our Class A common stock. An active public trading market for our Class A common stock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322" w:lineRule="exact"/>
        <w:rPr>
          <w:sz w:val="20"/>
          <w:szCs w:val="20"/>
          <w:color w:val="auto"/>
        </w:rPr>
      </w:pPr>
    </w:p>
    <w:p>
      <w:pPr>
        <w:ind w:left="480"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Future sales of our Class A common stock in the public market could cause the market price of our Class A common stock to decline.</w:t>
      </w:r>
    </w:p>
    <w:p>
      <w:pPr>
        <w:spacing w:after="0" w:line="49"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231F20"/>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All of the Class A common stock sold in our IPO is freely tradable without restrictions or further registration under the Securities Act, except for any shares held by our affiliates as defined in Rule 144 under the Securities Act, or Rule 144. In addition, the lockup and market standoff agreements entered into in connection with our IPO expired on December 10, 2024. We are unable to predict the timing of or the effect that such sales may have on the prevailing market price of our Class A common stock.</w:t>
      </w:r>
    </w:p>
    <w:p>
      <w:pPr>
        <w:spacing w:after="0" w:line="187"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Sales, short sales, or hedging transactions involving our equity securities, whether or not we believe them to be prohibited, could adversely affect the price of our Class A common stock.</w:t>
      </w:r>
    </w:p>
    <w:p>
      <w:pPr>
        <w:spacing w:after="0" w:line="289" w:lineRule="exact"/>
        <w:rPr>
          <w:sz w:val="20"/>
          <w:szCs w:val="20"/>
          <w:color w:val="auto"/>
        </w:rPr>
      </w:pPr>
    </w:p>
    <w:p>
      <w:pPr>
        <w:ind w:left="480"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do not intend to pay dividends for the foreseeable future and, as a result, your ability to achieve a return on your investment will depend on appreciation in the price of our Class A common stock.</w:t>
      </w:r>
    </w:p>
    <w:p>
      <w:pPr>
        <w:spacing w:after="0" w:line="49"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ectPr>
          <w:pgSz w:w="11880" w:h="15480" w:orient="portrait"/>
          <w:cols w:equalWidth="0" w:num="1">
            <w:col w:w="10420"/>
          </w:cols>
          <w:pgMar w:left="900" w:top="79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10420"/>
          </w:cols>
          <w:pgMar w:left="900" w:top="792" w:right="560" w:bottom="0" w:gutter="0" w:footer="0" w:header="0"/>
          <w:type w:val="continuous"/>
        </w:sectPr>
      </w:pPr>
    </w:p>
    <w:bookmarkStart w:id="106" w:name="page107"/>
    <w:bookmarkEnd w:id="106"/>
    <w:p>
      <w:pPr>
        <w:ind w:left="480"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Anti-takeover provisions in our articles of incorporation and under Nevada law could make an acquisition of our company more difficult, limit attempts by our stockholders to replace or remove our current management and limit the market price of our Class A common stock.</w:t>
      </w:r>
    </w:p>
    <w:p>
      <w:pPr>
        <w:spacing w:after="0" w:line="6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addition to the effects of our dual class structure, provisions in our articles of incorporation and amended and restated bylaws may have the effect of delaying or preventing a change in control or changes in our management. Our articles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addition, 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subject to certain exceptions, even if a change of control would be beneficial to our existing stockholders.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314" w:lineRule="exact"/>
        <w:rPr>
          <w:sz w:val="20"/>
          <w:szCs w:val="20"/>
          <w:color w:val="auto"/>
        </w:rPr>
      </w:pPr>
    </w:p>
    <w:p>
      <w:pPr>
        <w:ind w:left="480" w:right="180"/>
        <w:spacing w:after="0" w:line="245" w:lineRule="auto"/>
        <w:rPr>
          <w:sz w:val="20"/>
          <w:szCs w:val="20"/>
          <w:color w:val="auto"/>
        </w:rPr>
      </w:pPr>
      <w:r>
        <w:rPr>
          <w:rFonts w:ascii="Times New Roman" w:cs="Times New Roman" w:eastAsia="Times New Roman" w:hAnsi="Times New Roman"/>
          <w:sz w:val="20"/>
          <w:szCs w:val="20"/>
          <w:b w:val="1"/>
          <w:bCs w:val="1"/>
          <w:i w:val="1"/>
          <w:iCs w:val="1"/>
          <w:color w:val="231F20"/>
        </w:rPr>
        <w:t>Our articles of incorporation provide that the courts in the State of Nevada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79"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Our articles of incorporation provide that the Eighth Judicial District Court of the State of Nevada be the exclusive forum for actions or proceedings brought under Nevada statutory or common law:</w:t>
      </w:r>
    </w:p>
    <w:p>
      <w:pPr>
        <w:spacing w:after="0" w:line="64" w:lineRule="exact"/>
        <w:rPr>
          <w:sz w:val="20"/>
          <w:szCs w:val="20"/>
          <w:color w:val="auto"/>
        </w:rPr>
      </w:pPr>
    </w:p>
    <w:p>
      <w:pPr>
        <w:ind w:left="980" w:hanging="490"/>
        <w:spacing w:after="0"/>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derivative action or proceeding brought on our behalf;</w:t>
      </w:r>
    </w:p>
    <w:p>
      <w:pPr>
        <w:spacing w:after="0" w:line="133"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asserting a claim of breach of a fiduciary duty owed to us or our stockholders by any of our current or former directors, officers or other employees, or any of our stockholders;</w:t>
      </w:r>
    </w:p>
    <w:p>
      <w:pPr>
        <w:spacing w:after="0" w:line="64" w:lineRule="exact"/>
        <w:rPr>
          <w:rFonts w:ascii="Arial" w:cs="Arial" w:eastAsia="Arial" w:hAnsi="Arial"/>
          <w:sz w:val="20"/>
          <w:szCs w:val="20"/>
          <w:color w:val="231F20"/>
        </w:rPr>
      </w:pPr>
    </w:p>
    <w:p>
      <w:pPr>
        <w:ind w:left="980" w:right="100" w:hanging="490"/>
        <w:spacing w:after="0" w:line="258"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asserting a claim against us or any of our current or former directors, officers or other employees, or any of our stockholders, arising pursuant to any provision of the Nevada Revised Statutes, our articles of incorporation or bylaws, as each may be amended from time to time;</w:t>
      </w:r>
    </w:p>
    <w:p>
      <w:pPr>
        <w:spacing w:after="0" w:line="81" w:lineRule="exact"/>
        <w:rPr>
          <w:rFonts w:ascii="Arial" w:cs="Arial" w:eastAsia="Arial" w:hAnsi="Arial"/>
          <w:sz w:val="20"/>
          <w:szCs w:val="20"/>
          <w:color w:val="231F20"/>
        </w:rPr>
      </w:pPr>
    </w:p>
    <w:p>
      <w:pPr>
        <w:ind w:left="980" w:right="540" w:hanging="490"/>
        <w:spacing w:after="0" w:line="276"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or proceeding to interpret, apply, enforce or determine the validity of our articles of incorporation or bylaws, including any right, obligation or remedy thereunder;</w:t>
      </w:r>
    </w:p>
    <w:p>
      <w:pPr>
        <w:spacing w:after="0" w:line="64" w:lineRule="exact"/>
        <w:rPr>
          <w:rFonts w:ascii="Arial" w:cs="Arial" w:eastAsia="Arial" w:hAnsi="Arial"/>
          <w:sz w:val="20"/>
          <w:szCs w:val="20"/>
          <w:color w:val="231F20"/>
        </w:rPr>
      </w:pPr>
    </w:p>
    <w:p>
      <w:pPr>
        <w:ind w:left="980" w:right="260" w:hanging="490"/>
        <w:spacing w:after="0" w:line="276"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internal action (as defined in NRS 78.046) and any action or proceeding as to which jurisdiction of the District Courts of the State of Nevada is conferred by Title 7 of the Nevada Revised Statutes; and</w:t>
      </w:r>
    </w:p>
    <w:p>
      <w:pPr>
        <w:spacing w:after="0" w:line="64"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49"/>
        </w:numPr>
        <w:rPr>
          <w:rFonts w:ascii="Arial" w:cs="Arial" w:eastAsia="Arial" w:hAnsi="Arial"/>
          <w:sz w:val="20"/>
          <w:szCs w:val="20"/>
          <w:color w:val="231F20"/>
        </w:rPr>
      </w:pPr>
      <w:r>
        <w:rPr>
          <w:rFonts w:ascii="Times New Roman" w:cs="Times New Roman" w:eastAsia="Times New Roman" w:hAnsi="Times New Roman"/>
          <w:sz w:val="20"/>
          <w:szCs w:val="20"/>
          <w:color w:val="231F20"/>
        </w:rPr>
        <w:t>any action asserting a claim against us or any of our directors, officers or other employees, or any of our stockholders, governed by the internal affairs doctrine, in all cases to the fullest extent permitted by law and subject to the court’s having personal jurisdiction over the indispensable parties named as defendant</w:t>
      </w:r>
    </w:p>
    <w:p>
      <w:pPr>
        <w:spacing w:after="0" w:line="182"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231F20"/>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articles of incorporation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19"/>
          <w:szCs w:val="19"/>
          <w:color w:val="231F20"/>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second amended and restated articles of incorporation or amended and restated bylaws to be inapplicable or</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10420"/>
          </w:cols>
          <w:pgMar w:left="900" w:top="796" w:right="560" w:bottom="0" w:gutter="0" w:footer="0" w:header="0"/>
          <w:type w:val="continuous"/>
        </w:sectPr>
      </w:pPr>
    </w:p>
    <w:bookmarkStart w:id="107" w:name="page108"/>
    <w:bookmarkEnd w:id="107"/>
    <w:p>
      <w:pPr>
        <w:ind w:right="100"/>
        <w:spacing w:after="0" w:line="270" w:lineRule="auto"/>
        <w:rPr>
          <w:sz w:val="20"/>
          <w:szCs w:val="20"/>
          <w:color w:val="auto"/>
        </w:rPr>
      </w:pPr>
      <w:r>
        <w:rPr>
          <w:rFonts w:ascii="Times New Roman" w:cs="Times New Roman" w:eastAsia="Times New Roman" w:hAnsi="Times New Roman"/>
          <w:sz w:val="20"/>
          <w:szCs w:val="20"/>
          <w:color w:val="231F20"/>
        </w:rPr>
        <w:t>unenforceable in an action, we may incur significant additional costs associated with resolving such action in other jurisdictions, all of which could harm our business, financial condition, and results of operations.</w:t>
      </w:r>
    </w:p>
    <w:p>
      <w:pPr>
        <w:spacing w:after="0" w:line="16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articles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stock price may be volatile, and the value of our Class A common stock may decline.</w:t>
      </w:r>
    </w:p>
    <w:p>
      <w:pPr>
        <w:spacing w:after="0" w:line="120"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31F20"/>
        </w:rPr>
        <w:t>The market price of our Class A common stock has been highly volatile, ranging from $22.89 to $103.25 per share since our IPO in June 2024. The price of our Class A common stock may fluctuate or decline substantially as a result of a variety of factors, some of which are beyond our control, including:</w:t>
      </w:r>
    </w:p>
    <w:p>
      <w:pPr>
        <w:spacing w:after="0" w:line="83" w:lineRule="exact"/>
        <w:rPr>
          <w:sz w:val="20"/>
          <w:szCs w:val="20"/>
          <w:color w:val="auto"/>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fluctuations in our financial condition or results of operations;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variance in our financial performance from expectations of securities analysts;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pricing of our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service or pay down existing or future debt obligations;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our projected operating and financial results;</w:t>
      </w:r>
    </w:p>
    <w:p>
      <w:pPr>
        <w:spacing w:after="0" w:line="133" w:lineRule="exact"/>
        <w:rPr>
          <w:rFonts w:ascii="Arial" w:cs="Arial" w:eastAsia="Arial" w:hAnsi="Arial"/>
          <w:sz w:val="20"/>
          <w:szCs w:val="20"/>
          <w:color w:val="231F20"/>
        </w:rPr>
      </w:pPr>
    </w:p>
    <w:p>
      <w:pPr>
        <w:ind w:left="980" w:right="20" w:hanging="490"/>
        <w:spacing w:after="0" w:line="276" w:lineRule="auto"/>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laws or regulations applicable to our Platform and products, including changes in the regulation of data or in the structure of healthcare payment systems;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by us or our competitors of significant business developments, acquisitions, or new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data breaches, disruptions to or other incidents involving our products;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involvement in litigation or governmental investigations;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sales of our Class A common stock by us or our stockholders;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senior management or key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issuance of new or changed securities analysts’ reports or recommendations;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the trading volume of our Class A common stock;</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anticipated future size and growth rate of our market;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0"/>
        </w:numPr>
        <w:rPr>
          <w:rFonts w:ascii="Arial" w:cs="Arial" w:eastAsia="Arial" w:hAnsi="Arial"/>
          <w:sz w:val="20"/>
          <w:szCs w:val="20"/>
          <w:color w:val="231F20"/>
        </w:rPr>
      </w:pPr>
      <w:r>
        <w:rPr>
          <w:rFonts w:ascii="Times New Roman" w:cs="Times New Roman" w:eastAsia="Times New Roman" w:hAnsi="Times New Roman"/>
          <w:sz w:val="20"/>
          <w:szCs w:val="20"/>
          <w:color w:val="231F20"/>
        </w:rPr>
        <w:t>economic and market conditions in general, or in our industry in particular.</w:t>
      </w:r>
    </w:p>
    <w:p>
      <w:pPr>
        <w:spacing w:after="0" w:line="23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317" w:lineRule="exact"/>
        <w:rPr>
          <w:sz w:val="20"/>
          <w:szCs w:val="20"/>
          <w:color w:val="auto"/>
        </w:rPr>
      </w:pPr>
    </w:p>
    <w:p>
      <w:pPr>
        <w:ind w:left="480"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securities or industry analysts do not publish research or publish unfavorable or inaccurate research about our business, the market price and trading volume of our Class A common stock could decline.</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The market price and trading volume of our Class A common stock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ectPr>
          <w:pgSz w:w="11880" w:h="15480" w:orient="portrait"/>
          <w:cols w:equalWidth="0" w:num="1">
            <w:col w:w="10380"/>
          </w:cols>
          <w:pgMar w:left="900" w:top="79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10380"/>
          </w:cols>
          <w:pgMar w:left="900" w:top="790" w:right="60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business could be adversely affected by the effects of health pandemics or epidemics.</w:t>
      </w:r>
    </w:p>
    <w:p>
      <w:pPr>
        <w:spacing w:after="0" w:line="120"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color w:val="231F20"/>
        </w:rPr>
        <w:t>Our business could be adversely affected by the effects of health pandemics or epidemics. For example, the COVID-19 global pandemic and the various attempts throughout the world to contain it created significant volatility, uncertainty and disruption.</w:t>
      </w:r>
    </w:p>
    <w:p>
      <w:pPr>
        <w:spacing w:after="0" w:line="18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Our historic results such as revenue, operating margins, cash flows, tests performed, and other financial and operating metrics, may not be indicative of our results for future periods.</w:t>
      </w:r>
    </w:p>
    <w:p>
      <w:pPr>
        <w:spacing w:after="0" w:line="20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w:t>
      </w:r>
    </w:p>
    <w:p>
      <w:pPr>
        <w:spacing w:after="0" w:line="308" w:lineRule="exact"/>
        <w:rPr>
          <w:sz w:val="20"/>
          <w:szCs w:val="20"/>
          <w:color w:val="auto"/>
        </w:rPr>
      </w:pPr>
    </w:p>
    <w:p>
      <w:pPr>
        <w:ind w:left="480" w:right="260"/>
        <w:spacing w:after="0" w:line="278" w:lineRule="auto"/>
        <w:rPr>
          <w:sz w:val="20"/>
          <w:szCs w:val="20"/>
          <w:color w:val="auto"/>
        </w:rPr>
      </w:pPr>
      <w:r>
        <w:rPr>
          <w:rFonts w:ascii="Times New Roman" w:cs="Times New Roman" w:eastAsia="Times New Roman" w:hAnsi="Times New Roman"/>
          <w:sz w:val="19"/>
          <w:szCs w:val="19"/>
          <w:b w:val="1"/>
          <w:bCs w:val="1"/>
          <w:i w:val="1"/>
          <w:iCs w:val="1"/>
          <w:color w:val="231F20"/>
        </w:rPr>
        <w:t>We have and may in the future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5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w:t>
      </w:r>
    </w:p>
    <w:p>
      <w:pPr>
        <w:spacing w:after="0" w:line="92"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8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evaluate opportunities for transactions of these types from time to time. For example, on May 18, 2024, we entered into the Joint Venture Agreement, or the Joint Venture Agreement, with SoftBank Group Corporation, or SoftBank, to form SB Tempus Corp., the Joint Venture or SB Tempus. The Joint Venture closed on July 18, 2024, at which time we and SoftBank each contributed ¥15 billion ($95.2 million). Each party received 50% of SB Tempus’ outstanding capital stock and board seats. SB Tempus will engage in certain business activities in Japan similar to those conducted by us in the United States, including performing clinical sequencing, organizing patient data, and building a real world data business in Japan.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spacing w:after="0" w:line="20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addition, to finance any acquisitions, joint ventures or investments, we have in the past, and may in the future choose to issue shares of our Class A common stock as consideration, which would dilute the ownership of our stockholders. For example, in February 2025, we completed the acquisition of Ambry pursuant to which we issued an aggregate of 4,483,136 shares of our Class A common stock, and in August 2025, we completed the acquisition of Paige AI, Inc., pursuant to which we issued an aggregate of 1,256,977 shares of Class A common stock. If the price of Class A our common stock is low or volatile, we may not be able to acquire other companies or fund a joint venture project using our stock as consideration. In addition, we have in the past utilized, and may in the future utilize borrowings under the Credit Facilities to fund the cash consideration for acquisitions</w:t>
      </w:r>
    </w:p>
    <w:p>
      <w:pPr>
        <w:sectPr>
          <w:pgSz w:w="11880" w:h="15480" w:orient="portrait"/>
          <w:cols w:equalWidth="0" w:num="1">
            <w:col w:w="10440"/>
          </w:cols>
          <w:pgMar w:left="900" w:top="792" w:right="540" w:bottom="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10440"/>
          </w:cols>
          <w:pgMar w:left="900" w:top="792" w:right="540" w:bottom="0" w:gutter="0" w:footer="0" w:header="0"/>
          <w:type w:val="continuous"/>
        </w:sectPr>
      </w:pPr>
    </w:p>
    <w:bookmarkStart w:id="109" w:name="page110"/>
    <w:bookmarkEnd w:id="109"/>
    <w:p>
      <w:pPr>
        <w:ind w:right="80"/>
        <w:spacing w:after="0" w:line="277" w:lineRule="auto"/>
        <w:rPr>
          <w:sz w:val="20"/>
          <w:szCs w:val="20"/>
          <w:color w:val="auto"/>
        </w:rPr>
      </w:pPr>
      <w:r>
        <w:rPr>
          <w:rFonts w:ascii="Times New Roman" w:cs="Times New Roman" w:eastAsia="Times New Roman" w:hAnsi="Times New Roman"/>
          <w:sz w:val="20"/>
          <w:szCs w:val="20"/>
          <w:color w:val="231F20"/>
        </w:rPr>
        <w:t>and to pay fees and expenses related thereto. For future acquisitions, joint ventures or investments, there can be no assurance that additional funds will be available on terms that are favorable to us, or at all.</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use our net operating loss carryforwards and certain other tax attributes may be limited.</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w:t>
      </w:r>
    </w:p>
    <w:p>
      <w:pPr>
        <w:spacing w:after="0" w:line="330" w:lineRule="exact"/>
        <w:rPr>
          <w:sz w:val="20"/>
          <w:szCs w:val="20"/>
          <w:color w:val="auto"/>
        </w:rPr>
      </w:pPr>
    </w:p>
    <w:p>
      <w:pPr>
        <w:jc w:val="both"/>
        <w:ind w:left="480"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320" w:lineRule="exact"/>
        <w:rPr>
          <w:sz w:val="20"/>
          <w:szCs w:val="20"/>
          <w:color w:val="auto"/>
        </w:rPr>
      </w:pPr>
    </w:p>
    <w:p>
      <w:pPr>
        <w:jc w:val="both"/>
        <w:ind w:left="480"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322" w:lineRule="exact"/>
        <w:rPr>
          <w:sz w:val="20"/>
          <w:szCs w:val="20"/>
          <w:color w:val="auto"/>
        </w:rPr>
      </w:pPr>
    </w:p>
    <w:p>
      <w:pPr>
        <w:ind w:left="480"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w:t>
      </w:r>
    </w:p>
    <w:p>
      <w:pPr>
        <w:sectPr>
          <w:pgSz w:w="11880" w:h="15480" w:orient="portrait"/>
          <w:cols w:equalWidth="0" w:num="1">
            <w:col w:w="10420"/>
          </w:cols>
          <w:pgMar w:left="900" w:top="796" w:right="560" w:bottom="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10420"/>
          </w:cols>
          <w:pgMar w:left="900" w:top="796" w:right="560" w:bottom="0" w:gutter="0" w:footer="0" w:header="0"/>
          <w:type w:val="continuous"/>
        </w:sectPr>
      </w:pPr>
    </w:p>
    <w:bookmarkStart w:id="110" w:name="page111"/>
    <w:bookmarkEnd w:id="110"/>
    <w:p>
      <w:pPr>
        <w:ind w:right="100"/>
        <w:spacing w:after="0" w:line="247" w:lineRule="auto"/>
        <w:rPr>
          <w:sz w:val="20"/>
          <w:szCs w:val="20"/>
          <w:color w:val="auto"/>
        </w:rPr>
      </w:pPr>
      <w:r>
        <w:rPr>
          <w:rFonts w:ascii="Times New Roman" w:cs="Times New Roman" w:eastAsia="Times New Roman" w:hAnsi="Times New Roman"/>
          <w:sz w:val="20"/>
          <w:szCs w:val="20"/>
          <w:color w:val="231F20"/>
        </w:rPr>
        <w:t>investments in technology companies that has invested in us, and is a trustee of the Lefkofsky Family Foundation, Northwestern Medicine, and the Art Institute of Chicago, among others.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20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In addition, we depend on the services of our Chief Operating Officer, Ryan Fukushima, who was promoted to Chief Executive Officer, Data, effective February 20, 2026, and Tom Schoenherr, who was appointed Chief Executive Officer, Diagnostics, effective February 20, 2026. Mr. Fukushima is a co-Founder of Pathos AI, Inc. and currently devotes some of his professional time to Pathos.</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individual and collective efforts of Mr. Lefkofsky, Mr. Fukushima, Mr. Schoenherr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206"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Raleigh, Aliso Viejo and Minneapolis.</w:t>
      </w:r>
    </w:p>
    <w:p>
      <w:pPr>
        <w:spacing w:after="0" w:line="19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unless otherwise prohibited by applicable law.</w:t>
      </w:r>
    </w:p>
    <w:p>
      <w:pPr>
        <w:spacing w:after="0" w:line="20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8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In addition, any failure in our hiring practices, including insufficient background screening, misrepresentation of job roles, or recruiting under false pretenses, could expose us to operational disruptions, legal claims, regulatory investigations, and reputational harm. Litigation, regulatory enforcement actions, or other claims arising from employee misconduct or improper hiring practices could result in significant costs, management distraction, and damage to our brand, financial condition, and results of operations.</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7"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231F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10440"/>
          </w:cols>
          <w:pgMar w:left="900" w:top="796" w:right="540" w:bottom="0" w:gutter="0" w:footer="0" w:header="0"/>
          <w:type w:val="continuous"/>
        </w:sectPr>
      </w:pPr>
    </w:p>
    <w:bookmarkStart w:id="111" w:name="page112"/>
    <w:bookmarkEnd w:id="111"/>
    <w:p>
      <w:pPr>
        <w:ind w:left="480"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employees, principal investigators, consultants and commercial partners may engage in misconduct or other improper activities, including non-compliance with regulatory standards and requirements and insider trading.</w:t>
      </w:r>
    </w:p>
    <w:p>
      <w:pPr>
        <w:spacing w:after="0" w:line="49" w:lineRule="exact"/>
        <w:rPr>
          <w:sz w:val="20"/>
          <w:szCs w:val="20"/>
          <w:color w:val="auto"/>
        </w:rPr>
      </w:pPr>
    </w:p>
    <w:p>
      <w:pPr>
        <w:ind w:right="60" w:firstLine="490"/>
        <w:spacing w:after="0" w:line="241" w:lineRule="auto"/>
        <w:rPr>
          <w:sz w:val="20"/>
          <w:szCs w:val="20"/>
          <w:color w:val="auto"/>
        </w:rPr>
      </w:pPr>
      <w:r>
        <w:rPr>
          <w:rFonts w:ascii="Times New Roman" w:cs="Times New Roman" w:eastAsia="Times New Roman" w:hAnsi="Times New Roman"/>
          <w:sz w:val="20"/>
          <w:szCs w:val="20"/>
          <w:color w:val="231F20"/>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comparable foreign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3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Legal claims and proceedings could adversely impact our business.</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320" w:lineRule="exact"/>
        <w:rPr>
          <w:sz w:val="20"/>
          <w:szCs w:val="20"/>
          <w:color w:val="auto"/>
        </w:rPr>
      </w:pPr>
    </w:p>
    <w:p>
      <w:pPr>
        <w:ind w:left="480"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Certain of our officers, directors and principal stockholders may pursue corporate opportunities independent of us that could present conflicts with our and our stockholders’ interests.</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articles of incorporation provide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323" w:lineRule="exact"/>
        <w:rPr>
          <w:sz w:val="20"/>
          <w:szCs w:val="20"/>
          <w:color w:val="auto"/>
        </w:rPr>
      </w:pPr>
    </w:p>
    <w:p>
      <w:pPr>
        <w:ind w:left="480"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were to be sued for product liability or professional liability, we could face substantial liabilities that exceed our resources.</w:t>
      </w:r>
    </w:p>
    <w:p>
      <w:pPr>
        <w:spacing w:after="0" w:line="49"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w:t>
      </w:r>
    </w:p>
    <w:p>
      <w:pPr>
        <w:sectPr>
          <w:pgSz w:w="11880" w:h="15480" w:orient="portrait"/>
          <w:cols w:equalWidth="0" w:num="1">
            <w:col w:w="10440"/>
          </w:cols>
          <w:pgMar w:left="900" w:top="796" w:right="540" w:bottom="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10440"/>
          </w:cols>
          <w:pgMar w:left="900" w:top="796" w:right="540" w:bottom="0" w:gutter="0" w:footer="0" w:header="0"/>
          <w:type w:val="continuous"/>
        </w:sectPr>
      </w:pPr>
    </w:p>
    <w:bookmarkStart w:id="112" w:name="page113"/>
    <w:bookmarkEnd w:id="112"/>
    <w:p>
      <w:pPr>
        <w:ind w:right="40"/>
        <w:spacing w:after="0" w:line="258" w:lineRule="auto"/>
        <w:rPr>
          <w:sz w:val="20"/>
          <w:szCs w:val="20"/>
          <w:color w:val="auto"/>
        </w:rPr>
      </w:pPr>
      <w:r>
        <w:rPr>
          <w:rFonts w:ascii="Times New Roman" w:cs="Times New Roman" w:eastAsia="Times New Roman" w:hAnsi="Times New Roman"/>
          <w:sz w:val="20"/>
          <w:szCs w:val="20"/>
          <w:color w:val="231F20"/>
        </w:rPr>
        <w:t>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320" w:lineRule="exact"/>
        <w:rPr>
          <w:sz w:val="20"/>
          <w:szCs w:val="20"/>
          <w:color w:val="auto"/>
        </w:rPr>
      </w:pPr>
    </w:p>
    <w:p>
      <w:pPr>
        <w:jc w:val="both"/>
        <w:ind w:left="480" w:right="5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8"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231F20"/>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20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209"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209" w:lineRule="exact"/>
        <w:rPr>
          <w:sz w:val="20"/>
          <w:szCs w:val="20"/>
          <w:color w:val="auto"/>
        </w:rPr>
      </w:pPr>
    </w:p>
    <w:p>
      <w:pPr>
        <w:ind w:right="60" w:firstLine="490"/>
        <w:spacing w:after="0" w:line="261" w:lineRule="auto"/>
        <w:rPr>
          <w:sz w:val="20"/>
          <w:szCs w:val="20"/>
          <w:color w:val="auto"/>
        </w:rPr>
      </w:pPr>
      <w:r>
        <w:rPr>
          <w:rFonts w:ascii="Times New Roman" w:cs="Times New Roman" w:eastAsia="Times New Roman" w:hAnsi="Times New Roman"/>
          <w:sz w:val="19"/>
          <w:szCs w:val="19"/>
          <w:color w:val="231F20"/>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w:t>
      </w:r>
    </w:p>
    <w:p>
      <w:pPr>
        <w:sectPr>
          <w:pgSz w:w="11880" w:h="15480" w:orient="portrait"/>
          <w:cols w:equalWidth="0" w:num="1">
            <w:col w:w="10440"/>
          </w:cols>
          <w:pgMar w:left="900" w:top="796" w:right="540" w:bottom="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10440"/>
          </w:cols>
          <w:pgMar w:left="900" w:top="796" w:right="540" w:bottom="0" w:gutter="0" w:footer="0" w:header="0"/>
          <w:type w:val="continuous"/>
        </w:sectPr>
      </w:pPr>
    </w:p>
    <w:bookmarkStart w:id="113" w:name="page114"/>
    <w:bookmarkEnd w:id="113"/>
    <w:p>
      <w:pPr>
        <w:ind w:right="160"/>
        <w:spacing w:after="0" w:line="252" w:lineRule="auto"/>
        <w:rPr>
          <w:sz w:val="20"/>
          <w:szCs w:val="20"/>
          <w:color w:val="auto"/>
        </w:rPr>
      </w:pPr>
      <w:r>
        <w:rPr>
          <w:rFonts w:ascii="Times New Roman" w:cs="Times New Roman" w:eastAsia="Times New Roman" w:hAnsi="Times New Roman"/>
          <w:sz w:val="20"/>
          <w:szCs w:val="20"/>
          <w:color w:val="231F20"/>
        </w:rPr>
        <w:t>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313" w:lineRule="exact"/>
        <w:rPr>
          <w:sz w:val="20"/>
          <w:szCs w:val="20"/>
          <w:color w:val="auto"/>
        </w:rPr>
      </w:pPr>
    </w:p>
    <w:p>
      <w:pPr>
        <w:ind w:left="480" w:right="100"/>
        <w:spacing w:after="0"/>
        <w:rPr>
          <w:sz w:val="20"/>
          <w:szCs w:val="20"/>
          <w:color w:val="auto"/>
        </w:rPr>
      </w:pPr>
      <w:r>
        <w:rPr>
          <w:rFonts w:ascii="Times New Roman" w:cs="Times New Roman" w:eastAsia="Times New Roman" w:hAnsi="Times New Roman"/>
          <w:sz w:val="20"/>
          <w:szCs w:val="20"/>
          <w:b w:val="1"/>
          <w:bCs w:val="1"/>
          <w:i w:val="1"/>
          <w:iCs w:val="1"/>
          <w:color w:val="231F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In the ordinary course of our business, we and the third parties with whom we work process proprietary, confidential, and sensitive data, including personal data (such as large amounts of personal health and financial information), intellectual property, and trade secrets, or collectively, sensitive information.</w:t>
      </w:r>
    </w:p>
    <w:p>
      <w:pPr>
        <w:spacing w:after="0" w:line="188"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231F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202"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231F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false pretense hiring attacks,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8"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93"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231F20"/>
        </w:rPr>
        <w:t>Remote work has increased risks to our information technology systems and data, as our employees utilize network connections, computers and devices outside our premises or network, including working at home, while in transit and in public locations.</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10420"/>
          </w:cols>
          <w:pgMar w:left="900" w:top="796" w:right="560" w:bottom="0" w:gutter="0" w:footer="0" w:header="0"/>
          <w:type w:val="continuous"/>
        </w:sectPr>
      </w:pPr>
    </w:p>
    <w:bookmarkStart w:id="114" w:name="page115"/>
    <w:bookmarkEnd w:id="114"/>
    <w:p>
      <w:pPr>
        <w:ind w:right="160" w:firstLine="490"/>
        <w:spacing w:after="0" w:line="237" w:lineRule="auto"/>
        <w:rPr>
          <w:sz w:val="20"/>
          <w:szCs w:val="20"/>
          <w:color w:val="auto"/>
        </w:rPr>
      </w:pPr>
      <w:r>
        <w:rPr>
          <w:rFonts w:ascii="Times New Roman" w:cs="Times New Roman" w:eastAsia="Times New Roman" w:hAnsi="Times New Roman"/>
          <w:sz w:val="20"/>
          <w:szCs w:val="20"/>
          <w:color w:val="231F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97" w:lineRule="exact"/>
        <w:rPr>
          <w:sz w:val="20"/>
          <w:szCs w:val="20"/>
          <w:color w:val="auto"/>
        </w:rPr>
      </w:pPr>
    </w:p>
    <w:p>
      <w:pPr>
        <w:ind w:right="40" w:firstLine="490"/>
        <w:spacing w:after="0" w:line="234" w:lineRule="auto"/>
        <w:rPr>
          <w:sz w:val="20"/>
          <w:szCs w:val="20"/>
          <w:color w:val="auto"/>
        </w:rPr>
      </w:pPr>
      <w:r>
        <w:rPr>
          <w:rFonts w:ascii="Times New Roman" w:cs="Times New Roman" w:eastAsia="Times New Roman" w:hAnsi="Times New Roman"/>
          <w:sz w:val="20"/>
          <w:szCs w:val="20"/>
          <w:color w:val="231F20"/>
        </w:rPr>
        <w:t>We rely on third parties to operate critical business systems to process sensitive information in a variety of contexts, including, without limitation, cloud- 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The third parties with whom we work have experienced, and may in the future experience, a security incident or other interruption, which could cause us to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spacing w:after="0" w:line="194"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231F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and services.</w:t>
      </w:r>
    </w:p>
    <w:p>
      <w:pPr>
        <w:spacing w:after="0" w:line="197" w:lineRule="exact"/>
        <w:rPr>
          <w:sz w:val="20"/>
          <w:szCs w:val="20"/>
          <w:color w:val="auto"/>
        </w:rPr>
      </w:pPr>
    </w:p>
    <w:p>
      <w:pPr>
        <w:ind w:right="300" w:firstLine="490"/>
        <w:spacing w:after="0"/>
        <w:rPr>
          <w:sz w:val="20"/>
          <w:szCs w:val="20"/>
          <w:color w:val="auto"/>
        </w:rPr>
      </w:pPr>
      <w:r>
        <w:rPr>
          <w:rFonts w:ascii="Times New Roman" w:cs="Times New Roman" w:eastAsia="Times New Roman" w:hAnsi="Times New Roman"/>
          <w:sz w:val="20"/>
          <w:szCs w:val="20"/>
          <w:color w:val="231F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spacing w:after="0" w:line="194"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231F20"/>
        </w:rPr>
        <w:t>Applicable data privacy and security obligations have required, or may in the future require, us or third parties with whom we work, or we or such third parties may voluntarily choose, to notify relevant stakeholders, including affected individuals, customers, regulators, and investors, of security incidents, or to take other actions, such as providing credit monitoring and identity theft protection services. For example, notice of HIPAA breaches must be made to affected individuals, the Secretary of the Department of Health and Human Services or other state, federal or foreign regulators, including State Attorneys General, and for extensive breaches, notice may need to be made to the media.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products and services, deter new customers from using our products and services, and negatively impact our ability to grow and operate our business. 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Our contracts may not contain limitations of liability, and even where they do, there can be no assurance that limitations of liability in our contracts are sufficient to protect us from liabilities, damages, or claims related to our data privacy and security obligations.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195" w:lineRule="exact"/>
        <w:rPr>
          <w:sz w:val="20"/>
          <w:szCs w:val="20"/>
          <w:color w:val="auto"/>
        </w:rPr>
      </w:pPr>
    </w:p>
    <w:p>
      <w:pPr>
        <w:ind w:right="20" w:firstLine="490"/>
        <w:spacing w:after="0" w:line="250" w:lineRule="auto"/>
        <w:rPr>
          <w:sz w:val="20"/>
          <w:szCs w:val="20"/>
          <w:color w:val="auto"/>
        </w:rPr>
      </w:pPr>
      <w:r>
        <w:rPr>
          <w:rFonts w:ascii="Times New Roman" w:cs="Times New Roman" w:eastAsia="Times New Roman" w:hAnsi="Times New Roman"/>
          <w:sz w:val="19"/>
          <w:szCs w:val="19"/>
          <w:color w:val="231F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AI technologies. Any sensitive information (including confidential, competitive, proprietary, or personal data) that we input into a third-party AI/machine learning platform could be leaked or disclosed to others, including if sensitive information is used to train</w:t>
      </w:r>
    </w:p>
    <w:p>
      <w:pPr>
        <w:sectPr>
          <w:pgSz w:w="11880" w:h="15480" w:orient="portrait"/>
          <w:cols w:equalWidth="0" w:num="1">
            <w:col w:w="10420"/>
          </w:cols>
          <w:pgMar w:left="900" w:top="787" w:right="56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10420"/>
          </w:cols>
          <w:pgMar w:left="900" w:top="787" w:right="560" w:bottom="0" w:gutter="0" w:footer="0" w:header="0"/>
          <w:type w:val="continuous"/>
        </w:sectPr>
      </w:pPr>
    </w:p>
    <w:bookmarkStart w:id="115" w:name="page116"/>
    <w:bookmarkEnd w:id="115"/>
    <w:p>
      <w:pPr>
        <w:spacing w:after="0" w:line="232" w:lineRule="auto"/>
        <w:rPr>
          <w:sz w:val="20"/>
          <w:szCs w:val="20"/>
          <w:color w:val="auto"/>
        </w:rPr>
      </w:pPr>
      <w:r>
        <w:rPr>
          <w:rFonts w:ascii="Times New Roman" w:cs="Times New Roman" w:eastAsia="Times New Roman" w:hAnsi="Times New Roman"/>
          <w:sz w:val="20"/>
          <w:szCs w:val="20"/>
          <w:color w:val="231F20"/>
        </w:rPr>
        <w:t>the third parties’ AI/machine learning model. Additionally, where an AI/machine learning model ingests personal data and makes connections using such data, those technologies may reveal other personal or sensitive information generated by the model. Moreover, AI/machine learning models may create flawed, incomplete, or inaccurate outputs, some of which may appear correct. This may happen if the inputs that the model relied on were inaccurate, incomplete or flawed (including if a bad actor “poisons” the AI/machine learning with bad inputs or logic), or if the logic of the AI/machine learning is flawed (a so-called “hallucination”). We may use AI/machine learning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AI/machine learning-based outputs are deemed to be biased, we could face adverse consequences, including exposure to reputational and competitive harm, customer loss, and legal liability.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237" w:lineRule="exact"/>
        <w:rPr>
          <w:sz w:val="20"/>
          <w:szCs w:val="20"/>
          <w:color w:val="auto"/>
        </w:rPr>
      </w:pPr>
    </w:p>
    <w:p>
      <w:pPr>
        <w:ind w:right="160" w:firstLine="490"/>
        <w:spacing w:after="0" w:line="251" w:lineRule="auto"/>
        <w:rPr>
          <w:sz w:val="20"/>
          <w:szCs w:val="20"/>
          <w:color w:val="auto"/>
        </w:rPr>
      </w:pPr>
      <w:r>
        <w:rPr>
          <w:rFonts w:ascii="Times New Roman" w:cs="Times New Roman" w:eastAsia="Times New Roman" w:hAnsi="Times New Roman"/>
          <w:sz w:val="19"/>
          <w:szCs w:val="19"/>
          <w:color w:val="231F20"/>
        </w:rPr>
        <w:t>Our business depends on our continued ability to collect and safeguard vast amounts of personal and sensitive business information, including, among other types of data, protected health information (PHI), employee information, credit card information, insurance information, proprietary and confidential information about our business, financial information, trade secrets, intellectual property, and the sensitive and confidential information from the third parties with whom we work. We have implemented and maintain various information security processes designed to identify, assess, and manage material risks from cybersecurity threats to our critical computer networks, third party hosted services, communications systems, and hardware and software, to safeguard and prevent unauthorized access to this critical data (collectively Information Systems and Data).</w:t>
      </w:r>
    </w:p>
    <w:p>
      <w:pPr>
        <w:spacing w:after="0" w:line="186" w:lineRule="exact"/>
        <w:rPr>
          <w:sz w:val="20"/>
          <w:szCs w:val="20"/>
          <w:color w:val="auto"/>
        </w:rPr>
      </w:pPr>
    </w:p>
    <w:p>
      <w:pPr>
        <w:ind w:right="20" w:firstLine="490"/>
        <w:spacing w:after="0" w:line="236" w:lineRule="auto"/>
        <w:rPr>
          <w:sz w:val="20"/>
          <w:szCs w:val="20"/>
          <w:color w:val="auto"/>
        </w:rPr>
      </w:pPr>
      <w:r>
        <w:rPr>
          <w:rFonts w:ascii="Times New Roman" w:cs="Times New Roman" w:eastAsia="Times New Roman" w:hAnsi="Times New Roman"/>
          <w:sz w:val="20"/>
          <w:szCs w:val="20"/>
          <w:color w:val="231F20"/>
        </w:rPr>
        <w:t>Our Chief Technology Officer, or CTO, and our Chief Information Security Officer, or CISO, together with our Enterprise Risk Management Committee help identify, assess, and manage the Company’s cybersecurity threats and risks. Working with a cross-functional team, these individuals and our Enterprise Risk Management Committee identify and assess risks from cybersecurity threats by monitoring and evaluating our threat environment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conducting internal and/or external audits, conducting vulnerability assessments to identify vulnerabilities, using external intelligence feeds, and third-party-conducted red/blue team testing and tabletop incident response exercises.</w:t>
      </w:r>
    </w:p>
    <w:p>
      <w:pPr>
        <w:spacing w:after="0" w:line="197" w:lineRule="exact"/>
        <w:rPr>
          <w:sz w:val="20"/>
          <w:szCs w:val="20"/>
          <w:color w:val="auto"/>
        </w:rPr>
      </w:pPr>
    </w:p>
    <w:p>
      <w:pPr>
        <w:ind w:right="60" w:firstLine="490"/>
        <w:spacing w:after="0" w:line="234" w:lineRule="auto"/>
        <w:rPr>
          <w:sz w:val="20"/>
          <w:szCs w:val="20"/>
          <w:color w:val="auto"/>
        </w:rPr>
      </w:pPr>
      <w:r>
        <w:rPr>
          <w:rFonts w:ascii="Times New Roman" w:cs="Times New Roman" w:eastAsia="Times New Roman" w:hAnsi="Times New Roman"/>
          <w:sz w:val="20"/>
          <w:szCs w:val="20"/>
          <w:color w:val="231F20"/>
        </w:rPr>
        <w:t>Our Information Security program has seven broad components: Controls &amp; Compliance; Security Operations / Incident Response; Cloud Security; Identity and Access Management; Application Security; Enterprise Security; and Data Security and Governance. Within each program component, and depending on the environment, we implement and maintain various technical, physical, and organizational measures, processes, standards, and policies to manage and mitigate material risks from cybersecurity threats to our Information Systems and Data, including, for example: maintaining a vulnerability management policy and disaster recovery/business continuity plans, risk assessments, encryption of data, network security controls, data segregation, access controls, physical security, asset management, tracking and disposal, a vendor risk management program, a dedicated cybersecurity staff/officer, active monitoring, detection, prevention, mitigation, and remediation strategies to ensure we are adequately safeguarding and protecting our critical information, routinely conducting audits, vulnerability scans, penetration tests, social engineering simulations, security awareness training, and threat intelligence assessments to ensure that our systems, policies, and procedures are operating as intended. We also engage with a range of external experts to help us evaluate and attest to our risk management systems, including maintaining a certification pursuant to ISO 27001 and conducting periodic third-party audits to maintain our certification.</w:t>
      </w:r>
    </w:p>
    <w:p>
      <w:pPr>
        <w:spacing w:after="0" w:line="195" w:lineRule="exact"/>
        <w:rPr>
          <w:sz w:val="20"/>
          <w:szCs w:val="20"/>
          <w:color w:val="auto"/>
        </w:rPr>
      </w:pPr>
    </w:p>
    <w:p>
      <w:pPr>
        <w:ind w:right="80" w:firstLine="490"/>
        <w:spacing w:after="0" w:line="237" w:lineRule="auto"/>
        <w:rPr>
          <w:sz w:val="20"/>
          <w:szCs w:val="20"/>
          <w:color w:val="auto"/>
        </w:rPr>
      </w:pPr>
      <w:r>
        <w:rPr>
          <w:rFonts w:ascii="Times New Roman" w:cs="Times New Roman" w:eastAsia="Times New Roman" w:hAnsi="Times New Roman"/>
          <w:sz w:val="20"/>
          <w:szCs w:val="20"/>
          <w:color w:val="231F20"/>
        </w:rPr>
        <w:t>In addition, we maintain a detailed Incident Response Plan to assist in responding to potential cybersecurity threats. Our Incident Response Plan addresses critical aspects of incident management, including detection, impact analysis, containment, mitigation, remediation, recovery, and long-term strategies to prevent future incidents. Our Information Security and Privacy Teams conduct tabletop exercises twice per year to ensure preparedness for information security, including cybersecurity incidents. In addition, we promote a company culture of awareness and discipline in cybersecurity matters through annual employee training and education, including periodic phishing and social engineering simulations. We also maintain cybersecurity insurance coverage.</w:t>
      </w:r>
    </w:p>
    <w:p>
      <w:pPr>
        <w:sectPr>
          <w:pgSz w:w="11880" w:h="15480" w:orient="portrait"/>
          <w:cols w:equalWidth="0" w:num="1">
            <w:col w:w="10440"/>
          </w:cols>
          <w:pgMar w:left="900" w:top="7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10440"/>
          </w:cols>
          <w:pgMar w:left="900" w:top="787" w:right="540" w:bottom="0" w:gutter="0" w:footer="0" w:header="0"/>
          <w:type w:val="continuous"/>
        </w:sectPr>
      </w:pPr>
    </w:p>
    <w:bookmarkStart w:id="116" w:name="page117"/>
    <w:bookmarkEnd w:id="116"/>
    <w:p>
      <w:pPr>
        <w:ind w:right="300" w:firstLine="490"/>
        <w:spacing w:after="0" w:line="249" w:lineRule="auto"/>
        <w:rPr>
          <w:sz w:val="20"/>
          <w:szCs w:val="20"/>
          <w:color w:val="auto"/>
        </w:rPr>
      </w:pPr>
      <w:r>
        <w:rPr>
          <w:rFonts w:ascii="Times New Roman" w:cs="Times New Roman" w:eastAsia="Times New Roman" w:hAnsi="Times New Roman"/>
          <w:sz w:val="20"/>
          <w:szCs w:val="20"/>
          <w:color w:val="231F20"/>
        </w:rPr>
        <w:t>Our Privacy program is designed to support and enhance our Cybersecurity program. We perform an annual HIPAA Security Risk Assessment, among other things, to help identify remediation priorities and to ensure we have implemented best practices in storing and safeguarding PHI.</w:t>
      </w:r>
    </w:p>
    <w:p>
      <w:pPr>
        <w:spacing w:after="0" w:line="187"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231F20"/>
        </w:rPr>
        <w:t>Our assessment and management of material risks from cybersecurity threats are integrated into the Company’s overall risk management processes. For example, (1) cybersecurity risk is addressed as a component of the Company’s enterprise risk management program; (2) the information security department works with management to prioritize our risk management processes and mitigate cybersecurity threats that are more likely to lead to a material impact to our business; (3) our Enterprise Risk Management Committee evaluates material risks from cybersecurity threats against our overall business objectives and reports to the board of directors, which evaluates our overall enterprise risk.</w:t>
      </w:r>
    </w:p>
    <w:p>
      <w:pPr>
        <w:spacing w:after="0" w:line="19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frequently collaborate with other third-party service providers to conduct regular audits, threat assessments, and consultation on cybersecurity strategy, enhancements, and best practices. We use third-party service providers to assist us from time to time to identify, assess, and manage material risks from cybersecurity threats, including for example, professional services firms, including legal counsel, cybersecurity software providers, and penetration testing firms.</w:t>
      </w:r>
    </w:p>
    <w:p>
      <w:pPr>
        <w:spacing w:after="0" w:line="192" w:lineRule="exact"/>
        <w:rPr>
          <w:sz w:val="20"/>
          <w:szCs w:val="20"/>
          <w:color w:val="auto"/>
        </w:rPr>
      </w:pPr>
    </w:p>
    <w:p>
      <w:pPr>
        <w:ind w:right="20" w:firstLine="490"/>
        <w:spacing w:after="0" w:line="237" w:lineRule="auto"/>
        <w:rPr>
          <w:sz w:val="20"/>
          <w:szCs w:val="20"/>
          <w:color w:val="auto"/>
        </w:rPr>
      </w:pPr>
      <w:r>
        <w:rPr>
          <w:rFonts w:ascii="Times New Roman" w:cs="Times New Roman" w:eastAsia="Times New Roman" w:hAnsi="Times New Roman"/>
          <w:sz w:val="20"/>
          <w:szCs w:val="20"/>
          <w:color w:val="231F20"/>
        </w:rPr>
        <w:t>We use third-party service providers to perform a variety of functions throughout our business, such as application providers and cloud infrastructure providers. We have a vendor management program to manage cybersecurity risks associated with our use of these providers. The program includes security questionnaires, review of the vendor's written security program, review of security assessments, and security assessment calls with the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96" w:lineRule="exact"/>
        <w:rPr>
          <w:sz w:val="20"/>
          <w:szCs w:val="20"/>
          <w:color w:val="auto"/>
        </w:rPr>
      </w:pPr>
    </w:p>
    <w:p>
      <w:pPr>
        <w:ind w:right="140" w:firstLine="490"/>
        <w:spacing w:after="0" w:line="239" w:lineRule="auto"/>
        <w:rPr>
          <w:sz w:val="20"/>
          <w:szCs w:val="20"/>
          <w:color w:val="auto"/>
        </w:rPr>
      </w:pPr>
      <w:r>
        <w:rPr>
          <w:rFonts w:ascii="Times New Roman" w:cs="Times New Roman" w:eastAsia="Times New Roman" w:hAnsi="Times New Roman"/>
          <w:sz w:val="20"/>
          <w:szCs w:val="20"/>
          <w:color w:val="231F20"/>
        </w:rPr>
        <w:t>For more information regarding the risks we face from cybersecurity threats, please see “Item 1A. Risk Factors” included elsewhere in this Annual Report on Form 10-K, including “Cyber-based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17"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87" w:lineRule="exact"/>
        <w:rPr>
          <w:sz w:val="20"/>
          <w:szCs w:val="20"/>
          <w:color w:val="auto"/>
        </w:rPr>
      </w:pPr>
    </w:p>
    <w:p>
      <w:pPr>
        <w:ind w:firstLine="490"/>
        <w:spacing w:after="0" w:line="237" w:lineRule="auto"/>
        <w:rPr>
          <w:sz w:val="20"/>
          <w:szCs w:val="20"/>
          <w:color w:val="auto"/>
        </w:rPr>
      </w:pPr>
      <w:r>
        <w:rPr>
          <w:rFonts w:ascii="Times New Roman" w:cs="Times New Roman" w:eastAsia="Times New Roman" w:hAnsi="Times New Roman"/>
          <w:sz w:val="20"/>
          <w:szCs w:val="20"/>
          <w:color w:val="231F20"/>
        </w:rPr>
        <w:t>Our cybersecurity risk assessment and management processes as well as our Information Security program are implemented and maintained by certain Company management, including our CTO and our CISO, who have 25 years of experience in cybersecurity and IT Operations respectively. Our CTO and CISO collaborate with a cross-functional team of seasoned professionals responsible for maintaining, improving, and promoting our Information Security program. In addition to the oversight by our Technology and Security leaders, representatives from our Information Technology, Legal, Privacy, Finance, Regulatory, Quality, and Compliance teams are integral to the successful implementation of our overall Information Security program.</w:t>
      </w:r>
    </w:p>
    <w:p>
      <w:pPr>
        <w:spacing w:after="0" w:line="19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The CISO is responsible for hiring appropriate personnel, helping to integrate cybersecurity risk considerations into the Company’s overall risk management strategy, and communicating key priorities to relevant personnel. The CISO and CTO are responsible for approving budgets, helping prepare for cybersecurity incidents, approving cybersecurity processes, and reviewing security assessments and other security-related reports.</w:t>
      </w:r>
    </w:p>
    <w:p>
      <w:pPr>
        <w:spacing w:after="0" w:line="192" w:lineRule="exact"/>
        <w:rPr>
          <w:sz w:val="20"/>
          <w:szCs w:val="20"/>
          <w:color w:val="auto"/>
        </w:rPr>
      </w:pPr>
    </w:p>
    <w:p>
      <w:pPr>
        <w:jc w:val="both"/>
        <w:ind w:right="140" w:firstLine="490"/>
        <w:spacing w:after="0" w:line="243" w:lineRule="auto"/>
        <w:rPr>
          <w:sz w:val="20"/>
          <w:szCs w:val="20"/>
          <w:color w:val="auto"/>
        </w:rPr>
      </w:pPr>
      <w:r>
        <w:rPr>
          <w:rFonts w:ascii="Times New Roman" w:cs="Times New Roman" w:eastAsia="Times New Roman" w:hAnsi="Times New Roman"/>
          <w:sz w:val="20"/>
          <w:szCs w:val="20"/>
          <w:color w:val="231F20"/>
        </w:rPr>
        <w:t>Our Incident Response Plan is designed to escalate certain cybersecurity incidents to members of management depending on the circumstances. This team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spacing w:after="0" w:line="192" w:lineRule="exact"/>
        <w:rPr>
          <w:sz w:val="20"/>
          <w:szCs w:val="20"/>
          <w:color w:val="auto"/>
        </w:rPr>
      </w:pPr>
    </w:p>
    <w:p>
      <w:pPr>
        <w:ind w:right="300" w:firstLine="490"/>
        <w:spacing w:after="0" w:line="238" w:lineRule="auto"/>
        <w:rPr>
          <w:sz w:val="20"/>
          <w:szCs w:val="20"/>
          <w:color w:val="auto"/>
        </w:rPr>
      </w:pPr>
      <w:r>
        <w:rPr>
          <w:rFonts w:ascii="Times New Roman" w:cs="Times New Roman" w:eastAsia="Times New Roman" w:hAnsi="Times New Roman"/>
          <w:sz w:val="20"/>
          <w:szCs w:val="20"/>
          <w:color w:val="231F20"/>
        </w:rPr>
        <w:t>Our CISO reports to the full Board of Directors quarterly, or more frequently as needed. These reports generally address each of the six components of our Information Security program, including the Company’s progress on initiatives we have prioritized for the quarter. Our Audit Committee has general oversight responsibility for our data security practices, and we believe the Committee has the requisite skills and visibility into the risk profile of our Company to fulfill this responsibility effectively. Our CTO, CISO, or other members of our Enterprise Risk Management Committee report to the Audit Committee quarterly or on an as-needed basis.</w:t>
      </w:r>
    </w:p>
    <w:p>
      <w:pPr>
        <w:sectPr>
          <w:pgSz w:w="11880" w:h="15480" w:orient="portrait"/>
          <w:cols w:equalWidth="0" w:num="1">
            <w:col w:w="10420"/>
          </w:cols>
          <w:pgMar w:left="900" w:top="789" w:right="56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10420"/>
          </w:cols>
          <w:pgMar w:left="900" w:top="789" w:right="560" w:bottom="0" w:gutter="0" w:footer="0" w:header="0"/>
          <w:type w:val="continuous"/>
        </w:sectPr>
      </w:pPr>
    </w:p>
    <w:bookmarkStart w:id="117" w:name="page118"/>
    <w:bookmarkEnd w:id="117"/>
    <w:p>
      <w:pPr>
        <w:ind w:right="20" w:firstLine="490"/>
        <w:spacing w:after="0" w:line="237" w:lineRule="auto"/>
        <w:rPr>
          <w:sz w:val="20"/>
          <w:szCs w:val="20"/>
          <w:color w:val="auto"/>
        </w:rPr>
      </w:pPr>
      <w:r>
        <w:rPr>
          <w:rFonts w:ascii="Times New Roman" w:cs="Times New Roman" w:eastAsia="Times New Roman" w:hAnsi="Times New Roman"/>
          <w:sz w:val="20"/>
          <w:szCs w:val="20"/>
          <w:color w:val="231F20"/>
        </w:rPr>
        <w:t>Senior members of our management are responsible for assisting our CTO and CISO in managing cybersecurity risk. We maintain a cross-functional Enterprise Risk Management Committee, which meets monthly to identify, assess, mitigate, and remediate risks impacting the Company, including cybersecurity risks. Members of this committee include our CISO, CTO, Chief Financial Officer, Chief Privacy Officer, General Counsel, Chief Commercial Officer, Chief Scientific Officer, Chief Medical Officer, Chief Legal Officer, and the heads of our Regulatory and Quality teams. The Enterprise Risk Management Committee informs members of the Audit Committee regarding the overall enterprise risks identified by management, progress on remediation efforts identified in the prior quarter, and risk mitigation priorities for the forthcoming quarter.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Our headquarters is located in Chicago, Illinois, where we lease approximately 217,000 square feet of laboratory and office space pursuant to a lease that expires in May 2029. We also lease an aggregate of approximately 22,000 square feet of laboratory and office space in Atlanta, Georgia pursuant to a lease that will expire in December 2029. Our CLIA-certified laboratories are located in these facilities. We also lease genomics labs in Raleigh, North Carolina, and Minneapolis, Minnesota and own our lab in Aliso Viejo, California. We also lease offices in New York, New York, Redwood City, California and Aliso Viejo, California. We also own 92,695 square feet of land in Aliso Viejo, California.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w:t>
      </w:r>
    </w:p>
    <w:p>
      <w:pPr>
        <w:spacing w:after="0" w:line="206"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In other instances, 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w:t>
      </w:r>
    </w:p>
    <w:p>
      <w:pPr>
        <w:spacing w:after="0" w:line="20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w:t>
      </w:r>
    </w:p>
    <w:p>
      <w:pPr>
        <w:spacing w:after="0" w:line="197"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While we believe our programs and payments comply with the Anti-Kickback statute and other applicable regulations,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spacing w:after="0" w:line="20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w:t>
      </w:r>
    </w:p>
    <w:p>
      <w:pPr>
        <w:sectPr>
          <w:pgSz w:w="11880" w:h="15480" w:orient="portrait"/>
          <w:cols w:equalWidth="0" w:num="1">
            <w:col w:w="10440"/>
          </w:cols>
          <w:pgMar w:left="900" w:top="789" w:right="540" w:bottom="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10440"/>
          </w:cols>
          <w:pgMar w:left="900" w:top="789" w:right="540" w:bottom="0" w:gutter="0" w:footer="0" w:header="0"/>
          <w:type w:val="continuous"/>
        </w:sectPr>
      </w:pPr>
    </w:p>
    <w:bookmarkStart w:id="118" w:name="page119"/>
    <w:bookmarkEnd w:id="118"/>
    <w:p>
      <w:pPr>
        <w:ind w:right="60"/>
        <w:spacing w:after="0" w:line="247" w:lineRule="auto"/>
        <w:rPr>
          <w:sz w:val="20"/>
          <w:szCs w:val="20"/>
          <w:color w:val="auto"/>
        </w:rPr>
      </w:pPr>
      <w:r>
        <w:rPr>
          <w:rFonts w:ascii="Times New Roman" w:cs="Times New Roman" w:eastAsia="Times New Roman" w:hAnsi="Times New Roman"/>
          <w:sz w:val="20"/>
          <w:szCs w:val="20"/>
          <w:color w:val="231F20"/>
        </w:rPr>
        <w:t>Guardant in the U.S. District Court for the Southern District of California alleging that certain Guardant products infringe U.S. Patent Nos. 12,112,839, 11,640,859, 10,957,041, and 10,991,097. On August 12, 2025, Guardant filed a complaint against us in the U.S. District Court for the District of Delaware alleging that Tempus’s xM tests infringe three Guardant U.S. patents. The xM complaint, which has been consolidated with Guardant’s pending patent infringement case in the District of Delaware, seeks injunctive relief, unspecified monetary damages (including enhanced damages), a future mandatory royalty, costs and attorneys fees. All cases are pending.</w:t>
      </w:r>
    </w:p>
    <w:p>
      <w:pPr>
        <w:spacing w:after="0" w:line="20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On June 12, 2025, the Company, Mr. Lefkofsky, our Chief Executive Officer, and Mr. Rogers, our Chief Financial Officer, were named as defendants in a federal securities class-action lawsuit titled </w:t>
      </w:r>
      <w:r>
        <w:rPr>
          <w:rFonts w:ascii="Times New Roman" w:cs="Times New Roman" w:eastAsia="Times New Roman" w:hAnsi="Times New Roman"/>
          <w:sz w:val="20"/>
          <w:szCs w:val="20"/>
          <w:i w:val="1"/>
          <w:iCs w:val="1"/>
          <w:color w:val="231F20"/>
        </w:rPr>
        <w:t>Shouse v. Tempus AI, Inc. et al.</w:t>
      </w:r>
      <w:r>
        <w:rPr>
          <w:rFonts w:ascii="Times New Roman" w:cs="Times New Roman" w:eastAsia="Times New Roman" w:hAnsi="Times New Roman"/>
          <w:sz w:val="20"/>
          <w:szCs w:val="20"/>
          <w:color w:val="231F20"/>
        </w:rPr>
        <w:t>, which was filed in the United States District Court for the Northern District of Illinois. On November 17, 2025, the lead plaintiff in the action voluntarily dismissed the action after determining “that he could not file an amended complaint that met the PSLRA’s heightened pleading requirements.” Two derivative lawsuits based on the same set of operative facts were also voluntarily dismissed.</w:t>
      </w:r>
    </w:p>
    <w:p>
      <w:pPr>
        <w:spacing w:after="0" w:line="19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On February 12, 2026, a lawsuit was filed against us in the United States District Court for the Northern District of Illinois. A companion case was filed the next day in the same court. Both lawsuits allege violations of the Illinois Genetic Information Privacy Act and seek class action status. We believe the lawsuits to be without merit and intend to vigorously defend ourselves.</w:t>
      </w:r>
    </w:p>
    <w:p>
      <w:pPr>
        <w:spacing w:after="0" w:line="18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10440"/>
          </w:cols>
          <w:pgMar w:left="900" w:top="796" w:right="540" w:bottom="0" w:gutter="0" w:footer="0" w:header="0"/>
          <w:type w:val="continuous"/>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0" w:lineRule="exact"/>
        <w:rPr>
          <w:sz w:val="20"/>
          <w:szCs w:val="20"/>
          <w:color w:val="auto"/>
        </w:rPr>
      </w:pPr>
    </w:p>
    <w:p>
      <w:pPr>
        <w:ind w:right="60"/>
        <w:spacing w:after="0" w:line="367"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 Market Information and Holders of Record</w:t>
      </w:r>
    </w:p>
    <w:p>
      <w:pPr>
        <w:spacing w:after="0" w:line="1" w:lineRule="exact"/>
        <w:rPr>
          <w:sz w:val="20"/>
          <w:szCs w:val="20"/>
          <w:color w:val="auto"/>
        </w:rPr>
      </w:pPr>
    </w:p>
    <w:p>
      <w:pPr>
        <w:ind w:right="60" w:firstLine="490"/>
        <w:spacing w:after="0" w:line="262" w:lineRule="auto"/>
        <w:rPr>
          <w:sz w:val="20"/>
          <w:szCs w:val="20"/>
          <w:color w:val="auto"/>
        </w:rPr>
      </w:pPr>
      <w:r>
        <w:rPr>
          <w:rFonts w:ascii="Times New Roman" w:cs="Times New Roman" w:eastAsia="Times New Roman" w:hAnsi="Times New Roman"/>
          <w:sz w:val="20"/>
          <w:szCs w:val="20"/>
          <w:color w:val="231F20"/>
        </w:rPr>
        <w:t>Our Class A common stock is currently listed on the Nasdaq Global Select Market under the symbol “TEM.” As of February 20, 2026, there were 33 holders of record of our Class A common stock and 2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231F20"/>
        </w:rPr>
        <w:t>Historically, we paid cash and stock dividends on our preferred stock. Following the conversion of our preferred stock into Class A common stock and Class B common stock in connection with our IPO,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Equity Securities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Proceeds from Initial Public Offering of Common Stock</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Securities Authorized for Issuance under Equity Compensation Plans</w:t>
      </w:r>
    </w:p>
    <w:p>
      <w:pPr>
        <w:spacing w:after="0" w:line="124" w:lineRule="exact"/>
        <w:rPr>
          <w:sz w:val="20"/>
          <w:szCs w:val="20"/>
          <w:color w:val="auto"/>
        </w:rPr>
      </w:pPr>
    </w:p>
    <w:p>
      <w:pPr>
        <w:ind w:right="300" w:firstLine="490"/>
        <w:spacing w:after="0" w:line="287" w:lineRule="auto"/>
        <w:rPr>
          <w:sz w:val="20"/>
          <w:szCs w:val="20"/>
          <w:color w:val="auto"/>
        </w:rPr>
      </w:pPr>
      <w:r>
        <w:rPr>
          <w:rFonts w:ascii="Times New Roman" w:cs="Times New Roman" w:eastAsia="Times New Roman" w:hAnsi="Times New Roman"/>
          <w:sz w:val="20"/>
          <w:szCs w:val="20"/>
          <w:color w:val="231F20"/>
        </w:rPr>
        <w:t>Information regarding our equity compensation plans and the securities authorized for issuance thereunder is set forth in Part III, Item 12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Performance Graph</w:t>
      </w:r>
    </w:p>
    <w:p>
      <w:pPr>
        <w:spacing w:after="0" w:line="126" w:lineRule="exact"/>
        <w:rPr>
          <w:sz w:val="20"/>
          <w:szCs w:val="20"/>
          <w:color w:val="auto"/>
        </w:rPr>
      </w:pPr>
    </w:p>
    <w:p>
      <w:pPr>
        <w:ind w:right="160" w:firstLine="490"/>
        <w:spacing w:after="0" w:line="257" w:lineRule="auto"/>
        <w:rPr>
          <w:sz w:val="20"/>
          <w:szCs w:val="20"/>
          <w:color w:val="auto"/>
        </w:rPr>
      </w:pPr>
      <w:r>
        <w:rPr>
          <w:rFonts w:ascii="Times New Roman" w:cs="Times New Roman" w:eastAsia="Times New Roman" w:hAnsi="Times New Roman"/>
          <w:sz w:val="20"/>
          <w:szCs w:val="20"/>
          <w:i w:val="1"/>
          <w:iCs w:val="1"/>
          <w:color w:val="231F20"/>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18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following graph below shows the cumulative total return to our stockholders between June 14, 2024 (the date that our Class A common stock commenced trading on the Nasdaq Global Select Market) through December 31, 2025 relative to the Nasdaq Composite Index and the Nasdaq Biotechnology Index. The graph assumed that $100 was invested in each of our Class A common stock, the Nasdaq Composite and the Nasdaq Biotechnology at their respective closing prices on June 14, 2024 and</w:t>
      </w:r>
    </w:p>
    <w:p>
      <w:pPr>
        <w:sectPr>
          <w:pgSz w:w="11880" w:h="15480" w:orient="portrait"/>
          <w:cols w:equalWidth="0" w:num="1">
            <w:col w:w="10420"/>
          </w:cols>
          <w:pgMar w:left="900" w:top="79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10420"/>
          </w:cols>
          <w:pgMar w:left="900" w:top="792" w:right="560" w:bottom="0" w:gutter="0" w:footer="0" w:header="0"/>
          <w:type w:val="continuous"/>
        </w:sectPr>
      </w:pPr>
    </w:p>
    <w:bookmarkStart w:id="120" w:name="page121"/>
    <w:bookmarkEnd w:id="120"/>
    <w:p>
      <w:pPr>
        <w:spacing w:after="0" w:line="277" w:lineRule="auto"/>
        <w:rPr>
          <w:sz w:val="20"/>
          <w:szCs w:val="20"/>
          <w:color w:val="auto"/>
        </w:rPr>
      </w:pPr>
      <w:r>
        <w:rPr>
          <w:rFonts w:ascii="Times New Roman" w:cs="Times New Roman" w:eastAsia="Times New Roman" w:hAnsi="Times New Roman"/>
          <w:sz w:val="20"/>
          <w:szCs w:val="20"/>
          <w:color w:val="231F20"/>
        </w:rPr>
        <w:t>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151765</wp:posOffset>
            </wp:positionV>
            <wp:extent cx="5267325" cy="3400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5267325" cy="340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9880"/>
          </w:cols>
          <w:pgMar w:left="900" w:top="79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9880"/>
          </w:cols>
          <w:pgMar w:left="900" w:top="796" w:right="110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The following discussion and analysis of our financial condition and results of operations should be read in conjunction with the consolidated financial statements and related notes included elsewhere in this Annual Report on Form 10-K.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Annual Report on Form 10-K for a discussion of forward-looking statements and important factors that could cause actual results to differ materially from the results described in or implied by the forward-looking statements contained in the following discussion and analysis. The following discussion provides a narrative of our financial condition and results of operations for the fiscal year ended December 31, 2025 compared to the fiscal year ended December 31, 2024. A discussion regarding our financial condition and results of operations for the fiscal year ended December 31, 2024 compared to the fiscal year ended December 31, 2023 can be found in “Management's Discussion and Analysis of Financial Condition and Results of Operations” in </w:t>
      </w:r>
      <w:r>
        <w:rPr>
          <w:rFonts w:ascii="Times New Roman" w:cs="Times New Roman" w:eastAsia="Times New Roman" w:hAnsi="Times New Roman"/>
          <w:sz w:val="20"/>
          <w:szCs w:val="20"/>
          <w:i w:val="1"/>
          <w:iCs w:val="1"/>
          <w:u w:val="single" w:color="auto"/>
          <w:color w:val="656769"/>
        </w:rPr>
        <w:t>our Annual Report on Form 10-K for the year ended December 31, 2024</w:t>
      </w:r>
      <w:r>
        <w:rPr>
          <w:rFonts w:ascii="Times New Roman" w:cs="Times New Roman" w:eastAsia="Times New Roman" w:hAnsi="Times New Roman"/>
          <w:sz w:val="20"/>
          <w:szCs w:val="20"/>
          <w:i w:val="1"/>
          <w:iCs w:val="1"/>
          <w:color w:val="231F20"/>
        </w:rPr>
        <w:t xml:space="preserve"> as filed with the U.S. Securities and Exchange Commission on February 24, 2025,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18" w:lineRule="exact"/>
        <w:rPr>
          <w:sz w:val="20"/>
          <w:szCs w:val="20"/>
          <w:color w:val="auto"/>
        </w:rPr>
      </w:pPr>
    </w:p>
    <w:p>
      <w:pPr>
        <w:ind w:right="120" w:firstLine="490"/>
        <w:spacing w:after="0" w:line="236" w:lineRule="auto"/>
        <w:rPr>
          <w:sz w:val="20"/>
          <w:szCs w:val="20"/>
          <w:color w:val="auto"/>
        </w:rPr>
      </w:pPr>
      <w:r>
        <w:rPr>
          <w:rFonts w:ascii="Times New Roman" w:cs="Times New Roman" w:eastAsia="Times New Roman" w:hAnsi="Times New Roman"/>
          <w:sz w:val="20"/>
          <w:szCs w:val="20"/>
          <w:color w:val="231F20"/>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201" w:lineRule="exact"/>
        <w:rPr>
          <w:sz w:val="20"/>
          <w:szCs w:val="20"/>
          <w:color w:val="auto"/>
        </w:rPr>
      </w:pPr>
    </w:p>
    <w:p>
      <w:pPr>
        <w:ind w:right="20" w:firstLine="490"/>
        <w:spacing w:after="0" w:line="230" w:lineRule="auto"/>
        <w:rPr>
          <w:sz w:val="20"/>
          <w:szCs w:val="20"/>
          <w:color w:val="auto"/>
        </w:rPr>
      </w:pPr>
      <w:r>
        <w:rPr>
          <w:rFonts w:ascii="Times New Roman" w:cs="Times New Roman" w:eastAsia="Times New Roman" w:hAnsi="Times New Roman"/>
          <w:sz w:val="20"/>
          <w:szCs w:val="20"/>
          <w:color w:val="231F20"/>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4" w:lineRule="exact"/>
        <w:rPr>
          <w:sz w:val="20"/>
          <w:szCs w:val="20"/>
          <w:color w:val="auto"/>
        </w:rPr>
      </w:pPr>
    </w:p>
    <w:p>
      <w:pPr>
        <w:ind w:right="40" w:firstLine="490"/>
        <w:spacing w:after="0" w:line="230" w:lineRule="auto"/>
        <w:rPr>
          <w:sz w:val="20"/>
          <w:szCs w:val="20"/>
          <w:color w:val="auto"/>
        </w:rPr>
      </w:pPr>
      <w:r>
        <w:rPr>
          <w:rFonts w:ascii="Times New Roman" w:cs="Times New Roman" w:eastAsia="Times New Roman" w:hAnsi="Times New Roman"/>
          <w:sz w:val="20"/>
          <w:szCs w:val="20"/>
          <w:color w:val="231F20"/>
        </w:rPr>
        <w:t>We currently offer two product lines: Diagnostics and Data and applications. Each product line is designed to enable and enhance the other, thereby creating network effects in each of the markets in which we operate. We are able to commercialize records multiple times, both at the time a test is run and thereafter. Our Diagnostics product line leverages our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Diagnostics product line is structured and de-identified, prior to commercialization. This de-identified database is then commercialized to our pharmaceutical and biotechnology partners to facilitate drug discovery and development through our products, including, among other things, Insights, Trials, Next and Algos. Our Applications product line is focused on developing and providing diagnostics that are algorithmic in nature, implementing new software as a medical device, and building and deploying clinical decision support tools.</w:t>
      </w:r>
    </w:p>
    <w:p>
      <w:pPr>
        <w:spacing w:after="0" w:line="200" w:lineRule="exact"/>
        <w:rPr>
          <w:sz w:val="20"/>
          <w:szCs w:val="20"/>
          <w:color w:val="auto"/>
        </w:rPr>
      </w:pPr>
    </w:p>
    <w:p>
      <w:pPr>
        <w:spacing w:after="0" w:line="235"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primarily operate in the United States and generated total revenue of $ 1,271.8 million, $693.4 million and $531.8 million in the years ended December 31, 2025, 2024 and 2023, respectively. We also incurred net losses of $245.0 million, $705.8 million and $214.1 million in the years ended December 31, 2025, 2024 and 2023, respectively. We generated adjusted EBITDA of $(7.4) million, $(104.7) million and $(154.2) million in the years ended December 31, 2025, 2024 and 2023, respectively.</w:t>
      </w:r>
    </w:p>
    <w:p>
      <w:pPr>
        <w:sectPr>
          <w:pgSz w:w="11880" w:h="15480" w:orient="portrait"/>
          <w:cols w:equalWidth="0" w:num="1">
            <w:col w:w="10440"/>
          </w:cols>
          <w:pgMar w:left="900" w:top="1182" w:right="540" w:bottom="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10440"/>
          </w:cols>
          <w:pgMar w:left="900" w:top="1182" w:right="540" w:bottom="0" w:gutter="0" w:footer="0" w:header="0"/>
          <w:type w:val="continuous"/>
        </w:sectPr>
      </w:pPr>
    </w:p>
    <w:bookmarkStart w:id="122" w:name="page123"/>
    <w:bookmarkEnd w:id="122"/>
    <w:p>
      <w:pPr>
        <w:ind w:right="20"/>
        <w:spacing w:after="0" w:line="252" w:lineRule="auto"/>
        <w:rPr>
          <w:sz w:val="20"/>
          <w:szCs w:val="20"/>
          <w:color w:val="auto"/>
        </w:rPr>
      </w:pPr>
      <w:r>
        <w:rPr>
          <w:rFonts w:ascii="Times New Roman" w:cs="Times New Roman" w:eastAsia="Times New Roman" w:hAnsi="Times New Roman"/>
          <w:sz w:val="20"/>
          <w:szCs w:val="20"/>
          <w:color w:val="231F20"/>
        </w:rPr>
        <w:t>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Acquisition of Ambry Genetics Corporation</w:t>
      </w:r>
    </w:p>
    <w:p>
      <w:pPr>
        <w:spacing w:after="0" w:line="120" w:lineRule="exact"/>
        <w:rPr>
          <w:sz w:val="20"/>
          <w:szCs w:val="20"/>
          <w:color w:val="auto"/>
        </w:rPr>
      </w:pPr>
    </w:p>
    <w:p>
      <w:pPr>
        <w:ind w:right="60" w:firstLine="490"/>
        <w:spacing w:after="0" w:line="250" w:lineRule="auto"/>
        <w:rPr>
          <w:sz w:val="20"/>
          <w:szCs w:val="20"/>
          <w:color w:val="auto"/>
        </w:rPr>
      </w:pPr>
      <w:r>
        <w:rPr>
          <w:rFonts w:ascii="Times New Roman" w:cs="Times New Roman" w:eastAsia="Times New Roman" w:hAnsi="Times New Roman"/>
          <w:sz w:val="20"/>
          <w:szCs w:val="20"/>
          <w:color w:val="231F20"/>
        </w:rPr>
        <w:t>On February 3, 2025, or the Closing Date, we completed our acquisition, or the Ambry Acquisition, of Ambry Genetics Corporation, a Delaware corporation, or Ambry, pursuant to a Securities Purchase Agreement, or the Purchase Agreement, entered into on November 4, 2024 with REALM IDx, Inc., a Delaware corporation, or the Seller, and the Seller’s ultimate parent, Konica Minolta, Inc., a Japanese corporation, as guarantor. We acquired all of the issued and outstanding shares of capital stock of Ambry. Consideration for the acquisition consisted of $375.0 million in cash, subject to adjustment for cash, unpaid indebtedness, unpaid transaction expenses and net working capital of Ambry, or the Cash Consideration, plus the issuance of an aggregate of 4,843,136 shares of our Class A common stock, or the Stock Consideration. The Stock Consideration was valued at $61.54 per share, which was the closing price of our Class A common stock on the Closing Date. Pursuant to the terms of the Purchase Agreement, 2,152,505 shares issued as Stock Consideration are subject to a lock-up for a period of one year following the Closing Date. In addition, $5.0 million of the Cash Consideration are held in an escrow account for purposes of satisfying any post-closing purchase price adjustments. The net working capital adjustment was finalized in September 2025, resulting in a decrease to the acquisition price of $3.0 million which was recorded to goodwill.</w:t>
      </w:r>
    </w:p>
    <w:p>
      <w:pPr>
        <w:spacing w:after="0" w:line="20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connection with the closing of the acquisition, we entered into an amendment to the Credit Agreement (as defined below), providing for an additional $200.0 million in senior secured term loans, or the Additional Term Loan Facility, and $100.0 million in priority revolving loan commitments, or the Revolving Credit Facility. We utilized borrowings under the Additional Term Loan Facility and the Revolving Credit Facility to fund the Cash Consideration for the acquisition and to pay fees and expenses related thereto.</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Convertible Senior Notes</w:t>
      </w:r>
    </w:p>
    <w:p>
      <w:pPr>
        <w:spacing w:after="0" w:line="120"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31F20"/>
        </w:rPr>
        <w:t>On July 3, 2025, we completed a private offering, or the Offering, of $750.0 million aggregate principal amount of 0.75% Convertible Senior Notes due 2030, or the Notes, including the exercise in full of the initial purchasers’ option to purchase up to an additional $100.0 million principal amount of the Notes. The Notes are our general unsecured obligations and will mature on July 15, 2030, unless earlier converted, redeemed or repurchased. Interest on the Notes will accrue at a rate of 0.75% per year from July 3, 2025 and will be payable semiannually in arrears on January 15 and July 15 of each year, beginning on January 15, 2026. Refer to Note 12 to our consolidated financial statements included elsewhere in this Annual Report on Form 10-K for further information regarding the issuance and terms of the Notes and the Capped Call transaction (each as defined below).</w:t>
      </w:r>
    </w:p>
    <w:p>
      <w:pPr>
        <w:spacing w:after="0" w:line="200" w:lineRule="exact"/>
        <w:rPr>
          <w:sz w:val="20"/>
          <w:szCs w:val="20"/>
          <w:color w:val="auto"/>
        </w:rPr>
      </w:pPr>
    </w:p>
    <w:p>
      <w:pPr>
        <w:ind w:right="120" w:firstLine="490"/>
        <w:spacing w:after="0" w:line="263" w:lineRule="auto"/>
        <w:rPr>
          <w:sz w:val="20"/>
          <w:szCs w:val="20"/>
          <w:color w:val="auto"/>
        </w:rPr>
      </w:pPr>
      <w:r>
        <w:rPr>
          <w:rFonts w:ascii="Times New Roman" w:cs="Times New Roman" w:eastAsia="Times New Roman" w:hAnsi="Times New Roman"/>
          <w:sz w:val="19"/>
          <w:szCs w:val="19"/>
          <w:color w:val="231F20"/>
        </w:rPr>
        <w:t>Our net proceeds from the Offering were $725.7 million, after deducting the initial purchasers’ discounts and commissions and the offering expenses payable by us. We used a portion of the net proceeds from the Offering to repay $293.5 million of the Term Loan Facilities (as defined below), which includes repayment of the principal, accrued interest, and prepayment premium and to pay approximately $41.8 million cost of the Capped Call.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At the Market Sales Agreement</w:t>
      </w:r>
    </w:p>
    <w:p>
      <w:pPr>
        <w:spacing w:after="0" w:line="115"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231F20"/>
        </w:rPr>
        <w:t>On August 8, 2025, we entered into a Controlled Equity Offering</w:t>
      </w:r>
      <w:r>
        <w:rPr>
          <w:rFonts w:ascii="Times New Roman" w:cs="Times New Roman" w:eastAsia="Times New Roman" w:hAnsi="Times New Roman"/>
          <w:sz w:val="32"/>
          <w:szCs w:val="32"/>
          <w:color w:val="231F20"/>
          <w:vertAlign w:val="superscript"/>
        </w:rPr>
        <w:t>SM</w:t>
      </w:r>
      <w:r>
        <w:rPr>
          <w:rFonts w:ascii="Times New Roman" w:cs="Times New Roman" w:eastAsia="Times New Roman" w:hAnsi="Times New Roman"/>
          <w:sz w:val="20"/>
          <w:szCs w:val="20"/>
          <w:color w:val="231F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 may offer and sell shares of Class A common stock having an aggregate offering price of up to $500.0 million from time to time through the Sales Agents.</w:t>
      </w:r>
    </w:p>
    <w:p>
      <w:pPr>
        <w:spacing w:after="0" w:line="211"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For the year ended December 31, 2025, we sold 2,381,895 shares under the ATM at a weighted average price of $83.97 per share for total proceeds of $ 195.5 million, net of $4.5 million in commissions. In connection with the entry of the Sales Agreement and filing of the ATM prospectus, we incurred $0.9 million of deferred offering costs, of which $0.8 million was reclassified as a reduction of paid-in-capital upon completion of the sales that occurred in 2025. The remaining deferred offering</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10440"/>
          </w:cols>
          <w:pgMar w:left="900" w:top="796" w:right="540" w:bottom="0" w:gutter="0" w:footer="0" w:header="0"/>
          <w:type w:val="continuous"/>
        </w:sectPr>
      </w:pPr>
    </w:p>
    <w:bookmarkStart w:id="123" w:name="page124"/>
    <w:bookmarkEnd w:id="123"/>
    <w:p>
      <w:pPr>
        <w:ind w:right="520"/>
        <w:spacing w:after="0" w:line="258" w:lineRule="auto"/>
        <w:rPr>
          <w:sz w:val="20"/>
          <w:szCs w:val="20"/>
          <w:color w:val="auto"/>
        </w:rPr>
      </w:pPr>
      <w:r>
        <w:rPr>
          <w:rFonts w:ascii="Times New Roman" w:cs="Times New Roman" w:eastAsia="Times New Roman" w:hAnsi="Times New Roman"/>
          <w:sz w:val="20"/>
          <w:szCs w:val="20"/>
          <w:color w:val="231F20"/>
        </w:rPr>
        <w:t>costs, which were incurred in anticipation of future ATM sales, are recorded in Prepaid and other assets on the consolidated balance sheet. As of December 31, 2025, approximately $300.0 million remained available for sale pursuant to the Sales Agreement and ATM Prospectus.</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Acquisition of Paige.AI, Inc.</w:t>
      </w:r>
    </w:p>
    <w:p>
      <w:pPr>
        <w:spacing w:after="0" w:line="120"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On August 22, 2025, or the Paige Closing Date, we completed our acquisition, or the Paige Acquisition, of Paige.AI, Inc., or Paige, a Delaware corporation, pursuant to an Agreement and Plan of Merger entered into on August 22, 2025 with Giant Panda Merger Sub, Inc., a Delaware corporation, Paige, and Shareholder Representative Services LLC, a Colorado limited liability company, solely in its capacity as the securityholder representative. Paige is an AI company specializing in digital pathology. The Paige Acquisition is expected to allow us to grow our dataset and establish a strong footprint in digital pathology with an industry leading technology portfolio.</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acquired all of the issued and outstanding shares of Paige. The aggregate acquisition date fair value of consideration for the Paige Acquisition totaled $101.5 million. Consideration consisted of $3.0 million of cash and the issuance of an aggregate of 1,256,977 shares of our Class A common stock, or the Paige Stock Consideration, which was valued at $80.52 per share, the closing price of our Class A common stock on the Paige Closing Date. A portion of the Paige Stock Consideration was paid to employees as consideration for transaction bonuses. Paige will pay approximately $3.2 million to fulfill employee tax obligations related to the issuance, of which $3.0 million has been paid as of December 31, 2025. The equivalent was withheld from those employees in our Class A common stock and included in treasury stock. In accordance with the terms of the agreement, $6.9 million in equity consideration was held back and is payable within five business days of August 22, 2026. The net working capital adjustment resulted in a decrease to the acquisition price of $1.2 million which was recorded to goodwill.</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Strategic Collaborations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AstraZeneca and Pathos</w:t>
      </w:r>
    </w:p>
    <w:p>
      <w:pPr>
        <w:spacing w:after="0" w:line="11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spacing w:after="0" w:line="18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spacing w:after="0" w:line="20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AstraZeneca</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sectPr>
          <w:pgSz w:w="11880" w:h="15480" w:orient="portrait"/>
          <w:cols w:equalWidth="0" w:num="1">
            <w:col w:w="10420"/>
          </w:cols>
          <w:pgMar w:left="900" w:top="796" w:right="560" w:bottom="0" w:gutter="0" w:footer="0" w:header="0"/>
        </w:sect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10420"/>
          </w:cols>
          <w:pgMar w:left="900" w:top="796" w:right="560" w:bottom="0" w:gutter="0" w:footer="0" w:header="0"/>
          <w:type w:val="continuous"/>
        </w:sectPr>
      </w:pPr>
    </w:p>
    <w:bookmarkStart w:id="124" w:name="page125"/>
    <w:bookmarkEnd w:id="124"/>
    <w:p>
      <w:pPr>
        <w:ind w:left="480"/>
        <w:spacing w:after="0"/>
        <w:rPr>
          <w:sz w:val="20"/>
          <w:szCs w:val="20"/>
          <w:color w:val="auto"/>
        </w:rPr>
      </w:pPr>
      <w:r>
        <w:rPr>
          <w:rFonts w:ascii="Times New Roman" w:cs="Times New Roman" w:eastAsia="Times New Roman" w:hAnsi="Times New Roman"/>
          <w:sz w:val="20"/>
          <w:szCs w:val="20"/>
          <w:i w:val="1"/>
          <w:iCs w:val="1"/>
          <w:color w:val="231F20"/>
        </w:rPr>
        <w:t>GlaxoSmithKline</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Recursion Master Agreement</w:t>
      </w:r>
    </w:p>
    <w:p>
      <w:pPr>
        <w:spacing w:after="0" w:line="11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Factors Affecting Our Performance</w:t>
      </w:r>
    </w:p>
    <w:p>
      <w:pPr>
        <w:spacing w:after="0" w:line="118"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231F20"/>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“Part I, Item 1A.—Risk Factors” for more information.</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and New Products</w:t>
      </w:r>
    </w:p>
    <w:p>
      <w:pPr>
        <w:spacing w:after="0" w:line="113" w:lineRule="exact"/>
        <w:rPr>
          <w:sz w:val="20"/>
          <w:szCs w:val="20"/>
          <w:color w:val="auto"/>
        </w:rPr>
      </w:pPr>
    </w:p>
    <w:p>
      <w:pPr>
        <w:ind w:right="280" w:firstLine="490"/>
        <w:spacing w:after="0" w:line="239" w:lineRule="auto"/>
        <w:rPr>
          <w:sz w:val="20"/>
          <w:szCs w:val="20"/>
          <w:color w:val="auto"/>
        </w:rPr>
      </w:pPr>
      <w:r>
        <w:rPr>
          <w:rFonts w:ascii="Times New Roman" w:cs="Times New Roman" w:eastAsia="Times New Roman" w:hAnsi="Times New Roman"/>
          <w:sz w:val="20"/>
          <w:szCs w:val="20"/>
          <w:color w:val="231F20"/>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$172.9 million, $149.3 million and $90.3 million during the years ended December 31, 2025, 2024 and 2023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Customer Acquisition and Expansion</w:t>
      </w:r>
    </w:p>
    <w:p>
      <w:pPr>
        <w:spacing w:after="0" w:line="113"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231F20"/>
        </w:rPr>
        <w:t>To grow our business requires both identifying new customers and expanding our partnerships with existing ones across each of our product lines. For Diagnostics, this entails our field salesforce developing relationships with individual physicians, genetic counselors and hospital systems, demonstrating the power our Platform has in enabling them to provide personalized care to their patients. For Data and applications, this entails our pharmaceutical business development teams demonstrating the power our Platform and database have in enabling drug discovery, development and clinical trial matching for our pharmaceutical partners and demonstrating the utility of these algorithms in a clinical setting. Since our inception, our offerings have been used by more than 8,500 physicians and we have worked with over 250 biotech companies, as well as 19 of the 20 largest public pharmaceutical companies based on 2024 revenue, albeit with many we are still at an early stage of adoption. Our financial performance relies heavily on our ability to add customers to our Platform and expand the relationships with our current customers through adoption of our new products.</w:t>
      </w:r>
    </w:p>
    <w:p>
      <w:pPr>
        <w:sectPr>
          <w:pgSz w:w="11880" w:h="15480" w:orient="portrait"/>
          <w:cols w:equalWidth="0" w:num="1">
            <w:col w:w="10420"/>
          </w:cols>
          <w:pgMar w:left="900" w:top="79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10420"/>
          </w:cols>
          <w:pgMar w:left="900" w:top="798" w:right="560" w:bottom="0" w:gutter="0" w:footer="0" w:header="0"/>
          <w:type w:val="continuous"/>
        </w:sectPr>
      </w:pPr>
    </w:p>
    <w:bookmarkStart w:id="125" w:name="page126"/>
    <w:bookmarkEnd w:id="125"/>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Investments in Technology</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Technology is at the core of everything we do. From receiving orders and ingesting data through our various provider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integrations to delivering test results and access to our analytical platform, our Platform plays a key role in driving our business.</w:t>
      </w:r>
    </w:p>
    <w:p>
      <w:pPr>
        <w:spacing w:after="0" w:line="232" w:lineRule="auto"/>
        <w:rPr>
          <w:sz w:val="20"/>
          <w:szCs w:val="20"/>
          <w:color w:val="auto"/>
        </w:rPr>
      </w:pPr>
      <w:r>
        <w:rPr>
          <w:rFonts w:ascii="Times New Roman" w:cs="Times New Roman" w:eastAsia="Times New Roman" w:hAnsi="Times New Roman"/>
          <w:sz w:val="20"/>
          <w:szCs w:val="20"/>
          <w:color w:val="231F20"/>
        </w:rPr>
        <w:t>We will continue to make significant investments in our Platform to continually improve our user experience and allow us to</w:t>
      </w:r>
    </w:p>
    <w:p>
      <w:pPr>
        <w:spacing w:after="0" w:line="233" w:lineRule="auto"/>
        <w:rPr>
          <w:sz w:val="20"/>
          <w:szCs w:val="20"/>
          <w:color w:val="auto"/>
        </w:rPr>
      </w:pPr>
      <w:r>
        <w:rPr>
          <w:rFonts w:ascii="Times New Roman" w:cs="Times New Roman" w:eastAsia="Times New Roman" w:hAnsi="Times New Roman"/>
          <w:sz w:val="20"/>
          <w:szCs w:val="20"/>
          <w:color w:val="231F20"/>
        </w:rPr>
        <w:t>generate, ingest and structure data more efficiently as we expand our offerings. We invested $146.1 million, $167.5 million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$95.2 million during the years ended December 31, 2025, 2024 and 2023, respectively, in technology. We expect to maintain high</w:t>
      </w:r>
    </w:p>
    <w:p>
      <w:pPr>
        <w:spacing w:after="0" w:line="237" w:lineRule="auto"/>
        <w:rPr>
          <w:sz w:val="20"/>
          <w:szCs w:val="20"/>
          <w:color w:val="auto"/>
        </w:rPr>
      </w:pPr>
      <w:r>
        <w:rPr>
          <w:rFonts w:ascii="Times New Roman" w:cs="Times New Roman" w:eastAsia="Times New Roman" w:hAnsi="Times New Roman"/>
          <w:sz w:val="20"/>
          <w:szCs w:val="20"/>
          <w:color w:val="231F20"/>
        </w:rPr>
        <w:t>levels of investment in our technology over the coming years as we continue to develop new features to support our current and</w:t>
      </w:r>
    </w:p>
    <w:p>
      <w:pPr>
        <w:spacing w:after="0" w:line="233" w:lineRule="auto"/>
        <w:rPr>
          <w:sz w:val="20"/>
          <w:szCs w:val="20"/>
          <w:color w:val="auto"/>
        </w:rPr>
      </w:pPr>
      <w:r>
        <w:rPr>
          <w:rFonts w:ascii="Times New Roman" w:cs="Times New Roman" w:eastAsia="Times New Roman" w:hAnsi="Times New Roman"/>
          <w:sz w:val="20"/>
          <w:szCs w:val="20"/>
          <w:color w:val="231F20"/>
        </w:rPr>
        <w:t>future business needs. Our ability to execute on the development of such technology will continue to play a key factor in our</w:t>
      </w:r>
    </w:p>
    <w:p>
      <w:pPr>
        <w:spacing w:after="0"/>
        <w:rPr>
          <w:sz w:val="20"/>
          <w:szCs w:val="20"/>
          <w:color w:val="auto"/>
        </w:rPr>
      </w:pPr>
      <w:r>
        <w:rPr>
          <w:rFonts w:ascii="Times New Roman" w:cs="Times New Roman" w:eastAsia="Times New Roman" w:hAnsi="Times New Roman"/>
          <w:sz w:val="20"/>
          <w:szCs w:val="20"/>
          <w:color w:val="231F20"/>
        </w:rPr>
        <w:t>results.</w:t>
      </w: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Payer Coverage and Reimbursement</w:t>
      </w:r>
    </w:p>
    <w:p>
      <w:pPr>
        <w:spacing w:after="0" w:line="12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2025, we had received payment on approximately 55% of our clinical oncology NGS tests and 50% of our hereditary tests across all payers performed from January 1, 2023 through December 31, 2024. We calculated this metric on a trailing basis based on payer adjudication timing. However, we continued to perform our NGS tests through December 31, 2025.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our accounting policies.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00" w:lineRule="exact"/>
        <w:rPr>
          <w:sz w:val="20"/>
          <w:szCs w:val="20"/>
          <w:color w:val="auto"/>
        </w:rPr>
      </w:pPr>
    </w:p>
    <w:p>
      <w:pPr>
        <w:spacing w:after="0" w:line="3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Macroeconomic Conditions</w:t>
      </w:r>
    </w:p>
    <w:p>
      <w:pPr>
        <w:spacing w:after="0" w:line="109"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231F20"/>
        </w:rPr>
        <w:t>A significant portion of our current Data and applications products sales are to customers in the life sciences industry, in particular the pharmaceutical and biotechnology industry. Demand for our Data and applications products could be affected by factors that adversely affect the life sciences industry, including macroeconomic and market conditions that may adversely impact earlier stage biotechnology companies such as substantial new tariffs and other restrictive trade policies.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Components of Results of Operations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currently primarily derive our revenue from our two product lines: (1) Diagnostics and (2) Data and applications.</w:t>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Diagnostics</w:t>
      </w:r>
    </w:p>
    <w:p>
      <w:pPr>
        <w:spacing w:after="0" w:line="111" w:lineRule="exact"/>
        <w:rPr>
          <w:sz w:val="20"/>
          <w:szCs w:val="20"/>
          <w:color w:val="auto"/>
        </w:rPr>
      </w:pPr>
    </w:p>
    <w:p>
      <w:pPr>
        <w:ind w:right="40" w:firstLine="490"/>
        <w:spacing w:after="0" w:line="239" w:lineRule="auto"/>
        <w:rPr>
          <w:sz w:val="20"/>
          <w:szCs w:val="20"/>
          <w:color w:val="auto"/>
        </w:rPr>
      </w:pPr>
      <w:r>
        <w:rPr>
          <w:rFonts w:ascii="Times New Roman" w:cs="Times New Roman" w:eastAsia="Times New Roman" w:hAnsi="Times New Roman"/>
          <w:sz w:val="20"/>
          <w:szCs w:val="20"/>
          <w:color w:val="231F20"/>
        </w:rPr>
        <w:t>Diagnostics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w:t>
      </w: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Data and applications</w:t>
      </w:r>
    </w:p>
    <w:p>
      <w:pPr>
        <w:spacing w:after="0" w:line="109"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Data and applications primarily includes revenue from de-identified data generated through our Diagnostics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w:t>
      </w:r>
    </w:p>
    <w:p>
      <w:pPr>
        <w:sectPr>
          <w:pgSz w:w="11880" w:h="15480" w:orient="portrait"/>
          <w:cols w:equalWidth="0" w:num="1">
            <w:col w:w="10420"/>
          </w:cols>
          <w:pgMar w:left="900" w:top="79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10420"/>
          </w:cols>
          <w:pgMar w:left="900" w:top="790" w:right="560" w:bottom="0" w:gutter="0" w:footer="0" w:header="0"/>
          <w:type w:val="continuous"/>
        </w:sectPr>
      </w:pPr>
    </w:p>
    <w:bookmarkStart w:id="126" w:name="page127"/>
    <w:bookmarkEnd w:id="126"/>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Cost and Operating Expenses</w:t>
      </w:r>
    </w:p>
    <w:p>
      <w:pPr>
        <w:spacing w:after="0" w:line="113"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We incur costs to generate revenue for each of our two product lines. Cost of revenues for our Diagnostics product line is a higher percentage of the Diagnostics revenue than cost of revenues for Data and applications is as a percentage of Data and applications revenue. As revenue shifts between these product lines, total cost of revenue as a percentage of revenue will be impacted.</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Cost of Revenues, Diagnostics</w:t>
      </w:r>
    </w:p>
    <w:p>
      <w:pPr>
        <w:spacing w:after="0" w:line="111"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Cost of revenues for Diagnostics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Diagnostics revenue continues to grow.</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Cost of Revenues, Data and applications</w:t>
      </w:r>
    </w:p>
    <w:p>
      <w:pPr>
        <w:spacing w:after="0" w:line="111"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Cost of revenues for Data and applications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applications revenue continues to grow.</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11"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231F20"/>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w:t>
      </w: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Technology Research and Development</w:t>
      </w:r>
    </w:p>
    <w:p>
      <w:pPr>
        <w:spacing w:after="0" w:line="111" w:lineRule="exact"/>
        <w:rPr>
          <w:sz w:val="20"/>
          <w:szCs w:val="20"/>
          <w:color w:val="auto"/>
        </w:rPr>
      </w:pPr>
    </w:p>
    <w:p>
      <w:pPr>
        <w:ind w:right="420" w:firstLine="490"/>
        <w:spacing w:after="0"/>
        <w:rPr>
          <w:sz w:val="20"/>
          <w:szCs w:val="20"/>
          <w:color w:val="auto"/>
        </w:rPr>
      </w:pPr>
      <w:r>
        <w:rPr>
          <w:rFonts w:ascii="Times New Roman" w:cs="Times New Roman" w:eastAsia="Times New Roman" w:hAnsi="Times New Roman"/>
          <w:sz w:val="20"/>
          <w:szCs w:val="20"/>
          <w:color w:val="231F20"/>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Selling, General and Administrative</w:t>
      </w:r>
    </w:p>
    <w:p>
      <w:pPr>
        <w:spacing w:after="0" w:line="118"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231F20"/>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8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We expect that our selling, general and administrative expenses will continue to increase in absolute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Interest Income</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Interest income consists of interest earned on our cash and cash equivalents.</w:t>
      </w:r>
    </w:p>
    <w:p>
      <w:pPr>
        <w:sectPr>
          <w:pgSz w:w="11880" w:h="15480" w:orient="portrait"/>
          <w:cols w:equalWidth="0" w:num="1">
            <w:col w:w="10400"/>
          </w:cols>
          <w:pgMar w:left="900" w:top="79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10400"/>
          </w:cols>
          <w:pgMar w:left="900" w:top="790" w:right="580" w:bottom="0" w:gutter="0" w:footer="0" w:header="0"/>
          <w:type w:val="continuous"/>
        </w:sectPr>
      </w:pPr>
    </w:p>
    <w:bookmarkStart w:id="127" w:name="page128"/>
    <w:bookmarkEnd w:id="127"/>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w:t>
      </w:r>
    </w:p>
    <w:p>
      <w:pPr>
        <w:spacing w:after="0" w:line="12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231F20"/>
        </w:rPr>
        <w:t>Interest expense consists primarily of interest from our Second Amended Note, Credit Facilities, and Notes (each as defined below). Interest expense related to our Second Amended Note will continue, but should decrease over time as the principal amount decreases.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Loss on Debt Extinguishment</w:t>
      </w:r>
    </w:p>
    <w:p>
      <w:pPr>
        <w:spacing w:after="0" w:line="120"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231F20"/>
        </w:rPr>
        <w:t>Loss on debt extinguishment consists of the recognition of unamortized original issuance discount, unamortized deferred financing fees, and prepayment premium as a result of the prepayment of the Term Loan Facilities (defined in “—Liquidity and Capital Resources”).</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Net</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Other income, net consists of foreign currency exchange gains and losses, gains and losses on marketable equity securities, income from the 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The warrant was automatically cancelled and terminated for no consideration as AstraZeneca declined to extend its financial commitment before December 31, 2024. We have a warrant asset related to a November 2023 Commercialization and Reference Laboratory Agreement with Personalis, which was exercised in August 2024. The fair value of the warrant assets and liabilities are measured each reporting period.</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Benefit from (provision for) income taxes</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Benefit from (provision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Losses from Equity Method Investments</w:t>
      </w:r>
    </w:p>
    <w:p>
      <w:pPr>
        <w:spacing w:after="0" w:line="12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Losses from equity method investments consist of earnings from our joint venture, SB Tempus. See Note 6 to our consolidated financial statements included elsewhere in this Annual Report on Form 10-K for additional information regarding SB Tempus.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120</w:t>
      </w:r>
    </w:p>
    <w:p>
      <w:pPr>
        <w:sectPr>
          <w:pgSz w:w="11880" w:h="15480" w:orient="portrait"/>
          <w:cols w:equalWidth="0" w:num="1">
            <w:col w:w="10440"/>
          </w:cols>
          <w:pgMar w:left="900" w:top="796" w:right="54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right="82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the significant components of our results of operations for the periods presented (in thousands).</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6340" w:type="dxa"/>
            <w:vAlign w:val="bottom"/>
            <w:tcBorders>
              <w:bottom w:val="single" w:sz="8" w:color="E5E6E7"/>
            </w:tcBorders>
          </w:tcPr>
          <w:p>
            <w:pPr>
              <w:spacing w:after="0"/>
              <w:rPr>
                <w:sz w:val="16"/>
                <w:szCs w:val="16"/>
                <w:color w:val="auto"/>
              </w:rPr>
            </w:pPr>
          </w:p>
        </w:tc>
        <w:tc>
          <w:tcPr>
            <w:tcW w:w="20" w:type="dxa"/>
            <w:vAlign w:val="bottom"/>
            <w:tcBorders>
              <w:bottom w:val="single" w:sz="8" w:color="E5E6E7"/>
            </w:tcBorders>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160" w:type="dxa"/>
            <w:vAlign w:val="bottom"/>
            <w:tcBorders>
              <w:top w:val="single" w:sz="8" w:color="231F20"/>
              <w:bottom w:val="single" w:sz="8" w:color="231F20"/>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0" w:type="dxa"/>
            <w:vAlign w:val="bottom"/>
            <w:tcBorders>
              <w:top w:val="single" w:sz="8" w:color="231F20"/>
              <w:bottom w:val="single" w:sz="8" w:color="E5E6E7"/>
            </w:tcBorders>
          </w:tcPr>
          <w:p>
            <w:pPr>
              <w:spacing w:after="0"/>
              <w:rPr>
                <w:sz w:val="16"/>
                <w:szCs w:val="16"/>
                <w:color w:val="auto"/>
              </w:rPr>
            </w:pPr>
          </w:p>
        </w:tc>
        <w:tc>
          <w:tcPr>
            <w:tcW w:w="120" w:type="dxa"/>
            <w:vAlign w:val="bottom"/>
            <w:tcBorders>
              <w:top w:val="single" w:sz="8" w:color="231F20"/>
              <w:bottom w:val="single" w:sz="8" w:color="E5E6E7"/>
            </w:tcBorders>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1060" w:type="dxa"/>
            <w:vAlign w:val="bottom"/>
            <w:tcBorders>
              <w:top w:val="single" w:sz="8" w:color="231F20"/>
              <w:bottom w:val="single" w:sz="8" w:color="231F20"/>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5E6E7"/>
            </w:tcBorders>
          </w:tcPr>
          <w:p>
            <w:pPr>
              <w:spacing w:after="0"/>
              <w:rPr>
                <w:sz w:val="16"/>
                <w:szCs w:val="16"/>
                <w:color w:val="auto"/>
              </w:rPr>
            </w:pPr>
          </w:p>
        </w:tc>
      </w:tr>
      <w:tr>
        <w:trPr>
          <w:trHeight w:val="239"/>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Net revenue</w:t>
            </w:r>
          </w:p>
        </w:tc>
        <w:tc>
          <w:tcPr>
            <w:tcW w:w="2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16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6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Diagnostics</w:t>
            </w:r>
          </w:p>
        </w:tc>
        <w:tc>
          <w:tcPr>
            <w:tcW w:w="20" w:type="dxa"/>
            <w:vAlign w:val="bottom"/>
          </w:tcPr>
          <w:p>
            <w:pPr>
              <w:spacing w:after="0"/>
              <w:rPr>
                <w:sz w:val="21"/>
                <w:szCs w:val="21"/>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955,381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451,749</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Data and applications</w:t>
            </w:r>
          </w:p>
        </w:tc>
        <w:tc>
          <w:tcPr>
            <w:tcW w:w="20" w:type="dxa"/>
            <w:vAlign w:val="bottom"/>
            <w:shd w:val="clear" w:color="auto" w:fill="E5E6E7"/>
          </w:tcPr>
          <w:p>
            <w:pPr>
              <w:spacing w:after="0"/>
              <w:rPr>
                <w:sz w:val="21"/>
                <w:szCs w:val="21"/>
                <w:color w:val="auto"/>
              </w:rPr>
            </w:pPr>
          </w:p>
        </w:tc>
        <w:tc>
          <w:tcPr>
            <w:tcW w:w="320" w:type="dxa"/>
            <w:vAlign w:val="bottom"/>
            <w:tcBorders>
              <w:bottom w:val="single" w:sz="8" w:color="231F20"/>
            </w:tcBorders>
            <w:shd w:val="clear" w:color="auto" w:fill="E5E6E7"/>
          </w:tcPr>
          <w:p>
            <w:pPr>
              <w:spacing w:after="0"/>
              <w:rPr>
                <w:sz w:val="21"/>
                <w:szCs w:val="21"/>
                <w:color w:val="auto"/>
              </w:rPr>
            </w:pPr>
          </w:p>
        </w:tc>
        <w:tc>
          <w:tcPr>
            <w:tcW w:w="11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316,408</w:t>
            </w:r>
          </w:p>
        </w:tc>
        <w:tc>
          <w:tcPr>
            <w:tcW w:w="2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300" w:type="dxa"/>
            <w:vAlign w:val="bottom"/>
            <w:tcBorders>
              <w:bottom w:val="single" w:sz="8" w:color="231F20"/>
            </w:tcBorders>
            <w:shd w:val="clear" w:color="auto" w:fill="E5E6E7"/>
          </w:tcPr>
          <w:p>
            <w:pPr>
              <w:spacing w:after="0"/>
              <w:rPr>
                <w:sz w:val="21"/>
                <w:szCs w:val="21"/>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241,649</w:t>
            </w:r>
          </w:p>
        </w:tc>
        <w:tc>
          <w:tcPr>
            <w:tcW w:w="80" w:type="dxa"/>
            <w:vAlign w:val="bottom"/>
            <w:shd w:val="clear" w:color="auto" w:fill="E5E6E7"/>
          </w:tcPr>
          <w:p>
            <w:pPr>
              <w:spacing w:after="0"/>
              <w:rPr>
                <w:sz w:val="21"/>
                <w:szCs w:val="21"/>
                <w:color w:val="auto"/>
              </w:rPr>
            </w:pPr>
          </w:p>
        </w:tc>
      </w:tr>
      <w:tr>
        <w:trPr>
          <w:trHeight w:val="239"/>
        </w:trPr>
        <w:tc>
          <w:tcPr>
            <w:tcW w:w="63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net revenue</w:t>
            </w:r>
          </w:p>
        </w:tc>
        <w:tc>
          <w:tcPr>
            <w:tcW w:w="20" w:type="dxa"/>
            <w:vAlign w:val="bottom"/>
          </w:tcPr>
          <w:p>
            <w:pPr>
              <w:spacing w:after="0"/>
              <w:rPr>
                <w:sz w:val="20"/>
                <w:szCs w:val="20"/>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1,271,789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693,398</w:t>
            </w:r>
          </w:p>
        </w:tc>
        <w:tc>
          <w:tcPr>
            <w:tcW w:w="80" w:type="dxa"/>
            <w:vAlign w:val="bottom"/>
          </w:tcPr>
          <w:p>
            <w:pPr>
              <w:spacing w:after="0"/>
              <w:rPr>
                <w:sz w:val="20"/>
                <w:szCs w:val="20"/>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Cost and operating expenses</w:t>
            </w:r>
          </w:p>
        </w:tc>
        <w:tc>
          <w:tcPr>
            <w:tcW w:w="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16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Cost of revenues, diagnostics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386,102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243,467</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Cost of revenues, data and applications</w:t>
            </w:r>
          </w:p>
        </w:tc>
        <w:tc>
          <w:tcPr>
            <w:tcW w:w="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87,790</w:t>
            </w:r>
          </w:p>
        </w:tc>
        <w:tc>
          <w:tcPr>
            <w:tcW w:w="2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68,818</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Technology research and development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146,107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167,519</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Research and development</w:t>
            </w:r>
          </w:p>
        </w:tc>
        <w:tc>
          <w:tcPr>
            <w:tcW w:w="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172,924</w:t>
            </w:r>
          </w:p>
        </w:tc>
        <w:tc>
          <w:tcPr>
            <w:tcW w:w="2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149,325</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731,738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755,351</w:t>
            </w:r>
          </w:p>
        </w:tc>
        <w:tc>
          <w:tcPr>
            <w:tcW w:w="80" w:type="dxa"/>
            <w:vAlign w:val="bottom"/>
          </w:tcPr>
          <w:p>
            <w:pPr>
              <w:spacing w:after="0"/>
              <w:rPr>
                <w:sz w:val="21"/>
                <w:szCs w:val="21"/>
                <w:color w:val="auto"/>
              </w:rPr>
            </w:pPr>
          </w:p>
        </w:tc>
      </w:tr>
      <w:tr>
        <w:trPr>
          <w:trHeight w:val="264"/>
        </w:trPr>
        <w:tc>
          <w:tcPr>
            <w:tcW w:w="6340" w:type="dxa"/>
            <w:vAlign w:val="bottom"/>
            <w:tcBorders>
              <w:bottom w:val="single" w:sz="8" w:color="E5E6E7"/>
            </w:tcBorders>
            <w:shd w:val="clear" w:color="auto" w:fill="E5E6E7"/>
          </w:tcPr>
          <w:p>
            <w:pPr>
              <w:ind w:left="400"/>
              <w:spacing w:after="0"/>
              <w:rPr>
                <w:sz w:val="20"/>
                <w:szCs w:val="20"/>
                <w:color w:val="auto"/>
              </w:rPr>
            </w:pPr>
            <w:r>
              <w:rPr>
                <w:rFonts w:ascii="Times New Roman" w:cs="Times New Roman" w:eastAsia="Times New Roman" w:hAnsi="Times New Roman"/>
                <w:sz w:val="20"/>
                <w:szCs w:val="20"/>
                <w:color w:val="414142"/>
              </w:rPr>
              <w:t>Total cost and operating expenses</w:t>
            </w:r>
          </w:p>
        </w:tc>
        <w:tc>
          <w:tcPr>
            <w:tcW w:w="20" w:type="dxa"/>
            <w:vAlign w:val="bottom"/>
            <w:tcBorders>
              <w:bottom w:val="single" w:sz="8" w:color="E5E6E7"/>
            </w:tcBorders>
            <w:shd w:val="clear" w:color="auto" w:fill="E5E6E7"/>
          </w:tcPr>
          <w:p>
            <w:pPr>
              <w:spacing w:after="0"/>
              <w:rPr>
                <w:sz w:val="22"/>
                <w:szCs w:val="22"/>
                <w:color w:val="auto"/>
              </w:rPr>
            </w:pPr>
          </w:p>
        </w:tc>
        <w:tc>
          <w:tcPr>
            <w:tcW w:w="320" w:type="dxa"/>
            <w:vAlign w:val="bottom"/>
            <w:tcBorders>
              <w:bottom w:val="single" w:sz="8" w:color="231F20"/>
            </w:tcBorders>
            <w:shd w:val="clear" w:color="auto" w:fill="E5E6E7"/>
          </w:tcPr>
          <w:p>
            <w:pPr>
              <w:spacing w:after="0"/>
              <w:rPr>
                <w:sz w:val="22"/>
                <w:szCs w:val="22"/>
                <w:color w:val="auto"/>
              </w:rPr>
            </w:pPr>
          </w:p>
        </w:tc>
        <w:tc>
          <w:tcPr>
            <w:tcW w:w="11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1,524,661</w:t>
            </w:r>
          </w:p>
        </w:tc>
        <w:tc>
          <w:tcPr>
            <w:tcW w:w="200" w:type="dxa"/>
            <w:vAlign w:val="bottom"/>
            <w:tcBorders>
              <w:bottom w:val="single" w:sz="8" w:color="E5E6E7"/>
            </w:tcBorders>
            <w:shd w:val="clear" w:color="auto" w:fill="E5E6E7"/>
          </w:tcPr>
          <w:p>
            <w:pPr>
              <w:spacing w:after="0"/>
              <w:rPr>
                <w:sz w:val="22"/>
                <w:szCs w:val="22"/>
                <w:color w:val="auto"/>
              </w:rPr>
            </w:pPr>
          </w:p>
        </w:tc>
        <w:tc>
          <w:tcPr>
            <w:tcW w:w="120" w:type="dxa"/>
            <w:vAlign w:val="bottom"/>
            <w:tcBorders>
              <w:bottom w:val="single" w:sz="8" w:color="E5E6E7"/>
            </w:tcBorders>
            <w:shd w:val="clear" w:color="auto" w:fill="E5E6E7"/>
          </w:tcPr>
          <w:p>
            <w:pPr>
              <w:spacing w:after="0"/>
              <w:rPr>
                <w:sz w:val="22"/>
                <w:szCs w:val="22"/>
                <w:color w:val="auto"/>
              </w:rPr>
            </w:pPr>
          </w:p>
        </w:tc>
        <w:tc>
          <w:tcPr>
            <w:tcW w:w="300" w:type="dxa"/>
            <w:vAlign w:val="bottom"/>
            <w:tcBorders>
              <w:bottom w:val="single" w:sz="8" w:color="231F20"/>
            </w:tcBorders>
            <w:shd w:val="clear" w:color="auto" w:fill="E5E6E7"/>
          </w:tcPr>
          <w:p>
            <w:pPr>
              <w:spacing w:after="0"/>
              <w:rPr>
                <w:sz w:val="22"/>
                <w:szCs w:val="22"/>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1,384,480</w:t>
            </w:r>
          </w:p>
        </w:tc>
        <w:tc>
          <w:tcPr>
            <w:tcW w:w="80" w:type="dxa"/>
            <w:vAlign w:val="bottom"/>
            <w:tcBorders>
              <w:bottom w:val="single" w:sz="8" w:color="E5E6E7"/>
            </w:tcBorders>
            <w:shd w:val="clear" w:color="auto" w:fill="E5E6E7"/>
          </w:tcPr>
          <w:p>
            <w:pPr>
              <w:spacing w:after="0"/>
              <w:rPr>
                <w:sz w:val="22"/>
                <w:szCs w:val="22"/>
                <w:color w:val="auto"/>
              </w:rPr>
            </w:pPr>
          </w:p>
        </w:tc>
      </w:tr>
      <w:tr>
        <w:trPr>
          <w:trHeight w:val="219"/>
        </w:trPr>
        <w:tc>
          <w:tcPr>
            <w:tcW w:w="6340" w:type="dxa"/>
            <w:vAlign w:val="bottom"/>
            <w:tcBorders>
              <w:bottom w:val="single" w:sz="8" w:color="E5E6E7"/>
            </w:tcBorders>
          </w:tcPr>
          <w:p>
            <w:pPr>
              <w:ind w:left="200"/>
              <w:spacing w:after="0" w:line="219" w:lineRule="exact"/>
              <w:rPr>
                <w:sz w:val="20"/>
                <w:szCs w:val="20"/>
                <w:color w:val="auto"/>
              </w:rPr>
            </w:pPr>
            <w:r>
              <w:rPr>
                <w:rFonts w:ascii="Times New Roman" w:cs="Times New Roman" w:eastAsia="Times New Roman" w:hAnsi="Times New Roman"/>
                <w:sz w:val="20"/>
                <w:szCs w:val="20"/>
                <w:color w:val="231F20"/>
              </w:rPr>
              <w:t>Loss from operations</w:t>
            </w:r>
          </w:p>
        </w:tc>
        <w:tc>
          <w:tcPr>
            <w:tcW w:w="20" w:type="dxa"/>
            <w:vAlign w:val="bottom"/>
            <w:tcBorders>
              <w:bottom w:val="single" w:sz="8" w:color="E5E6E7"/>
            </w:tcBorders>
          </w:tcPr>
          <w:p>
            <w:pPr>
              <w:spacing w:after="0"/>
              <w:rPr>
                <w:sz w:val="19"/>
                <w:szCs w:val="19"/>
                <w:color w:val="auto"/>
              </w:rPr>
            </w:pPr>
          </w:p>
        </w:tc>
        <w:tc>
          <w:tcPr>
            <w:tcW w:w="320" w:type="dxa"/>
            <w:vAlign w:val="bottom"/>
            <w:tcBorders>
              <w:bottom w:val="single" w:sz="8" w:color="231F20"/>
            </w:tcBorders>
          </w:tcPr>
          <w:p>
            <w:pPr>
              <w:jc w:val="right"/>
              <w:ind w:right="155"/>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(252,872)</w:t>
            </w:r>
          </w:p>
        </w:tc>
        <w:tc>
          <w:tcPr>
            <w:tcW w:w="200" w:type="dxa"/>
            <w:vAlign w:val="bottom"/>
            <w:tcBorders>
              <w:bottom w:val="single" w:sz="8" w:color="E5E6E7"/>
            </w:tcBorders>
          </w:tcPr>
          <w:p>
            <w:pPr>
              <w:spacing w:after="0"/>
              <w:rPr>
                <w:sz w:val="19"/>
                <w:szCs w:val="19"/>
                <w:color w:val="auto"/>
              </w:rPr>
            </w:pPr>
          </w:p>
        </w:tc>
        <w:tc>
          <w:tcPr>
            <w:tcW w:w="120" w:type="dxa"/>
            <w:vAlign w:val="bottom"/>
            <w:tcBorders>
              <w:bottom w:val="single" w:sz="8" w:color="E5E6E7"/>
            </w:tcBorders>
          </w:tcPr>
          <w:p>
            <w:pPr>
              <w:spacing w:after="0"/>
              <w:rPr>
                <w:sz w:val="19"/>
                <w:szCs w:val="19"/>
                <w:color w:val="auto"/>
              </w:rPr>
            </w:pP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(691,082)</w:t>
            </w:r>
          </w:p>
        </w:tc>
        <w:tc>
          <w:tcPr>
            <w:tcW w:w="80" w:type="dxa"/>
            <w:vAlign w:val="bottom"/>
            <w:tcBorders>
              <w:bottom w:val="single" w:sz="8" w:color="E5E6E7"/>
            </w:tcBorders>
          </w:tcPr>
          <w:p>
            <w:pPr>
              <w:spacing w:after="0"/>
              <w:rPr>
                <w:sz w:val="19"/>
                <w:szCs w:val="19"/>
                <w:color w:val="auto"/>
              </w:rPr>
            </w:pPr>
          </w:p>
        </w:tc>
      </w:tr>
      <w:tr>
        <w:trPr>
          <w:trHeight w:val="239"/>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Interest income</w:t>
            </w:r>
          </w:p>
        </w:tc>
        <w:tc>
          <w:tcPr>
            <w:tcW w:w="2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12,628</w:t>
            </w:r>
          </w:p>
        </w:tc>
        <w:tc>
          <w:tcPr>
            <w:tcW w:w="20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11,084</w:t>
            </w:r>
          </w:p>
        </w:tc>
        <w:tc>
          <w:tcPr>
            <w:tcW w:w="80" w:type="dxa"/>
            <w:vAlign w:val="bottom"/>
            <w:shd w:val="clear" w:color="auto" w:fill="E5E6E7"/>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(70,267)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(53,653)</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 on debt extinguishment</w:t>
            </w:r>
          </w:p>
        </w:tc>
        <w:tc>
          <w:tcPr>
            <w:tcW w:w="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6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(12,034)</w:t>
            </w:r>
          </w:p>
        </w:tc>
        <w:tc>
          <w:tcPr>
            <w:tcW w:w="1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6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Other income, net</w:t>
            </w:r>
          </w:p>
        </w:tc>
        <w:tc>
          <w:tcPr>
            <w:tcW w:w="20" w:type="dxa"/>
            <w:vAlign w:val="bottom"/>
            <w:tcBorders>
              <w:bottom w:val="single" w:sz="8" w:color="E5E6E7"/>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31,447</w:t>
            </w:r>
          </w:p>
        </w:tc>
        <w:tc>
          <w:tcPr>
            <w:tcW w:w="200" w:type="dxa"/>
            <w:vAlign w:val="bottom"/>
            <w:tcBorders>
              <w:bottom w:val="single" w:sz="8" w:color="E5E6E7"/>
            </w:tcBorders>
          </w:tcPr>
          <w:p>
            <w:pPr>
              <w:spacing w:after="0"/>
              <w:rPr>
                <w:sz w:val="21"/>
                <w:szCs w:val="21"/>
                <w:color w:val="auto"/>
              </w:rPr>
            </w:pPr>
          </w:p>
        </w:tc>
        <w:tc>
          <w:tcPr>
            <w:tcW w:w="120" w:type="dxa"/>
            <w:vAlign w:val="bottom"/>
            <w:tcBorders>
              <w:bottom w:val="single" w:sz="8" w:color="E5E6E7"/>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32,336</w:t>
            </w:r>
          </w:p>
        </w:tc>
        <w:tc>
          <w:tcPr>
            <w:tcW w:w="80" w:type="dxa"/>
            <w:vAlign w:val="bottom"/>
            <w:tcBorders>
              <w:bottom w:val="single" w:sz="8" w:color="E5E6E7"/>
            </w:tcBorders>
          </w:tcPr>
          <w:p>
            <w:pPr>
              <w:spacing w:after="0"/>
              <w:rPr>
                <w:sz w:val="21"/>
                <w:szCs w:val="21"/>
                <w:color w:val="auto"/>
              </w:rPr>
            </w:pPr>
          </w:p>
        </w:tc>
      </w:tr>
      <w:tr>
        <w:trPr>
          <w:trHeight w:val="239"/>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 before benefit from (provision for) income taxes</w:t>
            </w:r>
          </w:p>
        </w:tc>
        <w:tc>
          <w:tcPr>
            <w:tcW w:w="2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(291,098)</w:t>
            </w:r>
          </w:p>
        </w:tc>
        <w:tc>
          <w:tcPr>
            <w:tcW w:w="20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(701,315)</w:t>
            </w:r>
          </w:p>
        </w:tc>
        <w:tc>
          <w:tcPr>
            <w:tcW w:w="80" w:type="dxa"/>
            <w:vAlign w:val="bottom"/>
            <w:shd w:val="clear" w:color="auto" w:fill="E5E6E7"/>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Benefit from (provision for) income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51,684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Losses from equity method investments</w:t>
            </w:r>
          </w:p>
        </w:tc>
        <w:tc>
          <w:tcPr>
            <w:tcW w:w="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6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(5,614)</w:t>
            </w:r>
          </w:p>
        </w:tc>
        <w:tc>
          <w:tcPr>
            <w:tcW w:w="1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(4,228)</w:t>
            </w:r>
          </w:p>
        </w:tc>
      </w:tr>
      <w:tr>
        <w:trPr>
          <w:trHeight w:val="239"/>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20" w:type="dxa"/>
            <w:vAlign w:val="bottom"/>
          </w:tcPr>
          <w:p>
            <w:pPr>
              <w:spacing w:after="0"/>
              <w:rPr>
                <w:sz w:val="20"/>
                <w:szCs w:val="20"/>
                <w:color w:val="auto"/>
              </w:rPr>
            </w:pPr>
          </w:p>
        </w:tc>
        <w:tc>
          <w:tcPr>
            <w:tcW w:w="320" w:type="dxa"/>
            <w:vAlign w:val="bottom"/>
            <w:tcBorders>
              <w:top w:val="single" w:sz="8" w:color="231F20"/>
              <w:bottom w:val="single" w:sz="8" w:color="231F20"/>
            </w:tcBorders>
          </w:tcPr>
          <w:p>
            <w:pPr>
              <w:jc w:val="right"/>
              <w:ind w:right="155"/>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(245,028)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231F20"/>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(705,809)</w:t>
            </w:r>
          </w:p>
        </w:tc>
        <w:tc>
          <w:tcPr>
            <w:tcW w:w="8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the Years Ended December 31, 2025 and 2024</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16510</wp:posOffset>
                </wp:positionV>
                <wp:extent cx="143319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1.3pt" to="372.7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12065</wp:posOffset>
                </wp:positionV>
                <wp:extent cx="64833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0.95pt" to="310.9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4007485</wp:posOffset>
                </wp:positionH>
                <wp:positionV relativeFrom="paragraph">
                  <wp:posOffset>12065</wp:posOffset>
                </wp:positionV>
                <wp:extent cx="72580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55pt,0.95pt" to="372.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5644515</wp:posOffset>
                </wp:positionH>
                <wp:positionV relativeFrom="paragraph">
                  <wp:posOffset>12065</wp:posOffset>
                </wp:positionV>
                <wp:extent cx="58547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Diagnostics</w:t>
            </w: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955,381</w:t>
            </w:r>
          </w:p>
        </w:tc>
        <w:tc>
          <w:tcPr>
            <w:tcW w:w="4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451,749</w:t>
            </w:r>
          </w:p>
        </w:tc>
        <w:tc>
          <w:tcPr>
            <w:tcW w:w="4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503,632</w:t>
            </w:r>
          </w:p>
        </w:tc>
        <w:tc>
          <w:tcPr>
            <w:tcW w:w="134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rPr>
              <w:t>111%</w:t>
            </w:r>
          </w:p>
        </w:tc>
        <w:tc>
          <w:tcPr>
            <w:tcW w:w="0" w:type="dxa"/>
            <w:vAlign w:val="bottom"/>
          </w:tcPr>
          <w:p>
            <w:pPr>
              <w:spacing w:after="0"/>
              <w:rPr>
                <w:sz w:val="1"/>
                <w:szCs w:val="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Data and applications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316,408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241,649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74,759</w:t>
            </w:r>
          </w:p>
        </w:tc>
        <w:tc>
          <w:tcPr>
            <w:tcW w:w="2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Net Revenue</w:t>
            </w:r>
          </w:p>
        </w:tc>
        <w:tc>
          <w:tcPr>
            <w:tcW w:w="16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20" w:type="dxa"/>
            <w:vAlign w:val="bottom"/>
            <w:vMerge w:val="restart"/>
            <w:shd w:val="clear" w:color="auto" w:fill="E5E6E7"/>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vMerge w:val="restart"/>
            <w:shd w:val="clear" w:color="auto" w:fill="E5E6E7"/>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E5E6E7"/>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80" w:type="dxa"/>
            <w:vAlign w:val="bottom"/>
            <w:vMerge w:val="continue"/>
            <w:shd w:val="clear" w:color="auto" w:fill="E5E6E7"/>
          </w:tcPr>
          <w:p>
            <w:pPr>
              <w:spacing w:after="0"/>
              <w:rPr>
                <w:sz w:val="20"/>
                <w:szCs w:val="20"/>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1,271,789</w:t>
            </w:r>
          </w:p>
        </w:tc>
        <w:tc>
          <w:tcPr>
            <w:tcW w:w="220" w:type="dxa"/>
            <w:vAlign w:val="bottom"/>
            <w:vMerge w:val="continue"/>
            <w:shd w:val="clear" w:color="auto" w:fill="E5E6E7"/>
          </w:tcPr>
          <w:p>
            <w:pPr>
              <w:spacing w:after="0"/>
              <w:rPr>
                <w:sz w:val="20"/>
                <w:szCs w:val="20"/>
                <w:color w:val="auto"/>
              </w:rPr>
            </w:pP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693,398</w:t>
            </w:r>
          </w:p>
        </w:tc>
        <w:tc>
          <w:tcPr>
            <w:tcW w:w="220" w:type="dxa"/>
            <w:vAlign w:val="bottom"/>
            <w:vMerge w:val="continue"/>
            <w:shd w:val="clear" w:color="auto" w:fill="E5E6E7"/>
          </w:tcPr>
          <w:p>
            <w:pPr>
              <w:spacing w:after="0"/>
              <w:rPr>
                <w:sz w:val="20"/>
                <w:szCs w:val="20"/>
                <w:color w:val="auto"/>
              </w:rPr>
            </w:pP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578,391</w:t>
            </w:r>
          </w:p>
        </w:tc>
        <w:tc>
          <w:tcPr>
            <w:tcW w:w="200" w:type="dxa"/>
            <w:vAlign w:val="bottom"/>
            <w:vMerge w:val="continue"/>
            <w:shd w:val="clear" w:color="auto" w:fill="E5E6E7"/>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14142"/>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5645150</wp:posOffset>
                </wp:positionH>
                <wp:positionV relativeFrom="paragraph">
                  <wp:posOffset>-154305</wp:posOffset>
                </wp:positionV>
                <wp:extent cx="584835" cy="15430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 cy="154305"/>
                        </a:xfrm>
                        <a:prstGeom prst="rect">
                          <a:avLst/>
                        </a:prstGeom>
                        <a:solidFill>
                          <a:srgbClr val="E5E6E7"/>
                        </a:solidFill>
                      </wps:spPr>
                      <wps:bodyPr/>
                    </wps:wsp>
                  </a:graphicData>
                </a:graphic>
              </wp:anchor>
            </w:drawing>
          </mc:Choice>
          <mc:Fallback>
            <w:pict>
              <v:rect id="Shape 33" o:spid="_x0000_s1058" style="position:absolute;margin-left:444.5pt;margin-top:-12.1499pt;width:46.0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5644515</wp:posOffset>
                </wp:positionH>
                <wp:positionV relativeFrom="paragraph">
                  <wp:posOffset>-163830</wp:posOffset>
                </wp:positionV>
                <wp:extent cx="0" cy="952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5pt,-12.8999pt" to="444.45pt,-12.1499pt" o:allowincell="f" strokecolor="#414142" strokeweight="0pt"/>
            </w:pict>
          </mc:Fallback>
        </mc:AlternateContent>
      </w:r>
    </w:p>
    <w:p>
      <w:pPr>
        <w:spacing w:after="0" w:line="19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The increase in revenue for the year ended December 31, 2025, compared to the same period in 2024, was due to increased volume and reimbursement of clinical oncology and hereditary tests performed in Diagnostics and increased data deliveries in our Data and applications product line.</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Diagnostics</w:t>
      </w:r>
    </w:p>
    <w:p>
      <w:pPr>
        <w:spacing w:after="0" w:line="118"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231F20"/>
        </w:rPr>
        <w:t>The increase in Diagnostics revenue for the year ended December 31, 2025, compared to the same period in 2024, was primarily due to an increase in the number of Oncology tests and the addition of Hereditary tests through the acquisition of Ambry. Volume of tests increased from approximately 270,800 tests for the year ended December 31, 2024 to approximately 801,000 tests for the year ended December 31, 2025, of which 460,500 tests related to Hereditary testing.</w:t>
      </w:r>
    </w:p>
    <w:p>
      <w:pPr>
        <w:spacing w:after="0" w:line="74"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Oncology tests increased from approximately 270,800 tests for the year ended December 31, 2024 to approximately 340,500 tests for the year ended December 31, 2025. Additionally, there was an increase in average revenue per Oncology test, which increased from approximately $1,510 for the year ended December 31, 2024 to approximately $1,600 for the year ended December 31, 2025. The increase in average revenue per Oncology test was driven primarily by increased Medicare reimbursement rates. The increase in the number of Oncology tests and average revenue per Oncology test resulted in a $135.9 million increase in Diagnostics revenue.</w:t>
      </w:r>
    </w:p>
    <w:p>
      <w:pPr>
        <w:sectPr>
          <w:pgSz w:w="11880" w:h="15480" w:orient="portrait"/>
          <w:cols w:equalWidth="0" w:num="1">
            <w:col w:w="10400"/>
          </w:cols>
          <w:pgMar w:left="900" w:top="79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10400"/>
          </w:cols>
          <w:pgMar w:left="900" w:top="792" w:right="580" w:bottom="0" w:gutter="0" w:footer="0" w:header="0"/>
          <w:type w:val="continuous"/>
        </w:sectPr>
      </w:pPr>
    </w:p>
    <w:bookmarkStart w:id="129" w:name="page130"/>
    <w:bookmarkEnd w:id="129"/>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Hereditary tests increased to approximately 460,500 tests for the year ended December 31, 2025 due to the acquisition of Ambry in February 2025 and resulted in an increase of $362.7 million in Diagnostics revenue.</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Remaining increase of $5.0 million is due to growth in our other product lines within Diagnostics.</w:t>
      </w:r>
    </w:p>
    <w:p>
      <w:pPr>
        <w:spacing w:after="0" w:line="3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Data and applications</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increase in Data and applications revenue for the year ended December 31, 2025, compared to the same period in 2024, was driven primarily by $70.9 million from increased demand for our Insights products. Across all Data and applications products, the increase in revenue in the year ended December 31, 2025 is primarily attributable to continued growth from within our existing customer base, as well as adoption of our services by new customers that did not purchase services in the year ended December 31, 2024.</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Cost and Operating Expenses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Cost of Revenues</w:t>
      </w: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16510</wp:posOffset>
                </wp:positionV>
                <wp:extent cx="143319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1.3pt" to="372.7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12065</wp:posOffset>
                </wp:positionV>
                <wp:extent cx="6483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0.95pt" to="310.9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4007485</wp:posOffset>
                </wp:positionH>
                <wp:positionV relativeFrom="paragraph">
                  <wp:posOffset>12065</wp:posOffset>
                </wp:positionV>
                <wp:extent cx="72580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55pt,0.95pt" to="372.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5644515</wp:posOffset>
                </wp:positionH>
                <wp:positionV relativeFrom="paragraph">
                  <wp:posOffset>12065</wp:posOffset>
                </wp:positionV>
                <wp:extent cx="58547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Cost of revenues, diagnostics</w:t>
            </w: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386,102</w:t>
            </w:r>
          </w:p>
        </w:tc>
        <w:tc>
          <w:tcPr>
            <w:tcW w:w="4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243,467</w:t>
            </w:r>
          </w:p>
        </w:tc>
        <w:tc>
          <w:tcPr>
            <w:tcW w:w="4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142,635</w:t>
            </w:r>
          </w:p>
        </w:tc>
        <w:tc>
          <w:tcPr>
            <w:tcW w:w="1340" w:type="dxa"/>
            <w:vAlign w:val="bottom"/>
            <w:gridSpan w:val="3"/>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rPr>
              <w:t>59%</w:t>
            </w:r>
          </w:p>
        </w:tc>
        <w:tc>
          <w:tcPr>
            <w:tcW w:w="0" w:type="dxa"/>
            <w:vAlign w:val="bottom"/>
          </w:tcPr>
          <w:p>
            <w:pPr>
              <w:spacing w:after="0"/>
              <w:rPr>
                <w:sz w:val="1"/>
                <w:szCs w:val="1"/>
                <w:color w:val="auto"/>
              </w:rPr>
            </w:pP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Cost of revenues, data and applications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68,818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18,972</w:t>
            </w:r>
          </w:p>
        </w:tc>
        <w:tc>
          <w:tcPr>
            <w:tcW w:w="2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w:t>
            </w: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vMerge w:val="restart"/>
            <w:shd w:val="clear" w:color="auto" w:fill="E5E6E7"/>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20" w:type="dxa"/>
            <w:vAlign w:val="bottom"/>
            <w:vMerge w:val="restart"/>
            <w:shd w:val="clear" w:color="auto" w:fill="E5E6E7"/>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E5E6E7"/>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780" w:type="dxa"/>
            <w:vAlign w:val="bottom"/>
            <w:vMerge w:val="continue"/>
            <w:shd w:val="clear" w:color="auto" w:fill="E5E6E7"/>
          </w:tcPr>
          <w:p>
            <w:pPr>
              <w:spacing w:after="0"/>
              <w:rPr>
                <w:sz w:val="20"/>
                <w:szCs w:val="20"/>
                <w:color w:val="auto"/>
              </w:rPr>
            </w:pP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473,892</w:t>
            </w:r>
          </w:p>
        </w:tc>
        <w:tc>
          <w:tcPr>
            <w:tcW w:w="220" w:type="dxa"/>
            <w:vAlign w:val="bottom"/>
            <w:vMerge w:val="continue"/>
            <w:shd w:val="clear" w:color="auto" w:fill="E5E6E7"/>
          </w:tcPr>
          <w:p>
            <w:pPr>
              <w:spacing w:after="0"/>
              <w:rPr>
                <w:sz w:val="20"/>
                <w:szCs w:val="20"/>
                <w:color w:val="auto"/>
              </w:rPr>
            </w:pP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312,285</w:t>
            </w:r>
          </w:p>
        </w:tc>
        <w:tc>
          <w:tcPr>
            <w:tcW w:w="220" w:type="dxa"/>
            <w:vAlign w:val="bottom"/>
            <w:vMerge w:val="continue"/>
            <w:shd w:val="clear" w:color="auto" w:fill="E5E6E7"/>
          </w:tcPr>
          <w:p>
            <w:pPr>
              <w:spacing w:after="0"/>
              <w:rPr>
                <w:sz w:val="20"/>
                <w:szCs w:val="20"/>
                <w:color w:val="auto"/>
              </w:rPr>
            </w:pP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161,607</w:t>
            </w:r>
          </w:p>
        </w:tc>
        <w:tc>
          <w:tcPr>
            <w:tcW w:w="200" w:type="dxa"/>
            <w:vAlign w:val="bottom"/>
            <w:vMerge w:val="continue"/>
            <w:shd w:val="clear" w:color="auto" w:fill="E5E6E7"/>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14142"/>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5644515</wp:posOffset>
                </wp:positionH>
                <wp:positionV relativeFrom="paragraph">
                  <wp:posOffset>-164465</wp:posOffset>
                </wp:positionV>
                <wp:extent cx="0" cy="952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5pt,-12.9499pt" to="444.45pt,-12.1999pt" o:allowincell="f" strokecolor="#414142" strokeweight="0pt"/>
            </w:pict>
          </mc:Fallback>
        </mc:AlternateContent>
        <w:drawing>
          <wp:anchor simplePos="0" relativeHeight="251657728" behindDoc="1" locked="0" layoutInCell="0" allowOverlap="1">
            <wp:simplePos x="0" y="0"/>
            <wp:positionH relativeFrom="column">
              <wp:posOffset>5626100</wp:posOffset>
            </wp:positionH>
            <wp:positionV relativeFrom="paragraph">
              <wp:posOffset>-173355</wp:posOffset>
            </wp:positionV>
            <wp:extent cx="603885" cy="173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extLst>
                    </a:blip>
                    <a:srcRect/>
                    <a:stretch>
                      <a:fillRect/>
                    </a:stretch>
                  </pic:blipFill>
                  <pic:spPr bwMode="auto">
                    <a:xfrm>
                      <a:off x="0" y="0"/>
                      <a:ext cx="603885" cy="173990"/>
                    </a:xfrm>
                    <a:prstGeom prst="rect">
                      <a:avLst/>
                    </a:prstGeom>
                    <a:noFill/>
                  </pic:spPr>
                </pic:pic>
              </a:graphicData>
            </a:graphic>
          </wp:anchor>
        </w:drawing>
      </w:r>
    </w:p>
    <w:p>
      <w:pPr>
        <w:spacing w:after="0" w:line="31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increase in Cost of revenues for the year ended December 31, 2025, compared to the same period in 2024, was primarily due to increases of $ 115.0 million in material and service costs, of which $69.2 million in material and services is due to the Ambry Acquisition, $41.4 million in personnel-related costs, of which $30.7 million is due to the Ambry Acquisition, $14.0 million in cloud costs, offset by a decrease of $12.8 million of stock-based compensation expenses related to RSUs for which the performance-based vesting condition was satisfied in connection with our IPO in the prior period.</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Cost of Revenues, Diagnostics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increase in Cost of revenues, Diagnostics for the year ended December 31, 2025, compared to the same period in 2024, was primarily due to increases of $115.0 million in material and service costs, of which $69.2 million in material and services is due to the Ambry Acquisition, $39.2 million in personnel-related costs, of which $30.7 million is due to the Ambry Acquisition, offset by a decrease of $7.4 million of stock-based compensation expense related to RSUs for which the performance-based vesting condition was satisfied in connection with our IPO in the prior period.</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Cost of Revenues, Data and applications</w:t>
      </w:r>
    </w:p>
    <w:p>
      <w:pPr>
        <w:spacing w:after="0" w:line="118"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231F20"/>
        </w:rPr>
        <w:t>The increase in Cost of revenues, Data and applications for the year ended December 31, 2025, compared to the same period in 2024, was primarily due to an increase of $14.0 million in cloud costs, $4.1 million in royalty fees, $2.9 million of modeling lab related costs, $2.2 million in personnel-related costs, offset by a decrease of $5.4 million of stock-based compensation expense related to RSUs for which the performance-based vesting condition was satisfied in connection with our IPO in the prior period.</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Technology Research and Development</w:t>
      </w: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3300730</wp:posOffset>
                </wp:positionH>
                <wp:positionV relativeFrom="paragraph">
                  <wp:posOffset>16510</wp:posOffset>
                </wp:positionV>
                <wp:extent cx="143319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pt,1.3pt" to="372.75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3300730</wp:posOffset>
                </wp:positionH>
                <wp:positionV relativeFrom="paragraph">
                  <wp:posOffset>12065</wp:posOffset>
                </wp:positionV>
                <wp:extent cx="64833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pt,0.95pt" to="310.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4008120</wp:posOffset>
                </wp:positionH>
                <wp:positionV relativeFrom="paragraph">
                  <wp:posOffset>12065</wp:posOffset>
                </wp:positionV>
                <wp:extent cx="72580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pt,0.95pt" to="372.7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5645150</wp:posOffset>
                </wp:positionH>
                <wp:positionV relativeFrom="paragraph">
                  <wp:posOffset>12065</wp:posOffset>
                </wp:positionV>
                <wp:extent cx="58483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9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Technology research and development</w:t>
            </w:r>
          </w:p>
        </w:tc>
        <w:tc>
          <w:tcPr>
            <w:tcW w:w="196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   146,107</w:t>
            </w:r>
          </w:p>
        </w:tc>
        <w:tc>
          <w:tcPr>
            <w:tcW w:w="124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   167,519</w:t>
            </w:r>
          </w:p>
        </w:tc>
        <w:tc>
          <w:tcPr>
            <w:tcW w:w="1580" w:type="dxa"/>
            <w:vAlign w:val="bottom"/>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414142"/>
              </w:rPr>
              <w:t>$   (21,412)</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w:t>
            </w:r>
          </w:p>
        </w:tc>
      </w:tr>
    </w:tbl>
    <w:p>
      <w:pPr>
        <w:spacing w:after="0" w:line="251"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decrease in Technology research and development expenses for the year ended December 31, 2025, compared to the same period in 2024, was primarily due to a decrease of $39.4 million of stock-based compensation expenses related to RSUs for which the performance-based vesting condition was satisfied in connection with our IPO in the prior period, offset by an increase of $19.5 million in personnel-related costs associated with the investment in our cloud infrastructure and new lines of business, of which $13.0 million is due to the Ambry Acquisition.</w:t>
      </w:r>
    </w:p>
    <w:p>
      <w:pPr>
        <w:sectPr>
          <w:pgSz w:w="11880" w:h="15480" w:orient="portrait"/>
          <w:cols w:equalWidth="0" w:num="1">
            <w:col w:w="10440"/>
          </w:cols>
          <w:pgMar w:left="900" w:top="796" w:right="540" w:bottom="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10440"/>
          </w:cols>
          <w:pgMar w:left="900" w:top="796" w:right="540" w:bottom="0" w:gutter="0" w:footer="0" w:header="0"/>
          <w:type w:val="continuous"/>
        </w:sectPr>
      </w:pPr>
    </w:p>
    <w:bookmarkStart w:id="130" w:name="page131"/>
    <w:bookmarkEnd w:id="130"/>
    <w:p>
      <w:pPr>
        <w:ind w:left="48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16510</wp:posOffset>
                </wp:positionV>
                <wp:extent cx="143319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1.3pt" to="372.7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12065</wp:posOffset>
                </wp:positionV>
                <wp:extent cx="64833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0.95pt" to="310.9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4007485</wp:posOffset>
                </wp:positionH>
                <wp:positionV relativeFrom="paragraph">
                  <wp:posOffset>12065</wp:posOffset>
                </wp:positionV>
                <wp:extent cx="72580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55pt,0.95pt" to="372.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5644515</wp:posOffset>
                </wp:positionH>
                <wp:positionV relativeFrom="paragraph">
                  <wp:posOffset>12065</wp:posOffset>
                </wp:positionV>
                <wp:extent cx="5854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265430</wp:posOffset>
                </wp:positionH>
                <wp:positionV relativeFrom="paragraph">
                  <wp:posOffset>7620</wp:posOffset>
                </wp:positionV>
                <wp:extent cx="6098540" cy="15494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8540" cy="154940"/>
                        </a:xfrm>
                        <a:prstGeom prst="rect">
                          <a:avLst/>
                        </a:prstGeom>
                        <a:solidFill>
                          <a:srgbClr val="E5E6E7"/>
                        </a:solidFill>
                      </wps:spPr>
                      <wps:bodyPr/>
                    </wps:wsp>
                  </a:graphicData>
                </a:graphic>
              </wp:anchor>
            </w:drawing>
          </mc:Choice>
          <mc:Fallback>
            <w:pict>
              <v:rect id="Shape 52" o:spid="_x0000_s1077" style="position:absolute;margin-left:20.9pt;margin-top:0.6pt;width:480.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9" w:lineRule="exact"/>
        <w:rPr>
          <w:sz w:val="20"/>
          <w:szCs w:val="20"/>
          <w:color w:val="auto"/>
        </w:rPr>
      </w:pPr>
    </w:p>
    <w:p>
      <w:pPr>
        <w:ind w:left="420"/>
        <w:spacing w:after="0"/>
        <w:tabs>
          <w:tab w:leader="none" w:pos="5180" w:val="left"/>
          <w:tab w:leader="none" w:pos="5540" w:val="left"/>
          <w:tab w:leader="none" w:pos="6420" w:val="left"/>
          <w:tab w:leader="none" w:pos="6780" w:val="left"/>
          <w:tab w:leader="none" w:pos="7660" w:val="left"/>
          <w:tab w:leader="none" w:pos="8100" w:val="left"/>
          <w:tab w:leader="none" w:pos="9580" w:val="left"/>
        </w:tabs>
        <w:rPr>
          <w:sz w:val="20"/>
          <w:szCs w:val="20"/>
          <w:color w:val="auto"/>
        </w:rPr>
      </w:pPr>
      <w:r>
        <w:rPr>
          <w:rFonts w:ascii="Times New Roman" w:cs="Times New Roman" w:eastAsia="Times New Roman" w:hAnsi="Times New Roman"/>
          <w:sz w:val="20"/>
          <w:szCs w:val="20"/>
          <w:color w:val="414142"/>
        </w:rPr>
        <w:t>Research and development</w:t>
      </w:r>
      <w:r>
        <w:rPr>
          <w:sz w:val="20"/>
          <w:szCs w:val="20"/>
          <w:color w:val="auto"/>
        </w:rPr>
        <w:tab/>
      </w:r>
      <w:r>
        <w:rPr>
          <w:rFonts w:ascii="Times New Roman" w:cs="Times New Roman" w:eastAsia="Times New Roman" w:hAnsi="Times New Roman"/>
          <w:sz w:val="20"/>
          <w:szCs w:val="20"/>
          <w:color w:val="414142"/>
        </w:rPr>
        <w:t>$</w:t>
        <w:tab/>
        <w:t>172,924</w:t>
        <w:tab/>
        <w:t>$</w:t>
        <w:tab/>
        <w:t>149,325</w:t>
        <w:tab/>
        <w:t>$</w:t>
      </w:r>
      <w:r>
        <w:rPr>
          <w:sz w:val="20"/>
          <w:szCs w:val="20"/>
          <w:color w:val="auto"/>
        </w:rPr>
        <w:tab/>
      </w:r>
      <w:r>
        <w:rPr>
          <w:rFonts w:ascii="Times New Roman" w:cs="Times New Roman" w:eastAsia="Times New Roman" w:hAnsi="Times New Roman"/>
          <w:sz w:val="20"/>
          <w:szCs w:val="20"/>
          <w:color w:val="414142"/>
        </w:rPr>
        <w:t>23,599</w:t>
      </w:r>
      <w:r>
        <w:rPr>
          <w:sz w:val="20"/>
          <w:szCs w:val="20"/>
          <w:color w:val="auto"/>
        </w:rPr>
        <w:tab/>
      </w:r>
      <w:r>
        <w:rPr>
          <w:rFonts w:ascii="Times New Roman" w:cs="Times New Roman" w:eastAsia="Times New Roman" w:hAnsi="Times New Roman"/>
          <w:sz w:val="20"/>
          <w:szCs w:val="20"/>
          <w:color w:val="414142"/>
        </w:rPr>
        <w:t>16%</w:t>
      </w:r>
    </w:p>
    <w:p>
      <w:pPr>
        <w:spacing w:after="0" w:line="24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increase in Research and development expenses for the year ended December 31, 2025, compared to the same period in 2024, was primarily due to an increase of $ 39.4 million in personnel-related costs for employees in our research and development group, of which $30.7 million is due to the Ambry Acquisition, $8.8 million in validation and regulatory costs, $5.3 million in laboratory supplies, of which $2.2 million is due to the Ambry Acquisition, and $1.4 million due to outside services costs related to clinical studies, offset by a decrease of $35.0 million of stock- based compensation expense related to RSUs for which the performance-based vesting condition was satisfied in connection with our IPO in the prior period.</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Selling, General and Administrative</w:t>
      </w: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3300730</wp:posOffset>
                </wp:positionH>
                <wp:positionV relativeFrom="paragraph">
                  <wp:posOffset>16510</wp:posOffset>
                </wp:positionV>
                <wp:extent cx="143319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pt,1.3pt" to="372.75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3300730</wp:posOffset>
                </wp:positionH>
                <wp:positionV relativeFrom="paragraph">
                  <wp:posOffset>12065</wp:posOffset>
                </wp:positionV>
                <wp:extent cx="64833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pt,0.95pt" to="310.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4008120</wp:posOffset>
                </wp:positionH>
                <wp:positionV relativeFrom="paragraph">
                  <wp:posOffset>12065</wp:posOffset>
                </wp:positionV>
                <wp:extent cx="72580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pt,0.95pt" to="372.7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5645150</wp:posOffset>
                </wp:positionH>
                <wp:positionV relativeFrom="paragraph">
                  <wp:posOffset>12065</wp:posOffset>
                </wp:positionV>
                <wp:extent cx="5848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7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Selling, general and administrative</w:t>
            </w:r>
          </w:p>
        </w:tc>
        <w:tc>
          <w:tcPr>
            <w:tcW w:w="21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   731,738</w:t>
            </w:r>
          </w:p>
        </w:tc>
        <w:tc>
          <w:tcPr>
            <w:tcW w:w="124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   755,351</w:t>
            </w:r>
          </w:p>
        </w:tc>
        <w:tc>
          <w:tcPr>
            <w:tcW w:w="1620" w:type="dxa"/>
            <w:vAlign w:val="bottom"/>
            <w:shd w:val="clear" w:color="auto" w:fill="E5E6E7"/>
          </w:tcPr>
          <w:p>
            <w:pPr>
              <w:jc w:val="right"/>
              <w:ind w:right="340"/>
              <w:spacing w:after="0"/>
              <w:rPr>
                <w:sz w:val="20"/>
                <w:szCs w:val="20"/>
                <w:color w:val="auto"/>
              </w:rPr>
            </w:pPr>
            <w:r>
              <w:rPr>
                <w:rFonts w:ascii="Times New Roman" w:cs="Times New Roman" w:eastAsia="Times New Roman" w:hAnsi="Times New Roman"/>
                <w:sz w:val="20"/>
                <w:szCs w:val="20"/>
                <w:color w:val="414142"/>
              </w:rPr>
              <w:t>$   (23,613)</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w:t>
            </w:r>
          </w:p>
        </w:tc>
      </w:tr>
    </w:tbl>
    <w:p>
      <w:pPr>
        <w:spacing w:after="0" w:line="25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decrease in Selling, general and administrative expenses for the year ended December 31, 2025, compared to the same period in 2024, was primarily due to a decrease of $ 322.2 million of stock-based compensation expenses related to RSUs for which the performance-based vesting condition was satisfied in connection with our IPO in the prior period, offset by increases of $114.0 million in personnel-related costs, of which $ 79.6 million is due to the Ambry Acquisition, $61.5 million in amortization of intangibles acquired from the Ambry Acquisition, $25.3 million in software and tools costs, of which $10.4 million is due to the Ambry Acquisition, $15.6 million in legal costs, of which $2.4 million is due to the Ambry Acquisition, $16.6 million in cloud storage costs, of which $ 3.6 million is due to the Ambry Acquisition, $7.6 million in rent expense, of which $4.3 million is due to the Ambry Acquisition, $5.2 million of public company costs (consisting of accounting, legal, insurance, marketing and administrative fees) and $ 3.5 million in acquisition costs. Additionally, approximately $33.2 million increase is due to the inclusion of other Ambry costs in the year ended December 31, 2025.</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Interest Income</w:t>
      </w:r>
    </w:p>
    <w:p>
      <w:pPr>
        <w:spacing w:after="0" w:line="2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16510</wp:posOffset>
                </wp:positionV>
                <wp:extent cx="14331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1.3pt" to="372.7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12065</wp:posOffset>
                </wp:positionV>
                <wp:extent cx="64833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0.95pt" to="310.9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4007485</wp:posOffset>
                </wp:positionH>
                <wp:positionV relativeFrom="paragraph">
                  <wp:posOffset>12065</wp:posOffset>
                </wp:positionV>
                <wp:extent cx="72580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55pt,0.95pt" to="372.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5644515</wp:posOffset>
                </wp:positionH>
                <wp:positionV relativeFrom="paragraph">
                  <wp:posOffset>12065</wp:posOffset>
                </wp:positionV>
                <wp:extent cx="58547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265430</wp:posOffset>
                </wp:positionH>
                <wp:positionV relativeFrom="paragraph">
                  <wp:posOffset>7620</wp:posOffset>
                </wp:positionV>
                <wp:extent cx="6098540" cy="15494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8540" cy="154940"/>
                        </a:xfrm>
                        <a:prstGeom prst="rect">
                          <a:avLst/>
                        </a:prstGeom>
                        <a:solidFill>
                          <a:srgbClr val="E5E6E7"/>
                        </a:solidFill>
                      </wps:spPr>
                      <wps:bodyPr/>
                    </wps:wsp>
                  </a:graphicData>
                </a:graphic>
              </wp:anchor>
            </w:drawing>
          </mc:Choice>
          <mc:Fallback>
            <w:pict>
              <v:rect id="Shape 63" o:spid="_x0000_s1088" style="position:absolute;margin-left:20.9pt;margin-top:0.6pt;width:480.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9" w:lineRule="exact"/>
        <w:rPr>
          <w:sz w:val="20"/>
          <w:szCs w:val="20"/>
          <w:color w:val="auto"/>
        </w:rPr>
      </w:pPr>
    </w:p>
    <w:p>
      <w:pPr>
        <w:ind w:left="420"/>
        <w:spacing w:after="0"/>
        <w:tabs>
          <w:tab w:leader="none" w:pos="5180" w:val="left"/>
          <w:tab w:leader="none" w:pos="5640" w:val="left"/>
          <w:tab w:leader="none" w:pos="6420" w:val="left"/>
          <w:tab w:leader="none" w:pos="6880" w:val="left"/>
          <w:tab w:leader="none" w:pos="7660" w:val="left"/>
          <w:tab w:leader="none" w:pos="8200" w:val="left"/>
          <w:tab w:leader="none" w:pos="9580" w:val="left"/>
        </w:tabs>
        <w:rPr>
          <w:sz w:val="20"/>
          <w:szCs w:val="20"/>
          <w:color w:val="auto"/>
        </w:rPr>
      </w:pPr>
      <w:r>
        <w:rPr>
          <w:rFonts w:ascii="Times New Roman" w:cs="Times New Roman" w:eastAsia="Times New Roman" w:hAnsi="Times New Roman"/>
          <w:sz w:val="20"/>
          <w:szCs w:val="20"/>
          <w:color w:val="414142"/>
        </w:rPr>
        <w:t>Interest income</w:t>
      </w:r>
      <w:r>
        <w:rPr>
          <w:sz w:val="20"/>
          <w:szCs w:val="20"/>
          <w:color w:val="auto"/>
        </w:rPr>
        <w:tab/>
      </w:r>
      <w:r>
        <w:rPr>
          <w:rFonts w:ascii="Times New Roman" w:cs="Times New Roman" w:eastAsia="Times New Roman" w:hAnsi="Times New Roman"/>
          <w:sz w:val="20"/>
          <w:szCs w:val="20"/>
          <w:color w:val="414142"/>
        </w:rPr>
        <w:t>$</w:t>
      </w:r>
      <w:r>
        <w:rPr>
          <w:sz w:val="20"/>
          <w:szCs w:val="20"/>
          <w:color w:val="auto"/>
        </w:rPr>
        <w:tab/>
      </w:r>
      <w:r>
        <w:rPr>
          <w:rFonts w:ascii="Times New Roman" w:cs="Times New Roman" w:eastAsia="Times New Roman" w:hAnsi="Times New Roman"/>
          <w:sz w:val="20"/>
          <w:szCs w:val="20"/>
          <w:color w:val="414142"/>
        </w:rPr>
        <w:t>12,628</w:t>
        <w:tab/>
        <w:t>$</w:t>
      </w:r>
      <w:r>
        <w:rPr>
          <w:sz w:val="20"/>
          <w:szCs w:val="20"/>
          <w:color w:val="auto"/>
        </w:rPr>
        <w:tab/>
      </w:r>
      <w:r>
        <w:rPr>
          <w:rFonts w:ascii="Times New Roman" w:cs="Times New Roman" w:eastAsia="Times New Roman" w:hAnsi="Times New Roman"/>
          <w:sz w:val="20"/>
          <w:szCs w:val="20"/>
          <w:color w:val="414142"/>
        </w:rPr>
        <w:t>11,084</w:t>
        <w:tab/>
        <w:t>$</w:t>
      </w:r>
      <w:r>
        <w:rPr>
          <w:sz w:val="20"/>
          <w:szCs w:val="20"/>
          <w:color w:val="auto"/>
        </w:rPr>
        <w:tab/>
      </w:r>
      <w:r>
        <w:rPr>
          <w:rFonts w:ascii="Times New Roman" w:cs="Times New Roman" w:eastAsia="Times New Roman" w:hAnsi="Times New Roman"/>
          <w:sz w:val="20"/>
          <w:szCs w:val="20"/>
          <w:color w:val="414142"/>
        </w:rPr>
        <w:t>1,544</w:t>
      </w:r>
      <w:r>
        <w:rPr>
          <w:sz w:val="20"/>
          <w:szCs w:val="20"/>
          <w:color w:val="auto"/>
        </w:rPr>
        <w:tab/>
      </w:r>
      <w:r>
        <w:rPr>
          <w:rFonts w:ascii="Times New Roman" w:cs="Times New Roman" w:eastAsia="Times New Roman" w:hAnsi="Times New Roman"/>
          <w:sz w:val="20"/>
          <w:szCs w:val="20"/>
          <w:color w:val="414142"/>
        </w:rPr>
        <w:t>14%</w:t>
      </w:r>
    </w:p>
    <w:p>
      <w:pPr>
        <w:spacing w:after="0" w:line="247"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The increase in Interest income for the year ended December 31, 2025, compared to the same period in 2024, increased primarily due to higher cash on hand as of December 31, 2025 compared to December 31, 2024.</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w:t>
      </w:r>
    </w:p>
    <w:p>
      <w:pPr>
        <w:spacing w:after="0" w:line="2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3301365</wp:posOffset>
                </wp:positionH>
                <wp:positionV relativeFrom="paragraph">
                  <wp:posOffset>16510</wp:posOffset>
                </wp:positionV>
                <wp:extent cx="14224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5pt,1.3pt" to="371.95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3301365</wp:posOffset>
                </wp:positionH>
                <wp:positionV relativeFrom="paragraph">
                  <wp:posOffset>12065</wp:posOffset>
                </wp:positionV>
                <wp:extent cx="6477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5pt,0.95pt" to="310.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4008755</wp:posOffset>
                </wp:positionH>
                <wp:positionV relativeFrom="paragraph">
                  <wp:posOffset>12065</wp:posOffset>
                </wp:positionV>
                <wp:extent cx="71501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5pt,0.95pt" to="371.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4860290</wp:posOffset>
                </wp:positionH>
                <wp:positionV relativeFrom="paragraph">
                  <wp:posOffset>12065</wp:posOffset>
                </wp:positionV>
                <wp:extent cx="64833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7pt,0.95pt" to="433.7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5645150</wp:posOffset>
                </wp:positionH>
                <wp:positionV relativeFrom="paragraph">
                  <wp:posOffset>12065</wp:posOffset>
                </wp:positionV>
                <wp:extent cx="58547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5pt,0.95pt" to="490.6pt,0.95pt" o:allowincell="f" strokecolor="#231F20" strokeweight="0.75pt"/>
            </w:pict>
          </mc:Fallback>
        </mc:AlternateConten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Interest expense</w:t>
            </w:r>
          </w:p>
        </w:tc>
        <w:tc>
          <w:tcPr>
            <w:tcW w:w="2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   (70,267)</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   (53,653)</w:t>
            </w:r>
          </w:p>
        </w:tc>
        <w:tc>
          <w:tcPr>
            <w:tcW w:w="1600" w:type="dxa"/>
            <w:vAlign w:val="bottom"/>
            <w:shd w:val="clear" w:color="auto" w:fill="E5E6E7"/>
          </w:tcPr>
          <w:p>
            <w:pPr>
              <w:jc w:val="right"/>
              <w:ind w:right="340"/>
              <w:spacing w:after="0"/>
              <w:rPr>
                <w:sz w:val="20"/>
                <w:szCs w:val="20"/>
                <w:color w:val="auto"/>
              </w:rPr>
            </w:pPr>
            <w:r>
              <w:rPr>
                <w:rFonts w:ascii="Times New Roman" w:cs="Times New Roman" w:eastAsia="Times New Roman" w:hAnsi="Times New Roman"/>
                <w:sz w:val="20"/>
                <w:szCs w:val="20"/>
                <w:color w:val="414142"/>
              </w:rPr>
              <w:t>$   (16,614)</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31%</w:t>
            </w:r>
          </w:p>
        </w:tc>
      </w:tr>
    </w:tbl>
    <w:p>
      <w:pPr>
        <w:spacing w:after="0" w:line="251" w:lineRule="exact"/>
        <w:rPr>
          <w:sz w:val="20"/>
          <w:szCs w:val="20"/>
          <w:color w:val="auto"/>
        </w:rPr>
      </w:pPr>
    </w:p>
    <w:p>
      <w:pPr>
        <w:ind w:right="440" w:firstLine="490"/>
        <w:spacing w:after="0" w:line="258" w:lineRule="auto"/>
        <w:rPr>
          <w:sz w:val="20"/>
          <w:szCs w:val="20"/>
          <w:color w:val="auto"/>
        </w:rPr>
      </w:pPr>
      <w:r>
        <w:rPr>
          <w:rFonts w:ascii="Times New Roman" w:cs="Times New Roman" w:eastAsia="Times New Roman" w:hAnsi="Times New Roman"/>
          <w:sz w:val="20"/>
          <w:szCs w:val="20"/>
          <w:color w:val="231F20"/>
        </w:rPr>
        <w:t>The increase in Interest expense for the year ended December 31, 2025, compared to the same period in 2024, was primarily driven by compounding interest on our Second Amended Note and additional interest expense from the Additional Term Loan Facility, Revolving Credit Facility and Notes.</w:t>
      </w:r>
    </w:p>
    <w:p>
      <w:pPr>
        <w:sectPr>
          <w:pgSz w:w="11880" w:h="15480" w:orient="portrait"/>
          <w:cols w:equalWidth="0" w:num="1">
            <w:col w:w="10420"/>
          </w:cols>
          <w:pgMar w:left="900" w:top="138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10420"/>
          </w:cols>
          <w:pgMar w:left="900" w:top="1388" w:right="560" w:bottom="0" w:gutter="0" w:footer="0" w:header="0"/>
          <w:type w:val="continuous"/>
        </w:sectPr>
      </w:pPr>
    </w:p>
    <w:bookmarkStart w:id="131" w:name="page132"/>
    <w:bookmarkEnd w:id="131"/>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Loss on Debt Extinguishment</w:t>
      </w:r>
    </w:p>
    <w:p>
      <w:pPr>
        <w:spacing w:after="0" w:line="2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3295650</wp:posOffset>
                </wp:positionH>
                <wp:positionV relativeFrom="paragraph">
                  <wp:posOffset>16510</wp:posOffset>
                </wp:positionV>
                <wp:extent cx="143065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065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5pt,1.3pt" to="372.15pt,1.3pt" o:allowincell="f" strokecolor="#231F20" strokeweight="0.75pt"/>
            </w:pict>
          </mc:Fallback>
        </mc:AlternateContent>
      </w:r>
    </w:p>
    <w:p>
      <w:pPr>
        <w:spacing w:after="0" w:line="17" w:lineRule="exact"/>
        <w:rPr>
          <w:sz w:val="20"/>
          <w:szCs w:val="20"/>
          <w:color w:val="auto"/>
        </w:rPr>
      </w:pPr>
    </w:p>
    <w:p>
      <w:pPr>
        <w:ind w:left="5540"/>
        <w:spacing w:after="0"/>
        <w:tabs>
          <w:tab w:leader="none" w:pos="674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3295650</wp:posOffset>
                </wp:positionH>
                <wp:positionV relativeFrom="paragraph">
                  <wp:posOffset>12065</wp:posOffset>
                </wp:positionV>
                <wp:extent cx="64706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06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5pt,0.95pt" to="310.4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4001770</wp:posOffset>
                </wp:positionH>
                <wp:positionV relativeFrom="paragraph">
                  <wp:posOffset>12065</wp:posOffset>
                </wp:positionV>
                <wp:extent cx="72453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45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1pt,0.95pt" to="372.1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4862830</wp:posOffset>
                </wp:positionH>
                <wp:positionV relativeFrom="paragraph">
                  <wp:posOffset>12065</wp:posOffset>
                </wp:positionV>
                <wp:extent cx="64706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06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9pt,0.95pt" to="433.8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5646420</wp:posOffset>
                </wp:positionH>
                <wp:positionV relativeFrom="paragraph">
                  <wp:posOffset>12065</wp:posOffset>
                </wp:positionV>
                <wp:extent cx="5842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6pt,0.95pt" to="490.6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265430</wp:posOffset>
                </wp:positionH>
                <wp:positionV relativeFrom="paragraph">
                  <wp:posOffset>7620</wp:posOffset>
                </wp:positionV>
                <wp:extent cx="6098540" cy="15494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8540" cy="154940"/>
                        </a:xfrm>
                        <a:prstGeom prst="rect">
                          <a:avLst/>
                        </a:prstGeom>
                        <a:solidFill>
                          <a:srgbClr val="E5E6E7"/>
                        </a:solidFill>
                      </wps:spPr>
                      <wps:bodyPr/>
                    </wps:wsp>
                  </a:graphicData>
                </a:graphic>
              </wp:anchor>
            </w:drawing>
          </mc:Choice>
          <mc:Fallback>
            <w:pict>
              <v:rect id="Shape 74" o:spid="_x0000_s1099" style="position:absolute;margin-left:20.9pt;margin-top:0.6pt;width:480.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9" w:lineRule="exact"/>
        <w:rPr>
          <w:sz w:val="20"/>
          <w:szCs w:val="20"/>
          <w:color w:val="auto"/>
        </w:rPr>
      </w:pPr>
    </w:p>
    <w:p>
      <w:pPr>
        <w:ind w:left="420"/>
        <w:spacing w:after="0"/>
        <w:tabs>
          <w:tab w:leader="none" w:pos="5180" w:val="left"/>
          <w:tab w:leader="none" w:pos="5560" w:val="left"/>
          <w:tab w:leader="none" w:pos="7200" w:val="left"/>
          <w:tab w:leader="none" w:pos="7640" w:val="left"/>
          <w:tab w:leader="none" w:pos="8020" w:val="left"/>
          <w:tab w:leader="none" w:pos="9480" w:val="left"/>
        </w:tabs>
        <w:rPr>
          <w:sz w:val="20"/>
          <w:szCs w:val="20"/>
          <w:color w:val="auto"/>
        </w:rPr>
      </w:pPr>
      <w:r>
        <w:rPr>
          <w:rFonts w:ascii="Times New Roman" w:cs="Times New Roman" w:eastAsia="Times New Roman" w:hAnsi="Times New Roman"/>
          <w:sz w:val="20"/>
          <w:szCs w:val="20"/>
          <w:color w:val="414142"/>
        </w:rPr>
        <w:t>Loss on debt extinguishment</w:t>
      </w:r>
      <w:r>
        <w:rPr>
          <w:sz w:val="20"/>
          <w:szCs w:val="20"/>
          <w:color w:val="auto"/>
        </w:rPr>
        <w:tab/>
      </w:r>
      <w:r>
        <w:rPr>
          <w:rFonts w:ascii="Times New Roman" w:cs="Times New Roman" w:eastAsia="Times New Roman" w:hAnsi="Times New Roman"/>
          <w:sz w:val="20"/>
          <w:szCs w:val="20"/>
          <w:color w:val="414142"/>
        </w:rPr>
        <w:t>$</w:t>
        <w:tab/>
        <w:t>(12,034)  $</w:t>
      </w:r>
      <w:r>
        <w:rPr>
          <w:sz w:val="20"/>
          <w:szCs w:val="20"/>
          <w:color w:val="auto"/>
        </w:rPr>
        <w:tab/>
      </w:r>
      <w:r>
        <w:rPr>
          <w:rFonts w:ascii="Times New Roman" w:cs="Times New Roman" w:eastAsia="Times New Roman" w:hAnsi="Times New Roman"/>
          <w:sz w:val="20"/>
          <w:szCs w:val="20"/>
          <w:color w:val="414142"/>
        </w:rPr>
        <w:t>—</w:t>
        <w:tab/>
        <w:t>$</w:t>
        <w:tab/>
        <w:t>(12,034)</w:t>
      </w:r>
      <w:r>
        <w:rPr>
          <w:sz w:val="20"/>
          <w:szCs w:val="20"/>
          <w:color w:val="auto"/>
        </w:rPr>
        <w:tab/>
      </w:r>
      <w:r>
        <w:rPr>
          <w:rFonts w:ascii="Times New Roman" w:cs="Times New Roman" w:eastAsia="Times New Roman" w:hAnsi="Times New Roman"/>
          <w:sz w:val="20"/>
          <w:szCs w:val="20"/>
          <w:color w:val="414142"/>
        </w:rPr>
        <w:t>100%</w:t>
      </w:r>
    </w:p>
    <w:p>
      <w:pPr>
        <w:spacing w:after="0" w:line="287"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The change in Loss on debt extinguishment for the year ended December 31, 2025, compared to the same period in 2024, was driven by the repayment of the Term Loan Facility, which includes repayment of the principal, accrued interest, and prepayment premium. The repayment resulted in a loss on debt extinguishment of $12.0 million.</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Other Income, net</w:t>
      </w:r>
    </w:p>
    <w:p>
      <w:pPr>
        <w:spacing w:after="0" w:line="2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3300730</wp:posOffset>
                </wp:positionH>
                <wp:positionV relativeFrom="paragraph">
                  <wp:posOffset>16510</wp:posOffset>
                </wp:positionV>
                <wp:extent cx="14331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1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pt,1.3pt" to="372.75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3300730</wp:posOffset>
                </wp:positionH>
                <wp:positionV relativeFrom="paragraph">
                  <wp:posOffset>12065</wp:posOffset>
                </wp:positionV>
                <wp:extent cx="64833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pt,0.95pt" to="310.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4008120</wp:posOffset>
                </wp:positionH>
                <wp:positionV relativeFrom="paragraph">
                  <wp:posOffset>12065</wp:posOffset>
                </wp:positionV>
                <wp:extent cx="72580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pt,0.95pt" to="372.7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4870450</wp:posOffset>
                </wp:positionH>
                <wp:positionV relativeFrom="paragraph">
                  <wp:posOffset>12065</wp:posOffset>
                </wp:positionV>
                <wp:extent cx="63754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0.95pt" to="433.7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5645150</wp:posOffset>
                </wp:positionH>
                <wp:positionV relativeFrom="paragraph">
                  <wp:posOffset>12065</wp:posOffset>
                </wp:positionV>
                <wp:extent cx="58483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5pt,0.95pt" to="490.55pt,0.95pt" o:allowincell="f" strokecolor="#231F20" strokeweight="0.75pt"/>
            </w:pict>
          </mc:Fallback>
        </mc:AlternateConten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265430</wp:posOffset>
                </wp:positionH>
                <wp:positionV relativeFrom="paragraph">
                  <wp:posOffset>7620</wp:posOffset>
                </wp:positionV>
                <wp:extent cx="6098540" cy="15494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8540" cy="154940"/>
                        </a:xfrm>
                        <a:prstGeom prst="rect">
                          <a:avLst/>
                        </a:prstGeom>
                        <a:solidFill>
                          <a:srgbClr val="E5E6E7"/>
                        </a:solidFill>
                      </wps:spPr>
                      <wps:bodyPr/>
                    </wps:wsp>
                  </a:graphicData>
                </a:graphic>
              </wp:anchor>
            </w:drawing>
          </mc:Choice>
          <mc:Fallback>
            <w:pict>
              <v:rect id="Shape 80" o:spid="_x0000_s1105" style="position:absolute;margin-left:20.9pt;margin-top:0.6pt;width:480.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9" w:lineRule="exact"/>
        <w:rPr>
          <w:sz w:val="20"/>
          <w:szCs w:val="20"/>
          <w:color w:val="auto"/>
        </w:rPr>
      </w:pPr>
    </w:p>
    <w:p>
      <w:pPr>
        <w:ind w:left="420"/>
        <w:spacing w:after="0"/>
        <w:tabs>
          <w:tab w:leader="none" w:pos="5180" w:val="left"/>
          <w:tab w:leader="none" w:pos="5640" w:val="left"/>
          <w:tab w:leader="none" w:pos="6420" w:val="left"/>
          <w:tab w:leader="none" w:pos="6880" w:val="left"/>
          <w:tab w:leader="none" w:pos="7660" w:val="left"/>
          <w:tab w:leader="none" w:pos="8280" w:val="left"/>
          <w:tab w:leader="none" w:pos="9620" w:val="left"/>
        </w:tabs>
        <w:rPr>
          <w:sz w:val="20"/>
          <w:szCs w:val="20"/>
          <w:color w:val="auto"/>
        </w:rPr>
      </w:pPr>
      <w:r>
        <w:rPr>
          <w:rFonts w:ascii="Times New Roman" w:cs="Times New Roman" w:eastAsia="Times New Roman" w:hAnsi="Times New Roman"/>
          <w:sz w:val="20"/>
          <w:szCs w:val="20"/>
          <w:color w:val="414142"/>
        </w:rPr>
        <w:t>Other income, net</w:t>
      </w:r>
      <w:r>
        <w:rPr>
          <w:sz w:val="20"/>
          <w:szCs w:val="20"/>
          <w:color w:val="auto"/>
        </w:rPr>
        <w:tab/>
      </w:r>
      <w:r>
        <w:rPr>
          <w:rFonts w:ascii="Times New Roman" w:cs="Times New Roman" w:eastAsia="Times New Roman" w:hAnsi="Times New Roman"/>
          <w:sz w:val="20"/>
          <w:szCs w:val="20"/>
          <w:color w:val="414142"/>
        </w:rPr>
        <w:t>$</w:t>
      </w:r>
      <w:r>
        <w:rPr>
          <w:sz w:val="20"/>
          <w:szCs w:val="20"/>
          <w:color w:val="auto"/>
        </w:rPr>
        <w:tab/>
      </w:r>
      <w:r>
        <w:rPr>
          <w:rFonts w:ascii="Times New Roman" w:cs="Times New Roman" w:eastAsia="Times New Roman" w:hAnsi="Times New Roman"/>
          <w:sz w:val="20"/>
          <w:szCs w:val="20"/>
          <w:color w:val="414142"/>
        </w:rPr>
        <w:t>31,447</w:t>
        <w:tab/>
        <w:t>$</w:t>
      </w:r>
      <w:r>
        <w:rPr>
          <w:sz w:val="20"/>
          <w:szCs w:val="20"/>
          <w:color w:val="auto"/>
        </w:rPr>
        <w:tab/>
      </w:r>
      <w:r>
        <w:rPr>
          <w:rFonts w:ascii="Times New Roman" w:cs="Times New Roman" w:eastAsia="Times New Roman" w:hAnsi="Times New Roman"/>
          <w:sz w:val="20"/>
          <w:szCs w:val="20"/>
          <w:color w:val="414142"/>
        </w:rPr>
        <w:t>32,336</w:t>
        <w:tab/>
        <w:t>$</w:t>
      </w:r>
      <w:r>
        <w:rPr>
          <w:sz w:val="20"/>
          <w:szCs w:val="20"/>
          <w:color w:val="auto"/>
        </w:rPr>
        <w:tab/>
      </w:r>
      <w:r>
        <w:rPr>
          <w:rFonts w:ascii="Times New Roman" w:cs="Times New Roman" w:eastAsia="Times New Roman" w:hAnsi="Times New Roman"/>
          <w:sz w:val="20"/>
          <w:szCs w:val="20"/>
          <w:color w:val="414142"/>
        </w:rPr>
        <w:t>(889)</w:t>
      </w:r>
      <w:r>
        <w:rPr>
          <w:sz w:val="20"/>
          <w:szCs w:val="20"/>
          <w:color w:val="auto"/>
        </w:rPr>
        <w:tab/>
      </w:r>
      <w:r>
        <w:rPr>
          <w:rFonts w:ascii="Times New Roman" w:cs="Times New Roman" w:eastAsia="Times New Roman" w:hAnsi="Times New Roman"/>
          <w:sz w:val="20"/>
          <w:szCs w:val="20"/>
          <w:color w:val="414142"/>
        </w:rPr>
        <w:t>-3%</w:t>
      </w:r>
    </w:p>
    <w:p>
      <w:pPr>
        <w:spacing w:after="0" w:line="24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change in Other income, net for the year ended December 31, 2025, compared to the same period in 2024, was primarily driven by a $42.4 million increase in income due to the change in fair value of our warrant liability, which was terminated.in December 2024, $8.0 million increase in income from the IP License Agreement with SB Tempus, $4.4 million increase in income due to realized and unrealized gains on marketable equity securities, and a $2.3 million increase in income due to the G-4 Special Payment made in the prior period, offset by a $39.1 million decrease in income related to termination of the warrant with AstraZeneca in the prior period and a $18.3 million decrease in income due to the change in fair value of our warrant asset.</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Benefit from (provision for) for income taxes</w:t>
      </w:r>
    </w:p>
    <w:p>
      <w:pPr>
        <w:spacing w:after="0" w:line="2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3329305</wp:posOffset>
                </wp:positionH>
                <wp:positionV relativeFrom="paragraph">
                  <wp:posOffset>16510</wp:posOffset>
                </wp:positionV>
                <wp:extent cx="143637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63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15pt,1.3pt" to="375.25pt,1.3pt" o:allowincell="f" strokecolor="#231F20" strokeweight="0.75pt"/>
            </w:pict>
          </mc:Fallback>
        </mc:AlternateContent>
      </w:r>
    </w:p>
    <w:p>
      <w:pPr>
        <w:spacing w:after="0" w:line="17" w:lineRule="exact"/>
        <w:rPr>
          <w:sz w:val="20"/>
          <w:szCs w:val="20"/>
          <w:color w:val="auto"/>
        </w:rPr>
      </w:pPr>
    </w:p>
    <w:p>
      <w:pPr>
        <w:ind w:left="5600"/>
        <w:spacing w:after="0"/>
        <w:tabs>
          <w:tab w:leader="none" w:pos="6820" w:val="left"/>
          <w:tab w:leader="none" w:pos="7880" w:val="left"/>
          <w:tab w:leader="none" w:pos="910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6"/>
          <w:szCs w:val="16"/>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3329305</wp:posOffset>
                </wp:positionH>
                <wp:positionV relativeFrom="paragraph">
                  <wp:posOffset>12065</wp:posOffset>
                </wp:positionV>
                <wp:extent cx="65405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15pt,0.95pt" to="313.6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4043680</wp:posOffset>
                </wp:positionH>
                <wp:positionV relativeFrom="paragraph">
                  <wp:posOffset>12065</wp:posOffset>
                </wp:positionV>
                <wp:extent cx="72199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199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4pt,0.95pt" to="375.2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4903470</wp:posOffset>
                </wp:positionH>
                <wp:positionV relativeFrom="paragraph">
                  <wp:posOffset>12065</wp:posOffset>
                </wp:positionV>
                <wp:extent cx="65405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1pt,0.95pt" to="437.6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5695950</wp:posOffset>
                </wp:positionH>
                <wp:positionV relativeFrom="paragraph">
                  <wp:posOffset>12065</wp:posOffset>
                </wp:positionV>
                <wp:extent cx="6680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02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5pt,0.95pt" to="501.1pt,0.95pt" o:allowincell="f" strokecolor="#231F20" strokeweight="0.75pt"/>
            </w:pict>
          </mc:Fallback>
        </mc:AlternateConten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265430</wp:posOffset>
                </wp:positionH>
                <wp:positionV relativeFrom="paragraph">
                  <wp:posOffset>7620</wp:posOffset>
                </wp:positionV>
                <wp:extent cx="6099175" cy="15494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9175" cy="154940"/>
                        </a:xfrm>
                        <a:prstGeom prst="rect">
                          <a:avLst/>
                        </a:prstGeom>
                        <a:solidFill>
                          <a:srgbClr val="E5E6E7"/>
                        </a:solidFill>
                      </wps:spPr>
                      <wps:bodyPr/>
                    </wps:wsp>
                  </a:graphicData>
                </a:graphic>
              </wp:anchor>
            </w:drawing>
          </mc:Choice>
          <mc:Fallback>
            <w:pict>
              <v:rect id="Shape 86" o:spid="_x0000_s1111" style="position:absolute;margin-left:20.9pt;margin-top:0.6pt;width:480.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ind w:left="420"/>
        <w:spacing w:after="0"/>
        <w:tabs>
          <w:tab w:leader="none" w:pos="5220" w:val="left"/>
          <w:tab w:leader="none" w:pos="5700" w:val="left"/>
          <w:tab w:leader="none" w:pos="6480" w:val="left"/>
          <w:tab w:leader="none" w:pos="7100" w:val="left"/>
          <w:tab w:leader="none" w:pos="8160" w:val="left"/>
          <w:tab w:leader="none" w:pos="9520" w:val="left"/>
        </w:tabs>
        <w:rPr>
          <w:sz w:val="20"/>
          <w:szCs w:val="20"/>
          <w:color w:val="auto"/>
        </w:rPr>
      </w:pPr>
      <w:r>
        <w:rPr>
          <w:rFonts w:ascii="Times New Roman" w:cs="Times New Roman" w:eastAsia="Times New Roman" w:hAnsi="Times New Roman"/>
          <w:sz w:val="20"/>
          <w:szCs w:val="20"/>
          <w:color w:val="414142"/>
        </w:rPr>
        <w:t>Benefit from (provision for) income taxes</w:t>
      </w:r>
      <w:r>
        <w:rPr>
          <w:sz w:val="20"/>
          <w:szCs w:val="20"/>
          <w:color w:val="auto"/>
        </w:rPr>
        <w:tab/>
      </w:r>
      <w:r>
        <w:rPr>
          <w:rFonts w:ascii="Times New Roman" w:cs="Times New Roman" w:eastAsia="Times New Roman" w:hAnsi="Times New Roman"/>
          <w:sz w:val="20"/>
          <w:szCs w:val="20"/>
          <w:color w:val="414142"/>
        </w:rPr>
        <w:t>$</w:t>
      </w:r>
      <w:r>
        <w:rPr>
          <w:sz w:val="20"/>
          <w:szCs w:val="20"/>
          <w:color w:val="auto"/>
        </w:rPr>
        <w:tab/>
      </w:r>
      <w:r>
        <w:rPr>
          <w:rFonts w:ascii="Times New Roman" w:cs="Times New Roman" w:eastAsia="Times New Roman" w:hAnsi="Times New Roman"/>
          <w:sz w:val="20"/>
          <w:szCs w:val="20"/>
          <w:color w:val="414142"/>
        </w:rPr>
        <w:t>51,684</w:t>
        <w:tab/>
        <w:t>$</w:t>
      </w:r>
      <w:r>
        <w:rPr>
          <w:sz w:val="20"/>
          <w:szCs w:val="20"/>
          <w:color w:val="auto"/>
        </w:rPr>
        <w:tab/>
      </w:r>
      <w:r>
        <w:rPr>
          <w:rFonts w:ascii="Times New Roman" w:cs="Times New Roman" w:eastAsia="Times New Roman" w:hAnsi="Times New Roman"/>
          <w:sz w:val="20"/>
          <w:szCs w:val="20"/>
          <w:color w:val="414142"/>
        </w:rPr>
        <w:t>(266)  $</w:t>
      </w:r>
      <w:r>
        <w:rPr>
          <w:sz w:val="20"/>
          <w:szCs w:val="20"/>
          <w:color w:val="auto"/>
        </w:rPr>
        <w:tab/>
      </w:r>
      <w:r>
        <w:rPr>
          <w:rFonts w:ascii="Times New Roman" w:cs="Times New Roman" w:eastAsia="Times New Roman" w:hAnsi="Times New Roman"/>
          <w:sz w:val="20"/>
          <w:szCs w:val="20"/>
          <w:color w:val="414142"/>
        </w:rPr>
        <w:t>51,950</w:t>
      </w:r>
      <w:r>
        <w:rPr>
          <w:sz w:val="20"/>
          <w:szCs w:val="20"/>
          <w:color w:val="auto"/>
        </w:rPr>
        <w:tab/>
      </w:r>
      <w:r>
        <w:rPr>
          <w:rFonts w:ascii="Times New Roman" w:cs="Times New Roman" w:eastAsia="Times New Roman" w:hAnsi="Times New Roman"/>
          <w:sz w:val="17"/>
          <w:szCs w:val="17"/>
          <w:color w:val="414142"/>
        </w:rPr>
        <w:t>NM</w:t>
      </w:r>
      <w:r>
        <w:rPr>
          <w:rFonts w:ascii="Times New Roman" w:cs="Times New Roman" w:eastAsia="Times New Roman" w:hAnsi="Times New Roman"/>
          <w:sz w:val="22"/>
          <w:szCs w:val="22"/>
          <w:color w:val="414142"/>
          <w:vertAlign w:val="superscript"/>
        </w:rPr>
        <w:t>(1)</w:t>
      </w:r>
    </w:p>
    <w:p>
      <w:pPr>
        <w:ind w:left="700" w:hanging="210"/>
        <w:spacing w:after="0" w:line="197" w:lineRule="auto"/>
        <w:tabs>
          <w:tab w:leader="none" w:pos="700" w:val="left"/>
        </w:tabs>
        <w:numPr>
          <w:ilvl w:val="0"/>
          <w:numId w:val="51"/>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Not meaningful</w:t>
      </w:r>
    </w:p>
    <w:p>
      <w:pPr>
        <w:spacing w:after="0" w:line="27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increase in benefit from (provision for) for income taxes for the year ended December 31, 2025, compared to the same period in 2024, was primarily due to a $52.7 million discrete tax benefit recorded from the release of a portion of the valuation allowance attributable to net deferred tax liabilities related to the acquisition of Ambry which offset certain of our net deferred tax assets.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Losses from Equity Method Investments</w:t>
      </w:r>
    </w:p>
    <w:p>
      <w:pPr>
        <w:spacing w:after="0" w:line="29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3301365</wp:posOffset>
                </wp:positionH>
                <wp:positionV relativeFrom="paragraph">
                  <wp:posOffset>16510</wp:posOffset>
                </wp:positionV>
                <wp:extent cx="14224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5pt,1.3pt" to="371.95pt,1.3pt" o:allowincell="f" strokecolor="#231F20" strokeweight="0.75pt"/>
            </w:pict>
          </mc:Fallback>
        </mc:AlternateContent>
      </w:r>
    </w:p>
    <w:p>
      <w:pPr>
        <w:spacing w:after="0" w:line="17" w:lineRule="exact"/>
        <w:rPr>
          <w:sz w:val="20"/>
          <w:szCs w:val="20"/>
          <w:color w:val="auto"/>
        </w:rPr>
      </w:pPr>
    </w:p>
    <w:p>
      <w:pPr>
        <w:ind w:left="5540"/>
        <w:spacing w:after="0"/>
        <w:tabs>
          <w:tab w:leader="none" w:pos="6760" w:val="left"/>
          <w:tab w:leader="none" w:pos="7820" w:val="left"/>
          <w:tab w:leader="none" w:pos="8960" w:val="left"/>
        </w:tabs>
        <w:rPr>
          <w:sz w:val="20"/>
          <w:szCs w:val="20"/>
          <w:color w:val="auto"/>
        </w:rPr>
      </w:pPr>
      <w:r>
        <w:rPr>
          <w:rFonts w:ascii="Times New Roman" w:cs="Times New Roman" w:eastAsia="Times New Roman" w:hAnsi="Times New Roman"/>
          <w:sz w:val="16"/>
          <w:szCs w:val="16"/>
          <w:b w:val="1"/>
          <w:bCs w:val="1"/>
          <w:color w:val="231F20"/>
        </w:rPr>
        <w:t>2025</w:t>
      </w:r>
      <w:r>
        <w:rPr>
          <w:sz w:val="20"/>
          <w:szCs w:val="20"/>
          <w:color w:val="auto"/>
        </w:rPr>
        <w:tab/>
      </w:r>
      <w:r>
        <w:rPr>
          <w:rFonts w:ascii="Times New Roman" w:cs="Times New Roman" w:eastAsia="Times New Roman" w:hAnsi="Times New Roman"/>
          <w:sz w:val="16"/>
          <w:szCs w:val="16"/>
          <w:b w:val="1"/>
          <w:bCs w:val="1"/>
          <w:color w:val="231F20"/>
        </w:rPr>
        <w:t>2024</w:t>
      </w:r>
      <w:r>
        <w:rPr>
          <w:sz w:val="20"/>
          <w:szCs w:val="20"/>
          <w:color w:val="auto"/>
        </w:rPr>
        <w:tab/>
      </w:r>
      <w:r>
        <w:rPr>
          <w:rFonts w:ascii="Times New Roman" w:cs="Times New Roman" w:eastAsia="Times New Roman" w:hAnsi="Times New Roman"/>
          <w:sz w:val="16"/>
          <w:szCs w:val="16"/>
          <w:b w:val="1"/>
          <w:bCs w:val="1"/>
          <w:color w:val="231F20"/>
        </w:rPr>
        <w:t>$ Change</w:t>
      </w:r>
      <w:r>
        <w:rPr>
          <w:sz w:val="20"/>
          <w:szCs w:val="20"/>
          <w:color w:val="auto"/>
        </w:rPr>
        <w:tab/>
      </w:r>
      <w:r>
        <w:rPr>
          <w:rFonts w:ascii="Times New Roman" w:cs="Times New Roman" w:eastAsia="Times New Roman" w:hAnsi="Times New Roman"/>
          <w:sz w:val="15"/>
          <w:szCs w:val="15"/>
          <w:b w:val="1"/>
          <w:bCs w:val="1"/>
          <w:color w:val="231F20"/>
        </w:rPr>
        <w:t>%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3301365</wp:posOffset>
                </wp:positionH>
                <wp:positionV relativeFrom="paragraph">
                  <wp:posOffset>12065</wp:posOffset>
                </wp:positionV>
                <wp:extent cx="6477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5pt,0.95pt" to="310.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4008755</wp:posOffset>
                </wp:positionH>
                <wp:positionV relativeFrom="paragraph">
                  <wp:posOffset>12065</wp:posOffset>
                </wp:positionV>
                <wp:extent cx="71501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65pt,0.95pt" to="371.9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4860290</wp:posOffset>
                </wp:positionH>
                <wp:positionV relativeFrom="paragraph">
                  <wp:posOffset>12065</wp:posOffset>
                </wp:positionV>
                <wp:extent cx="64833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7pt,0.95pt" to="433.75pt,0.9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5645150</wp:posOffset>
                </wp:positionH>
                <wp:positionV relativeFrom="paragraph">
                  <wp:posOffset>12065</wp:posOffset>
                </wp:positionV>
                <wp:extent cx="58547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47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4.5pt,0.95pt" to="490.6pt,0.95pt" o:allowincell="f" strokecolor="#231F20" strokeweight="0.75pt"/>
            </w:pict>
          </mc:Fallback>
        </mc:AlternateConten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b w:val="1"/>
          <w:bCs w:val="1"/>
          <w:color w:val="231F20"/>
        </w:rPr>
        <w:t>(in thousands, except percentages)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265430</wp:posOffset>
                </wp:positionH>
                <wp:positionV relativeFrom="paragraph">
                  <wp:posOffset>7620</wp:posOffset>
                </wp:positionV>
                <wp:extent cx="6099175" cy="15494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9175" cy="154940"/>
                        </a:xfrm>
                        <a:prstGeom prst="rect">
                          <a:avLst/>
                        </a:prstGeom>
                        <a:solidFill>
                          <a:srgbClr val="E5E6E7"/>
                        </a:solidFill>
                      </wps:spPr>
                      <wps:bodyPr/>
                    </wps:wsp>
                  </a:graphicData>
                </a:graphic>
              </wp:anchor>
            </w:drawing>
          </mc:Choice>
          <mc:Fallback>
            <w:pict>
              <v:rect id="Shape 92" o:spid="_x0000_s1117" style="position:absolute;margin-left:20.9pt;margin-top:0.6pt;width:480.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9" w:lineRule="exact"/>
        <w:rPr>
          <w:sz w:val="20"/>
          <w:szCs w:val="20"/>
          <w:color w:val="auto"/>
        </w:rPr>
      </w:pPr>
    </w:p>
    <w:p>
      <w:pPr>
        <w:ind w:left="420"/>
        <w:spacing w:after="0"/>
        <w:tabs>
          <w:tab w:leader="none" w:pos="5180" w:val="left"/>
          <w:tab w:leader="none" w:pos="5660" w:val="left"/>
          <w:tab w:leader="none" w:pos="6880" w:val="left"/>
          <w:tab w:leader="none" w:pos="8120" w:val="left"/>
          <w:tab w:leader="none" w:pos="9580" w:val="left"/>
        </w:tabs>
        <w:rPr>
          <w:sz w:val="20"/>
          <w:szCs w:val="20"/>
          <w:color w:val="auto"/>
        </w:rPr>
      </w:pPr>
      <w:r>
        <w:rPr>
          <w:rFonts w:ascii="Times New Roman" w:cs="Times New Roman" w:eastAsia="Times New Roman" w:hAnsi="Times New Roman"/>
          <w:sz w:val="20"/>
          <w:szCs w:val="20"/>
          <w:color w:val="414142"/>
        </w:rPr>
        <w:t>Losses from equity method investments</w:t>
      </w:r>
      <w:r>
        <w:rPr>
          <w:sz w:val="20"/>
          <w:szCs w:val="20"/>
          <w:color w:val="auto"/>
        </w:rPr>
        <w:tab/>
      </w:r>
      <w:r>
        <w:rPr>
          <w:rFonts w:ascii="Times New Roman" w:cs="Times New Roman" w:eastAsia="Times New Roman" w:hAnsi="Times New Roman"/>
          <w:sz w:val="20"/>
          <w:szCs w:val="20"/>
          <w:color w:val="414142"/>
        </w:rPr>
        <w:t>$</w:t>
      </w:r>
      <w:r>
        <w:rPr>
          <w:sz w:val="20"/>
          <w:szCs w:val="20"/>
          <w:color w:val="auto"/>
        </w:rPr>
        <w:tab/>
      </w:r>
      <w:r>
        <w:rPr>
          <w:rFonts w:ascii="Times New Roman" w:cs="Times New Roman" w:eastAsia="Times New Roman" w:hAnsi="Times New Roman"/>
          <w:sz w:val="20"/>
          <w:szCs w:val="20"/>
          <w:color w:val="414142"/>
        </w:rPr>
        <w:t>(5,614)  $</w:t>
      </w:r>
      <w:r>
        <w:rPr>
          <w:sz w:val="20"/>
          <w:szCs w:val="20"/>
          <w:color w:val="auto"/>
        </w:rPr>
        <w:tab/>
      </w:r>
      <w:r>
        <w:rPr>
          <w:rFonts w:ascii="Times New Roman" w:cs="Times New Roman" w:eastAsia="Times New Roman" w:hAnsi="Times New Roman"/>
          <w:sz w:val="20"/>
          <w:szCs w:val="20"/>
          <w:color w:val="414142"/>
        </w:rPr>
        <w:t>(4,228)  $</w:t>
      </w:r>
      <w:r>
        <w:rPr>
          <w:sz w:val="20"/>
          <w:szCs w:val="20"/>
          <w:color w:val="auto"/>
        </w:rPr>
        <w:tab/>
      </w:r>
      <w:r>
        <w:rPr>
          <w:rFonts w:ascii="Times New Roman" w:cs="Times New Roman" w:eastAsia="Times New Roman" w:hAnsi="Times New Roman"/>
          <w:sz w:val="20"/>
          <w:szCs w:val="20"/>
          <w:color w:val="414142"/>
        </w:rPr>
        <w:t>(1,386)</w:t>
      </w:r>
      <w:r>
        <w:rPr>
          <w:sz w:val="20"/>
          <w:szCs w:val="20"/>
          <w:color w:val="auto"/>
        </w:rPr>
        <w:tab/>
      </w:r>
      <w:r>
        <w:rPr>
          <w:rFonts w:ascii="Times New Roman" w:cs="Times New Roman" w:eastAsia="Times New Roman" w:hAnsi="Times New Roman"/>
          <w:sz w:val="20"/>
          <w:szCs w:val="20"/>
          <w:color w:val="414142"/>
        </w:rPr>
        <w:t>33%</w:t>
      </w:r>
    </w:p>
    <w:p>
      <w:pPr>
        <w:spacing w:after="0" w:line="24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increase in losses from equity method investments for the year ended December 31, 2025, compared to the same period in 2024, was due to the losses from the joint venture we entered into in July 2024 (see Note 6 to our consolidated financial statements included elsewhere in this Annual Report on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w:t>
      </w:r>
    </w:p>
    <w:p>
      <w:pPr>
        <w:spacing w:after="0" w:line="11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To supplement our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10440"/>
          </w:cols>
          <w:pgMar w:left="900" w:top="796" w:right="540" w:bottom="0" w:gutter="0" w:footer="0" w:header="0"/>
          <w:type w:val="continuous"/>
        </w:sectPr>
      </w:pPr>
    </w:p>
    <w:bookmarkStart w:id="132" w:name="page133"/>
    <w:bookmarkEnd w:id="132"/>
    <w:p>
      <w:pPr>
        <w:ind w:firstLine="490"/>
        <w:spacing w:after="0" w:line="258" w:lineRule="auto"/>
        <w:rPr>
          <w:sz w:val="20"/>
          <w:szCs w:val="20"/>
          <w:color w:val="auto"/>
        </w:rPr>
      </w:pPr>
      <w:r>
        <w:rPr>
          <w:rFonts w:ascii="Times New Roman" w:cs="Times New Roman" w:eastAsia="Times New Roman" w:hAnsi="Times New Roman"/>
          <w:sz w:val="19"/>
          <w:szCs w:val="19"/>
          <w:color w:val="231F20"/>
        </w:rPr>
        <w:t>EBITDA is defined as earnings before interest, taxes, depreciation and amortization. We define adjusted EBITDA as net income (loss), adjusted to exclude (i) interest income, (ii) interest expense, (iii) depreciation and amortization, (iv) (benefit from) provision for income taxes, (v) losses from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acquisition-related expenses,</w:t>
      </w:r>
    </w:p>
    <w:p>
      <w:pPr>
        <w:spacing w:after="0" w:line="4" w:lineRule="exact"/>
        <w:rPr>
          <w:sz w:val="20"/>
          <w:szCs w:val="20"/>
          <w:color w:val="auto"/>
        </w:rPr>
      </w:pPr>
    </w:p>
    <w:p>
      <w:pPr>
        <w:ind w:right="40"/>
        <w:spacing w:after="0"/>
        <w:tabs>
          <w:tab w:leader="none" w:pos="283"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G-4 Special Payment (as defined in Note 10 to our consolidated financial statements included elsewhere in this Annual Report on Form 10-K), (xi) amortization of deferred other income from our IP License Agreement with SB Tempus, (xii) franchise taxes related to our IPO, (xiii) other tax expense and (xiv) loss on debt extinguishment.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w:t>
      </w:r>
    </w:p>
    <w:p>
      <w:pPr>
        <w:spacing w:after="0" w:line="201" w:lineRule="exact"/>
        <w:rPr>
          <w:sz w:val="20"/>
          <w:szCs w:val="20"/>
          <w:color w:val="auto"/>
        </w:rPr>
      </w:pPr>
    </w:p>
    <w:p>
      <w:pPr>
        <w:jc w:val="both"/>
        <w:ind w:right="80" w:firstLine="490"/>
        <w:spacing w:after="0" w:line="244" w:lineRule="auto"/>
        <w:rPr>
          <w:sz w:val="20"/>
          <w:szCs w:val="20"/>
          <w:color w:val="auto"/>
        </w:rPr>
      </w:pPr>
      <w:r>
        <w:rPr>
          <w:rFonts w:ascii="Times New Roman" w:cs="Times New Roman" w:eastAsia="Times New Roman" w:hAnsi="Times New Roman"/>
          <w:sz w:val="20"/>
          <w:szCs w:val="20"/>
          <w:color w:val="231F20"/>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81" w:lineRule="exact"/>
        <w:rPr>
          <w:sz w:val="20"/>
          <w:szCs w:val="20"/>
          <w:color w:val="auto"/>
        </w:rPr>
      </w:pPr>
    </w:p>
    <w:p>
      <w:pPr>
        <w:ind w:left="980" w:hanging="490"/>
        <w:spacing w:after="0"/>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does not reflect interest income which increases cash available to us;</w:t>
      </w:r>
    </w:p>
    <w:p>
      <w:pPr>
        <w:spacing w:after="0" w:line="119" w:lineRule="exact"/>
        <w:rPr>
          <w:rFonts w:ascii="Arial" w:cs="Arial" w:eastAsia="Arial" w:hAnsi="Arial"/>
          <w:sz w:val="20"/>
          <w:szCs w:val="20"/>
          <w:color w:val="231F20"/>
        </w:rPr>
      </w:pPr>
    </w:p>
    <w:p>
      <w:pPr>
        <w:ind w:left="980" w:right="900" w:hanging="490"/>
        <w:spacing w:after="0" w:line="263" w:lineRule="auto"/>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excludes depreciation and amortization expense, and although these are non-cash expenses, the asset being depreciated may have to be replaced in the future, increasing our cash requirements;</w:t>
      </w:r>
    </w:p>
    <w:p>
      <w:pPr>
        <w:spacing w:after="0" w:line="65" w:lineRule="exact"/>
        <w:rPr>
          <w:rFonts w:ascii="Arial" w:cs="Arial" w:eastAsia="Arial" w:hAnsi="Arial"/>
          <w:sz w:val="20"/>
          <w:szCs w:val="20"/>
          <w:color w:val="231F20"/>
        </w:rPr>
      </w:pPr>
    </w:p>
    <w:p>
      <w:pPr>
        <w:ind w:left="980" w:hanging="490"/>
        <w:spacing w:after="0"/>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does not reflect provision for or benefit from income taxes that reduces cash available to us; and</w:t>
      </w:r>
    </w:p>
    <w:p>
      <w:pPr>
        <w:spacing w:after="0" w:line="124" w:lineRule="exact"/>
        <w:rPr>
          <w:rFonts w:ascii="Arial" w:cs="Arial" w:eastAsia="Arial" w:hAnsi="Arial"/>
          <w:sz w:val="20"/>
          <w:szCs w:val="20"/>
          <w:color w:val="231F20"/>
        </w:rPr>
      </w:pPr>
    </w:p>
    <w:p>
      <w:pPr>
        <w:ind w:left="980" w:hanging="490"/>
        <w:spacing w:after="0"/>
        <w:tabs>
          <w:tab w:leader="none" w:pos="980" w:val="left"/>
        </w:tabs>
        <w:numPr>
          <w:ilvl w:val="0"/>
          <w:numId w:val="53"/>
        </w:numPr>
        <w:rPr>
          <w:rFonts w:ascii="Arial" w:cs="Arial" w:eastAsia="Arial" w:hAnsi="Arial"/>
          <w:sz w:val="20"/>
          <w:szCs w:val="20"/>
          <w:color w:val="231F20"/>
        </w:rPr>
      </w:pPr>
      <w:r>
        <w:rPr>
          <w:rFonts w:ascii="Times New Roman" w:cs="Times New Roman" w:eastAsia="Times New Roman" w:hAnsi="Times New Roman"/>
          <w:sz w:val="20"/>
          <w:szCs w:val="20"/>
          <w:color w:val="231F20"/>
        </w:rPr>
        <w:t>excludes change in fair value of warrant liabilities, contingent consideration and warrant asset.</w:t>
      </w:r>
    </w:p>
    <w:p>
      <w:pPr>
        <w:spacing w:after="0" w:line="230" w:lineRule="exact"/>
        <w:rPr>
          <w:sz w:val="20"/>
          <w:szCs w:val="20"/>
          <w:color w:val="auto"/>
        </w:rPr>
      </w:pPr>
    </w:p>
    <w:p>
      <w:pPr>
        <w:ind w:right="180" w:firstLine="490"/>
        <w:spacing w:after="0" w:line="239" w:lineRule="auto"/>
        <w:rPr>
          <w:sz w:val="20"/>
          <w:szCs w:val="20"/>
          <w:color w:val="auto"/>
        </w:rPr>
      </w:pPr>
      <w:r>
        <w:rPr>
          <w:rFonts w:ascii="Times New Roman" w:cs="Times New Roman" w:eastAsia="Times New Roman" w:hAnsi="Times New Roman"/>
          <w:sz w:val="20"/>
          <w:szCs w:val="20"/>
          <w:color w:val="231F20"/>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10420"/>
          </w:cols>
          <w:pgMar w:left="900" w:top="796" w:right="560" w:bottom="0" w:gutter="0" w:footer="0" w:header="0"/>
          <w:type w:val="continuous"/>
        </w:sectPr>
      </w:pPr>
    </w:p>
    <w:bookmarkStart w:id="133" w:name="page134"/>
    <w:bookmarkEnd w:id="133"/>
    <w:p>
      <w:pPr>
        <w:ind w:right="120" w:firstLine="490"/>
        <w:spacing w:after="0" w:line="268" w:lineRule="auto"/>
        <w:rPr>
          <w:sz w:val="20"/>
          <w:szCs w:val="20"/>
          <w:color w:val="auto"/>
        </w:rPr>
      </w:pPr>
      <w:r>
        <w:rPr>
          <w:rFonts w:ascii="Times New Roman" w:cs="Times New Roman" w:eastAsia="Times New Roman" w:hAnsi="Times New Roman"/>
          <w:sz w:val="20"/>
          <w:szCs w:val="20"/>
          <w:color w:val="231F20"/>
        </w:rPr>
        <w:t>The following table summarizes our adjusted EBITDA, along with net loss, the most directly comparable GAAP measure, for each period presented below:</w:t>
      </w:r>
    </w:p>
    <w:p>
      <w:pPr>
        <w:spacing w:after="0" w:line="272"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39"/>
        </w:trPr>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040" w:type="dxa"/>
            <w:vAlign w:val="bottom"/>
            <w:tcBorders>
              <w:top w:val="single" w:sz="8" w:color="231F20"/>
              <w:bottom w:val="single" w:sz="8" w:color="231F20"/>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231F20"/>
              <w:bottom w:val="single" w:sz="8" w:color="231F20"/>
            </w:tcBorders>
          </w:tcPr>
          <w:p>
            <w:pPr>
              <w:spacing w:after="0"/>
              <w:rPr>
                <w:sz w:val="20"/>
                <w:szCs w:val="20"/>
                <w:color w:val="auto"/>
              </w:rPr>
            </w:pPr>
          </w:p>
        </w:tc>
        <w:tc>
          <w:tcPr>
            <w:tcW w:w="1040" w:type="dxa"/>
            <w:vAlign w:val="bottom"/>
            <w:tcBorders>
              <w:top w:val="single" w:sz="8" w:color="231F20"/>
              <w:bottom w:val="single" w:sz="8" w:color="231F20"/>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20"/>
                <w:szCs w:val="20"/>
                <w:color w:val="auto"/>
              </w:rPr>
            </w:pPr>
          </w:p>
        </w:tc>
      </w:tr>
      <w:tr>
        <w:trPr>
          <w:trHeight w:val="239"/>
        </w:trPr>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4"/>
          </w:tcPr>
          <w:p>
            <w:pPr>
              <w:jc w:val="center"/>
              <w:ind w:left="623"/>
              <w:spacing w:after="0"/>
              <w:rPr>
                <w:sz w:val="20"/>
                <w:szCs w:val="20"/>
                <w:color w:val="auto"/>
              </w:rPr>
            </w:pPr>
            <w:r>
              <w:rPr>
                <w:rFonts w:ascii="Times New Roman" w:cs="Times New Roman" w:eastAsia="Times New Roman" w:hAnsi="Times New Roman"/>
                <w:sz w:val="16"/>
                <w:szCs w:val="16"/>
                <w:b w:val="1"/>
                <w:bCs w:val="1"/>
                <w:color w:val="231F20"/>
                <w:w w:val="98"/>
              </w:rPr>
              <w:t>(in thousands)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Net loss</w:t>
            </w:r>
          </w:p>
        </w:tc>
        <w:tc>
          <w:tcPr>
            <w:tcW w:w="300" w:type="dxa"/>
            <w:vAlign w:val="bottom"/>
            <w:gridSpan w:val="2"/>
            <w:shd w:val="clear" w:color="auto" w:fill="E5E6E7"/>
          </w:tcPr>
          <w:p>
            <w:pPr>
              <w:jc w:val="right"/>
              <w:ind w:right="115"/>
              <w:spacing w:after="0"/>
              <w:rPr>
                <w:sz w:val="20"/>
                <w:szCs w:val="20"/>
                <w:color w:val="auto"/>
              </w:rPr>
            </w:pPr>
            <w:r>
              <w:rPr>
                <w:rFonts w:ascii="Times New Roman" w:cs="Times New Roman" w:eastAsia="Times New Roman" w:hAnsi="Times New Roman"/>
                <w:sz w:val="20"/>
                <w:szCs w:val="20"/>
                <w:color w:val="414142"/>
                <w:w w:val="79"/>
              </w:rPr>
              <w:t>$</w:t>
            </w:r>
          </w:p>
        </w:tc>
        <w:tc>
          <w:tcPr>
            <w:tcW w:w="11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rPr>
              <w:t>(245,028)</w:t>
            </w:r>
          </w:p>
        </w:tc>
        <w:tc>
          <w:tcPr>
            <w:tcW w:w="660" w:type="dxa"/>
            <w:vAlign w:val="bottom"/>
            <w:gridSpan w:val="2"/>
            <w:shd w:val="clear" w:color="auto" w:fill="E5E6E7"/>
          </w:tcPr>
          <w:p>
            <w:pPr>
              <w:jc w:val="center"/>
              <w:ind w:right="340"/>
              <w:spacing w:after="0"/>
              <w:rPr>
                <w:sz w:val="20"/>
                <w:szCs w:val="20"/>
                <w:color w:val="auto"/>
              </w:rPr>
            </w:pPr>
            <w:r>
              <w:rPr>
                <w:rFonts w:ascii="Times New Roman" w:cs="Times New Roman" w:eastAsia="Times New Roman" w:hAnsi="Times New Roman"/>
                <w:sz w:val="20"/>
                <w:szCs w:val="20"/>
                <w:color w:val="414142"/>
                <w:w w:val="99"/>
              </w:rPr>
              <w:t>$</w:t>
            </w:r>
          </w:p>
        </w:tc>
        <w:tc>
          <w:tcPr>
            <w:tcW w:w="11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(705,809)</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(12,628)</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(11,084)</w:t>
            </w: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Interest expense</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70,267</w:t>
            </w:r>
          </w:p>
        </w:tc>
        <w:tc>
          <w:tcPr>
            <w:tcW w:w="1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53,653</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32,054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26,356</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Amortization</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70,270</w:t>
            </w:r>
          </w:p>
        </w:tc>
        <w:tc>
          <w:tcPr>
            <w:tcW w:w="1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10,889</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(Benefit from) provision for income taxes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(51,684)</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80" w:type="dxa"/>
            <w:vAlign w:val="bottom"/>
          </w:tcPr>
          <w:p>
            <w:pPr>
              <w:spacing w:after="0"/>
              <w:rPr>
                <w:sz w:val="21"/>
                <w:szCs w:val="21"/>
                <w:color w:val="auto"/>
              </w:rPr>
            </w:pPr>
          </w:p>
        </w:tc>
      </w:tr>
      <w:tr>
        <w:trPr>
          <w:trHeight w:val="239"/>
        </w:trPr>
        <w:tc>
          <w:tcPr>
            <w:tcW w:w="63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EBITDA</w:t>
            </w:r>
          </w:p>
        </w:tc>
        <w:tc>
          <w:tcPr>
            <w:tcW w:w="20" w:type="dxa"/>
            <w:vAlign w:val="bottom"/>
            <w:tcBorders>
              <w:top w:val="single" w:sz="8" w:color="E5E6E7"/>
            </w:tcBorders>
            <w:shd w:val="clear" w:color="auto" w:fill="E5E6E7"/>
          </w:tcPr>
          <w:p>
            <w:pPr>
              <w:spacing w:after="0"/>
              <w:rPr>
                <w:sz w:val="20"/>
                <w:szCs w:val="20"/>
                <w:color w:val="auto"/>
              </w:rPr>
            </w:pPr>
          </w:p>
        </w:tc>
        <w:tc>
          <w:tcPr>
            <w:tcW w:w="280" w:type="dxa"/>
            <w:vAlign w:val="bottom"/>
            <w:tcBorders>
              <w:top w:val="single" w:sz="8" w:color="231F20"/>
            </w:tcBorders>
            <w:shd w:val="clear" w:color="auto" w:fill="E5E6E7"/>
          </w:tcPr>
          <w:p>
            <w:pPr>
              <w:jc w:val="right"/>
              <w:ind w:right="115"/>
              <w:spacing w:after="0"/>
              <w:rPr>
                <w:sz w:val="20"/>
                <w:szCs w:val="20"/>
                <w:color w:val="auto"/>
              </w:rPr>
            </w:pPr>
            <w:r>
              <w:rPr>
                <w:rFonts w:ascii="Times New Roman" w:cs="Times New Roman" w:eastAsia="Times New Roman" w:hAnsi="Times New Roman"/>
                <w:sz w:val="17"/>
                <w:szCs w:val="17"/>
                <w:color w:val="414142"/>
                <w:w w:val="70"/>
              </w:rPr>
              <w:t>$</w:t>
            </w:r>
          </w:p>
        </w:tc>
        <w:tc>
          <w:tcPr>
            <w:tcW w:w="10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(136,749)</w:t>
            </w:r>
          </w:p>
        </w:tc>
        <w:tc>
          <w:tcPr>
            <w:tcW w:w="140" w:type="dxa"/>
            <w:vAlign w:val="bottom"/>
            <w:tcBorders>
              <w:top w:val="single" w:sz="8" w:color="E5E6E7"/>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c>
          <w:tcPr>
            <w:tcW w:w="600" w:type="dxa"/>
            <w:vAlign w:val="bottom"/>
            <w:tcBorders>
              <w:top w:val="single" w:sz="8" w:color="231F20"/>
            </w:tcBorders>
            <w:shd w:val="clear" w:color="auto" w:fill="E5E6E7"/>
          </w:tcPr>
          <w:p>
            <w:pPr>
              <w:jc w:val="center"/>
              <w:ind w:right="400"/>
              <w:spacing w:after="0"/>
              <w:rPr>
                <w:sz w:val="20"/>
                <w:szCs w:val="20"/>
                <w:color w:val="auto"/>
              </w:rPr>
            </w:pPr>
            <w:r>
              <w:rPr>
                <w:rFonts w:ascii="Times New Roman" w:cs="Times New Roman" w:eastAsia="Times New Roman" w:hAnsi="Times New Roman"/>
                <w:sz w:val="20"/>
                <w:szCs w:val="20"/>
                <w:color w:val="414142"/>
                <w:w w:val="99"/>
              </w:rPr>
              <w:t>$</w:t>
            </w:r>
          </w:p>
        </w:tc>
        <w:tc>
          <w:tcPr>
            <w:tcW w:w="10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(625,729)</w:t>
            </w:r>
          </w:p>
        </w:tc>
        <w:tc>
          <w:tcPr>
            <w:tcW w:w="80" w:type="dxa"/>
            <w:vAlign w:val="bottom"/>
            <w:tcBorders>
              <w:top w:val="single" w:sz="8" w:color="E5E6E7"/>
            </w:tcBorders>
            <w:shd w:val="clear" w:color="auto" w:fill="E5E6E7"/>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Losses from equity method investments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5,614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4,228</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line="243" w:lineRule="exact"/>
              <w:rPr>
                <w:sz w:val="20"/>
                <w:szCs w:val="20"/>
                <w:color w:val="auto"/>
              </w:rPr>
            </w:pPr>
            <w:r>
              <w:rPr>
                <w:rFonts w:ascii="Times New Roman" w:cs="Times New Roman" w:eastAsia="Times New Roman" w:hAnsi="Times New Roman"/>
                <w:sz w:val="20"/>
                <w:szCs w:val="20"/>
                <w:color w:val="414142"/>
              </w:rPr>
              <w:t>Fair value changes</w:t>
            </w:r>
            <w:r>
              <w:rPr>
                <w:rFonts w:ascii="Times New Roman" w:cs="Times New Roman" w:eastAsia="Times New Roman" w:hAnsi="Times New Roman"/>
                <w:sz w:val="26"/>
                <w:szCs w:val="26"/>
                <w:color w:val="414142"/>
                <w:vertAlign w:val="superscript"/>
              </w:rPr>
              <w:t>(1)</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rPr>
              <w:t>(17,807)</w:t>
            </w:r>
          </w:p>
        </w:tc>
        <w:tc>
          <w:tcPr>
            <w:tcW w:w="6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(27,868)</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124,747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534,138</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Employer payroll tax related to stock-based compensation</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11,539</w:t>
            </w:r>
          </w:p>
        </w:tc>
        <w:tc>
          <w:tcPr>
            <w:tcW w:w="1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13,543</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231F20"/>
              </w:rPr>
              <w:t>Acquisition related expenses</w:t>
            </w:r>
            <w:r>
              <w:rPr>
                <w:rFonts w:ascii="Times New Roman" w:cs="Times New Roman" w:eastAsia="Times New Roman" w:hAnsi="Times New Roman"/>
                <w:sz w:val="26"/>
                <w:szCs w:val="26"/>
                <w:color w:val="231F20"/>
                <w:vertAlign w:val="superscript"/>
              </w:rPr>
              <w:t>(2)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5,937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2,708</w:t>
            </w:r>
          </w:p>
        </w:tc>
        <w:tc>
          <w:tcPr>
            <w:tcW w:w="80" w:type="dxa"/>
            <w:vAlign w:val="bottom"/>
          </w:tcPr>
          <w:p>
            <w:pPr>
              <w:spacing w:after="0"/>
              <w:rPr>
                <w:sz w:val="21"/>
                <w:szCs w:val="21"/>
                <w:color w:val="auto"/>
              </w:rPr>
            </w:pP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G-4 Special Payment</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2,250</w:t>
            </w:r>
          </w:p>
        </w:tc>
        <w:tc>
          <w:tcPr>
            <w:tcW w:w="80" w:type="dxa"/>
            <w:vAlign w:val="bottom"/>
            <w:shd w:val="clear" w:color="auto" w:fill="E5E6E7"/>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technology license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(15,955)</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(7,977)</w:t>
            </w:r>
          </w:p>
        </w:tc>
      </w:tr>
      <w:tr>
        <w:trPr>
          <w:trHeight w:val="24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Franchise taxes related to IPO</w:t>
            </w:r>
          </w:p>
        </w:tc>
        <w:tc>
          <w:tcPr>
            <w:tcW w:w="2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1,647</w:t>
            </w:r>
          </w:p>
        </w:tc>
        <w:tc>
          <w:tcPr>
            <w:tcW w:w="14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tax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 on debt extinguishment</w:t>
            </w:r>
          </w:p>
        </w:tc>
        <w:tc>
          <w:tcPr>
            <w:tcW w:w="20" w:type="dxa"/>
            <w:vAlign w:val="bottom"/>
            <w:shd w:val="clear" w:color="auto" w:fill="E5E6E7"/>
          </w:tcPr>
          <w:p>
            <w:pPr>
              <w:spacing w:after="0"/>
              <w:rPr>
                <w:sz w:val="22"/>
                <w:szCs w:val="22"/>
                <w:color w:val="auto"/>
              </w:rPr>
            </w:pPr>
          </w:p>
        </w:tc>
        <w:tc>
          <w:tcPr>
            <w:tcW w:w="280" w:type="dxa"/>
            <w:vAlign w:val="bottom"/>
            <w:shd w:val="clear" w:color="auto" w:fill="E5E6E7"/>
          </w:tcPr>
          <w:p>
            <w:pPr>
              <w:spacing w:after="0"/>
              <w:rPr>
                <w:sz w:val="22"/>
                <w:szCs w:val="22"/>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12,034</w:t>
            </w:r>
          </w:p>
        </w:tc>
        <w:tc>
          <w:tcPr>
            <w:tcW w:w="140" w:type="dxa"/>
            <w:vAlign w:val="bottom"/>
            <w:shd w:val="clear" w:color="auto" w:fill="E5E6E7"/>
          </w:tcPr>
          <w:p>
            <w:pPr>
              <w:spacing w:after="0"/>
              <w:rPr>
                <w:sz w:val="22"/>
                <w:szCs w:val="22"/>
                <w:color w:val="auto"/>
              </w:rPr>
            </w:pPr>
          </w:p>
        </w:tc>
        <w:tc>
          <w:tcPr>
            <w:tcW w:w="60" w:type="dxa"/>
            <w:vAlign w:val="bottom"/>
            <w:shd w:val="clear" w:color="auto" w:fill="E5E6E7"/>
          </w:tcPr>
          <w:p>
            <w:pPr>
              <w:spacing w:after="0"/>
              <w:rPr>
                <w:sz w:val="22"/>
                <w:szCs w:val="22"/>
                <w:color w:val="auto"/>
              </w:rPr>
            </w:pPr>
          </w:p>
        </w:tc>
        <w:tc>
          <w:tcPr>
            <w:tcW w:w="600" w:type="dxa"/>
            <w:vAlign w:val="bottom"/>
            <w:shd w:val="clear" w:color="auto" w:fill="E5E6E7"/>
          </w:tcPr>
          <w:p>
            <w:pPr>
              <w:spacing w:after="0"/>
              <w:rPr>
                <w:sz w:val="22"/>
                <w:szCs w:val="22"/>
                <w:color w:val="auto"/>
              </w:rPr>
            </w:pPr>
          </w:p>
        </w:tc>
        <w:tc>
          <w:tcPr>
            <w:tcW w:w="112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19"/>
        </w:trPr>
        <w:tc>
          <w:tcPr>
            <w:tcW w:w="6340" w:type="dxa"/>
            <w:vAlign w:val="bottom"/>
            <w:tcBorders>
              <w:top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Adjusted EBITDA</w:t>
            </w:r>
          </w:p>
        </w:tc>
        <w:tc>
          <w:tcPr>
            <w:tcW w:w="20" w:type="dxa"/>
            <w:vAlign w:val="bottom"/>
            <w:tcBorders>
              <w:top w:val="single" w:sz="8" w:color="E5E6E7"/>
            </w:tcBorders>
          </w:tcPr>
          <w:p>
            <w:pPr>
              <w:spacing w:after="0"/>
              <w:rPr>
                <w:sz w:val="19"/>
                <w:szCs w:val="19"/>
                <w:color w:val="auto"/>
              </w:rPr>
            </w:pPr>
          </w:p>
        </w:tc>
        <w:tc>
          <w:tcPr>
            <w:tcW w:w="280" w:type="dxa"/>
            <w:vAlign w:val="bottom"/>
            <w:tcBorders>
              <w:top w:val="single" w:sz="8" w:color="231F20"/>
              <w:bottom w:val="single" w:sz="8" w:color="231F20"/>
            </w:tcBorders>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(7,385)</w:t>
            </w:r>
          </w:p>
        </w:tc>
        <w:tc>
          <w:tcPr>
            <w:tcW w:w="140" w:type="dxa"/>
            <w:vAlign w:val="bottom"/>
            <w:tcBorders>
              <w:top w:val="single" w:sz="8" w:color="E5E6E7"/>
            </w:tcBorders>
          </w:tcPr>
          <w:p>
            <w:pPr>
              <w:spacing w:after="0"/>
              <w:rPr>
                <w:sz w:val="19"/>
                <w:szCs w:val="19"/>
                <w:color w:val="auto"/>
              </w:rPr>
            </w:pPr>
          </w:p>
        </w:tc>
        <w:tc>
          <w:tcPr>
            <w:tcW w:w="60" w:type="dxa"/>
            <w:vAlign w:val="bottom"/>
            <w:tcBorders>
              <w:top w:val="single" w:sz="8" w:color="E5E6E7"/>
            </w:tcBorders>
          </w:tcPr>
          <w:p>
            <w:pPr>
              <w:spacing w:after="0"/>
              <w:rPr>
                <w:sz w:val="19"/>
                <w:szCs w:val="19"/>
                <w:color w:val="auto"/>
              </w:rPr>
            </w:pPr>
          </w:p>
        </w:tc>
        <w:tc>
          <w:tcPr>
            <w:tcW w:w="600" w:type="dxa"/>
            <w:vAlign w:val="bottom"/>
            <w:tcBorders>
              <w:top w:val="single" w:sz="8" w:color="231F20"/>
              <w:bottom w:val="single" w:sz="8" w:color="231F20"/>
            </w:tcBorders>
          </w:tcPr>
          <w:p>
            <w:pPr>
              <w:jc w:val="center"/>
              <w:ind w:right="400"/>
              <w:spacing w:after="0" w:line="219" w:lineRule="exact"/>
              <w:rPr>
                <w:sz w:val="20"/>
                <w:szCs w:val="20"/>
                <w:color w:val="auto"/>
              </w:rPr>
            </w:pPr>
            <w:r>
              <w:rPr>
                <w:rFonts w:ascii="Times New Roman" w:cs="Times New Roman" w:eastAsia="Times New Roman" w:hAnsi="Times New Roman"/>
                <w:sz w:val="20"/>
                <w:szCs w:val="20"/>
                <w:color w:val="231F20"/>
                <w:w w:val="99"/>
              </w:rPr>
              <w:t>$</w:t>
            </w:r>
          </w:p>
        </w:tc>
        <w:tc>
          <w:tcPr>
            <w:tcW w:w="104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(104,707)</w:t>
            </w:r>
          </w:p>
        </w:tc>
        <w:tc>
          <w:tcPr>
            <w:tcW w:w="80" w:type="dxa"/>
            <w:vAlign w:val="bottom"/>
            <w:tcBorders>
              <w:top w:val="single" w:sz="8" w:color="E5E6E7"/>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9" w:lineRule="exact"/>
        <w:rPr>
          <w:sz w:val="20"/>
          <w:szCs w:val="20"/>
          <w:color w:val="auto"/>
        </w:rPr>
      </w:pPr>
    </w:p>
    <w:p>
      <w:pPr>
        <w:ind w:right="240"/>
        <w:spacing w:after="0" w:line="220" w:lineRule="auto"/>
        <w:tabs>
          <w:tab w:leader="none" w:pos="720" w:val="left"/>
        </w:tabs>
        <w:numPr>
          <w:ilvl w:val="0"/>
          <w:numId w:val="54"/>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Fair value changes include gains and losses related to quarterly fair value adjustments of our warrant liability, warrant asset, marketable equity securities, contingent consideration liabilities, and indemnity-related holdback liabilities.</w:t>
      </w:r>
    </w:p>
    <w:p>
      <w:pPr>
        <w:spacing w:after="0" w:line="76" w:lineRule="exact"/>
        <w:rPr>
          <w:rFonts w:ascii="Times New Roman" w:cs="Times New Roman" w:eastAsia="Times New Roman" w:hAnsi="Times New Roman"/>
          <w:sz w:val="26"/>
          <w:szCs w:val="26"/>
          <w:color w:val="231F20"/>
          <w:vertAlign w:val="superscript"/>
        </w:rPr>
      </w:pPr>
    </w:p>
    <w:p>
      <w:pPr>
        <w:ind w:right="360"/>
        <w:spacing w:after="0" w:line="220" w:lineRule="auto"/>
        <w:tabs>
          <w:tab w:leader="none" w:pos="720" w:val="left"/>
        </w:tabs>
        <w:numPr>
          <w:ilvl w:val="0"/>
          <w:numId w:val="54"/>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Acquisition related expenses consist of legal, diligence, accounting, and financing costs, as well as a gain on bargain purchase, incurred for acquisitions during the years ended December 31, 2025 and 2024.</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15" w:lineRule="exact"/>
        <w:rPr>
          <w:sz w:val="20"/>
          <w:szCs w:val="20"/>
          <w:color w:val="auto"/>
        </w:rPr>
      </w:pPr>
    </w:p>
    <w:p>
      <w:pPr>
        <w:ind w:right="220" w:firstLine="490"/>
        <w:spacing w:after="0" w:line="268" w:lineRule="auto"/>
        <w:rPr>
          <w:sz w:val="20"/>
          <w:szCs w:val="20"/>
          <w:color w:val="auto"/>
        </w:rPr>
      </w:pPr>
      <w:r>
        <w:rPr>
          <w:rFonts w:ascii="Times New Roman" w:cs="Times New Roman" w:eastAsia="Times New Roman" w:hAnsi="Times New Roman"/>
          <w:sz w:val="20"/>
          <w:szCs w:val="20"/>
          <w:color w:val="231F20"/>
        </w:rPr>
        <w:t>We have incurred significant losses and negative cash flows from operations since our inception, and as of December 31, 2025, we had an accumulated deficit of $2.4 billion.</w:t>
      </w:r>
    </w:p>
    <w:p>
      <w:pPr>
        <w:spacing w:after="0" w:line="1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99"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We have funded our operations to date principally from the sale of stock, convertible debt, term debt, the Revolving Credit Facility, and sales of our products. As of December 31, 2025, we had cash, cash equivalents and restricted cash of $609.5 million.</w:t>
      </w:r>
    </w:p>
    <w:p>
      <w:pPr>
        <w:spacing w:after="0" w:line="169"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Based on our current business plan, we believe our current cash and cash equivalents, marketable equity securities and anticipated cash flows from operations, will be sufficient to meet our anticipated cash requirements for more than twelve months from the date of this Annual Report on Form 10-K.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ectPr>
          <w:pgSz w:w="11880" w:h="15480" w:orient="portrait"/>
          <w:cols w:equalWidth="0" w:num="1">
            <w:col w:w="10400"/>
          </w:cols>
          <w:pgMar w:left="900" w:top="78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10400"/>
          </w:cols>
          <w:pgMar w:left="900" w:top="789" w:right="580" w:bottom="0" w:gutter="0" w:footer="0" w:header="0"/>
          <w:type w:val="continuous"/>
        </w:sectPr>
      </w:pPr>
    </w:p>
    <w:bookmarkStart w:id="134" w:name="page135"/>
    <w:bookmarkEnd w:id="134"/>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Annual Report on Form 10-K,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Convertible Senior Notes</w:t>
      </w:r>
    </w:p>
    <w:p>
      <w:pPr>
        <w:spacing w:after="0" w:line="118"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231F20"/>
        </w:rPr>
        <w:t>On July 3, 2025, we completed the Offering of $750.0 million aggregate principal amount of 0.75% Convertible Senior Notes due 2030, or the Notes. Our net proceeds from the Offering were $725.7 million, after deducting the initial purchasers' discount and commissions and offering expenses payable by us.</w:t>
      </w:r>
    </w:p>
    <w:p>
      <w:pPr>
        <w:spacing w:after="0" w:line="18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Notes are general unsecured obligations of ours and will mature on July 15, 2030. Interest on the Notes will accrue at a rate of 0.75% per year from July 3, 2025 and will be payable semiannually in arrears on January 15 and July 15 of each year, beginning on January 15, 2026. The Notes are convertible at the option of the holders prior to April 15, 2030, upon satisfaction of one or more of the following conditions:</w:t>
      </w:r>
    </w:p>
    <w:p>
      <w:pPr>
        <w:spacing w:after="0" w:line="74" w:lineRule="exact"/>
        <w:rPr>
          <w:sz w:val="20"/>
          <w:szCs w:val="20"/>
          <w:color w:val="auto"/>
        </w:rPr>
      </w:pPr>
    </w:p>
    <w:p>
      <w:pPr>
        <w:ind w:left="980" w:right="180" w:hanging="490"/>
        <w:spacing w:after="0" w:line="252" w:lineRule="auto"/>
        <w:tabs>
          <w:tab w:leader="none" w:pos="9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any calendar quarter, commencing after the fiscal quarter ending on September 30, 2025, if the last reported sale price of our Class A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w:t>
      </w:r>
    </w:p>
    <w:p>
      <w:pPr>
        <w:spacing w:after="0" w:line="74" w:lineRule="exact"/>
        <w:rPr>
          <w:rFonts w:ascii="Times New Roman" w:cs="Times New Roman" w:eastAsia="Times New Roman" w:hAnsi="Times New Roman"/>
          <w:sz w:val="20"/>
          <w:szCs w:val="20"/>
          <w:color w:val="231F20"/>
        </w:rPr>
      </w:pPr>
    </w:p>
    <w:p>
      <w:pPr>
        <w:ind w:left="980" w:hanging="490"/>
        <w:spacing w:after="0" w:line="252" w:lineRule="auto"/>
        <w:tabs>
          <w:tab w:leader="none" w:pos="9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the five business day period after any ten consecutive trading day period, or the measurement period, in which the trading price per $1,000 principal amount of the Notes for each trading day of the measurement period was less than 98% of the product of the last reported sale price of our Class A common stock and the conversion rate for the Notes on each such trading day;</w:t>
      </w:r>
    </w:p>
    <w:p>
      <w:pPr>
        <w:spacing w:after="0" w:line="74" w:lineRule="exact"/>
        <w:rPr>
          <w:rFonts w:ascii="Times New Roman" w:cs="Times New Roman" w:eastAsia="Times New Roman" w:hAnsi="Times New Roman"/>
          <w:sz w:val="20"/>
          <w:szCs w:val="20"/>
          <w:color w:val="231F20"/>
        </w:rPr>
      </w:pPr>
    </w:p>
    <w:p>
      <w:pPr>
        <w:ind w:left="980" w:right="340" w:hanging="490"/>
        <w:spacing w:after="0" w:line="277" w:lineRule="auto"/>
        <w:tabs>
          <w:tab w:leader="none" w:pos="9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we call the Notes for redemption, at any time prior to the close of business on the second scheduled trading day immediately preceding the redemption date; or</w:t>
      </w:r>
    </w:p>
    <w:p>
      <w:pPr>
        <w:spacing w:after="0" w:line="49" w:lineRule="exact"/>
        <w:rPr>
          <w:rFonts w:ascii="Times New Roman" w:cs="Times New Roman" w:eastAsia="Times New Roman" w:hAnsi="Times New Roman"/>
          <w:sz w:val="20"/>
          <w:szCs w:val="20"/>
          <w:color w:val="231F20"/>
        </w:rPr>
      </w:pPr>
    </w:p>
    <w:p>
      <w:pPr>
        <w:ind w:left="980" w:hanging="490"/>
        <w:spacing w:after="0"/>
        <w:tabs>
          <w:tab w:leader="none" w:pos="9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Upon the occurrence of specified corporate events.</w:t>
      </w:r>
    </w:p>
    <w:p>
      <w:pPr>
        <w:spacing w:after="0" w:line="240" w:lineRule="exact"/>
        <w:rPr>
          <w:sz w:val="20"/>
          <w:szCs w:val="20"/>
          <w:color w:val="auto"/>
        </w:rPr>
      </w:pPr>
    </w:p>
    <w:p>
      <w:pPr>
        <w:ind w:right="460" w:firstLine="490"/>
        <w:spacing w:after="0" w:line="252" w:lineRule="auto"/>
        <w:rPr>
          <w:sz w:val="20"/>
          <w:szCs w:val="20"/>
          <w:color w:val="auto"/>
        </w:rPr>
      </w:pPr>
      <w:r>
        <w:rPr>
          <w:rFonts w:ascii="Times New Roman" w:cs="Times New Roman" w:eastAsia="Times New Roman" w:hAnsi="Times New Roman"/>
          <w:sz w:val="20"/>
          <w:szCs w:val="20"/>
          <w:color w:val="231F20"/>
        </w:rPr>
        <w:t>On or after April 15, 2030, until the close of business on the second scheduled trading day immediately preceding the maturity date, holders may convert all or any portion of their Notes at their option at any time, regardless of the foregoing conditions. Upon conversion, we will pay or deliver cash, shares of our Class A common stock or a combination of cash and shares of our Class A common stock, at our election.</w:t>
      </w:r>
    </w:p>
    <w:p>
      <w:pPr>
        <w:spacing w:after="0" w:line="194"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31F20"/>
        </w:rPr>
        <w:t>The conversion rate for the Notes will is 11.8778 shares of Class A common stock per $1,000 principal amount of Notes, which is equivalent to an initial conversion price of approximately $84.19 per share of Class A common stock. The conversion rate is subject to adjustment under certain circumstances.</w:t>
      </w:r>
    </w:p>
    <w:p>
      <w:pPr>
        <w:spacing w:after="0" w:line="18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On or after July 20, 2028, we may redeem for cash all or any portion of the Notes if the last reported sale price of our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If we redeem less than all the outstanding Notes, at least $100.0 million aggregate principal amount of Notes must be outstanding and not subject to redemption. No sinking fund is provided for the Notes.</w:t>
      </w:r>
    </w:p>
    <w:p>
      <w:pPr>
        <w:spacing w:after="0" w:line="20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If we undergo a fundamental change (as defined in the indenture governing the Notes), then, subject to certain conditions and exceptions, noteholders may require us to repurchase for cash all or any portion of their Notes at a fundamental change repurchase price equal to 100% of the principal amount of the Notes to be repurchased, plus accrued and unpaid interest, to, but excluding, the fundamental change repurchase date.</w:t>
      </w:r>
    </w:p>
    <w:p>
      <w:pPr>
        <w:sectPr>
          <w:pgSz w:w="11880" w:h="15480" w:orient="portrait"/>
          <w:cols w:equalWidth="0" w:num="1">
            <w:col w:w="10420"/>
          </w:cols>
          <w:pgMar w:left="900" w:top="79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10420"/>
          </w:cols>
          <w:pgMar w:left="900" w:top="796" w:right="560" w:bottom="0" w:gutter="0" w:footer="0" w:header="0"/>
          <w:type w:val="continuous"/>
        </w:sectPr>
      </w:pPr>
    </w:p>
    <w:bookmarkStart w:id="135" w:name="page136"/>
    <w:bookmarkEnd w:id="135"/>
    <w:p>
      <w:pPr>
        <w:ind w:right="200" w:firstLine="490"/>
        <w:spacing w:after="0" w:line="244" w:lineRule="auto"/>
        <w:rPr>
          <w:sz w:val="20"/>
          <w:szCs w:val="20"/>
          <w:color w:val="auto"/>
        </w:rPr>
      </w:pPr>
      <w:r>
        <w:rPr>
          <w:rFonts w:ascii="Times New Roman" w:cs="Times New Roman" w:eastAsia="Times New Roman" w:hAnsi="Times New Roman"/>
          <w:sz w:val="20"/>
          <w:szCs w:val="20"/>
          <w:color w:val="231F20"/>
        </w:rPr>
        <w:t>In connection with the pricing of the Notes on June 30, 2025, and in connection with the exercise in full by the initial purchasers of their option to purchase additional Notes on July 1, 2025, we entered into capped call transactions, or the Capped Call, effective as of July 3, 2025, with one of the initial purchasers and certain other financial institutions. The Capped Call is expected generally to reduce the potential dilution to our Class A common stock upon any conversion of the Notes and/or offset any cash payments we are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$ 84.19 per share, subject to certain adjustments, which corresponds to the initial conversion price of the Notes. The Capped Calls cover, subject to anti-dilution adjustments, approximately 8,908,350 shares of the Company's Class A common stock.</w:t>
      </w:r>
    </w:p>
    <w:p>
      <w:pPr>
        <w:spacing w:after="0" w:line="206"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Additionally, we paid approximately $41.8 million cost of the Capped Call from the proceeds of the Offering.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spacing w:after="0" w:line="3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Credit Facilities</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On September 22, 2022, we entered into a Credit Agreement, or the Original Credit Agreement, with Ares Capital Corporation, or Ares, for a senior secured loan, or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On February 3, 2025, we entered into a Third Amendment Agreement, or the Third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$194.0 million under the Additional Term Loan Facility, which is the aggregate principal amount of $ 200.0 million, less original issue discount of $4.0 million and $2.0 million in legal fees paid to third parties, and $97.1 million in revolving loans under the Revolving Credit Facility, which is the aggregate amount of $ 100.0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w:t>
      </w:r>
    </w:p>
    <w:p>
      <w:pPr>
        <w:spacing w:after="0" w:line="20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On June 30, 2025, in conjunction with the Offering, we entered into a Fourth Amendment to the Credit Agreement, or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spacing w:after="0" w:line="19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Term Loans and Revolving Credit Facility, or together with the Term Loan Facilities, the Credit Facilities, are subject to quarterly interest payments for Base Rate loans and at the end of the applicable interest rate period for Term Secured Overnight Financing Rate, or SOFR, loans.</w:t>
      </w:r>
    </w:p>
    <w:p>
      <w:pPr>
        <w:spacing w:after="0" w:line="18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Term Loans are subject to quarterly interest payments, which bears interest based on Term SOFR. Additionally, we may make either a paid-in-kind, or PIK, election or a Cash election. Pursuant to the Original Credit Agreement, as amended by the Fourth Amendment Agreement, or the Credit Agreement, through December 31, 2025, interest on the Term Loans accrues at a per annum rate as follows: (i) for any interest period for which we elect to pay interest in cash, the cash interest rate for Term SOFR borrowings will be Term SOFR plus 7.25%, respectively, and (ii) for any interest period for which we elect to pay interest in kind, the cash interest rate for Term SOFR borrowings will be Term SOFR plus 5%, respectively, and the PIK interest rate will be 3.25%.</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From and after January 1, 2026, interest on the Term Loans accrues at a per annum rate as follows: (i) for any interest period for which we elect to pay interest in cash, the cash interest rate for Term SOFR borrowings will be Term SOFR plus a margin ranging from 6.75% to 7.75%, respectively, and (ii) for any interest period for which we elect to pay interest in kind, the cash interest rate for Term SOFR borrowings will be Term SOFR plus a margin of 5%, respectively, and the PIK interest rate will be 3.25%. The applicable margin for any interest period for which we elect to pay interest in cash will be based on a consolidated first lien leverage ratio.</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10440"/>
          </w:cols>
          <w:pgMar w:left="900" w:top="796" w:right="540" w:bottom="0" w:gutter="0" w:footer="0" w:header="0"/>
          <w:type w:val="continuous"/>
        </w:sectPr>
      </w:pPr>
    </w:p>
    <w:bookmarkStart w:id="136" w:name="page137"/>
    <w:bookmarkEnd w:id="136"/>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Interest on the Revolving Loans accrues interest at a per annum rate equal to Term SOFR plus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spacing w:after="0" w:line="20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We are in compliance with all covenants in the Credit Agreement as of December 31, 2025.</w:t>
      </w:r>
    </w:p>
    <w:p>
      <w:pPr>
        <w:spacing w:after="0" w:line="206"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Through December 31, 2025, we repaid in full the principal amount of the Term Loan Facility for $276.9 million, leaving only the Additional Term Loan Facility and Revolving Credit Facility as outstanding.</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Convertible Promissory Note</w:t>
      </w:r>
    </w:p>
    <w:p>
      <w:pPr>
        <w:spacing w:after="0" w:line="11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On February 22, 2025, we amended our convertible promissory note, or the Second Amended Note, with Google LLC, or Google, originally entered into on June 22, 2020, or the Initial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us of ours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At the Market Sales Agreement</w:t>
      </w:r>
    </w:p>
    <w:p>
      <w:pPr>
        <w:spacing w:after="0" w:line="102" w:lineRule="exact"/>
        <w:rPr>
          <w:sz w:val="20"/>
          <w:szCs w:val="20"/>
          <w:color w:val="auto"/>
        </w:rPr>
      </w:pPr>
    </w:p>
    <w:p>
      <w:pPr>
        <w:ind w:firstLine="490"/>
        <w:spacing w:after="0" w:line="224" w:lineRule="auto"/>
        <w:rPr>
          <w:sz w:val="20"/>
          <w:szCs w:val="20"/>
          <w:color w:val="auto"/>
        </w:rPr>
      </w:pPr>
      <w:r>
        <w:rPr>
          <w:rFonts w:ascii="Times New Roman" w:cs="Times New Roman" w:eastAsia="Times New Roman" w:hAnsi="Times New Roman"/>
          <w:sz w:val="20"/>
          <w:szCs w:val="20"/>
          <w:color w:val="231F20"/>
        </w:rPr>
        <w:t>On August 8, 2025, we entered into a Controlled Equity Offering</w:t>
      </w:r>
      <w:r>
        <w:rPr>
          <w:rFonts w:ascii="Times New Roman" w:cs="Times New Roman" w:eastAsia="Times New Roman" w:hAnsi="Times New Roman"/>
          <w:sz w:val="32"/>
          <w:szCs w:val="32"/>
          <w:color w:val="231F20"/>
          <w:vertAlign w:val="superscript"/>
        </w:rPr>
        <w:t>SM</w:t>
      </w:r>
      <w:r>
        <w:rPr>
          <w:rFonts w:ascii="Times New Roman" w:cs="Times New Roman" w:eastAsia="Times New Roman" w:hAnsi="Times New Roman"/>
          <w:sz w:val="20"/>
          <w:szCs w:val="20"/>
          <w:color w:val="231F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wee may offer and sell shares of Class A common stock having an aggregate offering price of up to $500.0 million from time to time through the Sales Agents.</w:t>
      </w:r>
    </w:p>
    <w:p>
      <w:pPr>
        <w:spacing w:after="0" w:line="193" w:lineRule="exact"/>
        <w:rPr>
          <w:sz w:val="20"/>
          <w:szCs w:val="20"/>
          <w:color w:val="auto"/>
        </w:rPr>
      </w:pPr>
    </w:p>
    <w:p>
      <w:pPr>
        <w:ind w:right="80" w:firstLine="490"/>
        <w:spacing w:after="0" w:line="237" w:lineRule="auto"/>
        <w:rPr>
          <w:sz w:val="20"/>
          <w:szCs w:val="20"/>
          <w:color w:val="auto"/>
        </w:rPr>
      </w:pPr>
      <w:r>
        <w:rPr>
          <w:rFonts w:ascii="Times New Roman" w:cs="Times New Roman" w:eastAsia="Times New Roman" w:hAnsi="Times New Roman"/>
          <w:sz w:val="20"/>
          <w:szCs w:val="20"/>
          <w:color w:val="231F20"/>
        </w:rPr>
        <w:t xml:space="preserve">For the year ended December 31, 2025, we sold 2,381,895 shares under the ATM </w:t>
      </w:r>
      <w:r>
        <w:rPr>
          <w:rFonts w:ascii="Times New Roman" w:cs="Times New Roman" w:eastAsia="Times New Roman" w:hAnsi="Times New Roman"/>
          <w:sz w:val="19"/>
          <w:szCs w:val="19"/>
          <w:color w:val="231F20"/>
        </w:rPr>
        <w:t>at a weighted average price of $83.97 per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share </w:t>
      </w:r>
      <w:r>
        <w:rPr>
          <w:rFonts w:ascii="Times New Roman" w:cs="Times New Roman" w:eastAsia="Times New Roman" w:hAnsi="Times New Roman"/>
          <w:sz w:val="20"/>
          <w:szCs w:val="20"/>
          <w:color w:val="231F20"/>
        </w:rPr>
        <w:t>for total proceeds of $ 195.5 million, net of $4.5 million in commissions. In connection with the entry of the Sales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Agreement and filing of the ATM Prospectus, we incurred $0.9 million of deferred offering costs, of which $0.8 million was reclassified as a reduction of paid-in-capital upon completion of the sales that occurred in 2025. The remaining deferred offering costs, which were incurred in anticipation of future ATM sales, are recorded in Prepaid and other assets on the consolidated</w:t>
      </w:r>
    </w:p>
    <w:p>
      <w:pPr>
        <w:sectPr>
          <w:pgSz w:w="11880" w:h="15480" w:orient="portrait"/>
          <w:cols w:equalWidth="0" w:num="1">
            <w:col w:w="10440"/>
          </w:cols>
          <w:pgMar w:left="900" w:top="796" w:right="540" w:bottom="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10440"/>
          </w:cols>
          <w:pgMar w:left="900" w:top="796" w:right="540" w:bottom="0" w:gutter="0" w:footer="0" w:header="0"/>
          <w:type w:val="continuous"/>
        </w:sectPr>
      </w:pPr>
    </w:p>
    <w:bookmarkStart w:id="137" w:name="page138"/>
    <w:bookmarkEnd w:id="137"/>
    <w:p>
      <w:pPr>
        <w:ind w:right="800"/>
        <w:spacing w:after="0" w:line="265" w:lineRule="auto"/>
        <w:rPr>
          <w:sz w:val="20"/>
          <w:szCs w:val="20"/>
          <w:color w:val="auto"/>
        </w:rPr>
      </w:pPr>
      <w:r>
        <w:rPr>
          <w:rFonts w:ascii="Times New Roman" w:cs="Times New Roman" w:eastAsia="Times New Roman" w:hAnsi="Times New Roman"/>
          <w:sz w:val="20"/>
          <w:szCs w:val="20"/>
          <w:color w:val="231F20"/>
        </w:rPr>
        <w:t>balance sheet. As of December 31, 2025, approximately $300.0 million remained available for sale pursuant to the Sales Agreement and ATM Prospectus.</w:t>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presented:</w:t>
      </w:r>
    </w:p>
    <w:p>
      <w:pPr>
        <w:spacing w:after="0" w:line="290"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93"/>
        </w:trPr>
        <w:tc>
          <w:tcPr>
            <w:tcW w:w="6480" w:type="dxa"/>
            <w:vAlign w:val="bottom"/>
          </w:tcPr>
          <w:p>
            <w:pPr>
              <w:spacing w:after="0"/>
              <w:rPr>
                <w:sz w:val="16"/>
                <w:szCs w:val="16"/>
                <w:color w:val="auto"/>
              </w:rPr>
            </w:pPr>
          </w:p>
        </w:tc>
        <w:tc>
          <w:tcPr>
            <w:tcW w:w="320" w:type="dxa"/>
            <w:vAlign w:val="bottom"/>
            <w:tcBorders>
              <w:top w:val="single" w:sz="8" w:color="231F20"/>
              <w:bottom w:val="single" w:sz="8" w:color="231F20"/>
            </w:tcBorders>
          </w:tcPr>
          <w:p>
            <w:pPr>
              <w:spacing w:after="0"/>
              <w:rPr>
                <w:sz w:val="16"/>
                <w:szCs w:val="16"/>
                <w:color w:val="auto"/>
              </w:rPr>
            </w:pPr>
          </w:p>
        </w:tc>
        <w:tc>
          <w:tcPr>
            <w:tcW w:w="1080" w:type="dxa"/>
            <w:vAlign w:val="bottom"/>
            <w:tcBorders>
              <w:top w:val="single" w:sz="8" w:color="231F20"/>
              <w:bottom w:val="single" w:sz="8" w:color="231F20"/>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top w:val="single" w:sz="8" w:color="231F20"/>
            </w:tcBorders>
          </w:tcPr>
          <w:p>
            <w:pPr>
              <w:spacing w:after="0"/>
              <w:rPr>
                <w:sz w:val="16"/>
                <w:szCs w:val="16"/>
                <w:color w:val="auto"/>
              </w:rPr>
            </w:pPr>
          </w:p>
        </w:tc>
        <w:tc>
          <w:tcPr>
            <w:tcW w:w="440" w:type="dxa"/>
            <w:vAlign w:val="bottom"/>
            <w:tcBorders>
              <w:top w:val="single" w:sz="8" w:color="231F20"/>
              <w:bottom w:val="single" w:sz="8" w:color="231F20"/>
            </w:tcBorders>
          </w:tcPr>
          <w:p>
            <w:pPr>
              <w:spacing w:after="0"/>
              <w:rPr>
                <w:sz w:val="16"/>
                <w:szCs w:val="16"/>
                <w:color w:val="auto"/>
              </w:rPr>
            </w:pPr>
          </w:p>
        </w:tc>
        <w:tc>
          <w:tcPr>
            <w:tcW w:w="940" w:type="dxa"/>
            <w:vAlign w:val="bottom"/>
            <w:tcBorders>
              <w:top w:val="single" w:sz="8" w:color="231F20"/>
              <w:bottom w:val="single" w:sz="8" w:color="231F20"/>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Pr>
          <w:p>
            <w:pPr>
              <w:spacing w:after="0"/>
              <w:rPr>
                <w:sz w:val="16"/>
                <w:szCs w:val="16"/>
                <w:color w:val="auto"/>
              </w:rPr>
            </w:pPr>
          </w:p>
        </w:tc>
      </w:tr>
      <w:tr>
        <w:trPr>
          <w:trHeight w:val="193"/>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231F20"/>
              </w:rPr>
              <w:t>(in</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80"/>
              </w:rPr>
              <w:t>thousands)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64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Net cash used in operating activities</w:t>
            </w: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34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(218,090)</w:t>
            </w:r>
          </w:p>
        </w:tc>
        <w:tc>
          <w:tcPr>
            <w:tcW w:w="440" w:type="dxa"/>
            <w:vAlign w:val="bottom"/>
            <w:shd w:val="clear" w:color="auto" w:fill="E5E6E7"/>
          </w:tcPr>
          <w:p>
            <w:pPr>
              <w:jc w:val="center"/>
              <w:ind w:right="240"/>
              <w:spacing w:after="0"/>
              <w:rPr>
                <w:sz w:val="20"/>
                <w:szCs w:val="20"/>
                <w:color w:val="auto"/>
              </w:rPr>
            </w:pPr>
            <w:r>
              <w:rPr>
                <w:rFonts w:ascii="Times New Roman" w:cs="Times New Roman" w:eastAsia="Times New Roman" w:hAnsi="Times New Roman"/>
                <w:sz w:val="20"/>
                <w:szCs w:val="20"/>
                <w:color w:val="414142"/>
                <w:w w:val="99"/>
              </w:rPr>
              <w:t>$</w:t>
            </w:r>
          </w:p>
        </w:tc>
        <w:tc>
          <w:tcPr>
            <w:tcW w:w="10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(189,045)</w:t>
            </w:r>
          </w:p>
        </w:tc>
      </w:tr>
      <w:tr>
        <w:trPr>
          <w:trHeight w:val="244"/>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231F20"/>
              </w:rPr>
              <w:t>Net cash used in investing activities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(398,355)</w:t>
            </w:r>
          </w:p>
        </w:tc>
        <w:tc>
          <w:tcPr>
            <w:tcW w:w="440" w:type="dxa"/>
            <w:vAlign w:val="bottom"/>
          </w:tcPr>
          <w:p>
            <w:pPr>
              <w:jc w:val="center"/>
              <w:ind w:right="240"/>
              <w:spacing w:after="0"/>
              <w:rPr>
                <w:sz w:val="20"/>
                <w:szCs w:val="20"/>
                <w:color w:val="auto"/>
              </w:rPr>
            </w:pPr>
            <w:r>
              <w:rPr>
                <w:rFonts w:ascii="Times New Roman" w:cs="Times New Roman" w:eastAsia="Times New Roman" w:hAnsi="Times New Roman"/>
                <w:sz w:val="20"/>
                <w:szCs w:val="20"/>
                <w:color w:val="231F20"/>
                <w:w w:val="99"/>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(130,392)</w:t>
            </w:r>
          </w:p>
        </w:tc>
      </w:tr>
      <w:tr>
        <w:trPr>
          <w:trHeight w:val="244"/>
        </w:trPr>
        <w:tc>
          <w:tcPr>
            <w:tcW w:w="64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Net cash provided by financing activities</w:t>
            </w: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884,123</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jc w:val="center"/>
              <w:ind w:right="240"/>
              <w:spacing w:after="0"/>
              <w:rPr>
                <w:sz w:val="20"/>
                <w:szCs w:val="20"/>
                <w:color w:val="auto"/>
              </w:rPr>
            </w:pPr>
            <w:r>
              <w:rPr>
                <w:rFonts w:ascii="Times New Roman" w:cs="Times New Roman" w:eastAsia="Times New Roman" w:hAnsi="Times New Roman"/>
                <w:sz w:val="20"/>
                <w:szCs w:val="20"/>
                <w:color w:val="414142"/>
                <w:w w:val="99"/>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494,329</w:t>
            </w:r>
          </w:p>
        </w:tc>
        <w:tc>
          <w:tcPr>
            <w:tcW w:w="80" w:type="dxa"/>
            <w:vAlign w:val="bottom"/>
            <w:shd w:val="clear" w:color="auto" w:fill="E5E6E7"/>
          </w:tcPr>
          <w:p>
            <w:pPr>
              <w:spacing w:after="0"/>
              <w:rPr>
                <w:sz w:val="21"/>
                <w:szCs w:val="21"/>
                <w:color w:val="auto"/>
              </w:rPr>
            </w:pPr>
          </w:p>
        </w:tc>
      </w:tr>
    </w:tbl>
    <w:p>
      <w:pPr>
        <w:spacing w:after="0" w:line="3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Operating Activities</w:t>
      </w:r>
    </w:p>
    <w:p>
      <w:pPr>
        <w:spacing w:after="0" w:line="118"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31F20"/>
        </w:rPr>
        <w:t>Cash used in operating activities during the year ended December 31, 2025 was $218.1 million, which resulted from a net loss of $245.0 million and a net change in our operating assets and liabilities of $178.5 million, offset by non-cash charges of $205.5 million. Non-cash charges primarily consisted of $124.7 million of stock-based compensation, $102.3 million of depreciation and amortization, $12.0 million loss on debt extinguishment, $11.6 million of non-cash operating lease costs and $10.5 million of PIK interest added to principal, offset by deferred income taxes of $52.7 million, and $16.5 million of gain on marketable equity securities. The net change in our operating assets and liabilities was primarily the result of a $90.4 million increase in accounts receivable due to increased sales and the timing of customer payments, a $25.0 million increase in related party asset, due to future services to be provided by Pathos under the Pathos Master Agreement, a $17.3 million increase in investments and other assets, a $16.0 million decrease in deferred other income related to the IP License Agreement with SB Tempus, and a $7.2 million decrease in accounts payable, due to timing of payments.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Cash used in operating activities during the year ended December 31, 2024 was $189.0 million, which resulted from a net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loss of $705.8 million and a net change in our operating assets and liabilities of $37.8 million, offset by non-cash charges of</w:t>
      </w:r>
    </w:p>
    <w:p>
      <w:pPr>
        <w:spacing w:after="0"/>
        <w:rPr>
          <w:sz w:val="20"/>
          <w:szCs w:val="20"/>
          <w:color w:val="auto"/>
        </w:rPr>
      </w:pPr>
      <w:r>
        <w:rPr>
          <w:rFonts w:ascii="Times New Roman" w:cs="Times New Roman" w:eastAsia="Times New Roman" w:hAnsi="Times New Roman"/>
          <w:sz w:val="20"/>
          <w:szCs w:val="20"/>
          <w:color w:val="231F20"/>
        </w:rPr>
        <w:t>$554.6 million. Non-cash charges primarily consisted of $534.1 million of stock-based compensation, a $42.4 million increase in</w:t>
      </w:r>
    </w:p>
    <w:p>
      <w:pPr>
        <w:spacing w:after="0"/>
        <w:rPr>
          <w:sz w:val="20"/>
          <w:szCs w:val="20"/>
          <w:color w:val="auto"/>
        </w:rPr>
      </w:pPr>
      <w:r>
        <w:rPr>
          <w:rFonts w:ascii="Times New Roman" w:cs="Times New Roman" w:eastAsia="Times New Roman" w:hAnsi="Times New Roman"/>
          <w:sz w:val="20"/>
          <w:szCs w:val="20"/>
          <w:color w:val="231F20"/>
        </w:rPr>
        <w:t>the fair value of the warrant liability, and $37.2 million of depreciation and amortization, offset by a gain of $39.1 million on the</w:t>
      </w:r>
    </w:p>
    <w:p>
      <w:pPr>
        <w:spacing w:after="0"/>
        <w:rPr>
          <w:sz w:val="20"/>
          <w:szCs w:val="20"/>
          <w:color w:val="auto"/>
        </w:rPr>
      </w:pPr>
      <w:r>
        <w:rPr>
          <w:rFonts w:ascii="Times New Roman" w:cs="Times New Roman" w:eastAsia="Times New Roman" w:hAnsi="Times New Roman"/>
          <w:sz w:val="20"/>
          <w:szCs w:val="20"/>
          <w:color w:val="231F20"/>
        </w:rPr>
        <w:t>termination of our warrant with AstraZeneca, a change in the fair value of our warrant asset of $18.3 million, and the reversal of</w:t>
      </w:r>
    </w:p>
    <w:p>
      <w:pPr>
        <w:spacing w:after="0"/>
        <w:rPr>
          <w:sz w:val="20"/>
          <w:szCs w:val="20"/>
          <w:color w:val="auto"/>
        </w:rPr>
      </w:pPr>
      <w:r>
        <w:rPr>
          <w:rFonts w:ascii="Times New Roman" w:cs="Times New Roman" w:eastAsia="Times New Roman" w:hAnsi="Times New Roman"/>
          <w:sz w:val="20"/>
          <w:szCs w:val="20"/>
          <w:color w:val="231F20"/>
        </w:rPr>
        <w:t>warrant contract asset amortization of $16.3 million. The net change in our operating assets and liabilities was primarily the result</w:t>
      </w:r>
    </w:p>
    <w:p>
      <w:pPr>
        <w:spacing w:after="0"/>
        <w:rPr>
          <w:sz w:val="20"/>
          <w:szCs w:val="20"/>
          <w:color w:val="auto"/>
        </w:rPr>
      </w:pPr>
      <w:r>
        <w:rPr>
          <w:rFonts w:ascii="Times New Roman" w:cs="Times New Roman" w:eastAsia="Times New Roman" w:hAnsi="Times New Roman"/>
          <w:sz w:val="20"/>
          <w:szCs w:val="20"/>
          <w:color w:val="231F20"/>
        </w:rPr>
        <w:t>of a $61.0 million increase in accounts receivable due to increased sales and timing of customer payments, a decrease in accounts</w:t>
      </w:r>
    </w:p>
    <w:p>
      <w:pPr>
        <w:spacing w:after="0"/>
        <w:rPr>
          <w:sz w:val="20"/>
          <w:szCs w:val="20"/>
          <w:color w:val="auto"/>
        </w:rPr>
      </w:pPr>
      <w:r>
        <w:rPr>
          <w:rFonts w:ascii="Times New Roman" w:cs="Times New Roman" w:eastAsia="Times New Roman" w:hAnsi="Times New Roman"/>
          <w:sz w:val="20"/>
          <w:szCs w:val="20"/>
          <w:color w:val="231F20"/>
        </w:rPr>
        <w:t>payable of $23.9 million, a decrease of $20.9 million in deferred revenue, and an increase in prepaid expenses and other current</w:t>
      </w:r>
    </w:p>
    <w:p>
      <w:pPr>
        <w:spacing w:after="0"/>
        <w:rPr>
          <w:sz w:val="20"/>
          <w:szCs w:val="20"/>
          <w:color w:val="auto"/>
        </w:rPr>
      </w:pPr>
      <w:r>
        <w:rPr>
          <w:rFonts w:ascii="Times New Roman" w:cs="Times New Roman" w:eastAsia="Times New Roman" w:hAnsi="Times New Roman"/>
          <w:sz w:val="20"/>
          <w:szCs w:val="20"/>
          <w:color w:val="231F20"/>
        </w:rPr>
        <w:t>assets of $13.7 million, offset by a $50.5 million increase in accrued expenses and other, primarily due to increased cloud spend</w:t>
      </w:r>
    </w:p>
    <w:p>
      <w:pPr>
        <w:spacing w:after="0"/>
        <w:rPr>
          <w:sz w:val="20"/>
          <w:szCs w:val="20"/>
          <w:color w:val="auto"/>
        </w:rPr>
      </w:pPr>
      <w:r>
        <w:rPr>
          <w:rFonts w:ascii="Times New Roman" w:cs="Times New Roman" w:eastAsia="Times New Roman" w:hAnsi="Times New Roman"/>
          <w:sz w:val="20"/>
          <w:szCs w:val="20"/>
          <w:color w:val="231F20"/>
        </w:rPr>
        <w:t>and payroll taxes from RSU settlements, and a $39.9 million increase in deferred other income related to the IP License</w:t>
      </w:r>
    </w:p>
    <w:p>
      <w:pPr>
        <w:spacing w:after="0"/>
        <w:rPr>
          <w:sz w:val="20"/>
          <w:szCs w:val="20"/>
          <w:color w:val="auto"/>
        </w:rPr>
      </w:pPr>
      <w:r>
        <w:rPr>
          <w:rFonts w:ascii="Times New Roman" w:cs="Times New Roman" w:eastAsia="Times New Roman" w:hAnsi="Times New Roman"/>
          <w:sz w:val="20"/>
          <w:szCs w:val="20"/>
          <w:color w:val="231F20"/>
        </w:rPr>
        <w:t>Agreement with SB Tempus.</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Investing Activities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Cash used in investing activities during the year ended December 31, 2025 was $398.4 million, which was the result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$376.7 million cash paid related to the Ambry, Paige, Deep 6 and OneOme acquisitions, purchases of property and equipment of</w:t>
      </w:r>
    </w:p>
    <w:p>
      <w:pPr>
        <w:spacing w:after="0"/>
        <w:rPr>
          <w:sz w:val="20"/>
          <w:szCs w:val="20"/>
          <w:color w:val="auto"/>
        </w:rPr>
      </w:pPr>
      <w:r>
        <w:rPr>
          <w:rFonts w:ascii="Times New Roman" w:cs="Times New Roman" w:eastAsia="Times New Roman" w:hAnsi="Times New Roman"/>
          <w:sz w:val="20"/>
          <w:szCs w:val="20"/>
          <w:color w:val="231F20"/>
        </w:rPr>
        <w:t>$21.0 million, and $6.2 million of capitalized software costs from the Ambry Acquisition, offset by proceeds from the sale of</w:t>
      </w:r>
    </w:p>
    <w:p>
      <w:pPr>
        <w:spacing w:after="0"/>
        <w:rPr>
          <w:sz w:val="20"/>
          <w:szCs w:val="20"/>
          <w:color w:val="auto"/>
        </w:rPr>
      </w:pPr>
      <w:r>
        <w:rPr>
          <w:rFonts w:ascii="Times New Roman" w:cs="Times New Roman" w:eastAsia="Times New Roman" w:hAnsi="Times New Roman"/>
          <w:sz w:val="20"/>
          <w:szCs w:val="20"/>
          <w:color w:val="231F20"/>
        </w:rPr>
        <w:t>marketable equity securities of $8.3 million.</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Cash used in investing activities during the year ended December 31, 2024 was $130.4 million, which was the result of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$95.2 million investment in a joint venture in July 2024 (see Note 6 to our consolidated financial statements included elsewhere in</w:t>
      </w:r>
    </w:p>
    <w:p>
      <w:pPr>
        <w:spacing w:after="0"/>
        <w:rPr>
          <w:sz w:val="20"/>
          <w:szCs w:val="20"/>
          <w:color w:val="auto"/>
        </w:rPr>
      </w:pPr>
      <w:r>
        <w:rPr>
          <w:rFonts w:ascii="Times New Roman" w:cs="Times New Roman" w:eastAsia="Times New Roman" w:hAnsi="Times New Roman"/>
          <w:sz w:val="20"/>
          <w:szCs w:val="20"/>
          <w:color w:val="231F20"/>
        </w:rPr>
        <w:t>this Annual Report on Form 10-K), $36.2 million in purchases of marketable equity securities, and purchases of property and</w:t>
      </w:r>
    </w:p>
    <w:p>
      <w:pPr>
        <w:spacing w:after="0"/>
        <w:rPr>
          <w:sz w:val="20"/>
          <w:szCs w:val="20"/>
          <w:color w:val="auto"/>
        </w:rPr>
      </w:pPr>
      <w:r>
        <w:rPr>
          <w:rFonts w:ascii="Times New Roman" w:cs="Times New Roman" w:eastAsia="Times New Roman" w:hAnsi="Times New Roman"/>
          <w:sz w:val="20"/>
          <w:szCs w:val="20"/>
          <w:color w:val="231F20"/>
        </w:rPr>
        <w:t>equipment of $22.1 million, offset by proceeds from the sale of marketable equity securities of $23.1 million.</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Financing Activities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Cash provided by financing activities during the year ended December 31, 2025 was $ 884.1 million, which was the result of net proceeds from the Notes of $726.5 million, net proceeds from the Additional Term Loan Facility of $ 196.0 million, net proceeds from the ATM of $195.5 million, and net proceeds from the Revolving Credit Facility of $98.0 million, offset by $276.9 million of principal payments on the Term Loan Facility, $41.8 million of purchases of the Capped Call, and $7.8 million of prepayment premium on the Term Loan Facility.</w:t>
      </w:r>
    </w:p>
    <w:p>
      <w:pPr>
        <w:sectPr>
          <w:pgSz w:w="11880" w:h="15480" w:orient="portrait"/>
          <w:cols w:equalWidth="0" w:num="1">
            <w:col w:w="10440"/>
          </w:cols>
          <w:pgMar w:left="900" w:top="787" w:right="540"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10440"/>
          </w:cols>
          <w:pgMar w:left="900" w:top="787" w:right="540" w:bottom="0" w:gutter="0" w:footer="0" w:header="0"/>
          <w:type w:val="continuous"/>
        </w:sectPr>
      </w:pPr>
    </w:p>
    <w:bookmarkStart w:id="138" w:name="page139"/>
    <w:bookmarkEnd w:id="138"/>
    <w:p>
      <w:pPr>
        <w:ind w:left="480"/>
        <w:spacing w:after="0"/>
        <w:rPr>
          <w:sz w:val="20"/>
          <w:szCs w:val="20"/>
          <w:color w:val="auto"/>
        </w:rPr>
      </w:pPr>
      <w:r>
        <w:rPr>
          <w:rFonts w:ascii="Times New Roman" w:cs="Times New Roman" w:eastAsia="Times New Roman" w:hAnsi="Times New Roman"/>
          <w:sz w:val="20"/>
          <w:szCs w:val="20"/>
          <w:color w:val="231F20"/>
        </w:rPr>
        <w:t>Cash provided by financing activities during the year ended December 31, 2024 was $494.3 million, which was the result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proceeds from the issuance of common stock in connection with our IPO, net of underwriting discounts and commissions of</w:t>
      </w:r>
    </w:p>
    <w:p>
      <w:pPr>
        <w:spacing w:after="0"/>
        <w:rPr>
          <w:sz w:val="20"/>
          <w:szCs w:val="20"/>
          <w:color w:val="auto"/>
        </w:rPr>
      </w:pPr>
      <w:r>
        <w:rPr>
          <w:rFonts w:ascii="Times New Roman" w:cs="Times New Roman" w:eastAsia="Times New Roman" w:hAnsi="Times New Roman"/>
          <w:sz w:val="20"/>
          <w:szCs w:val="20"/>
          <w:color w:val="231F20"/>
        </w:rPr>
        <w:t>$382.0 million, and the issuance of Series G-5 Preferred Stock of $199.8 million, offset by $8.8 million of payments of deferred</w:t>
      </w:r>
    </w:p>
    <w:p>
      <w:pPr>
        <w:spacing w:after="0"/>
        <w:rPr>
          <w:sz w:val="20"/>
          <w:szCs w:val="20"/>
          <w:color w:val="auto"/>
        </w:rPr>
      </w:pPr>
      <w:r>
        <w:rPr>
          <w:rFonts w:ascii="Times New Roman" w:cs="Times New Roman" w:eastAsia="Times New Roman" w:hAnsi="Times New Roman"/>
          <w:sz w:val="20"/>
          <w:szCs w:val="20"/>
          <w:color w:val="231F20"/>
        </w:rPr>
        <w:t>offering costs, $5.6 million of dividend payments, and $69.9 million of taxes paid related to the net settlement of a portion of the</w:t>
      </w:r>
    </w:p>
    <w:p>
      <w:pPr>
        <w:spacing w:after="0"/>
        <w:rPr>
          <w:sz w:val="20"/>
          <w:szCs w:val="20"/>
          <w:color w:val="auto"/>
        </w:rPr>
      </w:pPr>
      <w:r>
        <w:rPr>
          <w:rFonts w:ascii="Times New Roman" w:cs="Times New Roman" w:eastAsia="Times New Roman" w:hAnsi="Times New Roman"/>
          <w:sz w:val="20"/>
          <w:szCs w:val="20"/>
          <w:color w:val="231F20"/>
        </w:rPr>
        <w:t>RSUs outstanding as of June 1, 2024 for which the service-based vesting condition was satisfied before June 14, 2024 and for</w:t>
      </w:r>
    </w:p>
    <w:p>
      <w:pPr>
        <w:spacing w:after="0"/>
        <w:rPr>
          <w:sz w:val="20"/>
          <w:szCs w:val="20"/>
          <w:color w:val="auto"/>
        </w:rPr>
      </w:pPr>
      <w:r>
        <w:rPr>
          <w:rFonts w:ascii="Times New Roman" w:cs="Times New Roman" w:eastAsia="Times New Roman" w:hAnsi="Times New Roman"/>
          <w:sz w:val="20"/>
          <w:szCs w:val="20"/>
          <w:color w:val="231F20"/>
        </w:rPr>
        <w:t>which the performance-based vesting condition was satisfied in connection with the IPO, or the RSU Net Settlement.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124"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 See Note 7, Note 8, and Note 12 to the consolidated financial statements included elsewhere in this Annual Report on Form 10-K for our contractual commitments.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15"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231F20"/>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While our significant accounting policies are described in more detail in Note 2 to our audited consolidated financial statements included elsewhere in this Annual Report on Form 10-K, we believe the following accounting policies to be critical to the judgments and estimates used in the preparation of our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We derive Diagnostics revenue from selling lab services to physicians, academic research institutions, and other parties. We also derive Data and applications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9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 xml:space="preserve">We account for our revenue in accordance with ASC Topic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w:t>
      </w:r>
    </w:p>
    <w:p>
      <w:pPr>
        <w:spacing w:after="0" w:line="1" w:lineRule="exact"/>
        <w:rPr>
          <w:sz w:val="20"/>
          <w:szCs w:val="20"/>
          <w:color w:val="auto"/>
        </w:rPr>
      </w:pPr>
    </w:p>
    <w:p>
      <w:pPr>
        <w:ind w:right="240"/>
        <w:spacing w:after="0" w:line="248" w:lineRule="auto"/>
        <w:tabs>
          <w:tab w:leader="none" w:pos="350" w:val="left"/>
        </w:tabs>
        <w:numPr>
          <w:ilvl w:val="0"/>
          <w:numId w:val="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payment terms are identified, (iv) the contract has commercial substance and (v) collectability of consideration is probable. Revenue and any contract assets are not recognized until such time that the required conditions are met.</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Diagnostics</w:t>
      </w:r>
    </w:p>
    <w:p>
      <w:pPr>
        <w:spacing w:after="0" w:line="120"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ectPr>
          <w:pgSz w:w="11880" w:h="15480" w:orient="portrait"/>
          <w:cols w:equalWidth="0" w:num="1">
            <w:col w:w="10440"/>
          </w:cols>
          <w:pgMar w:left="900" w:top="1026" w:right="54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1">
            <w:col w:w="10440"/>
          </w:cols>
          <w:pgMar w:left="900" w:top="1026" w:right="540" w:bottom="0" w:gutter="0" w:footer="0" w:header="0"/>
          <w:type w:val="continuous"/>
        </w:sectPr>
      </w:pPr>
    </w:p>
    <w:bookmarkStart w:id="139" w:name="page140"/>
    <w:bookmarkEnd w:id="139"/>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For clinical orders billed to Medicare, Medicaid, and commercial insurance, we determine the transaction price by reducing the standard charge by the estimated effects of any variable consideration, such as contractual allowance and implicit price concessions. We estimate variable consideration using the expected value method which is based on historical collections in relation to established rates, as well as known current or anticipated reimbursement trends not reflected in the historical data. We use significant judgment when assessing whether estimates of variable consideration are constrained and these estimates are calculated based upon both insurance payor-specific and aggregated factors that include historical billing and adjustment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Combinations</w:t>
      </w:r>
    </w:p>
    <w:p>
      <w:pPr>
        <w:spacing w:after="0" w:line="16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In accordance with ASC Topic 805, Business Combinations, we use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16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We recognize stock-based compensation for equity awards with only a service condition on the grant-date fair value on a straight-line basis over the remaining requisite service period for the award, which is generally the vesting period. We recognize stock-based compensation for equity awards with a market or performance condition using an accelerated attribution model over the requisite service period for each separately vesting portion of the award. For those awards with a market condition, we utilize a Monte Carlo simulation model to estimate the fair value of the restricted stock units. The Monte Carlo simulation model requires the input of estimates and assumptions, including, but not limited to, the expected stock price volatility, the life of the award and the risk-free interest rate. The probability of actual shares expected to be earned is considered in the grant date fair value. As a result, the expense is not adjusted to reflect the actual shares earned. For those awards with a performance condition, we recognize stock-based compensation if it is probable that the performance condition will be satisfied and will reflect the number of awards that ultimately vest. </w:t>
      </w:r>
      <w:r>
        <w:rPr>
          <w:rFonts w:ascii="Times New Roman" w:cs="Times New Roman" w:eastAsia="Times New Roman" w:hAnsi="Times New Roman"/>
          <w:sz w:val="19"/>
          <w:szCs w:val="19"/>
          <w:color w:val="231F20"/>
        </w:rPr>
        <w:t>At each reporting period, we reassess the probability of achievement of the performance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condition and any change in expense resulting from an adjustment to estimates is treated as a cumulative catch-up in the period of the adjustment.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Common Stock Valuations</w:t>
      </w:r>
    </w:p>
    <w:p>
      <w:pPr>
        <w:spacing w:after="0" w:line="113"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231F20"/>
        </w:rPr>
        <w:t>Prior to our IPO,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w:t>
      </w:r>
    </w:p>
    <w:p>
      <w:pPr>
        <w:spacing w:after="0" w:line="197" w:lineRule="exact"/>
        <w:rPr>
          <w:sz w:val="20"/>
          <w:szCs w:val="20"/>
          <w:color w:val="auto"/>
        </w:rPr>
      </w:pPr>
    </w:p>
    <w:p>
      <w:pPr>
        <w:ind w:right="140" w:firstLine="490"/>
        <w:spacing w:after="0" w:line="239" w:lineRule="auto"/>
        <w:rPr>
          <w:sz w:val="20"/>
          <w:szCs w:val="20"/>
          <w:color w:val="auto"/>
        </w:rPr>
      </w:pPr>
      <w:r>
        <w:rPr>
          <w:rFonts w:ascii="Times New Roman" w:cs="Times New Roman" w:eastAsia="Times New Roman" w:hAnsi="Times New Roman"/>
          <w:sz w:val="20"/>
          <w:szCs w:val="20"/>
          <w:color w:val="231F20"/>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99"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19"/>
          <w:szCs w:val="19"/>
          <w:color w:val="231F20"/>
        </w:rPr>
        <w:t>For each valuation, the equity value determined by the income and market approaches was then allocated to the common stock. We performed this allocation using either the option pricing method, or OPM, which treats the securities comprising our capital structure as call options with exercise prices based on the liquidation preferences of our various series of preferred stock and the exercise prices of our options and warrants or a probability-weighted expected return method, or PWERM, which involves the estimation of multiple future potential outcomes, and estimates of the probability of each potential outcome. The per</w:t>
      </w:r>
    </w:p>
    <w:p>
      <w:pPr>
        <w:sectPr>
          <w:pgSz w:w="11880" w:h="15480" w:orient="portrait"/>
          <w:cols w:equalWidth="0" w:num="1">
            <w:col w:w="10400"/>
          </w:cols>
          <w:pgMar w:left="900" w:top="796" w:right="580" w:bottom="0" w:gutter="0" w:footer="0" w:header="0"/>
        </w:sect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132</w:t>
      </w:r>
    </w:p>
    <w:p>
      <w:pPr>
        <w:sectPr>
          <w:pgSz w:w="11880" w:h="15480" w:orient="portrait"/>
          <w:cols w:equalWidth="0" w:num="1">
            <w:col w:w="10400"/>
          </w:cols>
          <w:pgMar w:left="900" w:top="796" w:right="580" w:bottom="0" w:gutter="0" w:footer="0" w:header="0"/>
          <w:type w:val="continuous"/>
        </w:sectPr>
      </w:pPr>
    </w:p>
    <w:bookmarkStart w:id="140" w:name="page141"/>
    <w:bookmarkEnd w:id="140"/>
    <w:p>
      <w:pPr>
        <w:ind w:right="60"/>
        <w:spacing w:after="0" w:line="268" w:lineRule="auto"/>
        <w:rPr>
          <w:sz w:val="20"/>
          <w:szCs w:val="20"/>
          <w:color w:val="auto"/>
        </w:rPr>
      </w:pPr>
      <w:r>
        <w:rPr>
          <w:rFonts w:ascii="Times New Roman" w:cs="Times New Roman" w:eastAsia="Times New Roman" w:hAnsi="Times New Roman"/>
          <w:sz w:val="20"/>
          <w:szCs w:val="20"/>
          <w:color w:val="231F20"/>
        </w:rPr>
        <w:t>share value of our common stock is ultimately based upon probability-weighted per share values resulting from the various future scenarios, which include an initial public offering, merger or sale or continued operation as a private company.</w:t>
      </w:r>
    </w:p>
    <w:p>
      <w:pPr>
        <w:spacing w:after="0" w:line="168" w:lineRule="exact"/>
        <w:rPr>
          <w:sz w:val="20"/>
          <w:szCs w:val="20"/>
          <w:color w:val="auto"/>
        </w:rPr>
      </w:pPr>
    </w:p>
    <w:p>
      <w:pPr>
        <w:ind w:right="20" w:firstLine="490"/>
        <w:spacing w:after="0" w:line="239" w:lineRule="auto"/>
        <w:rPr>
          <w:sz w:val="20"/>
          <w:szCs w:val="20"/>
          <w:color w:val="auto"/>
        </w:rPr>
      </w:pPr>
      <w:r>
        <w:rPr>
          <w:rFonts w:ascii="Times New Roman" w:cs="Times New Roman" w:eastAsia="Times New Roman" w:hAnsi="Times New Roman"/>
          <w:sz w:val="20"/>
          <w:szCs w:val="20"/>
          <w:color w:val="231F20"/>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99"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For valuations after the completion of our IPO,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24"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31F20"/>
        </w:rPr>
        <w:t>See the section titled “Summary of Significant Accounting Policies” in Note 2 to our consolidated financial statements included elsewhere in this Annual Report on Form 10-K for more information.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13"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231F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and inflation risk.</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We are exposed to market risk for changes in interest rates related primarily to our cash, cash equivalents and restricted cash, and our indebtedness. As of December 31, 2025, we had cash, cash equivalents and restricted cash of $609.5 million held primarily in cash deposits and money market funds. As of December 31, 2025, we had $306.0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 Risk</w:t>
      </w:r>
    </w:p>
    <w:p>
      <w:pPr>
        <w:spacing w:after="0" w:line="109" w:lineRule="exact"/>
        <w:rPr>
          <w:sz w:val="20"/>
          <w:szCs w:val="20"/>
          <w:color w:val="auto"/>
        </w:rPr>
      </w:pPr>
    </w:p>
    <w:p>
      <w:pPr>
        <w:ind w:right="20" w:firstLine="490"/>
        <w:spacing w:after="0" w:line="248" w:lineRule="auto"/>
        <w:rPr>
          <w:sz w:val="20"/>
          <w:szCs w:val="20"/>
          <w:color w:val="auto"/>
        </w:rPr>
      </w:pPr>
      <w:r>
        <w:rPr>
          <w:rFonts w:ascii="Times New Roman" w:cs="Times New Roman" w:eastAsia="Times New Roman" w:hAnsi="Times New Roman"/>
          <w:sz w:val="19"/>
          <w:szCs w:val="19"/>
          <w:color w:val="231F20"/>
        </w:rPr>
        <w:t>The majority of our revenue is generated in the United States. Through December 31, 2025,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2025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3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Inflation Risk</w:t>
      </w:r>
    </w:p>
    <w:p>
      <w:pPr>
        <w:spacing w:after="0" w:line="109"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231F20"/>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ectPr>
          <w:pgSz w:w="11880" w:h="15480" w:orient="portrait"/>
          <w:cols w:equalWidth="0" w:num="1">
            <w:col w:w="10440"/>
          </w:cols>
          <w:pgMar w:left="900" w:top="78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133</w:t>
      </w:r>
    </w:p>
    <w:p>
      <w:pPr>
        <w:sectPr>
          <w:pgSz w:w="11880" w:h="15480" w:orient="portrait"/>
          <w:cols w:equalWidth="0" w:num="1">
            <w:col w:w="10440"/>
          </w:cols>
          <w:pgMar w:left="900" w:top="789" w:right="54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74"/>
        </w:trPr>
        <w:tc>
          <w:tcPr>
            <w:tcW w:w="99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2320" w:type="dxa"/>
            <w:vAlign w:val="bottom"/>
          </w:tcPr>
          <w:p>
            <w:pPr>
              <w:spacing w:after="0"/>
              <w:rPr>
                <w:sz w:val="24"/>
                <w:szCs w:val="24"/>
                <w:color w:val="auto"/>
              </w:rPr>
            </w:pPr>
          </w:p>
        </w:tc>
        <w:tc>
          <w:tcPr>
            <w:tcW w:w="7580" w:type="dxa"/>
            <w:vAlign w:val="bottom"/>
            <w:gridSpan w:val="6"/>
          </w:tcPr>
          <w:p>
            <w:pPr>
              <w:ind w:left="28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9900" w:type="dxa"/>
            <w:vAlign w:val="bottom"/>
            <w:gridSpan w:val="7"/>
          </w:tcPr>
          <w:p>
            <w:pPr>
              <w:spacing w:after="0"/>
              <w:rPr>
                <w:sz w:val="20"/>
                <w:szCs w:val="20"/>
                <w:color w:val="auto"/>
              </w:rPr>
            </w:pPr>
            <w:r>
              <w:rPr>
                <w:rFonts w:ascii="Times New Roman" w:cs="Times New Roman" w:eastAsia="Times New Roman" w:hAnsi="Times New Roman"/>
                <w:sz w:val="20"/>
                <w:szCs w:val="20"/>
                <w:color w:val="656769"/>
              </w:rPr>
              <w:t>Report of Independent Registered Public Accounting Firm (PCAOB ID 238)</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25"/>
        </w:trPr>
        <w:tc>
          <w:tcPr>
            <w:tcW w:w="6140" w:type="dxa"/>
            <w:vAlign w:val="bottom"/>
            <w:tcBorders>
              <w:top w:val="single" w:sz="8" w:color="656769"/>
            </w:tcBorders>
            <w:gridSpan w:val="5"/>
          </w:tcPr>
          <w:p>
            <w:pPr>
              <w:spacing w:after="0" w:line="225" w:lineRule="exact"/>
              <w:rPr>
                <w:sz w:val="20"/>
                <w:szCs w:val="20"/>
                <w:color w:val="auto"/>
              </w:rPr>
            </w:pPr>
            <w:r>
              <w:rPr>
                <w:rFonts w:ascii="Times New Roman" w:cs="Times New Roman" w:eastAsia="Times New Roman" w:hAnsi="Times New Roman"/>
                <w:sz w:val="20"/>
                <w:szCs w:val="20"/>
                <w:color w:val="656769"/>
              </w:rPr>
              <w:t>Consolidated Balance Sheets</w:t>
            </w:r>
          </w:p>
        </w:tc>
        <w:tc>
          <w:tcPr>
            <w:tcW w:w="3760" w:type="dxa"/>
            <w:vAlign w:val="bottom"/>
            <w:gridSpan w:val="2"/>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138</w:t>
            </w:r>
          </w:p>
        </w:tc>
        <w:tc>
          <w:tcPr>
            <w:tcW w:w="0" w:type="dxa"/>
            <w:vAlign w:val="bottom"/>
          </w:tcPr>
          <w:p>
            <w:pPr>
              <w:spacing w:after="0"/>
              <w:rPr>
                <w:sz w:val="1"/>
                <w:szCs w:val="1"/>
                <w:color w:val="auto"/>
              </w:rPr>
            </w:pPr>
          </w:p>
        </w:tc>
      </w:tr>
      <w:tr>
        <w:trPr>
          <w:trHeight w:val="20"/>
        </w:trPr>
        <w:tc>
          <w:tcPr>
            <w:tcW w:w="2320" w:type="dxa"/>
            <w:vAlign w:val="bottom"/>
            <w:shd w:val="clear" w:color="auto" w:fill="65676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0" w:type="dxa"/>
            <w:vAlign w:val="bottom"/>
          </w:tcPr>
          <w:p>
            <w:pPr>
              <w:spacing w:after="0" w:line="20" w:lineRule="exact"/>
              <w:rPr>
                <w:sz w:val="1"/>
                <w:szCs w:val="1"/>
                <w:color w:val="auto"/>
              </w:rPr>
            </w:pPr>
          </w:p>
        </w:tc>
      </w:tr>
      <w:tr>
        <w:trPr>
          <w:trHeight w:val="225"/>
        </w:trPr>
        <w:tc>
          <w:tcPr>
            <w:tcW w:w="9900" w:type="dxa"/>
            <w:vAlign w:val="bottom"/>
            <w:gridSpan w:val="7"/>
          </w:tcPr>
          <w:p>
            <w:pPr>
              <w:spacing w:after="0" w:line="225" w:lineRule="exact"/>
              <w:rPr>
                <w:sz w:val="20"/>
                <w:szCs w:val="20"/>
                <w:color w:val="auto"/>
              </w:rPr>
            </w:pPr>
            <w:r>
              <w:rPr>
                <w:rFonts w:ascii="Times New Roman" w:cs="Times New Roman" w:eastAsia="Times New Roman" w:hAnsi="Times New Roman"/>
                <w:sz w:val="20"/>
                <w:szCs w:val="20"/>
                <w:color w:val="656769"/>
              </w:rPr>
              <w:t>Consolidated Statements of Operations and Comprehensive Loss</w:t>
            </w: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tcBorders>
              <w:top w:val="single" w:sz="8" w:color="656769"/>
            </w:tcBorders>
            <w:gridSpan w:val="4"/>
          </w:tcPr>
          <w:p>
            <w:pPr>
              <w:spacing w:after="0" w:line="225" w:lineRule="exact"/>
              <w:rPr>
                <w:sz w:val="20"/>
                <w:szCs w:val="20"/>
                <w:color w:val="auto"/>
              </w:rPr>
            </w:pPr>
            <w:r>
              <w:rPr>
                <w:rFonts w:ascii="Times New Roman" w:cs="Times New Roman" w:eastAsia="Times New Roman" w:hAnsi="Times New Roman"/>
                <w:sz w:val="20"/>
                <w:szCs w:val="20"/>
                <w:color w:val="656769"/>
              </w:rPr>
              <w:t>Consolidated Statements of Cash Flows</w:t>
            </w:r>
          </w:p>
        </w:tc>
        <w:tc>
          <w:tcPr>
            <w:tcW w:w="4700" w:type="dxa"/>
            <w:vAlign w:val="bottom"/>
            <w:gridSpan w:val="3"/>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141</w:t>
            </w:r>
          </w:p>
        </w:tc>
        <w:tc>
          <w:tcPr>
            <w:tcW w:w="0" w:type="dxa"/>
            <w:vAlign w:val="bottom"/>
          </w:tcPr>
          <w:p>
            <w:pPr>
              <w:spacing w:after="0"/>
              <w:rPr>
                <w:sz w:val="1"/>
                <w:szCs w:val="1"/>
                <w:color w:val="auto"/>
              </w:rPr>
            </w:pPr>
          </w:p>
        </w:tc>
      </w:tr>
      <w:tr>
        <w:trPr>
          <w:trHeight w:val="20"/>
        </w:trPr>
        <w:tc>
          <w:tcPr>
            <w:tcW w:w="3180" w:type="dxa"/>
            <w:vAlign w:val="bottom"/>
            <w:gridSpan w:val="2"/>
            <w:shd w:val="clear" w:color="auto" w:fill="65676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0" w:type="dxa"/>
            <w:vAlign w:val="bottom"/>
          </w:tcPr>
          <w:p>
            <w:pPr>
              <w:spacing w:after="0" w:line="20" w:lineRule="exact"/>
              <w:rPr>
                <w:sz w:val="1"/>
                <w:szCs w:val="1"/>
                <w:color w:val="auto"/>
              </w:rPr>
            </w:pPr>
          </w:p>
        </w:tc>
      </w:tr>
      <w:tr>
        <w:trPr>
          <w:trHeight w:val="225"/>
        </w:trPr>
        <w:tc>
          <w:tcPr>
            <w:tcW w:w="9680" w:type="dxa"/>
            <w:vAlign w:val="bottom"/>
            <w:tcBorders>
              <w:bottom w:val="single" w:sz="8" w:color="656769"/>
            </w:tcBorders>
            <w:gridSpan w:val="6"/>
          </w:tcPr>
          <w:p>
            <w:pPr>
              <w:spacing w:after="0" w:line="225" w:lineRule="exact"/>
              <w:rPr>
                <w:sz w:val="20"/>
                <w:szCs w:val="20"/>
                <w:color w:val="auto"/>
              </w:rPr>
            </w:pPr>
            <w:r>
              <w:rPr>
                <w:rFonts w:ascii="Times New Roman" w:cs="Times New Roman" w:eastAsia="Times New Roman" w:hAnsi="Times New Roman"/>
                <w:sz w:val="20"/>
                <w:szCs w:val="20"/>
                <w:color w:val="656769"/>
                <w:w w:val="99"/>
              </w:rPr>
              <w:t>Consolidated Statements of Redeemable Convertible Preferred Stock, Common Stock and Stockholders' Equity (Deficit)</w:t>
            </w:r>
          </w:p>
        </w:tc>
        <w:tc>
          <w:tcPr>
            <w:tcW w:w="2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900" w:type="dxa"/>
            <w:vAlign w:val="bottom"/>
            <w:gridSpan w:val="7"/>
          </w:tcPr>
          <w:p>
            <w:pPr>
              <w:spacing w:after="0" w:line="225" w:lineRule="exact"/>
              <w:rPr>
                <w:sz w:val="20"/>
                <w:szCs w:val="20"/>
                <w:color w:val="auto"/>
              </w:rPr>
            </w:pPr>
            <w:r>
              <w:rPr>
                <w:rFonts w:ascii="Times New Roman" w:cs="Times New Roman" w:eastAsia="Times New Roman" w:hAnsi="Times New Roman"/>
                <w:sz w:val="20"/>
                <w:szCs w:val="20"/>
                <w:color w:val="656769"/>
              </w:rPr>
              <w:t>Notes to Consolidated Financial Statements</w:t>
            </w:r>
          </w:p>
        </w:tc>
        <w:tc>
          <w:tcPr>
            <w:tcW w:w="5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20"/>
        </w:trPr>
        <w:tc>
          <w:tcPr>
            <w:tcW w:w="2320" w:type="dxa"/>
            <w:vAlign w:val="bottom"/>
            <w:shd w:val="clear" w:color="auto" w:fill="656769"/>
          </w:tcPr>
          <w:p>
            <w:pPr>
              <w:spacing w:after="0" w:line="20" w:lineRule="exact"/>
              <w:rPr>
                <w:sz w:val="1"/>
                <w:szCs w:val="1"/>
                <w:color w:val="auto"/>
              </w:rPr>
            </w:pPr>
          </w:p>
        </w:tc>
        <w:tc>
          <w:tcPr>
            <w:tcW w:w="860" w:type="dxa"/>
            <w:vAlign w:val="bottom"/>
            <w:shd w:val="clear" w:color="auto" w:fill="656769"/>
          </w:tcPr>
          <w:p>
            <w:pPr>
              <w:spacing w:after="0" w:line="20" w:lineRule="exact"/>
              <w:rPr>
                <w:sz w:val="1"/>
                <w:szCs w:val="1"/>
                <w:color w:val="auto"/>
              </w:rPr>
            </w:pPr>
          </w:p>
        </w:tc>
        <w:tc>
          <w:tcPr>
            <w:tcW w:w="320" w:type="dxa"/>
            <w:vAlign w:val="bottom"/>
            <w:shd w:val="clear" w:color="auto" w:fill="65676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-928370</wp:posOffset>
            </wp:positionV>
            <wp:extent cx="6629400" cy="933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8">
                      <a:extLst>
                        <a:ext uri="{28A0092B-C50C-407E-A947-70E740481C1C}"/>
                      </a:extLst>
                    </a:blip>
                    <a:srcRect/>
                    <a:stretch>
                      <a:fillRect/>
                    </a:stretch>
                  </pic:blipFill>
                  <pic:spPr bwMode="auto">
                    <a:xfrm>
                      <a:off x="0" y="0"/>
                      <a:ext cx="6629400" cy="933450"/>
                    </a:xfrm>
                    <a:prstGeom prst="rect">
                      <a:avLst/>
                    </a:prstGeom>
                    <a:noFill/>
                  </pic:spPr>
                </pic:pic>
              </a:graphicData>
            </a:graphic>
          </wp:anchor>
        </w:drawing>
      </w:r>
    </w:p>
    <w:p>
      <w:pPr>
        <w:sectPr>
          <w:pgSz w:w="11880" w:h="15480" w:orient="portrait"/>
          <w:cols w:equalWidth="0" w:num="1">
            <w:col w:w="10420"/>
          </w:cols>
          <w:pgMar w:left="900" w:top="79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134</w:t>
      </w:r>
    </w:p>
    <w:p>
      <w:pPr>
        <w:sectPr>
          <w:pgSz w:w="11880" w:h="15480" w:orient="portrait"/>
          <w:cols w:equalWidth="0" w:num="1">
            <w:col w:w="10420"/>
          </w:cols>
          <w:pgMar w:left="900" w:top="792" w:right="560" w:bottom="0" w:gutter="0" w:footer="0" w:header="0"/>
          <w:type w:val="continuous"/>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Board of Directors and Stockholders of Tempus AI,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Opinions on the Financial Statements and Internal Control over Financial Reporting</w:t>
      </w:r>
    </w:p>
    <w:p>
      <w:pPr>
        <w:spacing w:after="0" w:line="20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Tempus AI, Inc. and its subsidiaries (the "Company") as of December 31, 2025 and 2024, and the related consolidated statements of operations and comprehensive loss, of redeemable convertible preferred stock, common stock and stockholders'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Framework(2013) issued by the COSO.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for Opinions</w:t>
      </w:r>
    </w:p>
    <w:p>
      <w:pPr>
        <w:spacing w:after="0" w:line="20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231F20"/>
        </w:rPr>
        <w:t>As described in Management's Report on Internal Control over Financial Reporting, management has excluded Ambry Genetics Corporation (Ambry) and Paige.AI, Inc. (Paige) from its assessment of internal control over financial reporting as of December 31, 2025, because they were acquired by the Company in purchase business combinations during 2025. We have also excluded Ambry and Paige from our audit of internal control over financial reporting. Ambry and Paige are wholly-owned subsidiaries whose total assets and total revenues excluded from management’s assessment and our audit of internal control over financial reporting collectively represent approximately 11% and 29%, respectively, of the related consolidated financial statement amounts as of and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Definition and Limitations of Internal Control over Financial Reporting</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ectPr>
          <w:pgSz w:w="11880" w:h="15480" w:orient="portrait"/>
          <w:cols w:equalWidth="0" w:num="1">
            <w:col w:w="10420"/>
          </w:cols>
          <w:pgMar w:left="900" w:top="1022" w:right="560" w:bottom="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135</w:t>
      </w:r>
    </w:p>
    <w:p>
      <w:pPr>
        <w:sectPr>
          <w:pgSz w:w="11880" w:h="15480" w:orient="portrait"/>
          <w:cols w:equalWidth="0" w:num="1">
            <w:col w:w="10420"/>
          </w:cols>
          <w:pgMar w:left="900" w:top="1022" w:right="560" w:bottom="0" w:gutter="0" w:footer="0" w:header="0"/>
          <w:type w:val="continuous"/>
        </w:sectPr>
      </w:pPr>
    </w:p>
    <w:bookmarkStart w:id="143" w:name="page144"/>
    <w:bookmarkEnd w:id="143"/>
    <w:p>
      <w:pPr>
        <w:ind w:right="60"/>
        <w:spacing w:after="0" w:line="247" w:lineRule="auto"/>
        <w:tabs>
          <w:tab w:leader="none" w:pos="239"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jc w:val="both"/>
        <w:ind w:right="640"/>
        <w:spacing w:after="0" w:line="278"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Critical Audit Matters</w:t>
      </w:r>
    </w:p>
    <w:p>
      <w:pPr>
        <w:spacing w:after="0" w:line="200"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color w:val="231F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Diagnostics Revenue – Variable Consideration for Clinical Orders</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231F20"/>
        </w:rPr>
        <w:t>As described in Note 2 to the consolidated financial statements, the Company recognized Diagnostics revenue of $955.4 million for the year ended December 31, 2025, of which $ 884.5 million relates to clinical orders. The Company generally recognizes revenue for its Diagnostics product offering when it has met its performance obligation relating to an order. Management has determined its sole performance obligation to be the delivery of the testing results to the ordering party. For clinical orders from Medicare, Medicaid, and commercial insurance, management determines transaction price by reducing the standard charge by the estimated effects of any variable consideration, such as contractual allowance and implicit price concessions. Management estimates variable consideration using the expected value method which is based on historical collections in relation to established rates, as well as known current or anticipated reimbursement trends not reflected in the historical data. Management uses significant judgment when assessing whether estimates of variable consideration are constrained and these estimates are calculated based upon both insurance payor-specific and aggregated factors that include historical billing and adjustment data.</w:t>
      </w:r>
    </w:p>
    <w:p>
      <w:pPr>
        <w:spacing w:after="0" w:line="16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231F20"/>
        </w:rPr>
        <w:t>The principal considerations for our determination that performing procedures relating to the Diagnostics revenue variable consideration for clinical orders is a critical audit matter are (i) the significant judgment by management when developing the estimate of variable consideration for clinical orders and (ii) a high degree of auditor judgment, subjectivity, and effort in performing procedures and evaluating management’s significant assumption related to the anticipated reimbursement trends not reflected in the historical data.</w:t>
      </w:r>
    </w:p>
    <w:p>
      <w:pPr>
        <w:spacing w:after="0" w:line="15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the Diagnostics revenue recognition process, including controls over management’s estimation of variable consideration for clinical orders. These procedures also included, among others (i) testing the completeness and accuracy of data provided by management and (ii) evaluating the reasonableness of management’s estimate by (a) developing an independent estimate of variable consideration for clinical orders by utilizing revenue and historical reimbursement data and (b) comparing the independent estimate to management’s estimate.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Acquisition of Ambry – Valuation of Customer Relationships and Developed Technology – Biotech</w:t>
      </w:r>
    </w:p>
    <w:p>
      <w:pPr>
        <w:spacing w:after="0" w:line="19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231F20"/>
        </w:rPr>
        <w:t>As described in Note 3 to the consolidated financial statements, on February 3, 2025, the Company completed its acquisition of Ambry for total consideration of $692.3 million. Of the acquired intangibles, $234.0 million of customer relationships and $114.0 million of developed technology – biotech were recorded. The fair value of customer relationships was estimated using the multi-period excess earnings method. Significant assumptions used in the valuation of customer relationships included forecasted revenue and expenses, customer attrition, contributory asset charges, and discount rate. The fair value of developed technology – biotech was estimated using the relief from royalty method. Significant assumptions used in the valuation of developed technology – biotech included forecasted revenue, royalty rate, discount rate, and assumed obsolescence rates.</w:t>
      </w:r>
    </w:p>
    <w:p>
      <w:pPr>
        <w:spacing w:after="0" w:line="16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231F20"/>
        </w:rPr>
        <w:t>The principal considerations for our determination that performing procedures relating to the valuation of customer relationships and developed technology – biotech acquired in the acquisition of Ambry is a critical audit matter are (i) the significant judgment by management when developing the fair value estimate of the customer relationships and developed technology – biotech</w:t>
      </w:r>
    </w:p>
    <w:p>
      <w:pPr>
        <w:sectPr>
          <w:pgSz w:w="11880" w:h="15480" w:orient="portrait"/>
          <w:cols w:equalWidth="0" w:num="1">
            <w:col w:w="10440"/>
          </w:cols>
          <w:pgMar w:left="900" w:top="796" w:right="540" w:bottom="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136</w:t>
      </w:r>
    </w:p>
    <w:p>
      <w:pPr>
        <w:sectPr>
          <w:pgSz w:w="11880" w:h="15480" w:orient="portrait"/>
          <w:cols w:equalWidth="0" w:num="1">
            <w:col w:w="10440"/>
          </w:cols>
          <w:pgMar w:left="900" w:top="796" w:right="540" w:bottom="0" w:gutter="0" w:footer="0" w:header="0"/>
          <w:type w:val="continuous"/>
        </w:sectPr>
      </w:pPr>
    </w:p>
    <w:bookmarkStart w:id="144" w:name="page145"/>
    <w:bookmarkEnd w:id="144"/>
    <w:p>
      <w:pPr>
        <w:ind w:right="140"/>
        <w:spacing w:after="0" w:line="252" w:lineRule="auto"/>
        <w:rPr>
          <w:sz w:val="20"/>
          <w:szCs w:val="20"/>
          <w:color w:val="auto"/>
        </w:rPr>
      </w:pPr>
      <w:r>
        <w:rPr>
          <w:rFonts w:ascii="Times New Roman" w:cs="Times New Roman" w:eastAsia="Times New Roman" w:hAnsi="Times New Roman"/>
          <w:sz w:val="20"/>
          <w:szCs w:val="20"/>
          <w:color w:val="231F20"/>
        </w:rPr>
        <w:t>acquired; (ii) a high degree of auditor judgment, subjectivity, and effort in performing procedures and evaluating management’s significant assumptions related to forecasted revenue and expenses, customer attrition, contributory asset charges, and discount rate for customer relationships and forecasted revenue, royalty rate, discount rate, and assumed obsolescence rates for developed technology – biotech; and (iii) the audit effort involved the use of professionals with specialized skill and knowledge.</w:t>
      </w:r>
    </w:p>
    <w:p>
      <w:pPr>
        <w:spacing w:after="0" w:line="15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developed technology – biotech acquired. These procedures also included, among others (i) reading the purchase agreement; (ii) testing management’s process for developing the fair value estimate of the customer relationships and developed technology – biotech acquired; (iii) evaluating the appropriateness of the multi-period excess earnings and relief from royalty methods used by management; (iv) testing the completeness and accuracy of the underlying data used in the multi-period excess earnings and relief from royalty methods; and (v) evaluating the reasonableness of the significant assumptions used by management related to forecasted revenue and expenses, customer attrition, contributory asset charges, and discount rate for customer relationships and forecasted revenue, royalty rate, discount rate, and assumed obsolescence rates for developed technology – biotech. Evaluating management’s assumptions related to forecasted revenue and expenses and customer attrition for customer relationships and forecasted revenue and royalty rate for developed technology – biotech involved considering (i) the current and past performance of the Ambry business; (ii) the consistency with external market and industry data; and (iii) whether the assumptions were consistent with evidence obtained in other areas of the audit. Professionals with specialized skill and knowledge were used to assist in evaluating</w:t>
      </w:r>
    </w:p>
    <w:p>
      <w:pPr>
        <w:spacing w:after="0" w:line="1" w:lineRule="exact"/>
        <w:rPr>
          <w:sz w:val="20"/>
          <w:szCs w:val="20"/>
          <w:color w:val="auto"/>
        </w:rPr>
      </w:pPr>
    </w:p>
    <w:p>
      <w:pPr>
        <w:ind w:right="340"/>
        <w:spacing w:after="0" w:line="244" w:lineRule="auto"/>
        <w:tabs>
          <w:tab w:leader="none" w:pos="239" w:val="left"/>
        </w:tabs>
        <w:numPr>
          <w:ilvl w:val="0"/>
          <w:numId w:val="5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appropriateness of the multi-period excess earnings and relief from royalty methods and (ii) the reasonableness of the contributory asset charges and discount rate assumptions for the customer relationships and the royalty rate, discount rate, and assumed obsolescence rates assumptions for the developed technology – biotech.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Chicago, Illinois</w:t>
      </w:r>
    </w:p>
    <w:p>
      <w:pPr>
        <w:spacing w:after="0"/>
        <w:rPr>
          <w:sz w:val="20"/>
          <w:szCs w:val="20"/>
          <w:color w:val="auto"/>
        </w:rPr>
      </w:pPr>
      <w:r>
        <w:rPr>
          <w:rFonts w:ascii="Times New Roman" w:cs="Times New Roman" w:eastAsia="Times New Roman" w:hAnsi="Times New Roman"/>
          <w:sz w:val="20"/>
          <w:szCs w:val="20"/>
          <w:color w:val="231F20"/>
        </w:rPr>
        <w:t>February 24,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2019.</w:t>
      </w:r>
    </w:p>
    <w:p>
      <w:pPr>
        <w:sectPr>
          <w:pgSz w:w="11880" w:h="15480" w:orient="portrait"/>
          <w:cols w:equalWidth="0" w:num="1">
            <w:col w:w="10440"/>
          </w:cols>
          <w:pgMar w:left="900" w:top="79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137</w:t>
      </w:r>
    </w:p>
    <w:p>
      <w:pPr>
        <w:sectPr>
          <w:pgSz w:w="11880" w:h="15480" w:orient="portrait"/>
          <w:cols w:equalWidth="0" w:num="1">
            <w:col w:w="10440"/>
          </w:cols>
          <w:pgMar w:left="900" w:top="796" w:right="540" w:bottom="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Borders>
              <w:bottom w:val="single" w:sz="8" w:color="E5E6E7"/>
            </w:tcBorders>
          </w:tcPr>
          <w:p>
            <w:pPr>
              <w:spacing w:after="0"/>
              <w:rPr>
                <w:sz w:val="17"/>
                <w:szCs w:val="17"/>
                <w:color w:val="auto"/>
              </w:rPr>
            </w:pPr>
          </w:p>
        </w:tc>
        <w:tc>
          <w:tcPr>
            <w:tcW w:w="1400" w:type="dxa"/>
            <w:vAlign w:val="bottom"/>
            <w:tcBorders>
              <w:bottom w:val="single" w:sz="8" w:color="414142"/>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60" w:type="dxa"/>
            <w:vAlign w:val="bottom"/>
            <w:tcBorders>
              <w:bottom w:val="single" w:sz="8" w:color="E5E6E7"/>
            </w:tcBorders>
          </w:tcPr>
          <w:p>
            <w:pPr>
              <w:spacing w:after="0"/>
              <w:rPr>
                <w:sz w:val="17"/>
                <w:szCs w:val="17"/>
                <w:color w:val="auto"/>
              </w:rPr>
            </w:pPr>
          </w:p>
        </w:tc>
        <w:tc>
          <w:tcPr>
            <w:tcW w:w="1440" w:type="dxa"/>
            <w:vAlign w:val="bottom"/>
            <w:tcBorders>
              <w:bottom w:val="single" w:sz="8" w:color="414142"/>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60" w:type="dxa"/>
            <w:vAlign w:val="bottom"/>
            <w:tcBorders>
              <w:bottom w:val="single" w:sz="8" w:color="E5E6E7"/>
            </w:tcBorders>
          </w:tcPr>
          <w:p>
            <w:pPr>
              <w:spacing w:after="0"/>
              <w:rPr>
                <w:sz w:val="17"/>
                <w:szCs w:val="17"/>
                <w:color w:val="auto"/>
              </w:rPr>
            </w:pPr>
          </w:p>
        </w:tc>
      </w:tr>
      <w:tr>
        <w:trPr>
          <w:trHeight w:val="239"/>
        </w:trPr>
        <w:tc>
          <w:tcPr>
            <w:tcW w:w="69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Assets</w:t>
            </w:r>
          </w:p>
        </w:tc>
        <w:tc>
          <w:tcPr>
            <w:tcW w:w="340" w:type="dxa"/>
            <w:vAlign w:val="bottom"/>
            <w:shd w:val="clear" w:color="auto" w:fill="E5E6E7"/>
          </w:tcPr>
          <w:p>
            <w:pPr>
              <w:spacing w:after="0"/>
              <w:rPr>
                <w:sz w:val="20"/>
                <w:szCs w:val="20"/>
                <w:color w:val="auto"/>
              </w:rPr>
            </w:pPr>
          </w:p>
        </w:tc>
        <w:tc>
          <w:tcPr>
            <w:tcW w:w="106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44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r>
      <w:tr>
        <w:trPr>
          <w:trHeight w:val="24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Cash and cash equivalents</w:t>
            </w:r>
          </w:p>
        </w:tc>
        <w:tc>
          <w:tcPr>
            <w:tcW w:w="340" w:type="dxa"/>
            <w:vAlign w:val="bottom"/>
            <w:shd w:val="clear" w:color="auto" w:fill="E5E6E7"/>
          </w:tcPr>
          <w:p>
            <w:pPr>
              <w:jc w:val="right"/>
              <w:ind w:right="143"/>
              <w:spacing w:after="0"/>
              <w:rPr>
                <w:sz w:val="20"/>
                <w:szCs w:val="20"/>
                <w:color w:val="auto"/>
              </w:rPr>
            </w:pPr>
            <w:r>
              <w:rPr>
                <w:rFonts w:ascii="Times New Roman" w:cs="Times New Roman" w:eastAsia="Times New Roman" w:hAnsi="Times New Roman"/>
                <w:sz w:val="20"/>
                <w:szCs w:val="20"/>
                <w:color w:val="414142"/>
                <w:w w:val="79"/>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604,787</w:t>
            </w:r>
          </w:p>
        </w:tc>
        <w:tc>
          <w:tcPr>
            <w:tcW w:w="700" w:type="dxa"/>
            <w:vAlign w:val="bottom"/>
            <w:gridSpan w:val="2"/>
            <w:shd w:val="clear" w:color="auto" w:fill="E5E6E7"/>
          </w:tcPr>
          <w:p>
            <w:pPr>
              <w:jc w:val="right"/>
              <w:ind w:right="244"/>
              <w:spacing w:after="0"/>
              <w:rPr>
                <w:sz w:val="20"/>
                <w:szCs w:val="20"/>
                <w:color w:val="auto"/>
              </w:rPr>
            </w:pPr>
            <w:r>
              <w:rPr>
                <w:rFonts w:ascii="Times New Roman" w:cs="Times New Roman" w:eastAsia="Times New Roman" w:hAnsi="Times New Roman"/>
                <w:sz w:val="20"/>
                <w:szCs w:val="20"/>
                <w:color w:val="414142"/>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340,954</w:t>
            </w:r>
          </w:p>
        </w:tc>
        <w:tc>
          <w:tcPr>
            <w:tcW w:w="60" w:type="dxa"/>
            <w:vAlign w:val="bottom"/>
            <w:shd w:val="clear" w:color="auto" w:fill="E5E6E7"/>
          </w:tcPr>
          <w:p>
            <w:pPr>
              <w:spacing w:after="0"/>
              <w:rPr>
                <w:sz w:val="21"/>
                <w:szCs w:val="21"/>
                <w:color w:val="auto"/>
              </w:rPr>
            </w:pPr>
          </w:p>
        </w:tc>
      </w:tr>
      <w:tr>
        <w:trPr>
          <w:trHeight w:val="225"/>
        </w:trPr>
        <w:tc>
          <w:tcPr>
            <w:tcW w:w="69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Accounts receivable</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net of allowances of $2,755 and $1,141 at December 31,</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2025 and 2024, respectively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311,170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154,819</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Inventory</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51,724</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38,386</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Related party asset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8,785</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Prepaid expenses and other current assets</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40,498</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26,135</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Marketable equity securities</w:t>
            </w:r>
          </w:p>
        </w:tc>
        <w:tc>
          <w:tcPr>
            <w:tcW w:w="34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150,211</w:t>
            </w:r>
          </w:p>
        </w:tc>
        <w:tc>
          <w:tcPr>
            <w:tcW w:w="260" w:type="dxa"/>
            <w:vAlign w:val="bottom"/>
            <w:tcBorders>
              <w:bottom w:val="single" w:sz="8" w:color="E5E6E7"/>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107,309</w:t>
            </w:r>
          </w:p>
        </w:tc>
        <w:tc>
          <w:tcPr>
            <w:tcW w:w="60" w:type="dxa"/>
            <w:vAlign w:val="bottom"/>
            <w:tcBorders>
              <w:bottom w:val="single" w:sz="8" w:color="E5E6E7"/>
            </w:tcBorders>
          </w:tcPr>
          <w:p>
            <w:pPr>
              <w:spacing w:after="0"/>
              <w:rPr>
                <w:sz w:val="21"/>
                <w:szCs w:val="21"/>
                <w:color w:val="auto"/>
              </w:rPr>
            </w:pPr>
          </w:p>
        </w:tc>
      </w:tr>
      <w:tr>
        <w:trPr>
          <w:trHeight w:val="239"/>
        </w:trPr>
        <w:tc>
          <w:tcPr>
            <w:tcW w:w="6920" w:type="dxa"/>
            <w:vAlign w:val="bottom"/>
            <w:shd w:val="clear" w:color="auto" w:fill="E5E6E7"/>
          </w:tcPr>
          <w:p>
            <w:pPr>
              <w:ind w:left="600"/>
              <w:spacing w:after="0"/>
              <w:rPr>
                <w:sz w:val="20"/>
                <w:szCs w:val="20"/>
                <w:color w:val="auto"/>
              </w:rPr>
            </w:pPr>
            <w:r>
              <w:rPr>
                <w:rFonts w:ascii="Times New Roman" w:cs="Times New Roman" w:eastAsia="Times New Roman" w:hAnsi="Times New Roman"/>
                <w:sz w:val="20"/>
                <w:szCs w:val="20"/>
                <w:color w:val="414142"/>
              </w:rPr>
              <w:t>Total current assets</w:t>
            </w:r>
          </w:p>
        </w:tc>
        <w:tc>
          <w:tcPr>
            <w:tcW w:w="340" w:type="dxa"/>
            <w:vAlign w:val="bottom"/>
            <w:shd w:val="clear" w:color="auto" w:fill="E5E6E7"/>
          </w:tcPr>
          <w:p>
            <w:pPr>
              <w:jc w:val="right"/>
              <w:ind w:right="143"/>
              <w:spacing w:after="0"/>
              <w:rPr>
                <w:sz w:val="20"/>
                <w:szCs w:val="20"/>
                <w:color w:val="auto"/>
              </w:rPr>
            </w:pPr>
            <w:r>
              <w:rPr>
                <w:rFonts w:ascii="Times New Roman" w:cs="Times New Roman" w:eastAsia="Times New Roman" w:hAnsi="Times New Roman"/>
                <w:sz w:val="20"/>
                <w:szCs w:val="20"/>
                <w:color w:val="414142"/>
                <w:w w:val="79"/>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1,167,175</w:t>
            </w:r>
          </w:p>
        </w:tc>
        <w:tc>
          <w:tcPr>
            <w:tcW w:w="260" w:type="dxa"/>
            <w:vAlign w:val="bottom"/>
            <w:shd w:val="clear" w:color="auto" w:fill="E5E6E7"/>
          </w:tcPr>
          <w:p>
            <w:pPr>
              <w:spacing w:after="0"/>
              <w:rPr>
                <w:sz w:val="20"/>
                <w:szCs w:val="20"/>
                <w:color w:val="auto"/>
              </w:rPr>
            </w:pPr>
          </w:p>
        </w:tc>
        <w:tc>
          <w:tcPr>
            <w:tcW w:w="440" w:type="dxa"/>
            <w:vAlign w:val="bottom"/>
            <w:shd w:val="clear" w:color="auto" w:fill="E5E6E7"/>
          </w:tcPr>
          <w:p>
            <w:pPr>
              <w:jc w:val="right"/>
              <w:ind w:right="244"/>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667,603</w:t>
            </w:r>
          </w:p>
        </w:tc>
        <w:tc>
          <w:tcPr>
            <w:tcW w:w="60" w:type="dxa"/>
            <w:vAlign w:val="bottom"/>
            <w:shd w:val="clear" w:color="auto" w:fill="E5E6E7"/>
          </w:tcPr>
          <w:p>
            <w:pPr>
              <w:spacing w:after="0"/>
              <w:rPr>
                <w:sz w:val="20"/>
                <w:szCs w:val="20"/>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89,156</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58,056</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Goodwill</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470,211</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73,343</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355,253</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11,716</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Investments and other assets</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21,111</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8,305</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Investment in joint venture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86,557</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91,450</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Related party asset, less current portion</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16,215</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64,496</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14,762</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Restricted cash</w:t>
            </w:r>
          </w:p>
        </w:tc>
        <w:tc>
          <w:tcPr>
            <w:tcW w:w="340" w:type="dxa"/>
            <w:vAlign w:val="bottom"/>
            <w:tcBorders>
              <w:bottom w:val="single" w:sz="8" w:color="231F20"/>
            </w:tcBorders>
            <w:shd w:val="clear" w:color="auto" w:fill="E5E6E7"/>
          </w:tcPr>
          <w:p>
            <w:pPr>
              <w:spacing w:after="0"/>
              <w:rPr>
                <w:sz w:val="21"/>
                <w:szCs w:val="21"/>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4,664</w:t>
            </w:r>
          </w:p>
        </w:tc>
        <w:tc>
          <w:tcPr>
            <w:tcW w:w="260" w:type="dxa"/>
            <w:vAlign w:val="bottom"/>
            <w:shd w:val="clear" w:color="auto" w:fill="E5E6E7"/>
          </w:tcPr>
          <w:p>
            <w:pPr>
              <w:spacing w:after="0"/>
              <w:rPr>
                <w:sz w:val="21"/>
                <w:szCs w:val="21"/>
                <w:color w:val="auto"/>
              </w:rPr>
            </w:pPr>
          </w:p>
        </w:tc>
        <w:tc>
          <w:tcPr>
            <w:tcW w:w="440" w:type="dxa"/>
            <w:vAlign w:val="bottom"/>
            <w:tcBorders>
              <w:bottom w:val="single" w:sz="8" w:color="231F20"/>
            </w:tcBorders>
            <w:shd w:val="clear" w:color="auto" w:fill="E5E6E7"/>
          </w:tcPr>
          <w:p>
            <w:pPr>
              <w:spacing w:after="0"/>
              <w:rPr>
                <w:sz w:val="21"/>
                <w:szCs w:val="21"/>
                <w:color w:val="auto"/>
              </w:rPr>
            </w:pP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881</w:t>
            </w:r>
          </w:p>
        </w:tc>
        <w:tc>
          <w:tcPr>
            <w:tcW w:w="60" w:type="dxa"/>
            <w:vAlign w:val="bottom"/>
            <w:shd w:val="clear" w:color="auto" w:fill="E5E6E7"/>
          </w:tcPr>
          <w:p>
            <w:pPr>
              <w:spacing w:after="0"/>
              <w:rPr>
                <w:sz w:val="21"/>
                <w:szCs w:val="21"/>
                <w:color w:val="auto"/>
              </w:rPr>
            </w:pPr>
          </w:p>
        </w:tc>
      </w:tr>
      <w:tr>
        <w:trPr>
          <w:trHeight w:val="279"/>
        </w:trPr>
        <w:tc>
          <w:tcPr>
            <w:tcW w:w="69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b w:val="1"/>
                <w:bCs w:val="1"/>
                <w:color w:val="231F20"/>
              </w:rPr>
              <w:t>Total Assets</w:t>
            </w:r>
          </w:p>
        </w:tc>
        <w:tc>
          <w:tcPr>
            <w:tcW w:w="34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2,274,838</w:t>
            </w:r>
          </w:p>
        </w:tc>
        <w:tc>
          <w:tcPr>
            <w:tcW w:w="260" w:type="dxa"/>
            <w:vAlign w:val="bottom"/>
            <w:tcBorders>
              <w:bottom w:val="single" w:sz="8" w:color="E5E6E7"/>
            </w:tcBorders>
          </w:tcPr>
          <w:p>
            <w:pPr>
              <w:spacing w:after="0"/>
              <w:rPr>
                <w:sz w:val="24"/>
                <w:szCs w:val="24"/>
                <w:color w:val="auto"/>
              </w:rPr>
            </w:pPr>
          </w:p>
        </w:tc>
        <w:tc>
          <w:tcPr>
            <w:tcW w:w="440" w:type="dxa"/>
            <w:vAlign w:val="bottom"/>
            <w:tcBorders>
              <w:bottom w:val="single" w:sz="8" w:color="231F20"/>
            </w:tcBorders>
          </w:tcPr>
          <w:p>
            <w:pPr>
              <w:jc w:val="right"/>
              <w:ind w:right="244"/>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926,116</w:t>
            </w:r>
          </w:p>
        </w:tc>
        <w:tc>
          <w:tcPr>
            <w:tcW w:w="60" w:type="dxa"/>
            <w:vAlign w:val="bottom"/>
            <w:tcBorders>
              <w:bottom w:val="single" w:sz="8" w:color="E5E6E7"/>
            </w:tcBorders>
          </w:tcPr>
          <w:p>
            <w:pPr>
              <w:spacing w:after="0"/>
              <w:rPr>
                <w:sz w:val="24"/>
                <w:szCs w:val="24"/>
                <w:color w:val="auto"/>
              </w:rPr>
            </w:pPr>
          </w:p>
        </w:tc>
      </w:tr>
      <w:tr>
        <w:trPr>
          <w:trHeight w:val="229"/>
        </w:trPr>
        <w:tc>
          <w:tcPr>
            <w:tcW w:w="6920" w:type="dxa"/>
            <w:vAlign w:val="bottom"/>
            <w:shd w:val="clear" w:color="auto" w:fill="E5E6E7"/>
          </w:tcPr>
          <w:p>
            <w:pPr>
              <w:spacing w:after="0"/>
              <w:rPr>
                <w:sz w:val="19"/>
                <w:szCs w:val="19"/>
                <w:color w:val="auto"/>
              </w:rPr>
            </w:pPr>
          </w:p>
        </w:tc>
        <w:tc>
          <w:tcPr>
            <w:tcW w:w="34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440" w:type="dxa"/>
            <w:vAlign w:val="bottom"/>
            <w:shd w:val="clear" w:color="auto" w:fill="E5E6E7"/>
          </w:tcPr>
          <w:p>
            <w:pPr>
              <w:spacing w:after="0"/>
              <w:rPr>
                <w:sz w:val="19"/>
                <w:szCs w:val="19"/>
                <w:color w:val="auto"/>
              </w:rPr>
            </w:pPr>
          </w:p>
        </w:tc>
        <w:tc>
          <w:tcPr>
            <w:tcW w:w="100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r>
      <w:tr>
        <w:trPr>
          <w:trHeight w:val="244"/>
        </w:trPr>
        <w:tc>
          <w:tcPr>
            <w:tcW w:w="69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Liabilities, Convertible redeemable preferred stock, and Stockholders' equity</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Current Liabilities</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payable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81,994</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53,804</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Accrued expenses</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155,370</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130,407</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color w:val="231F20"/>
              </w:rPr>
              <w:t>Deferred revenue</w:t>
            </w:r>
            <w:r>
              <w:rPr>
                <w:rFonts w:ascii="Times New Roman" w:cs="Times New Roman" w:eastAsia="Times New Roman" w:hAnsi="Times New Roman"/>
                <w:sz w:val="26"/>
                <w:szCs w:val="26"/>
                <w:color w:val="231F20"/>
                <w:vertAlign w:val="superscript"/>
              </w:rPr>
              <w:t>(2)</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92,673</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75,981</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Deferred other income</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15,955</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15,955</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current liabilities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8,680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6,964</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Operating lease liabilities</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13,355</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6,459</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Accrued data licensing fees</w:t>
            </w:r>
          </w:p>
        </w:tc>
        <w:tc>
          <w:tcPr>
            <w:tcW w:w="34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4,361</w:t>
            </w:r>
          </w:p>
        </w:tc>
        <w:tc>
          <w:tcPr>
            <w:tcW w:w="260" w:type="dxa"/>
            <w:vAlign w:val="bottom"/>
            <w:tcBorders>
              <w:bottom w:val="single" w:sz="8" w:color="E5E6E7"/>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1,500</w:t>
            </w:r>
          </w:p>
        </w:tc>
        <w:tc>
          <w:tcPr>
            <w:tcW w:w="60" w:type="dxa"/>
            <w:vAlign w:val="bottom"/>
            <w:tcBorders>
              <w:bottom w:val="single" w:sz="8" w:color="E5E6E7"/>
            </w:tcBorders>
          </w:tcPr>
          <w:p>
            <w:pPr>
              <w:spacing w:after="0"/>
              <w:rPr>
                <w:sz w:val="21"/>
                <w:szCs w:val="21"/>
                <w:color w:val="auto"/>
              </w:rPr>
            </w:pPr>
          </w:p>
        </w:tc>
      </w:tr>
      <w:tr>
        <w:trPr>
          <w:trHeight w:val="239"/>
        </w:trPr>
        <w:tc>
          <w:tcPr>
            <w:tcW w:w="6920" w:type="dxa"/>
            <w:vAlign w:val="bottom"/>
            <w:shd w:val="clear" w:color="auto" w:fill="E5E6E7"/>
          </w:tcPr>
          <w:p>
            <w:pPr>
              <w:ind w:left="600"/>
              <w:spacing w:after="0"/>
              <w:rPr>
                <w:sz w:val="20"/>
                <w:szCs w:val="20"/>
                <w:color w:val="auto"/>
              </w:rPr>
            </w:pPr>
            <w:r>
              <w:rPr>
                <w:rFonts w:ascii="Times New Roman" w:cs="Times New Roman" w:eastAsia="Times New Roman" w:hAnsi="Times New Roman"/>
                <w:sz w:val="20"/>
                <w:szCs w:val="20"/>
                <w:color w:val="414142"/>
              </w:rPr>
              <w:t>Total current liabilities</w:t>
            </w:r>
          </w:p>
        </w:tc>
        <w:tc>
          <w:tcPr>
            <w:tcW w:w="340" w:type="dxa"/>
            <w:vAlign w:val="bottom"/>
            <w:shd w:val="clear" w:color="auto" w:fill="E5E6E7"/>
          </w:tcPr>
          <w:p>
            <w:pPr>
              <w:jc w:val="right"/>
              <w:ind w:right="143"/>
              <w:spacing w:after="0"/>
              <w:rPr>
                <w:sz w:val="20"/>
                <w:szCs w:val="20"/>
                <w:color w:val="auto"/>
              </w:rPr>
            </w:pPr>
            <w:r>
              <w:rPr>
                <w:rFonts w:ascii="Times New Roman" w:cs="Times New Roman" w:eastAsia="Times New Roman" w:hAnsi="Times New Roman"/>
                <w:sz w:val="20"/>
                <w:szCs w:val="20"/>
                <w:color w:val="414142"/>
                <w:w w:val="79"/>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372,388</w:t>
            </w:r>
          </w:p>
        </w:tc>
        <w:tc>
          <w:tcPr>
            <w:tcW w:w="260" w:type="dxa"/>
            <w:vAlign w:val="bottom"/>
            <w:shd w:val="clear" w:color="auto" w:fill="E5E6E7"/>
          </w:tcPr>
          <w:p>
            <w:pPr>
              <w:spacing w:after="0"/>
              <w:rPr>
                <w:sz w:val="20"/>
                <w:szCs w:val="20"/>
                <w:color w:val="auto"/>
              </w:rPr>
            </w:pPr>
          </w:p>
        </w:tc>
        <w:tc>
          <w:tcPr>
            <w:tcW w:w="440" w:type="dxa"/>
            <w:vAlign w:val="bottom"/>
            <w:shd w:val="clear" w:color="auto" w:fill="E5E6E7"/>
          </w:tcPr>
          <w:p>
            <w:pPr>
              <w:jc w:val="right"/>
              <w:ind w:right="244"/>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291,070</w:t>
            </w:r>
          </w:p>
        </w:tc>
        <w:tc>
          <w:tcPr>
            <w:tcW w:w="60" w:type="dxa"/>
            <w:vAlign w:val="bottom"/>
            <w:shd w:val="clear" w:color="auto" w:fill="E5E6E7"/>
          </w:tcPr>
          <w:p>
            <w:pPr>
              <w:spacing w:after="0"/>
              <w:rPr>
                <w:sz w:val="20"/>
                <w:szCs w:val="20"/>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liabilities, less current portion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74,272</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26,199</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Convertible promissory note</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208,672</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168,192</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long-term liabilities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56,600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15,980</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Revolving credit facility</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100,000</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payable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12,393</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70,450</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Long-term debt, net</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202,753</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267,244</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Convertible senior notes,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728,078</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Deferred other income, less current portion</w:t>
            </w:r>
          </w:p>
        </w:tc>
        <w:tc>
          <w:tcPr>
            <w:tcW w:w="34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7,977</w:t>
            </w:r>
          </w:p>
        </w:tc>
        <w:tc>
          <w:tcPr>
            <w:tcW w:w="260" w:type="dxa"/>
            <w:vAlign w:val="bottom"/>
            <w:shd w:val="clear" w:color="auto" w:fill="E5E6E7"/>
          </w:tcPr>
          <w:p>
            <w:pPr>
              <w:spacing w:after="0"/>
              <w:rPr>
                <w:sz w:val="21"/>
                <w:szCs w:val="21"/>
                <w:color w:val="auto"/>
              </w:rPr>
            </w:pPr>
          </w:p>
        </w:tc>
        <w:tc>
          <w:tcPr>
            <w:tcW w:w="44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23,932</w:t>
            </w:r>
          </w:p>
        </w:tc>
        <w:tc>
          <w:tcPr>
            <w:tcW w:w="60" w:type="dxa"/>
            <w:vAlign w:val="bottom"/>
            <w:shd w:val="clear" w:color="auto" w:fill="E5E6E7"/>
          </w:tcPr>
          <w:p>
            <w:pPr>
              <w:spacing w:after="0"/>
              <w:rPr>
                <w:sz w:val="21"/>
                <w:szCs w:val="21"/>
                <w:color w:val="auto"/>
              </w:rPr>
            </w:pPr>
          </w:p>
        </w:tc>
      </w:tr>
      <w:tr>
        <w:trPr>
          <w:trHeight w:val="244"/>
        </w:trPr>
        <w:tc>
          <w:tcPr>
            <w:tcW w:w="69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Deferred revenue, less current portion</w:t>
            </w:r>
          </w:p>
        </w:tc>
        <w:tc>
          <w:tcPr>
            <w:tcW w:w="34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20,379</w:t>
            </w:r>
          </w:p>
        </w:tc>
        <w:tc>
          <w:tcPr>
            <w:tcW w:w="260" w:type="dxa"/>
            <w:vAlign w:val="bottom"/>
            <w:tcBorders>
              <w:bottom w:val="single" w:sz="8" w:color="E5E6E7"/>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6,710</w:t>
            </w:r>
          </w:p>
        </w:tc>
        <w:tc>
          <w:tcPr>
            <w:tcW w:w="60" w:type="dxa"/>
            <w:vAlign w:val="bottom"/>
            <w:tcBorders>
              <w:bottom w:val="single" w:sz="8" w:color="E5E6E7"/>
            </w:tcBorders>
          </w:tcPr>
          <w:p>
            <w:pPr>
              <w:spacing w:after="0"/>
              <w:rPr>
                <w:sz w:val="21"/>
                <w:szCs w:val="21"/>
                <w:color w:val="auto"/>
              </w:rPr>
            </w:pPr>
          </w:p>
        </w:tc>
      </w:tr>
      <w:tr>
        <w:trPr>
          <w:trHeight w:val="239"/>
        </w:trPr>
        <w:tc>
          <w:tcPr>
            <w:tcW w:w="69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Total Liabilities</w:t>
            </w:r>
          </w:p>
        </w:tc>
        <w:tc>
          <w:tcPr>
            <w:tcW w:w="340" w:type="dxa"/>
            <w:vAlign w:val="bottom"/>
            <w:tcBorders>
              <w:bottom w:val="single" w:sz="8" w:color="231F20"/>
            </w:tcBorders>
            <w:shd w:val="clear" w:color="auto" w:fill="E5E6E7"/>
          </w:tcPr>
          <w:p>
            <w:pPr>
              <w:jc w:val="right"/>
              <w:ind w:right="143"/>
              <w:spacing w:after="0"/>
              <w:rPr>
                <w:sz w:val="20"/>
                <w:szCs w:val="20"/>
                <w:color w:val="auto"/>
              </w:rPr>
            </w:pPr>
            <w:r>
              <w:rPr>
                <w:rFonts w:ascii="Times New Roman" w:cs="Times New Roman" w:eastAsia="Times New Roman" w:hAnsi="Times New Roman"/>
                <w:sz w:val="20"/>
                <w:szCs w:val="20"/>
                <w:color w:val="414142"/>
                <w:w w:val="79"/>
              </w:rPr>
              <w:t>$</w:t>
            </w: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1,783,512</w:t>
            </w:r>
          </w:p>
        </w:tc>
        <w:tc>
          <w:tcPr>
            <w:tcW w:w="260" w:type="dxa"/>
            <w:vAlign w:val="bottom"/>
            <w:shd w:val="clear" w:color="auto" w:fill="E5E6E7"/>
          </w:tcPr>
          <w:p>
            <w:pPr>
              <w:spacing w:after="0"/>
              <w:rPr>
                <w:sz w:val="20"/>
                <w:szCs w:val="20"/>
                <w:color w:val="auto"/>
              </w:rPr>
            </w:pPr>
          </w:p>
        </w:tc>
        <w:tc>
          <w:tcPr>
            <w:tcW w:w="440" w:type="dxa"/>
            <w:vAlign w:val="bottom"/>
            <w:tcBorders>
              <w:bottom w:val="single" w:sz="8" w:color="231F20"/>
            </w:tcBorders>
            <w:shd w:val="clear" w:color="auto" w:fill="E5E6E7"/>
          </w:tcPr>
          <w:p>
            <w:pPr>
              <w:jc w:val="right"/>
              <w:ind w:right="244"/>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869,777</w:t>
            </w:r>
          </w:p>
        </w:tc>
        <w:tc>
          <w:tcPr>
            <w:tcW w:w="60" w:type="dxa"/>
            <w:vAlign w:val="bottom"/>
            <w:shd w:val="clear" w:color="auto" w:fill="E5E6E7"/>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4393565</wp:posOffset>
                </wp:positionH>
                <wp:positionV relativeFrom="paragraph">
                  <wp:posOffset>-4898390</wp:posOffset>
                </wp:positionV>
                <wp:extent cx="0" cy="952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95pt,-385.6999pt" to="345.95pt,-384.9499pt" o:allowincell="f" strokecolor="#414142" strokeweight="0pt"/>
            </w:pict>
          </mc:Fallback>
        </mc:AlternateContent>
        <w:drawing>
          <wp:anchor simplePos="0" relativeHeight="251657728" behindDoc="1" locked="0" layoutInCell="0" allowOverlap="1">
            <wp:simplePos x="0" y="0"/>
            <wp:positionH relativeFrom="column">
              <wp:posOffset>4374515</wp:posOffset>
            </wp:positionH>
            <wp:positionV relativeFrom="paragraph">
              <wp:posOffset>-4907280</wp:posOffset>
            </wp:positionV>
            <wp:extent cx="12001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
                      <a:extLst>
                        <a:ext uri="{28A0092B-C50C-407E-A947-70E740481C1C}"/>
                      </a:extLst>
                    </a:blip>
                    <a:srcRect/>
                    <a:stretch>
                      <a:fillRect/>
                    </a:stretch>
                  </pic:blipFill>
                  <pic:spPr bwMode="auto">
                    <a:xfrm>
                      <a:off x="0" y="0"/>
                      <a:ext cx="120015" cy="38100"/>
                    </a:xfrm>
                    <a:prstGeom prst="rect">
                      <a:avLst/>
                    </a:prstGeom>
                    <a:noFill/>
                  </pic:spPr>
                </pic:pic>
              </a:graphicData>
            </a:graphic>
          </wp:anchor>
        </w:drawing>
      </w:r>
    </w:p>
    <w:p>
      <w:pPr>
        <w:spacing w:after="0" w:line="150" w:lineRule="exact"/>
        <w:rPr>
          <w:sz w:val="20"/>
          <w:szCs w:val="20"/>
          <w:color w:val="auto"/>
        </w:rPr>
      </w:pPr>
    </w:p>
    <w:p>
      <w:pPr>
        <w:ind w:left="220" w:hanging="220"/>
        <w:spacing w:after="0"/>
        <w:tabs>
          <w:tab w:leader="none" w:pos="220" w:val="left"/>
        </w:tabs>
        <w:numPr>
          <w:ilvl w:val="0"/>
          <w:numId w:val="59"/>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Includes related party accounts receivable of $6,428 and $4,287 as of December 31, 2025 and 2024, respectively.</w:t>
      </w:r>
    </w:p>
    <w:p>
      <w:pPr>
        <w:ind w:left="180" w:hanging="180"/>
        <w:spacing w:after="0" w:line="216" w:lineRule="auto"/>
        <w:tabs>
          <w:tab w:leader="none" w:pos="180" w:val="left"/>
        </w:tabs>
        <w:numPr>
          <w:ilvl w:val="0"/>
          <w:numId w:val="59"/>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Includes related party deferred revenue of $3,938 and $0 as of December 31, 2025 and 2024,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080"/>
          </w:cols>
          <w:pgMar w:left="900" w:top="7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138</w:t>
      </w:r>
    </w:p>
    <w:p>
      <w:pPr>
        <w:sectPr>
          <w:pgSz w:w="11880" w:h="15480" w:orient="portrait"/>
          <w:cols w:equalWidth="0" w:num="1">
            <w:col w:w="10080"/>
          </w:cols>
          <w:pgMar w:left="900" w:top="792" w:right="900" w:bottom="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14142"/>
        </w:rPr>
        <w:t>Commitments and contingencies (Note 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6400800" cy="15430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54305"/>
                        </a:xfrm>
                        <a:prstGeom prst="rect">
                          <a:avLst/>
                        </a:prstGeom>
                        <a:solidFill>
                          <a:srgbClr val="E5E6E7"/>
                        </a:solidFill>
                      </wps:spPr>
                      <wps:bodyPr/>
                    </wps:wsp>
                  </a:graphicData>
                </a:graphic>
              </wp:anchor>
            </w:drawing>
          </mc:Choice>
          <mc:Fallback>
            <w:pict>
              <v:rect id="Shape 96" o:spid="_x0000_s1121" style="position:absolute;margin-left:0pt;margin-top:-11.1499pt;width:504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tbl>
      <w:tblPr>
        <w:tblLayout w:type="fixed"/>
        <w:tblInd w:w="0" w:type="dxa"/>
        <w:tblCellMar>
          <w:top w:w="0" w:type="dxa"/>
          <w:left w:w="0" w:type="dxa"/>
          <w:bottom w:w="0" w:type="dxa"/>
          <w:right w:w="0" w:type="dxa"/>
        </w:tblCellMar>
      </w:tblP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Convertible redeemable preferred stock, $0.0001 par value, 20,000,000 shares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authorized at December 31, 2025 and 2024, respectively, no shares issued and</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outstanding at December 31, 2025 and 2024</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9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Stockholders' equity</w:t>
            </w:r>
          </w:p>
        </w:tc>
        <w:tc>
          <w:tcPr>
            <w:tcW w:w="320" w:type="dxa"/>
            <w:vAlign w:val="bottom"/>
            <w:shd w:val="clear" w:color="auto" w:fill="E5E6E7"/>
          </w:tcPr>
          <w:p>
            <w:pPr>
              <w:spacing w:after="0"/>
              <w:rPr>
                <w:sz w:val="21"/>
                <w:szCs w:val="21"/>
                <w:color w:val="auto"/>
              </w:rPr>
            </w:pPr>
          </w:p>
        </w:tc>
        <w:tc>
          <w:tcPr>
            <w:tcW w:w="108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10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25"/>
        </w:trPr>
        <w:tc>
          <w:tcPr>
            <w:tcW w:w="69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Class A Common Stock, $0.0001 par value, 1,000,000,000 shares authorized at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December 31, 2025 and 2024, respectively; 173,235,428 and 157,076,972 shares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issued and outstanding at December 31, 2025 and 2024, respectively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tcPr>
          <w:p>
            <w:pPr>
              <w:spacing w:after="0"/>
              <w:rPr>
                <w:sz w:val="21"/>
                <w:szCs w:val="21"/>
                <w:color w:val="auto"/>
              </w:rPr>
            </w:pPr>
          </w:p>
        </w:tc>
      </w:tr>
      <w:tr>
        <w:trPr>
          <w:trHeight w:val="225"/>
        </w:trPr>
        <w:tc>
          <w:tcPr>
            <w:tcW w:w="692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414142"/>
              </w:rPr>
              <w:t>Class B Common Stock, $0.0001 par value, 5,500,000 shares authorized at</w:t>
            </w:r>
          </w:p>
        </w:tc>
        <w:tc>
          <w:tcPr>
            <w:tcW w:w="32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110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30"/>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December 31, 2025 and 2024, respectively; 5,043,789 issued and outstanding at</w:t>
            </w:r>
          </w:p>
        </w:tc>
        <w:tc>
          <w:tcPr>
            <w:tcW w:w="320" w:type="dxa"/>
            <w:vAlign w:val="bottom"/>
            <w:shd w:val="clear" w:color="auto" w:fill="E5E6E7"/>
          </w:tcPr>
          <w:p>
            <w:pPr>
              <w:spacing w:after="0"/>
              <w:rPr>
                <w:sz w:val="20"/>
                <w:szCs w:val="20"/>
                <w:color w:val="auto"/>
              </w:rPr>
            </w:pPr>
          </w:p>
        </w:tc>
        <w:tc>
          <w:tcPr>
            <w:tcW w:w="108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320" w:type="dxa"/>
            <w:vAlign w:val="bottom"/>
            <w:shd w:val="clear" w:color="auto" w:fill="E5E6E7"/>
          </w:tcPr>
          <w:p>
            <w:pPr>
              <w:spacing w:after="0"/>
              <w:rPr>
                <w:sz w:val="20"/>
                <w:szCs w:val="20"/>
                <w:color w:val="auto"/>
              </w:rPr>
            </w:pPr>
          </w:p>
        </w:tc>
        <w:tc>
          <w:tcPr>
            <w:tcW w:w="11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9"/>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December 31, 2025 and 2024, respectively</w:t>
            </w:r>
          </w:p>
        </w:tc>
        <w:tc>
          <w:tcPr>
            <w:tcW w:w="32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w:t>
            </w:r>
          </w:p>
        </w:tc>
        <w:tc>
          <w:tcPr>
            <w:tcW w:w="26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w:t>
            </w:r>
          </w:p>
        </w:tc>
        <w:tc>
          <w:tcPr>
            <w:tcW w:w="80" w:type="dxa"/>
            <w:vAlign w:val="bottom"/>
            <w:shd w:val="clear" w:color="auto" w:fill="E5E6E7"/>
          </w:tcPr>
          <w:p>
            <w:pPr>
              <w:spacing w:after="0"/>
              <w:rPr>
                <w:sz w:val="21"/>
                <w:szCs w:val="21"/>
                <w:color w:val="auto"/>
              </w:rPr>
            </w:pPr>
          </w:p>
        </w:tc>
      </w:tr>
      <w:tr>
        <w:trPr>
          <w:trHeight w:val="225"/>
        </w:trPr>
        <w:tc>
          <w:tcPr>
            <w:tcW w:w="69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Non-voting Common Stock, $0.0001 par value, no shares authorized at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December 31, 2025 and 2024, respectively; no shares issued and outstanding at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December 31, 2025, and 2024, respectively</w:t>
            </w:r>
          </w:p>
        </w:tc>
        <w:tc>
          <w:tcPr>
            <w:tcW w:w="3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24"/>
        </w:trPr>
        <w:tc>
          <w:tcPr>
            <w:tcW w:w="692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414142"/>
              </w:rPr>
              <w:t>Treasury Stock, 183,229 and 145,466 shares at December 31, 2025 and 2024,</w:t>
            </w:r>
          </w:p>
        </w:tc>
        <w:tc>
          <w:tcPr>
            <w:tcW w:w="32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26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110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50"/>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respectively, at cost</w:t>
            </w:r>
          </w:p>
        </w:tc>
        <w:tc>
          <w:tcPr>
            <w:tcW w:w="320" w:type="dxa"/>
            <w:vAlign w:val="bottom"/>
            <w:shd w:val="clear" w:color="auto" w:fill="E5E6E7"/>
          </w:tcPr>
          <w:p>
            <w:pPr>
              <w:spacing w:after="0"/>
              <w:rPr>
                <w:sz w:val="21"/>
                <w:szCs w:val="21"/>
                <w:color w:val="auto"/>
              </w:rPr>
            </w:pPr>
          </w:p>
        </w:tc>
        <w:tc>
          <w:tcPr>
            <w:tcW w:w="134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rPr>
              <w:t>(6,642)</w:t>
            </w:r>
          </w:p>
        </w:tc>
        <w:tc>
          <w:tcPr>
            <w:tcW w:w="32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(3,602)</w:t>
            </w: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2,892,910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2,210,664</w:t>
            </w: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Accumulated Other Comprehensive Income</w:t>
            </w:r>
          </w:p>
        </w:tc>
        <w:tc>
          <w:tcPr>
            <w:tcW w:w="32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902</w:t>
            </w:r>
          </w:p>
        </w:tc>
        <w:tc>
          <w:tcPr>
            <w:tcW w:w="26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1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94</w:t>
            </w:r>
          </w:p>
        </w:tc>
        <w:tc>
          <w:tcPr>
            <w:tcW w:w="8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Accumulated deficit</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(2,395,862)</w:t>
            </w:r>
          </w:p>
        </w:tc>
        <w:tc>
          <w:tcPr>
            <w:tcW w:w="3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(2,150,834)</w:t>
            </w:r>
          </w:p>
        </w:tc>
      </w:tr>
      <w:tr>
        <w:trPr>
          <w:trHeight w:val="239"/>
        </w:trPr>
        <w:tc>
          <w:tcPr>
            <w:tcW w:w="692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Total Stockholders' equity</w:t>
            </w:r>
          </w:p>
        </w:tc>
        <w:tc>
          <w:tcPr>
            <w:tcW w:w="320" w:type="dxa"/>
            <w:vAlign w:val="bottom"/>
            <w:tcBorders>
              <w:top w:val="single" w:sz="8" w:color="231F20"/>
              <w:bottom w:val="single" w:sz="8" w:color="231F20"/>
            </w:tcBorders>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0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491,326</w:t>
            </w:r>
          </w:p>
        </w:tc>
        <w:tc>
          <w:tcPr>
            <w:tcW w:w="260" w:type="dxa"/>
            <w:vAlign w:val="bottom"/>
            <w:tcBorders>
              <w:top w:val="single" w:sz="8" w:color="E5E6E7"/>
            </w:tcBorders>
            <w:shd w:val="clear" w:color="auto" w:fill="E5E6E7"/>
          </w:tcPr>
          <w:p>
            <w:pPr>
              <w:spacing w:after="0"/>
              <w:rPr>
                <w:sz w:val="20"/>
                <w:szCs w:val="20"/>
                <w:color w:val="auto"/>
              </w:rPr>
            </w:pPr>
          </w:p>
        </w:tc>
        <w:tc>
          <w:tcPr>
            <w:tcW w:w="320" w:type="dxa"/>
            <w:vAlign w:val="bottom"/>
            <w:tcBorders>
              <w:top w:val="single" w:sz="8" w:color="231F20"/>
              <w:bottom w:val="single" w:sz="8" w:color="231F20"/>
            </w:tcBorders>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1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56,339</w:t>
            </w:r>
          </w:p>
        </w:tc>
        <w:tc>
          <w:tcPr>
            <w:tcW w:w="80" w:type="dxa"/>
            <w:vAlign w:val="bottom"/>
            <w:tcBorders>
              <w:top w:val="single" w:sz="8" w:color="E5E6E7"/>
            </w:tcBorders>
            <w:shd w:val="clear" w:color="auto" w:fill="E5E6E7"/>
          </w:tcPr>
          <w:p>
            <w:pPr>
              <w:spacing w:after="0"/>
              <w:rPr>
                <w:sz w:val="20"/>
                <w:szCs w:val="20"/>
                <w:color w:val="auto"/>
              </w:rPr>
            </w:pPr>
          </w:p>
        </w:tc>
      </w:tr>
      <w:tr>
        <w:trPr>
          <w:trHeight w:val="215"/>
        </w:trPr>
        <w:tc>
          <w:tcPr>
            <w:tcW w:w="69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231F20"/>
              </w:rPr>
              <w:t>Total Liabilities, Convertible redeemable preferred stock, and Stockholders'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4"/>
        </w:trPr>
        <w:tc>
          <w:tcPr>
            <w:tcW w:w="69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equity</w:t>
            </w:r>
          </w:p>
        </w:tc>
        <w:tc>
          <w:tcPr>
            <w:tcW w:w="32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2,274,838</w:t>
            </w:r>
          </w:p>
        </w:tc>
        <w:tc>
          <w:tcPr>
            <w:tcW w:w="260" w:type="dxa"/>
            <w:vAlign w:val="bottom"/>
          </w:tcPr>
          <w:p>
            <w:pPr>
              <w:spacing w:after="0"/>
              <w:rPr>
                <w:sz w:val="22"/>
                <w:szCs w:val="22"/>
                <w:color w:val="auto"/>
              </w:rPr>
            </w:pPr>
          </w:p>
        </w:tc>
        <w:tc>
          <w:tcPr>
            <w:tcW w:w="32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926,116</w:t>
            </w:r>
          </w:p>
        </w:tc>
        <w:tc>
          <w:tcPr>
            <w:tcW w:w="80" w:type="dxa"/>
            <w:vAlign w:val="bottom"/>
          </w:tcPr>
          <w:p>
            <w:pPr>
              <w:spacing w:after="0"/>
              <w:rPr>
                <w:sz w:val="22"/>
                <w:szCs w:val="22"/>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080"/>
          </w:cols>
          <w:pgMar w:left="900" w:top="7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139</w:t>
      </w:r>
    </w:p>
    <w:p>
      <w:pPr>
        <w:sectPr>
          <w:pgSz w:w="11880" w:h="15480" w:orient="portrait"/>
          <w:cols w:equalWidth="0" w:num="1">
            <w:col w:w="10080"/>
          </w:cols>
          <w:pgMar w:left="900" w:top="792" w:right="900" w:bottom="0" w:gutter="0" w:footer="0" w:header="0"/>
          <w:type w:val="continuous"/>
        </w:sectPr>
      </w:pPr>
    </w:p>
    <w:bookmarkStart w:id="147" w:name="page148"/>
    <w:bookmarkEnd w:id="147"/>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0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300" w:type="dxa"/>
            <w:vAlign w:val="bottom"/>
            <w:tcBorders>
              <w:bottom w:val="single" w:sz="8" w:color="414142"/>
            </w:tcBorders>
          </w:tcPr>
          <w:p>
            <w:pPr>
              <w:spacing w:after="0"/>
              <w:rPr>
                <w:sz w:val="17"/>
                <w:szCs w:val="17"/>
                <w:color w:val="auto"/>
              </w:rPr>
            </w:pPr>
          </w:p>
        </w:tc>
        <w:tc>
          <w:tcPr>
            <w:tcW w:w="1080" w:type="dxa"/>
            <w:vAlign w:val="bottom"/>
            <w:tcBorders>
              <w:bottom w:val="single" w:sz="8" w:color="414142"/>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5E6E7"/>
            </w:tcBorders>
          </w:tcPr>
          <w:p>
            <w:pPr>
              <w:spacing w:after="0"/>
              <w:rPr>
                <w:sz w:val="17"/>
                <w:szCs w:val="17"/>
                <w:color w:val="auto"/>
              </w:rPr>
            </w:pPr>
          </w:p>
        </w:tc>
        <w:tc>
          <w:tcPr>
            <w:tcW w:w="80" w:type="dxa"/>
            <w:vAlign w:val="bottom"/>
            <w:tcBorders>
              <w:bottom w:val="single" w:sz="8" w:color="E5E6E7"/>
            </w:tcBorders>
          </w:tcPr>
          <w:p>
            <w:pPr>
              <w:spacing w:after="0"/>
              <w:rPr>
                <w:sz w:val="17"/>
                <w:szCs w:val="17"/>
                <w:color w:val="auto"/>
              </w:rPr>
            </w:pPr>
          </w:p>
        </w:tc>
        <w:tc>
          <w:tcPr>
            <w:tcW w:w="140" w:type="dxa"/>
            <w:vAlign w:val="bottom"/>
            <w:tcBorders>
              <w:bottom w:val="single" w:sz="8" w:color="414142"/>
            </w:tcBorders>
          </w:tcPr>
          <w:p>
            <w:pPr>
              <w:spacing w:after="0"/>
              <w:rPr>
                <w:sz w:val="17"/>
                <w:szCs w:val="17"/>
                <w:color w:val="auto"/>
              </w:rPr>
            </w:pPr>
          </w:p>
        </w:tc>
        <w:tc>
          <w:tcPr>
            <w:tcW w:w="1200" w:type="dxa"/>
            <w:vAlign w:val="bottom"/>
            <w:tcBorders>
              <w:bottom w:val="single" w:sz="8" w:color="414142"/>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5E6E7"/>
            </w:tcBorders>
          </w:tcPr>
          <w:p>
            <w:pPr>
              <w:spacing w:after="0"/>
              <w:rPr>
                <w:sz w:val="17"/>
                <w:szCs w:val="17"/>
                <w:color w:val="auto"/>
              </w:rPr>
            </w:pPr>
          </w:p>
        </w:tc>
        <w:tc>
          <w:tcPr>
            <w:tcW w:w="40" w:type="dxa"/>
            <w:vAlign w:val="bottom"/>
            <w:tcBorders>
              <w:bottom w:val="single" w:sz="8" w:color="E5E6E7"/>
            </w:tcBorders>
          </w:tcPr>
          <w:p>
            <w:pPr>
              <w:spacing w:after="0"/>
              <w:rPr>
                <w:sz w:val="17"/>
                <w:szCs w:val="17"/>
                <w:color w:val="auto"/>
              </w:rPr>
            </w:pPr>
          </w:p>
        </w:tc>
        <w:tc>
          <w:tcPr>
            <w:tcW w:w="300" w:type="dxa"/>
            <w:vAlign w:val="bottom"/>
            <w:tcBorders>
              <w:bottom w:val="single" w:sz="8" w:color="414142"/>
            </w:tcBorders>
          </w:tcPr>
          <w:p>
            <w:pPr>
              <w:spacing w:after="0"/>
              <w:rPr>
                <w:sz w:val="17"/>
                <w:szCs w:val="17"/>
                <w:color w:val="auto"/>
              </w:rPr>
            </w:pPr>
          </w:p>
        </w:tc>
        <w:tc>
          <w:tcPr>
            <w:tcW w:w="1060" w:type="dxa"/>
            <w:vAlign w:val="bottom"/>
            <w:tcBorders>
              <w:bottom w:val="single" w:sz="8" w:color="414142"/>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7"/>
                <w:szCs w:val="17"/>
                <w:color w:val="auto"/>
              </w:rPr>
            </w:pPr>
          </w:p>
        </w:tc>
      </w:tr>
      <w:tr>
        <w:trPr>
          <w:trHeight w:val="239"/>
        </w:trPr>
        <w:tc>
          <w:tcPr>
            <w:tcW w:w="5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Net revenue</w:t>
            </w:r>
          </w:p>
        </w:tc>
        <w:tc>
          <w:tcPr>
            <w:tcW w:w="2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8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120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4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6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Diagnostics</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955,381</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451,749</w:t>
            </w:r>
          </w:p>
        </w:tc>
        <w:tc>
          <w:tcPr>
            <w:tcW w:w="24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363,022</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200"/>
              <w:spacing w:after="0" w:line="243" w:lineRule="exact"/>
              <w:rPr>
                <w:sz w:val="20"/>
                <w:szCs w:val="20"/>
                <w:color w:val="auto"/>
              </w:rPr>
            </w:pPr>
            <w:r>
              <w:rPr>
                <w:rFonts w:ascii="Times New Roman" w:cs="Times New Roman" w:eastAsia="Times New Roman" w:hAnsi="Times New Roman"/>
                <w:sz w:val="20"/>
                <w:szCs w:val="20"/>
                <w:color w:val="414142"/>
              </w:rPr>
              <w:t>Data and applications</w:t>
            </w:r>
            <w:r>
              <w:rPr>
                <w:rFonts w:ascii="Times New Roman" w:cs="Times New Roman" w:eastAsia="Times New Roman" w:hAnsi="Times New Roman"/>
                <w:sz w:val="26"/>
                <w:szCs w:val="26"/>
                <w:color w:val="414142"/>
                <w:vertAlign w:val="superscript"/>
              </w:rPr>
              <w:t>(1)</w:t>
            </w:r>
          </w:p>
        </w:tc>
        <w:tc>
          <w:tcPr>
            <w:tcW w:w="20" w:type="dxa"/>
            <w:vAlign w:val="bottom"/>
            <w:shd w:val="clear" w:color="auto" w:fill="E5E6E7"/>
          </w:tcPr>
          <w:p>
            <w:pPr>
              <w:spacing w:after="0"/>
              <w:rPr>
                <w:sz w:val="21"/>
                <w:szCs w:val="21"/>
                <w:color w:val="auto"/>
              </w:rPr>
            </w:pPr>
          </w:p>
        </w:tc>
        <w:tc>
          <w:tcPr>
            <w:tcW w:w="300" w:type="dxa"/>
            <w:vAlign w:val="bottom"/>
            <w:tcBorders>
              <w:bottom w:val="single" w:sz="8" w:color="231F20"/>
            </w:tcBorders>
            <w:shd w:val="clear" w:color="auto" w:fill="E5E6E7"/>
          </w:tcPr>
          <w:p>
            <w:pPr>
              <w:spacing w:after="0"/>
              <w:rPr>
                <w:sz w:val="21"/>
                <w:szCs w:val="21"/>
                <w:color w:val="auto"/>
              </w:rPr>
            </w:pPr>
          </w:p>
        </w:tc>
        <w:tc>
          <w:tcPr>
            <w:tcW w:w="10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316,408</w:t>
            </w: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tcBorders>
              <w:bottom w:val="single" w:sz="8" w:color="231F20"/>
            </w:tcBorders>
            <w:shd w:val="clear" w:color="auto" w:fill="E5E6E7"/>
          </w:tcPr>
          <w:p>
            <w:pPr>
              <w:spacing w:after="0"/>
              <w:rPr>
                <w:sz w:val="21"/>
                <w:szCs w:val="21"/>
                <w:color w:val="auto"/>
              </w:rPr>
            </w:pPr>
          </w:p>
        </w:tc>
        <w:tc>
          <w:tcPr>
            <w:tcW w:w="12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241,649</w:t>
            </w:r>
          </w:p>
        </w:tc>
        <w:tc>
          <w:tcPr>
            <w:tcW w:w="24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300" w:type="dxa"/>
            <w:vAlign w:val="bottom"/>
            <w:tcBorders>
              <w:bottom w:val="single" w:sz="8" w:color="231F20"/>
            </w:tcBorders>
            <w:shd w:val="clear" w:color="auto" w:fill="E5E6E7"/>
          </w:tcPr>
          <w:p>
            <w:pPr>
              <w:spacing w:after="0"/>
              <w:rPr>
                <w:sz w:val="21"/>
                <w:szCs w:val="21"/>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168,800</w:t>
            </w:r>
          </w:p>
        </w:tc>
        <w:tc>
          <w:tcPr>
            <w:tcW w:w="80" w:type="dxa"/>
            <w:vAlign w:val="bottom"/>
            <w:shd w:val="clear" w:color="auto" w:fill="E5E6E7"/>
          </w:tcPr>
          <w:p>
            <w:pPr>
              <w:spacing w:after="0"/>
              <w:rPr>
                <w:sz w:val="21"/>
                <w:szCs w:val="21"/>
                <w:color w:val="auto"/>
              </w:rPr>
            </w:pPr>
          </w:p>
        </w:tc>
      </w:tr>
      <w:tr>
        <w:trPr>
          <w:trHeight w:val="239"/>
        </w:trPr>
        <w:tc>
          <w:tcPr>
            <w:tcW w:w="5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net revenue</w:t>
            </w:r>
          </w:p>
        </w:tc>
        <w:tc>
          <w:tcPr>
            <w:tcW w:w="20" w:type="dxa"/>
            <w:vAlign w:val="bottom"/>
          </w:tcPr>
          <w:p>
            <w:pPr>
              <w:spacing w:after="0"/>
              <w:rPr>
                <w:sz w:val="20"/>
                <w:szCs w:val="20"/>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1,271,789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693,398</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531,822</w:t>
            </w:r>
          </w:p>
        </w:tc>
        <w:tc>
          <w:tcPr>
            <w:tcW w:w="80" w:type="dxa"/>
            <w:vAlign w:val="bottom"/>
          </w:tcPr>
          <w:p>
            <w:pPr>
              <w:spacing w:after="0"/>
              <w:rPr>
                <w:sz w:val="20"/>
                <w:szCs w:val="20"/>
                <w:color w:val="auto"/>
              </w:rPr>
            </w:pPr>
          </w:p>
        </w:tc>
      </w:tr>
      <w:tr>
        <w:trPr>
          <w:trHeight w:val="244"/>
        </w:trPr>
        <w:tc>
          <w:tcPr>
            <w:tcW w:w="5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Cost and operating expenses</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20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Cost of revenues, diagnostics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386,102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243,467</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189,165</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Cost of revenues, data and applications</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87,790</w:t>
            </w: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68,818</w:t>
            </w:r>
          </w:p>
        </w:tc>
        <w:tc>
          <w:tcPr>
            <w:tcW w:w="24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56,482</w:t>
            </w:r>
          </w:p>
        </w:tc>
        <w:tc>
          <w:tcPr>
            <w:tcW w:w="80" w:type="dxa"/>
            <w:vAlign w:val="bottom"/>
            <w:shd w:val="clear" w:color="auto" w:fill="E5E6E7"/>
          </w:tcPr>
          <w:p>
            <w:pPr>
              <w:spacing w:after="0"/>
              <w:rPr>
                <w:sz w:val="21"/>
                <w:szCs w:val="21"/>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Technology research and development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146,107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167,519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95,155</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Research and development</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172,924</w:t>
            </w: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149,325</w:t>
            </w:r>
          </w:p>
        </w:tc>
        <w:tc>
          <w:tcPr>
            <w:tcW w:w="24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90,343</w:t>
            </w:r>
          </w:p>
        </w:tc>
        <w:tc>
          <w:tcPr>
            <w:tcW w:w="80" w:type="dxa"/>
            <w:vAlign w:val="bottom"/>
            <w:shd w:val="clear" w:color="auto" w:fill="E5E6E7"/>
          </w:tcPr>
          <w:p>
            <w:pPr>
              <w:spacing w:after="0"/>
              <w:rPr>
                <w:sz w:val="21"/>
                <w:szCs w:val="21"/>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731,738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755,351</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296,760</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414142"/>
              </w:rPr>
              <w:t>Total cost and operating expenses</w:t>
            </w:r>
          </w:p>
        </w:tc>
        <w:tc>
          <w:tcPr>
            <w:tcW w:w="20" w:type="dxa"/>
            <w:vAlign w:val="bottom"/>
            <w:shd w:val="clear" w:color="auto" w:fill="E5E6E7"/>
          </w:tcPr>
          <w:p>
            <w:pPr>
              <w:spacing w:after="0"/>
              <w:rPr>
                <w:sz w:val="21"/>
                <w:szCs w:val="21"/>
                <w:color w:val="auto"/>
              </w:rPr>
            </w:pPr>
          </w:p>
        </w:tc>
        <w:tc>
          <w:tcPr>
            <w:tcW w:w="300" w:type="dxa"/>
            <w:vAlign w:val="bottom"/>
            <w:tcBorders>
              <w:bottom w:val="single" w:sz="8" w:color="231F20"/>
            </w:tcBorders>
            <w:shd w:val="clear" w:color="auto" w:fill="E5E6E7"/>
          </w:tcPr>
          <w:p>
            <w:pPr>
              <w:spacing w:after="0"/>
              <w:rPr>
                <w:sz w:val="21"/>
                <w:szCs w:val="21"/>
                <w:color w:val="auto"/>
              </w:rPr>
            </w:pPr>
          </w:p>
        </w:tc>
        <w:tc>
          <w:tcPr>
            <w:tcW w:w="10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1,524,661</w:t>
            </w: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tcBorders>
              <w:bottom w:val="single" w:sz="8" w:color="231F20"/>
            </w:tcBorders>
            <w:shd w:val="clear" w:color="auto" w:fill="E5E6E7"/>
          </w:tcPr>
          <w:p>
            <w:pPr>
              <w:spacing w:after="0"/>
              <w:rPr>
                <w:sz w:val="21"/>
                <w:szCs w:val="21"/>
                <w:color w:val="auto"/>
              </w:rPr>
            </w:pPr>
          </w:p>
        </w:tc>
        <w:tc>
          <w:tcPr>
            <w:tcW w:w="12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1,384,480</w:t>
            </w:r>
          </w:p>
        </w:tc>
        <w:tc>
          <w:tcPr>
            <w:tcW w:w="24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300" w:type="dxa"/>
            <w:vAlign w:val="bottom"/>
            <w:tcBorders>
              <w:bottom w:val="single" w:sz="8" w:color="231F20"/>
            </w:tcBorders>
            <w:shd w:val="clear" w:color="auto" w:fill="E5E6E7"/>
          </w:tcPr>
          <w:p>
            <w:pPr>
              <w:spacing w:after="0"/>
              <w:rPr>
                <w:sz w:val="21"/>
                <w:szCs w:val="21"/>
                <w:color w:val="auto"/>
              </w:rPr>
            </w:pPr>
          </w:p>
        </w:tc>
        <w:tc>
          <w:tcPr>
            <w:tcW w:w="10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727,905</w:t>
            </w:r>
          </w:p>
        </w:tc>
        <w:tc>
          <w:tcPr>
            <w:tcW w:w="80" w:type="dxa"/>
            <w:vAlign w:val="bottom"/>
            <w:shd w:val="clear" w:color="auto" w:fill="E5E6E7"/>
          </w:tcPr>
          <w:p>
            <w:pPr>
              <w:spacing w:after="0"/>
              <w:rPr>
                <w:sz w:val="21"/>
                <w:szCs w:val="21"/>
                <w:color w:val="auto"/>
              </w:rPr>
            </w:pPr>
          </w:p>
        </w:tc>
      </w:tr>
      <w:tr>
        <w:trPr>
          <w:trHeight w:val="239"/>
        </w:trPr>
        <w:tc>
          <w:tcPr>
            <w:tcW w:w="540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Loss from operations</w:t>
            </w:r>
          </w:p>
        </w:tc>
        <w:tc>
          <w:tcPr>
            <w:tcW w:w="20" w:type="dxa"/>
            <w:vAlign w:val="bottom"/>
            <w:tcBorders>
              <w:bottom w:val="single" w:sz="8" w:color="E5E6E7"/>
            </w:tcBorders>
          </w:tcPr>
          <w:p>
            <w:pPr>
              <w:spacing w:after="0"/>
              <w:rPr>
                <w:sz w:val="20"/>
                <w:szCs w:val="20"/>
                <w:color w:val="auto"/>
              </w:rPr>
            </w:pPr>
          </w:p>
        </w:tc>
        <w:tc>
          <w:tcPr>
            <w:tcW w:w="300" w:type="dxa"/>
            <w:vAlign w:val="bottom"/>
            <w:tcBorders>
              <w:bottom w:val="single" w:sz="8" w:color="231F20"/>
            </w:tcBorders>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(252,872)</w:t>
            </w:r>
          </w:p>
        </w:tc>
        <w:tc>
          <w:tcPr>
            <w:tcW w:w="140" w:type="dxa"/>
            <w:vAlign w:val="bottom"/>
            <w:tcBorders>
              <w:bottom w:val="single" w:sz="8" w:color="E5E6E7"/>
            </w:tcBorders>
          </w:tcPr>
          <w:p>
            <w:pPr>
              <w:spacing w:after="0"/>
              <w:rPr>
                <w:sz w:val="20"/>
                <w:szCs w:val="20"/>
                <w:color w:val="auto"/>
              </w:rPr>
            </w:pPr>
          </w:p>
        </w:tc>
        <w:tc>
          <w:tcPr>
            <w:tcW w:w="80" w:type="dxa"/>
            <w:vAlign w:val="bottom"/>
            <w:tcBorders>
              <w:bottom w:val="single" w:sz="8" w:color="E5E6E7"/>
            </w:tcBorders>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(691,082)</w:t>
            </w:r>
          </w:p>
        </w:tc>
        <w:tc>
          <w:tcPr>
            <w:tcW w:w="240" w:type="dxa"/>
            <w:vAlign w:val="bottom"/>
            <w:tcBorders>
              <w:bottom w:val="single" w:sz="8" w:color="E5E6E7"/>
            </w:tcBorders>
          </w:tcPr>
          <w:p>
            <w:pPr>
              <w:spacing w:after="0"/>
              <w:rPr>
                <w:sz w:val="20"/>
                <w:szCs w:val="20"/>
                <w:color w:val="auto"/>
              </w:rPr>
            </w:pPr>
          </w:p>
        </w:tc>
        <w:tc>
          <w:tcPr>
            <w:tcW w:w="40" w:type="dxa"/>
            <w:vAlign w:val="bottom"/>
            <w:tcBorders>
              <w:bottom w:val="single" w:sz="8" w:color="E5E6E7"/>
            </w:tcBorders>
          </w:tcPr>
          <w:p>
            <w:pPr>
              <w:spacing w:after="0"/>
              <w:rPr>
                <w:sz w:val="20"/>
                <w:szCs w:val="20"/>
                <w:color w:val="auto"/>
              </w:rPr>
            </w:pPr>
          </w:p>
        </w:tc>
        <w:tc>
          <w:tcPr>
            <w:tcW w:w="30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(196,083)</w:t>
            </w:r>
          </w:p>
        </w:tc>
        <w:tc>
          <w:tcPr>
            <w:tcW w:w="80" w:type="dxa"/>
            <w:vAlign w:val="bottom"/>
            <w:tcBorders>
              <w:bottom w:val="single" w:sz="8" w:color="E5E6E7"/>
            </w:tcBorders>
          </w:tcPr>
          <w:p>
            <w:pPr>
              <w:spacing w:after="0"/>
              <w:rPr>
                <w:sz w:val="20"/>
                <w:szCs w:val="20"/>
                <w:color w:val="auto"/>
              </w:rPr>
            </w:pPr>
          </w:p>
        </w:tc>
      </w:tr>
      <w:tr>
        <w:trPr>
          <w:trHeight w:val="239"/>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Interest income</w:t>
            </w:r>
          </w:p>
        </w:tc>
        <w:tc>
          <w:tcPr>
            <w:tcW w:w="2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12,628</w:t>
            </w:r>
          </w:p>
        </w:tc>
        <w:tc>
          <w:tcPr>
            <w:tcW w:w="1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140" w:type="dxa"/>
            <w:vAlign w:val="bottom"/>
            <w:shd w:val="clear" w:color="auto" w:fill="E5E6E7"/>
          </w:tcPr>
          <w:p>
            <w:pPr>
              <w:spacing w:after="0"/>
              <w:rPr>
                <w:sz w:val="20"/>
                <w:szCs w:val="20"/>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11,084</w:t>
            </w:r>
          </w:p>
        </w:tc>
        <w:tc>
          <w:tcPr>
            <w:tcW w:w="240" w:type="dxa"/>
            <w:vAlign w:val="bottom"/>
            <w:shd w:val="clear" w:color="auto" w:fill="E5E6E7"/>
          </w:tcPr>
          <w:p>
            <w:pPr>
              <w:spacing w:after="0"/>
              <w:rPr>
                <w:sz w:val="20"/>
                <w:szCs w:val="20"/>
                <w:color w:val="auto"/>
              </w:rPr>
            </w:pPr>
          </w:p>
        </w:tc>
        <w:tc>
          <w:tcPr>
            <w:tcW w:w="4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7,601</w:t>
            </w:r>
          </w:p>
        </w:tc>
        <w:tc>
          <w:tcPr>
            <w:tcW w:w="80" w:type="dxa"/>
            <w:vAlign w:val="bottom"/>
            <w:shd w:val="clear" w:color="auto" w:fill="E5E6E7"/>
          </w:tcPr>
          <w:p>
            <w:pPr>
              <w:spacing w:after="0"/>
              <w:rPr>
                <w:sz w:val="20"/>
                <w:szCs w:val="20"/>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(70,267)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(53,653)</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(46,869)</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 on debt extinguishment</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(12,034)</w:t>
            </w: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414142"/>
              </w:rPr>
              <w:t>—</w:t>
            </w: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540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Other income, net</w:t>
            </w:r>
          </w:p>
        </w:tc>
        <w:tc>
          <w:tcPr>
            <w:tcW w:w="20" w:type="dxa"/>
            <w:vAlign w:val="bottom"/>
            <w:tcBorders>
              <w:bottom w:val="single" w:sz="8" w:color="E5E6E7"/>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31,447</w:t>
            </w:r>
          </w:p>
        </w:tc>
        <w:tc>
          <w:tcPr>
            <w:tcW w:w="140" w:type="dxa"/>
            <w:vAlign w:val="bottom"/>
            <w:tcBorders>
              <w:bottom w:val="single" w:sz="8" w:color="E5E6E7"/>
            </w:tcBorders>
          </w:tcPr>
          <w:p>
            <w:pPr>
              <w:spacing w:after="0"/>
              <w:rPr>
                <w:sz w:val="21"/>
                <w:szCs w:val="21"/>
                <w:color w:val="auto"/>
              </w:rPr>
            </w:pPr>
          </w:p>
        </w:tc>
        <w:tc>
          <w:tcPr>
            <w:tcW w:w="80" w:type="dxa"/>
            <w:vAlign w:val="bottom"/>
            <w:tcBorders>
              <w:bottom w:val="single" w:sz="8" w:color="E5E6E7"/>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32,336</w:t>
            </w:r>
          </w:p>
        </w:tc>
        <w:tc>
          <w:tcPr>
            <w:tcW w:w="240" w:type="dxa"/>
            <w:vAlign w:val="bottom"/>
            <w:tcBorders>
              <w:bottom w:val="single" w:sz="8" w:color="E5E6E7"/>
            </w:tcBorders>
          </w:tcPr>
          <w:p>
            <w:pPr>
              <w:spacing w:after="0"/>
              <w:rPr>
                <w:sz w:val="21"/>
                <w:szCs w:val="21"/>
                <w:color w:val="auto"/>
              </w:rPr>
            </w:pPr>
          </w:p>
        </w:tc>
        <w:tc>
          <w:tcPr>
            <w:tcW w:w="40" w:type="dxa"/>
            <w:vAlign w:val="bottom"/>
            <w:tcBorders>
              <w:bottom w:val="single" w:sz="8" w:color="E5E6E7"/>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21,822</w:t>
            </w:r>
          </w:p>
        </w:tc>
        <w:tc>
          <w:tcPr>
            <w:tcW w:w="80" w:type="dxa"/>
            <w:vAlign w:val="bottom"/>
            <w:tcBorders>
              <w:bottom w:val="single" w:sz="8" w:color="E5E6E7"/>
            </w:tcBorders>
          </w:tcPr>
          <w:p>
            <w:pPr>
              <w:spacing w:after="0"/>
              <w:rPr>
                <w:sz w:val="21"/>
                <w:szCs w:val="21"/>
                <w:color w:val="auto"/>
              </w:rPr>
            </w:pPr>
          </w:p>
        </w:tc>
      </w:tr>
      <w:tr>
        <w:trPr>
          <w:trHeight w:val="239"/>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 before benefit from (provision for) income taxes</w:t>
            </w:r>
          </w:p>
        </w:tc>
        <w:tc>
          <w:tcPr>
            <w:tcW w:w="20" w:type="dxa"/>
            <w:vAlign w:val="bottom"/>
            <w:shd w:val="clear" w:color="auto" w:fill="E5E6E7"/>
          </w:tcPr>
          <w:p>
            <w:pPr>
              <w:spacing w:after="0"/>
              <w:rPr>
                <w:sz w:val="20"/>
                <w:szCs w:val="20"/>
                <w:color w:val="auto"/>
              </w:rPr>
            </w:pPr>
          </w:p>
        </w:tc>
        <w:tc>
          <w:tcPr>
            <w:tcW w:w="300" w:type="dxa"/>
            <w:vAlign w:val="bottom"/>
            <w:shd w:val="clear" w:color="auto" w:fill="E5E6E7"/>
          </w:tcPr>
          <w:p>
            <w:pPr>
              <w:jc w:val="right"/>
              <w:ind w:right="135"/>
              <w:spacing w:after="0"/>
              <w:rPr>
                <w:sz w:val="20"/>
                <w:szCs w:val="20"/>
                <w:color w:val="auto"/>
              </w:rPr>
            </w:pPr>
            <w:r>
              <w:rPr>
                <w:rFonts w:ascii="Times New Roman" w:cs="Times New Roman" w:eastAsia="Times New Roman" w:hAnsi="Times New Roman"/>
                <w:sz w:val="17"/>
                <w:szCs w:val="17"/>
                <w:color w:val="414142"/>
                <w:w w:val="70"/>
              </w:rPr>
              <w:t>$</w:t>
            </w: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(291,098)</w:t>
            </w:r>
          </w:p>
        </w:tc>
        <w:tc>
          <w:tcPr>
            <w:tcW w:w="14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(701,315)</w:t>
            </w:r>
          </w:p>
        </w:tc>
        <w:tc>
          <w:tcPr>
            <w:tcW w:w="240" w:type="dxa"/>
            <w:vAlign w:val="bottom"/>
            <w:shd w:val="clear" w:color="auto" w:fill="E5E6E7"/>
          </w:tcPr>
          <w:p>
            <w:pPr>
              <w:spacing w:after="0"/>
              <w:rPr>
                <w:sz w:val="20"/>
                <w:szCs w:val="20"/>
                <w:color w:val="auto"/>
              </w:rPr>
            </w:pPr>
          </w:p>
        </w:tc>
        <w:tc>
          <w:tcPr>
            <w:tcW w:w="40" w:type="dxa"/>
            <w:vAlign w:val="bottom"/>
            <w:shd w:val="clear" w:color="auto" w:fill="E5E6E7"/>
          </w:tcPr>
          <w:p>
            <w:pPr>
              <w:spacing w:after="0"/>
              <w:rPr>
                <w:sz w:val="20"/>
                <w:szCs w:val="20"/>
                <w:color w:val="auto"/>
              </w:rPr>
            </w:pP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w w:val="79"/>
              </w:rPr>
              <w:t>$</w:t>
            </w: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(213,529)</w:t>
            </w:r>
          </w:p>
        </w:tc>
        <w:tc>
          <w:tcPr>
            <w:tcW w:w="80" w:type="dxa"/>
            <w:vAlign w:val="bottom"/>
            <w:shd w:val="clear" w:color="auto" w:fill="E5E6E7"/>
          </w:tcPr>
          <w:p>
            <w:pPr>
              <w:spacing w:after="0"/>
              <w:rPr>
                <w:sz w:val="20"/>
                <w:szCs w:val="20"/>
                <w:color w:val="auto"/>
              </w:rPr>
            </w:pPr>
          </w:p>
        </w:tc>
      </w:tr>
      <w:tr>
        <w:trPr>
          <w:trHeight w:val="244"/>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Benefit from (provision for) income taxes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Losses from equity method investments</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rPr>
              <w:t>(5,614)</w:t>
            </w: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(4,228)</w:t>
            </w: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(301)</w:t>
            </w:r>
          </w:p>
        </w:tc>
      </w:tr>
      <w:tr>
        <w:trPr>
          <w:trHeight w:val="279"/>
        </w:trPr>
        <w:tc>
          <w:tcPr>
            <w:tcW w:w="540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20" w:type="dxa"/>
            <w:vAlign w:val="bottom"/>
            <w:tcBorders>
              <w:bottom w:val="single" w:sz="8" w:color="E5E6E7"/>
            </w:tcBorders>
          </w:tcPr>
          <w:p>
            <w:pPr>
              <w:spacing w:after="0"/>
              <w:rPr>
                <w:sz w:val="24"/>
                <w:szCs w:val="24"/>
                <w:color w:val="auto"/>
              </w:rPr>
            </w:pPr>
          </w:p>
        </w:tc>
        <w:tc>
          <w:tcPr>
            <w:tcW w:w="300" w:type="dxa"/>
            <w:vAlign w:val="bottom"/>
            <w:tcBorders>
              <w:top w:val="single" w:sz="8" w:color="231F20"/>
              <w:bottom w:val="single" w:sz="8" w:color="231F20"/>
            </w:tcBorders>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(245,028)</w:t>
            </w:r>
          </w:p>
        </w:tc>
        <w:tc>
          <w:tcPr>
            <w:tcW w:w="140" w:type="dxa"/>
            <w:vAlign w:val="bottom"/>
            <w:tcBorders>
              <w:bottom w:val="single" w:sz="8" w:color="E5E6E7"/>
            </w:tcBorders>
          </w:tcPr>
          <w:p>
            <w:pPr>
              <w:spacing w:after="0"/>
              <w:rPr>
                <w:sz w:val="24"/>
                <w:szCs w:val="24"/>
                <w:color w:val="auto"/>
              </w:rPr>
            </w:pPr>
          </w:p>
        </w:tc>
        <w:tc>
          <w:tcPr>
            <w:tcW w:w="80" w:type="dxa"/>
            <w:vAlign w:val="bottom"/>
            <w:tcBorders>
              <w:bottom w:val="single" w:sz="8" w:color="E5E6E7"/>
            </w:tcBorders>
          </w:tcPr>
          <w:p>
            <w:pPr>
              <w:spacing w:after="0"/>
              <w:rPr>
                <w:sz w:val="24"/>
                <w:szCs w:val="24"/>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(705,809)</w:t>
            </w:r>
          </w:p>
        </w:tc>
        <w:tc>
          <w:tcPr>
            <w:tcW w:w="240" w:type="dxa"/>
            <w:vAlign w:val="bottom"/>
            <w:tcBorders>
              <w:bottom w:val="single" w:sz="8" w:color="E5E6E7"/>
            </w:tcBorders>
          </w:tcPr>
          <w:p>
            <w:pPr>
              <w:spacing w:after="0"/>
              <w:rPr>
                <w:sz w:val="24"/>
                <w:szCs w:val="24"/>
                <w:color w:val="auto"/>
              </w:rPr>
            </w:pPr>
          </w:p>
        </w:tc>
        <w:tc>
          <w:tcPr>
            <w:tcW w:w="40" w:type="dxa"/>
            <w:vAlign w:val="bottom"/>
            <w:tcBorders>
              <w:bottom w:val="single" w:sz="8" w:color="E5E6E7"/>
            </w:tcBorders>
          </w:tcPr>
          <w:p>
            <w:pPr>
              <w:spacing w:after="0"/>
              <w:rPr>
                <w:sz w:val="24"/>
                <w:szCs w:val="24"/>
                <w:color w:val="auto"/>
              </w:rPr>
            </w:pPr>
          </w:p>
        </w:tc>
        <w:tc>
          <w:tcPr>
            <w:tcW w:w="300" w:type="dxa"/>
            <w:vAlign w:val="bottom"/>
            <w:tcBorders>
              <w:top w:val="single" w:sz="8" w:color="231F20"/>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(214,118)</w:t>
            </w:r>
          </w:p>
        </w:tc>
        <w:tc>
          <w:tcPr>
            <w:tcW w:w="80" w:type="dxa"/>
            <w:vAlign w:val="bottom"/>
            <w:tcBorders>
              <w:bottom w:val="single" w:sz="8" w:color="E5E6E7"/>
            </w:tcBorders>
          </w:tcPr>
          <w:p>
            <w:pPr>
              <w:spacing w:after="0"/>
              <w:rPr>
                <w:sz w:val="24"/>
                <w:szCs w:val="24"/>
                <w:color w:val="auto"/>
              </w:rPr>
            </w:pPr>
          </w:p>
        </w:tc>
      </w:tr>
      <w:tr>
        <w:trPr>
          <w:trHeight w:val="229"/>
        </w:trPr>
        <w:tc>
          <w:tcPr>
            <w:tcW w:w="54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414142"/>
              </w:rPr>
              <w:t>Accretion of convertible preferred stock to redemption value</w:t>
            </w:r>
          </w:p>
        </w:tc>
        <w:tc>
          <w:tcPr>
            <w:tcW w:w="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4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(4,338)</w:t>
            </w:r>
          </w:p>
        </w:tc>
        <w:tc>
          <w:tcPr>
            <w:tcW w:w="80" w:type="dxa"/>
            <w:vAlign w:val="bottom"/>
            <w:shd w:val="clear" w:color="auto" w:fill="E5E6E7"/>
          </w:tcPr>
          <w:p>
            <w:pPr>
              <w:spacing w:after="0"/>
              <w:rPr>
                <w:sz w:val="19"/>
                <w:szCs w:val="19"/>
                <w:color w:val="auto"/>
              </w:rPr>
            </w:pPr>
          </w:p>
        </w:tc>
      </w:tr>
      <w:tr>
        <w:trPr>
          <w:trHeight w:val="224"/>
        </w:trPr>
        <w:tc>
          <w:tcPr>
            <w:tcW w:w="540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231F20"/>
              </w:rPr>
              <w:t>Dividends on Series A, B, B-1, B-2, C, D, E, F, G, G-3, and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5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G-4 preferred shares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(39,347)</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(44,497)</w:t>
            </w:r>
          </w:p>
        </w:tc>
      </w:tr>
      <w:tr>
        <w:trPr>
          <w:trHeight w:val="224"/>
        </w:trPr>
        <w:tc>
          <w:tcPr>
            <w:tcW w:w="5400" w:type="dxa"/>
            <w:vAlign w:val="bottom"/>
            <w:shd w:val="clear" w:color="auto" w:fill="E5E6E7"/>
          </w:tcPr>
          <w:p>
            <w:pPr>
              <w:ind w:left="400"/>
              <w:spacing w:after="0" w:line="225" w:lineRule="exact"/>
              <w:rPr>
                <w:sz w:val="20"/>
                <w:szCs w:val="20"/>
                <w:color w:val="auto"/>
              </w:rPr>
            </w:pPr>
            <w:r>
              <w:rPr>
                <w:rFonts w:ascii="Times New Roman" w:cs="Times New Roman" w:eastAsia="Times New Roman" w:hAnsi="Times New Roman"/>
                <w:sz w:val="20"/>
                <w:szCs w:val="20"/>
                <w:color w:val="414142"/>
              </w:rPr>
              <w:t>Cumulative undeclared dividends on Series C preferred</w:t>
            </w:r>
          </w:p>
        </w:tc>
        <w:tc>
          <w:tcPr>
            <w:tcW w:w="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50"/>
        </w:trPr>
        <w:tc>
          <w:tcPr>
            <w:tcW w:w="54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414142"/>
              </w:rPr>
              <w:t>shares</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14142"/>
              </w:rPr>
              <w:t>—</w:t>
            </w: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(1,174)</w:t>
            </w: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(3,011)</w:t>
            </w: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 attributable to common shareholders, basic and diluted</w:t>
            </w:r>
          </w:p>
        </w:tc>
        <w:tc>
          <w:tcPr>
            <w:tcW w:w="20" w:type="dxa"/>
            <w:vAlign w:val="bottom"/>
          </w:tcPr>
          <w:p>
            <w:pPr>
              <w:spacing w:after="0"/>
              <w:rPr>
                <w:sz w:val="20"/>
                <w:szCs w:val="20"/>
                <w:color w:val="auto"/>
              </w:rPr>
            </w:pPr>
          </w:p>
        </w:tc>
        <w:tc>
          <w:tcPr>
            <w:tcW w:w="300" w:type="dxa"/>
            <w:vAlign w:val="bottom"/>
            <w:tcBorders>
              <w:top w:val="single" w:sz="8" w:color="231F20"/>
            </w:tcBorders>
          </w:tcPr>
          <w:p>
            <w:pPr>
              <w:spacing w:after="0"/>
              <w:rPr>
                <w:sz w:val="20"/>
                <w:szCs w:val="20"/>
                <w:color w:val="auto"/>
              </w:rPr>
            </w:pP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(245,028)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231F20"/>
            </w:tcBorders>
          </w:tcPr>
          <w:p>
            <w:pPr>
              <w:spacing w:after="0"/>
              <w:rPr>
                <w:sz w:val="20"/>
                <w:szCs w:val="20"/>
                <w:color w:val="auto"/>
              </w:rPr>
            </w:pPr>
          </w:p>
        </w:tc>
        <w:tc>
          <w:tcPr>
            <w:tcW w:w="12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(746,330)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231F20"/>
            </w:tcBorders>
          </w:tcPr>
          <w:p>
            <w:pPr>
              <w:spacing w:after="0"/>
              <w:rPr>
                <w:sz w:val="20"/>
                <w:szCs w:val="20"/>
                <w:color w:val="auto"/>
              </w:rPr>
            </w:pPr>
          </w:p>
        </w:tc>
        <w:tc>
          <w:tcPr>
            <w:tcW w:w="10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(265,964)</w:t>
            </w:r>
          </w:p>
        </w:tc>
        <w:tc>
          <w:tcPr>
            <w:tcW w:w="80" w:type="dxa"/>
            <w:vAlign w:val="bottom"/>
          </w:tcPr>
          <w:p>
            <w:pPr>
              <w:spacing w:after="0"/>
              <w:rPr>
                <w:sz w:val="20"/>
                <w:szCs w:val="20"/>
                <w:color w:val="auto"/>
              </w:rPr>
            </w:pPr>
          </w:p>
        </w:tc>
      </w:tr>
      <w:tr>
        <w:trPr>
          <w:trHeight w:val="224"/>
        </w:trPr>
        <w:tc>
          <w:tcPr>
            <w:tcW w:w="540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414142"/>
              </w:rPr>
              <w:t>Net loss per share attributable to common shareholders, basic</w:t>
            </w:r>
          </w:p>
        </w:tc>
        <w:tc>
          <w:tcPr>
            <w:tcW w:w="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50"/>
        </w:trPr>
        <w:tc>
          <w:tcPr>
            <w:tcW w:w="54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and diluted</w:t>
            </w:r>
          </w:p>
        </w:tc>
        <w:tc>
          <w:tcPr>
            <w:tcW w:w="320" w:type="dxa"/>
            <w:vAlign w:val="bottom"/>
            <w:gridSpan w:val="2"/>
            <w:shd w:val="clear" w:color="auto" w:fill="E5E6E7"/>
          </w:tcPr>
          <w:p>
            <w:pPr>
              <w:jc w:val="right"/>
              <w:ind w:right="135"/>
              <w:spacing w:after="0"/>
              <w:rPr>
                <w:sz w:val="20"/>
                <w:szCs w:val="20"/>
                <w:color w:val="auto"/>
              </w:rPr>
            </w:pPr>
            <w:r>
              <w:rPr>
                <w:rFonts w:ascii="Times New Roman" w:cs="Times New Roman" w:eastAsia="Times New Roman" w:hAnsi="Times New Roman"/>
                <w:sz w:val="20"/>
                <w:szCs w:val="20"/>
                <w:color w:val="414142"/>
                <w:w w:val="79"/>
              </w:rPr>
              <w:t>$</w:t>
            </w:r>
          </w:p>
        </w:tc>
        <w:tc>
          <w:tcPr>
            <w:tcW w:w="122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rPr>
              <w:t>(1.41)</w:t>
            </w:r>
          </w:p>
        </w:tc>
        <w:tc>
          <w:tcPr>
            <w:tcW w:w="2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4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(6.23)</w:t>
            </w:r>
          </w:p>
        </w:tc>
        <w:tc>
          <w:tcPr>
            <w:tcW w:w="3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c>
          <w:tcPr>
            <w:tcW w:w="11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(4.20)</w:t>
            </w:r>
          </w:p>
        </w:tc>
      </w:tr>
      <w:tr>
        <w:trPr>
          <w:trHeight w:val="224"/>
        </w:trPr>
        <w:tc>
          <w:tcPr>
            <w:tcW w:w="54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Weighted-average shares outstanding used to compute net loss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0"/>
        </w:trPr>
        <w:tc>
          <w:tcPr>
            <w:tcW w:w="540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per share, basic and diluted</w:t>
            </w:r>
          </w:p>
        </w:tc>
        <w:tc>
          <w:tcPr>
            <w:tcW w:w="20" w:type="dxa"/>
            <w:vAlign w:val="bottom"/>
            <w:tcBorders>
              <w:bottom w:val="single" w:sz="8" w:color="E5E6E7"/>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174,264</w:t>
            </w:r>
          </w:p>
        </w:tc>
        <w:tc>
          <w:tcPr>
            <w:tcW w:w="140" w:type="dxa"/>
            <w:vAlign w:val="bottom"/>
            <w:tcBorders>
              <w:bottom w:val="single" w:sz="8" w:color="E5E6E7"/>
            </w:tcBorders>
          </w:tcPr>
          <w:p>
            <w:pPr>
              <w:spacing w:after="0"/>
              <w:rPr>
                <w:sz w:val="24"/>
                <w:szCs w:val="24"/>
                <w:color w:val="auto"/>
              </w:rPr>
            </w:pPr>
          </w:p>
        </w:tc>
        <w:tc>
          <w:tcPr>
            <w:tcW w:w="80" w:type="dxa"/>
            <w:vAlign w:val="bottom"/>
            <w:tcBorders>
              <w:bottom w:val="single" w:sz="8" w:color="E5E6E7"/>
            </w:tcBorders>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119,849</w:t>
            </w:r>
          </w:p>
        </w:tc>
        <w:tc>
          <w:tcPr>
            <w:tcW w:w="240" w:type="dxa"/>
            <w:vAlign w:val="bottom"/>
            <w:tcBorders>
              <w:bottom w:val="single" w:sz="8" w:color="E5E6E7"/>
            </w:tcBorders>
          </w:tcPr>
          <w:p>
            <w:pPr>
              <w:spacing w:after="0"/>
              <w:rPr>
                <w:sz w:val="24"/>
                <w:szCs w:val="24"/>
                <w:color w:val="auto"/>
              </w:rPr>
            </w:pPr>
          </w:p>
        </w:tc>
        <w:tc>
          <w:tcPr>
            <w:tcW w:w="40" w:type="dxa"/>
            <w:vAlign w:val="bottom"/>
            <w:tcBorders>
              <w:bottom w:val="single" w:sz="8" w:color="E5E6E7"/>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63,306</w:t>
            </w:r>
          </w:p>
        </w:tc>
        <w:tc>
          <w:tcPr>
            <w:tcW w:w="80" w:type="dxa"/>
            <w:vAlign w:val="bottom"/>
            <w:tcBorders>
              <w:bottom w:val="single" w:sz="8" w:color="E5E6E7"/>
            </w:tcBorders>
          </w:tcPr>
          <w:p>
            <w:pPr>
              <w:spacing w:after="0"/>
              <w:rPr>
                <w:sz w:val="24"/>
                <w:szCs w:val="24"/>
                <w:color w:val="auto"/>
              </w:rPr>
            </w:pPr>
          </w:p>
        </w:tc>
      </w:tr>
      <w:tr>
        <w:trPr>
          <w:trHeight w:val="229"/>
        </w:trPr>
        <w:tc>
          <w:tcPr>
            <w:tcW w:w="54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Comprehensive Loss, net of tax</w:t>
            </w:r>
          </w:p>
        </w:tc>
        <w:tc>
          <w:tcPr>
            <w:tcW w:w="2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14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4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106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44"/>
        </w:trPr>
        <w:tc>
          <w:tcPr>
            <w:tcW w:w="5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Net loss</w:t>
            </w:r>
          </w:p>
        </w:tc>
        <w:tc>
          <w:tcPr>
            <w:tcW w:w="20" w:type="dxa"/>
            <w:vAlign w:val="bottom"/>
          </w:tcPr>
          <w:p>
            <w:pPr>
              <w:spacing w:after="0"/>
              <w:rPr>
                <w:sz w:val="21"/>
                <w:szCs w:val="21"/>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(245,028)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(705,809)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(214,118)</w:t>
            </w:r>
          </w:p>
        </w:tc>
        <w:tc>
          <w:tcPr>
            <w:tcW w:w="80" w:type="dxa"/>
            <w:vAlign w:val="bottom"/>
          </w:tcPr>
          <w:p>
            <w:pPr>
              <w:spacing w:after="0"/>
              <w:rPr>
                <w:sz w:val="21"/>
                <w:szCs w:val="21"/>
                <w:color w:val="auto"/>
              </w:rPr>
            </w:pPr>
          </w:p>
        </w:tc>
      </w:tr>
      <w:tr>
        <w:trPr>
          <w:trHeight w:val="244"/>
        </w:trPr>
        <w:tc>
          <w:tcPr>
            <w:tcW w:w="540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414142"/>
              </w:rPr>
              <w:t>Foreign currency translation adjustment</w:t>
            </w:r>
          </w:p>
        </w:tc>
        <w:tc>
          <w:tcPr>
            <w:tcW w:w="2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808</w:t>
            </w: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2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89</w:t>
            </w:r>
          </w:p>
        </w:tc>
        <w:tc>
          <w:tcPr>
            <w:tcW w:w="24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(13)</w:t>
            </w:r>
          </w:p>
        </w:tc>
      </w:tr>
      <w:tr>
        <w:trPr>
          <w:trHeight w:val="239"/>
        </w:trPr>
        <w:tc>
          <w:tcPr>
            <w:tcW w:w="54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Comprehensive loss</w:t>
            </w:r>
          </w:p>
        </w:tc>
        <w:tc>
          <w:tcPr>
            <w:tcW w:w="20" w:type="dxa"/>
            <w:vAlign w:val="bottom"/>
            <w:tcBorders>
              <w:bottom w:val="single" w:sz="8" w:color="231F20"/>
            </w:tcBorders>
          </w:tcPr>
          <w:p>
            <w:pPr>
              <w:spacing w:after="0"/>
              <w:rPr>
                <w:sz w:val="20"/>
                <w:szCs w:val="20"/>
                <w:color w:val="auto"/>
              </w:rPr>
            </w:pPr>
          </w:p>
        </w:tc>
        <w:tc>
          <w:tcPr>
            <w:tcW w:w="300" w:type="dxa"/>
            <w:vAlign w:val="bottom"/>
            <w:tcBorders>
              <w:top w:val="single" w:sz="8" w:color="231F20"/>
              <w:bottom w:val="single" w:sz="8" w:color="231F20"/>
            </w:tcBorders>
          </w:tcPr>
          <w:p>
            <w:pPr>
              <w:jc w:val="right"/>
              <w:ind w:right="1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(244,220)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(705,720)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231F20"/>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(214,131)</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-5524500</wp:posOffset>
            </wp:positionV>
            <wp:extent cx="295338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0">
                      <a:extLst>
                        <a:ext uri="{28A0092B-C50C-407E-A947-70E740481C1C}"/>
                      </a:extLst>
                    </a:blip>
                    <a:srcRect/>
                    <a:stretch>
                      <a:fillRect/>
                    </a:stretch>
                  </pic:blipFill>
                  <pic:spPr bwMode="auto">
                    <a:xfrm>
                      <a:off x="0" y="0"/>
                      <a:ext cx="295338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4458335</wp:posOffset>
                </wp:positionH>
                <wp:positionV relativeFrom="paragraph">
                  <wp:posOffset>-2858135</wp:posOffset>
                </wp:positionV>
                <wp:extent cx="0" cy="952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05pt,-225.0499pt" to="351.05pt,-224.2999pt" o:allowincell="f" strokecolor="#414142" strokeweight="0pt"/>
            </w:pict>
          </mc:Fallback>
        </mc:AlternateContent>
        <w:drawing>
          <wp:anchor simplePos="0" relativeHeight="251657728" behindDoc="1" locked="0" layoutInCell="0" allowOverlap="1">
            <wp:simplePos x="0" y="0"/>
            <wp:positionH relativeFrom="column">
              <wp:posOffset>4439285</wp:posOffset>
            </wp:positionH>
            <wp:positionV relativeFrom="paragraph">
              <wp:posOffset>-2867025</wp:posOffset>
            </wp:positionV>
            <wp:extent cx="12192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1">
                      <a:extLst>
                        <a:ext uri="{28A0092B-C50C-407E-A947-70E740481C1C}"/>
                      </a:extLst>
                    </a:blip>
                    <a:srcRect/>
                    <a:stretch>
                      <a:fillRect/>
                    </a:stretch>
                  </pic:blipFill>
                  <pic:spPr bwMode="auto">
                    <a:xfrm>
                      <a:off x="0" y="0"/>
                      <a:ext cx="121920" cy="3810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-685800</wp:posOffset>
            </wp:positionV>
            <wp:extent cx="121920" cy="666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2">
                      <a:extLst>
                        <a:ext uri="{28A0092B-C50C-407E-A947-70E740481C1C}"/>
                      </a:extLst>
                    </a:blip>
                    <a:srcRect/>
                    <a:stretch>
                      <a:fillRect/>
                    </a:stretch>
                  </pic:blipFill>
                  <pic:spPr bwMode="auto">
                    <a:xfrm>
                      <a:off x="0" y="0"/>
                      <a:ext cx="121920" cy="66675"/>
                    </a:xfrm>
                    <a:prstGeom prst="rect">
                      <a:avLst/>
                    </a:prstGeom>
                    <a:noFill/>
                  </pic:spPr>
                </pic:pic>
              </a:graphicData>
            </a:graphic>
          </wp:anchor>
        </w:drawing>
      </w:r>
    </w:p>
    <w:p>
      <w:pPr>
        <w:spacing w:after="0" w:line="237" w:lineRule="exact"/>
        <w:rPr>
          <w:sz w:val="20"/>
          <w:szCs w:val="20"/>
          <w:color w:val="auto"/>
        </w:rPr>
      </w:pPr>
    </w:p>
    <w:p>
      <w:pPr>
        <w:ind w:right="560"/>
        <w:spacing w:after="0" w:line="235" w:lineRule="auto"/>
        <w:tabs>
          <w:tab w:leader="none" w:pos="202" w:val="left"/>
        </w:tabs>
        <w:numPr>
          <w:ilvl w:val="0"/>
          <w:numId w:val="60"/>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Includes related party revenue of $65,251, $4,502 and $673 for the years ended December 31, 2025, 2024 and 2023, respectively.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080"/>
          </w:cols>
          <w:pgMar w:left="900" w:top="7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140</w:t>
      </w:r>
    </w:p>
    <w:p>
      <w:pPr>
        <w:sectPr>
          <w:pgSz w:w="11880" w:h="15480" w:orient="portrait"/>
          <w:cols w:equalWidth="0" w:num="1">
            <w:col w:w="10080"/>
          </w:cols>
          <w:pgMar w:left="900" w:top="792" w:right="900" w:bottom="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5860" w:type="dxa"/>
            <w:vAlign w:val="bottom"/>
            <w:tcBorders>
              <w:bottom w:val="single" w:sz="8" w:color="E5E6E7"/>
            </w:tcBorders>
          </w:tcPr>
          <w:p>
            <w:pPr>
              <w:spacing w:after="0"/>
              <w:rPr>
                <w:sz w:val="19"/>
                <w:szCs w:val="19"/>
                <w:color w:val="auto"/>
              </w:rPr>
            </w:pPr>
          </w:p>
        </w:tc>
        <w:tc>
          <w:tcPr>
            <w:tcW w:w="660" w:type="dxa"/>
            <w:vAlign w:val="bottom"/>
            <w:tcBorders>
              <w:bottom w:val="single" w:sz="8" w:color="E5E6E7"/>
            </w:tcBorders>
          </w:tcPr>
          <w:p>
            <w:pPr>
              <w:spacing w:after="0"/>
              <w:rPr>
                <w:sz w:val="19"/>
                <w:szCs w:val="19"/>
                <w:color w:val="auto"/>
              </w:rPr>
            </w:pPr>
          </w:p>
        </w:tc>
        <w:tc>
          <w:tcPr>
            <w:tcW w:w="200" w:type="dxa"/>
            <w:vAlign w:val="bottom"/>
            <w:tcBorders>
              <w:bottom w:val="single" w:sz="8" w:color="414142"/>
            </w:tcBorders>
          </w:tcPr>
          <w:p>
            <w:pPr>
              <w:spacing w:after="0"/>
              <w:rPr>
                <w:sz w:val="19"/>
                <w:szCs w:val="19"/>
                <w:color w:val="auto"/>
              </w:rPr>
            </w:pPr>
          </w:p>
        </w:tc>
        <w:tc>
          <w:tcPr>
            <w:tcW w:w="820" w:type="dxa"/>
            <w:vAlign w:val="bottom"/>
            <w:tcBorders>
              <w:bottom w:val="single" w:sz="8" w:color="414142"/>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40" w:type="dxa"/>
            <w:vAlign w:val="bottom"/>
            <w:tcBorders>
              <w:bottom w:val="single" w:sz="8" w:color="E5E6E7"/>
            </w:tcBorders>
          </w:tcPr>
          <w:p>
            <w:pPr>
              <w:spacing w:after="0"/>
              <w:rPr>
                <w:sz w:val="19"/>
                <w:szCs w:val="19"/>
                <w:color w:val="auto"/>
              </w:rPr>
            </w:pPr>
          </w:p>
        </w:tc>
        <w:tc>
          <w:tcPr>
            <w:tcW w:w="180" w:type="dxa"/>
            <w:vAlign w:val="bottom"/>
            <w:tcBorders>
              <w:bottom w:val="single" w:sz="8" w:color="414142"/>
            </w:tcBorders>
          </w:tcPr>
          <w:p>
            <w:pPr>
              <w:spacing w:after="0"/>
              <w:rPr>
                <w:sz w:val="19"/>
                <w:szCs w:val="19"/>
                <w:color w:val="auto"/>
              </w:rPr>
            </w:pPr>
          </w:p>
        </w:tc>
        <w:tc>
          <w:tcPr>
            <w:tcW w:w="780" w:type="dxa"/>
            <w:vAlign w:val="bottom"/>
            <w:tcBorders>
              <w:bottom w:val="single" w:sz="8" w:color="414142"/>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200" w:type="dxa"/>
            <w:vAlign w:val="bottom"/>
            <w:tcBorders>
              <w:bottom w:val="single" w:sz="8" w:color="E5E6E7"/>
            </w:tcBorders>
          </w:tcPr>
          <w:p>
            <w:pPr>
              <w:spacing w:after="0"/>
              <w:rPr>
                <w:sz w:val="19"/>
                <w:szCs w:val="19"/>
                <w:color w:val="auto"/>
              </w:rPr>
            </w:pPr>
          </w:p>
        </w:tc>
        <w:tc>
          <w:tcPr>
            <w:tcW w:w="320" w:type="dxa"/>
            <w:vAlign w:val="bottom"/>
            <w:tcBorders>
              <w:bottom w:val="single" w:sz="8" w:color="414142"/>
            </w:tcBorders>
          </w:tcPr>
          <w:p>
            <w:pPr>
              <w:spacing w:after="0"/>
              <w:rPr>
                <w:sz w:val="19"/>
                <w:szCs w:val="19"/>
                <w:color w:val="auto"/>
              </w:rPr>
            </w:pPr>
          </w:p>
        </w:tc>
        <w:tc>
          <w:tcPr>
            <w:tcW w:w="720" w:type="dxa"/>
            <w:vAlign w:val="bottom"/>
            <w:tcBorders>
              <w:bottom w:val="single" w:sz="8" w:color="414142"/>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100" w:type="dxa"/>
            <w:vAlign w:val="bottom"/>
            <w:tcBorders>
              <w:bottom w:val="single" w:sz="8" w:color="E5E6E7"/>
            </w:tcBorders>
          </w:tcPr>
          <w:p>
            <w:pPr>
              <w:spacing w:after="0"/>
              <w:rPr>
                <w:sz w:val="19"/>
                <w:szCs w:val="19"/>
                <w:color w:val="auto"/>
              </w:rPr>
            </w:pPr>
          </w:p>
        </w:tc>
      </w:tr>
      <w:tr>
        <w:trPr>
          <w:trHeight w:val="216"/>
        </w:trPr>
        <w:tc>
          <w:tcPr>
            <w:tcW w:w="58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b w:val="1"/>
                <w:bCs w:val="1"/>
                <w:color w:val="414142"/>
              </w:rPr>
              <w:t>Operating activities</w:t>
            </w:r>
          </w:p>
        </w:tc>
        <w:tc>
          <w:tcPr>
            <w:tcW w:w="66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78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320" w:type="dxa"/>
            <w:vAlign w:val="bottom"/>
            <w:shd w:val="clear" w:color="auto" w:fill="E5E6E7"/>
          </w:tcPr>
          <w:p>
            <w:pPr>
              <w:spacing w:after="0"/>
              <w:rPr>
                <w:sz w:val="18"/>
                <w:szCs w:val="18"/>
                <w:color w:val="auto"/>
              </w:rPr>
            </w:pPr>
          </w:p>
        </w:tc>
        <w:tc>
          <w:tcPr>
            <w:tcW w:w="72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r>
      <w:tr>
        <w:trPr>
          <w:trHeight w:val="221"/>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231F20"/>
              </w:rPr>
              <w:t>Net loss</w:t>
            </w:r>
          </w:p>
        </w:tc>
        <w:tc>
          <w:tcPr>
            <w:tcW w:w="66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(245,028)</w:t>
            </w:r>
          </w:p>
        </w:tc>
        <w:tc>
          <w:tcPr>
            <w:tcW w:w="2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(705,809)</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(214,118)</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Adjustments to reconcile net loss to net cash used in operating activities</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spacing w:after="0"/>
              <w:rPr>
                <w:sz w:val="19"/>
                <w:szCs w:val="19"/>
                <w:color w:val="auto"/>
              </w:rPr>
            </w:pP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 in fair value of warrant liability</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42,400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(8,000)</w:t>
            </w: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Gain on warrant termination</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8"/>
                <w:szCs w:val="18"/>
                <w:color w:val="414142"/>
              </w:rPr>
              <w:t>—</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(39,100)</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Reversal of warrant contract asset amortization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(16,301)</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Stock-based compensation</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124,747</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534,138</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Gain on warrant exercise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(173)</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Gain on marketable equity securities</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(16,471)</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(12,110)</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(9,807)</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Loss on disposal of property and equipment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Loss on debt extinguishment</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12,034</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8"/>
                <w:szCs w:val="18"/>
                <w:color w:val="414142"/>
              </w:rPr>
              <w:t>—</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Deferred income taxes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(52,665)</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Losses from equity method investments</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5,614</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4,228</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301</w:t>
            </w: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Amortization of original issue discount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1,382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1,117</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Amortization of deferred financing fees</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484</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510</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510</w:t>
            </w: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 in fair value of contingent consideration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(400)</w:t>
            </w: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Change in fair value of holdback liability</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(1,337)</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8"/>
                <w:szCs w:val="18"/>
                <w:color w:val="414142"/>
              </w:rPr>
              <w:t>—</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Amortization of warrant contract asset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4,843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5,221</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Depreciation and amortization</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102,324</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37,245</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33,049</w:t>
            </w: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Provision for bad debt expense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1,646</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Provision for obsolete inventory</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1,335</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18"/>
                <w:szCs w:val="18"/>
                <w:color w:val="414142"/>
              </w:rPr>
              <w:t>—</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Amortization of finance right-of-use lease assets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283</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Change in fair value of warrant asset</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18"/>
                <w:szCs w:val="18"/>
                <w:color w:val="414142"/>
              </w:rPr>
              <w:t>—</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(18,302)</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(4,100)</w:t>
            </w: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Non-cash operating lease costs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6,047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6,760</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Minimum accretion expense</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268</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197</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90</w:t>
            </w: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Impairment of intangible assets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7,359</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PIK interest added to principal</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10,537</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8,811</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3,587</w:t>
            </w: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 in assets and liabilities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400"/>
              <w:spacing w:after="0" w:line="221" w:lineRule="exact"/>
              <w:rPr>
                <w:sz w:val="20"/>
                <w:szCs w:val="20"/>
                <w:color w:val="auto"/>
              </w:rPr>
            </w:pPr>
            <w:r>
              <w:rPr>
                <w:rFonts w:ascii="Times New Roman" w:cs="Times New Roman" w:eastAsia="Times New Roman" w:hAnsi="Times New Roman"/>
                <w:sz w:val="18"/>
                <w:szCs w:val="18"/>
                <w:color w:val="414142"/>
              </w:rPr>
              <w:t>Accounts receivable</w:t>
            </w:r>
            <w:r>
              <w:rPr>
                <w:rFonts w:ascii="Times New Roman" w:cs="Times New Roman" w:eastAsia="Times New Roman" w:hAnsi="Times New Roman"/>
                <w:sz w:val="24"/>
                <w:szCs w:val="24"/>
                <w:color w:val="414142"/>
                <w:vertAlign w:val="superscript"/>
              </w:rPr>
              <w:t>(1)</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(90,402)</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(61,037)</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(7,347)</w:t>
            </w:r>
          </w:p>
        </w:tc>
      </w:tr>
      <w:tr>
        <w:trPr>
          <w:trHeight w:val="221"/>
        </w:trPr>
        <w:tc>
          <w:tcPr>
            <w:tcW w:w="5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Inventory</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(3,369)</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(9,541)</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(6,563)</w:t>
            </w:r>
          </w:p>
        </w:tc>
      </w:tr>
      <w:tr>
        <w:trPr>
          <w:trHeight w:val="221"/>
        </w:trPr>
        <w:tc>
          <w:tcPr>
            <w:tcW w:w="586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8"/>
                <w:szCs w:val="18"/>
                <w:color w:val="414142"/>
              </w:rPr>
              <w:t>Prepaid expenses and other current assets</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(1,699)</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(13,683)</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(6,474)</w:t>
            </w:r>
          </w:p>
        </w:tc>
      </w:tr>
      <w:tr>
        <w:trPr>
          <w:trHeight w:val="221"/>
        </w:trPr>
        <w:tc>
          <w:tcPr>
            <w:tcW w:w="5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Investments and other assets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(17,301)</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(751)</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(4,209)</w:t>
            </w:r>
          </w:p>
        </w:tc>
      </w:tr>
      <w:tr>
        <w:trPr>
          <w:trHeight w:val="221"/>
        </w:trPr>
        <w:tc>
          <w:tcPr>
            <w:tcW w:w="586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8"/>
                <w:szCs w:val="18"/>
                <w:color w:val="414142"/>
              </w:rPr>
              <w:t>Accounts payable</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(7,241)</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(23,852)</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(23,363)</w:t>
            </w:r>
          </w:p>
        </w:tc>
      </w:tr>
      <w:tr>
        <w:trPr>
          <w:trHeight w:val="221"/>
        </w:trPr>
        <w:tc>
          <w:tcPr>
            <w:tcW w:w="5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Related party asset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(25,000)</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860" w:type="dxa"/>
            <w:vAlign w:val="bottom"/>
            <w:shd w:val="clear" w:color="auto" w:fill="E5E6E7"/>
          </w:tcPr>
          <w:p>
            <w:pPr>
              <w:ind w:left="400"/>
              <w:spacing w:after="0" w:line="221" w:lineRule="exact"/>
              <w:rPr>
                <w:sz w:val="20"/>
                <w:szCs w:val="20"/>
                <w:color w:val="auto"/>
              </w:rPr>
            </w:pPr>
            <w:r>
              <w:rPr>
                <w:rFonts w:ascii="Times New Roman" w:cs="Times New Roman" w:eastAsia="Times New Roman" w:hAnsi="Times New Roman"/>
                <w:sz w:val="18"/>
                <w:szCs w:val="18"/>
                <w:color w:val="414142"/>
              </w:rPr>
              <w:t>Deferred revenue</w:t>
            </w:r>
            <w:r>
              <w:rPr>
                <w:rFonts w:ascii="Times New Roman" w:cs="Times New Roman" w:eastAsia="Times New Roman" w:hAnsi="Times New Roman"/>
                <w:sz w:val="24"/>
                <w:szCs w:val="24"/>
                <w:color w:val="414142"/>
                <w:vertAlign w:val="superscript"/>
              </w:rPr>
              <w:t>(2)</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10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(6,960)</w:t>
            </w: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(20,942)</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(26,412)</w:t>
            </w:r>
          </w:p>
        </w:tc>
      </w:tr>
      <w:tr>
        <w:trPr>
          <w:trHeight w:val="221"/>
        </w:trPr>
        <w:tc>
          <w:tcPr>
            <w:tcW w:w="5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Deferred other income</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(15,955)</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39,887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86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8"/>
                <w:szCs w:val="18"/>
                <w:color w:val="414142"/>
              </w:rPr>
              <w:t>Accrued data licensing fees</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2,966</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9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8"/>
                <w:szCs w:val="18"/>
                <w:color w:val="414142"/>
              </w:rPr>
              <w:t>(5,000)</w:t>
            </w:r>
          </w:p>
        </w:tc>
        <w:tc>
          <w:tcPr>
            <w:tcW w:w="320" w:type="dxa"/>
            <w:vAlign w:val="bottom"/>
            <w:shd w:val="clear" w:color="auto" w:fill="E5E6E7"/>
          </w:tcPr>
          <w:p>
            <w:pPr>
              <w:spacing w:after="0"/>
              <w:rPr>
                <w:sz w:val="19"/>
                <w:szCs w:val="19"/>
                <w:color w:val="auto"/>
              </w:rPr>
            </w:pPr>
          </w:p>
        </w:tc>
        <w:tc>
          <w:tcPr>
            <w:tcW w:w="8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(9,121)</w:t>
            </w:r>
          </w:p>
        </w:tc>
      </w:tr>
      <w:tr>
        <w:trPr>
          <w:trHeight w:val="221"/>
        </w:trPr>
        <w:tc>
          <w:tcPr>
            <w:tcW w:w="5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Accrued expenses &amp; other</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(12,844)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50,540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38,577</w:t>
            </w:r>
          </w:p>
        </w:tc>
        <w:tc>
          <w:tcPr>
            <w:tcW w:w="100" w:type="dxa"/>
            <w:vAlign w:val="bottom"/>
          </w:tcPr>
          <w:p>
            <w:pPr>
              <w:spacing w:after="0"/>
              <w:rPr>
                <w:sz w:val="19"/>
                <w:szCs w:val="19"/>
                <w:color w:val="auto"/>
              </w:rPr>
            </w:pPr>
          </w:p>
        </w:tc>
      </w:tr>
      <w:tr>
        <w:trPr>
          <w:trHeight w:val="221"/>
        </w:trPr>
        <w:tc>
          <w:tcPr>
            <w:tcW w:w="586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18"/>
                <w:szCs w:val="18"/>
                <w:color w:val="414142"/>
              </w:rPr>
              <w:t>Interest payable</w:t>
            </w:r>
          </w:p>
        </w:tc>
        <w:tc>
          <w:tcPr>
            <w:tcW w:w="66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14,206</w:t>
            </w:r>
          </w:p>
        </w:tc>
        <w:tc>
          <w:tcPr>
            <w:tcW w:w="240" w:type="dxa"/>
            <w:vAlign w:val="bottom"/>
            <w:shd w:val="clear" w:color="auto" w:fill="E5E6E7"/>
          </w:tcPr>
          <w:p>
            <w:pPr>
              <w:spacing w:after="0"/>
              <w:rPr>
                <w:sz w:val="19"/>
                <w:szCs w:val="19"/>
                <w:color w:val="auto"/>
              </w:rPr>
            </w:pPr>
          </w:p>
        </w:tc>
        <w:tc>
          <w:tcPr>
            <w:tcW w:w="180" w:type="dxa"/>
            <w:vAlign w:val="bottom"/>
            <w:shd w:val="clear" w:color="auto" w:fill="E5E6E7"/>
          </w:tcPr>
          <w:p>
            <w:pPr>
              <w:spacing w:after="0"/>
              <w:rPr>
                <w:sz w:val="19"/>
                <w:szCs w:val="19"/>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15,129</w:t>
            </w:r>
          </w:p>
        </w:tc>
        <w:tc>
          <w:tcPr>
            <w:tcW w:w="200" w:type="dxa"/>
            <w:vAlign w:val="bottom"/>
            <w:shd w:val="clear" w:color="auto" w:fill="E5E6E7"/>
          </w:tcPr>
          <w:p>
            <w:pPr>
              <w:spacing w:after="0"/>
              <w:rPr>
                <w:sz w:val="19"/>
                <w:szCs w:val="19"/>
                <w:color w:val="auto"/>
              </w:rPr>
            </w:pPr>
          </w:p>
        </w:tc>
        <w:tc>
          <w:tcPr>
            <w:tcW w:w="320" w:type="dxa"/>
            <w:vAlign w:val="bottom"/>
            <w:shd w:val="clear" w:color="auto" w:fill="E5E6E7"/>
          </w:tcPr>
          <w:p>
            <w:pPr>
              <w:spacing w:after="0"/>
              <w:rPr>
                <w:sz w:val="19"/>
                <w:szCs w:val="19"/>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15,836</w:t>
            </w:r>
          </w:p>
        </w:tc>
        <w:tc>
          <w:tcPr>
            <w:tcW w:w="100" w:type="dxa"/>
            <w:vAlign w:val="bottom"/>
            <w:shd w:val="clear" w:color="auto" w:fill="E5E6E7"/>
          </w:tcPr>
          <w:p>
            <w:pPr>
              <w:spacing w:after="0"/>
              <w:rPr>
                <w:sz w:val="19"/>
                <w:szCs w:val="19"/>
                <w:color w:val="auto"/>
              </w:rPr>
            </w:pPr>
          </w:p>
        </w:tc>
      </w:tr>
      <w:tr>
        <w:trPr>
          <w:trHeight w:val="221"/>
        </w:trPr>
        <w:tc>
          <w:tcPr>
            <w:tcW w:w="5860" w:type="dxa"/>
            <w:vAlign w:val="bottom"/>
          </w:tcPr>
          <w:p>
            <w:pPr>
              <w:ind w:left="400"/>
              <w:spacing w:after="0"/>
              <w:rPr>
                <w:sz w:val="20"/>
                <w:szCs w:val="20"/>
                <w:color w:val="auto"/>
              </w:rPr>
            </w:pPr>
            <w:r>
              <w:rPr>
                <w:rFonts w:ascii="Times New Roman" w:cs="Times New Roman" w:eastAsia="Times New Roman" w:hAnsi="Times New Roman"/>
                <w:sz w:val="18"/>
                <w:szCs w:val="18"/>
                <w:color w:val="231F20"/>
              </w:rPr>
              <w:t>Operating lease liabilities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(14,948)</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(8,553)</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(8,761)</w:t>
            </w:r>
          </w:p>
        </w:tc>
      </w:tr>
      <w:tr>
        <w:trPr>
          <w:trHeight w:val="216"/>
        </w:trPr>
        <w:tc>
          <w:tcPr>
            <w:tcW w:w="5860" w:type="dxa"/>
            <w:vAlign w:val="bottom"/>
            <w:tcBorders>
              <w:top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18"/>
                <w:szCs w:val="18"/>
                <w:b w:val="1"/>
                <w:bCs w:val="1"/>
                <w:color w:val="414142"/>
              </w:rPr>
              <w:t>Net cash used in operating activities</w:t>
            </w:r>
          </w:p>
        </w:tc>
        <w:tc>
          <w:tcPr>
            <w:tcW w:w="660" w:type="dxa"/>
            <w:vAlign w:val="bottom"/>
            <w:tcBorders>
              <w:top w:val="single" w:sz="8" w:color="E5E6E7"/>
            </w:tcBorders>
            <w:shd w:val="clear" w:color="auto" w:fill="E5E6E7"/>
          </w:tcPr>
          <w:p>
            <w:pPr>
              <w:spacing w:after="0"/>
              <w:rPr>
                <w:sz w:val="18"/>
                <w:szCs w:val="18"/>
                <w:color w:val="auto"/>
              </w:rPr>
            </w:pPr>
          </w:p>
        </w:tc>
        <w:tc>
          <w:tcPr>
            <w:tcW w:w="2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shd w:val="clear" w:color="auto" w:fill="E5E6E7"/>
              </w:rPr>
              <w:t>$</w:t>
            </w:r>
          </w:p>
        </w:tc>
        <w:tc>
          <w:tcPr>
            <w:tcW w:w="8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shd w:val="clear" w:color="auto" w:fill="E5E6E7"/>
              </w:rPr>
              <w:t>(218,090</w:t>
            </w:r>
          </w:p>
        </w:tc>
        <w:tc>
          <w:tcPr>
            <w:tcW w:w="240" w:type="dxa"/>
            <w:vAlign w:val="bottom"/>
            <w:tcBorders>
              <w:top w:val="single" w:sz="8" w:color="E5E6E7"/>
            </w:tcBorders>
            <w:shd w:val="clear" w:color="auto" w:fill="E5E6E7"/>
          </w:tcPr>
          <w:p>
            <w:pPr>
              <w:jc w:val="right"/>
              <w:ind w:right="100"/>
              <w:spacing w:after="0"/>
              <w:rPr>
                <w:sz w:val="20"/>
                <w:szCs w:val="20"/>
                <w:color w:val="auto"/>
              </w:rPr>
            </w:pPr>
            <w:r>
              <w:rPr>
                <w:rFonts w:ascii="Times New Roman" w:cs="Times New Roman" w:eastAsia="Times New Roman" w:hAnsi="Times New Roman"/>
                <w:sz w:val="16"/>
                <w:szCs w:val="16"/>
                <w:color w:val="414142"/>
                <w:w w:val="74"/>
              </w:rPr>
              <w:t>)</w:t>
            </w:r>
          </w:p>
        </w:tc>
        <w:tc>
          <w:tcPr>
            <w:tcW w:w="180" w:type="dxa"/>
            <w:vAlign w:val="bottom"/>
            <w:tcBorders>
              <w:top w:val="single" w:sz="8" w:color="231F20"/>
              <w:bottom w:val="single" w:sz="8" w:color="231F20"/>
            </w:tcBorders>
            <w:shd w:val="clear" w:color="auto" w:fill="E5E6E7"/>
          </w:tcPr>
          <w:p>
            <w:pPr>
              <w:jc w:val="right"/>
              <w:ind w:right="15"/>
              <w:spacing w:after="0"/>
              <w:rPr>
                <w:sz w:val="20"/>
                <w:szCs w:val="20"/>
                <w:color w:val="auto"/>
              </w:rPr>
            </w:pPr>
            <w:r>
              <w:rPr>
                <w:rFonts w:ascii="Times New Roman" w:cs="Times New Roman" w:eastAsia="Times New Roman" w:hAnsi="Times New Roman"/>
                <w:sz w:val="17"/>
                <w:szCs w:val="17"/>
                <w:color w:val="414142"/>
                <w:w w:val="70"/>
                <w:shd w:val="clear" w:color="auto" w:fill="E5E6E7"/>
              </w:rPr>
              <w:t>$</w:t>
            </w:r>
          </w:p>
        </w:tc>
        <w:tc>
          <w:tcPr>
            <w:tcW w:w="7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shd w:val="clear" w:color="auto" w:fill="E5E6E7"/>
              </w:rPr>
              <w:t>(189,045</w:t>
            </w:r>
          </w:p>
        </w:tc>
        <w:tc>
          <w:tcPr>
            <w:tcW w:w="200" w:type="dxa"/>
            <w:vAlign w:val="bottom"/>
            <w:tcBorders>
              <w:top w:val="single" w:sz="8" w:color="E5E6E7"/>
            </w:tcBorders>
            <w:shd w:val="clear" w:color="auto" w:fill="E5E6E7"/>
          </w:tcPr>
          <w:p>
            <w:pPr>
              <w:jc w:val="right"/>
              <w:ind w:right="60"/>
              <w:spacing w:after="0"/>
              <w:rPr>
                <w:sz w:val="20"/>
                <w:szCs w:val="20"/>
                <w:color w:val="auto"/>
              </w:rPr>
            </w:pPr>
            <w:r>
              <w:rPr>
                <w:rFonts w:ascii="Times New Roman" w:cs="Times New Roman" w:eastAsia="Times New Roman" w:hAnsi="Times New Roman"/>
                <w:sz w:val="16"/>
                <w:szCs w:val="16"/>
                <w:color w:val="414142"/>
                <w:w w:val="74"/>
              </w:rPr>
              <w:t>)</w:t>
            </w:r>
          </w:p>
        </w:tc>
        <w:tc>
          <w:tcPr>
            <w:tcW w:w="320" w:type="dxa"/>
            <w:vAlign w:val="bottom"/>
            <w:tcBorders>
              <w:top w:val="single" w:sz="8" w:color="231F20"/>
              <w:bottom w:val="single" w:sz="8" w:color="231F20"/>
            </w:tcBorders>
            <w:shd w:val="clear" w:color="auto" w:fill="E5E6E7"/>
          </w:tcPr>
          <w:p>
            <w:pPr>
              <w:jc w:val="right"/>
              <w:ind w:right="130"/>
              <w:spacing w:after="0"/>
              <w:rPr>
                <w:sz w:val="20"/>
                <w:szCs w:val="20"/>
                <w:color w:val="auto"/>
              </w:rPr>
            </w:pPr>
            <w:r>
              <w:rPr>
                <w:rFonts w:ascii="Times New Roman" w:cs="Times New Roman" w:eastAsia="Times New Roman" w:hAnsi="Times New Roman"/>
                <w:sz w:val="18"/>
                <w:szCs w:val="18"/>
                <w:color w:val="414142"/>
                <w:w w:val="88"/>
                <w:shd w:val="clear" w:color="auto" w:fill="E5E6E7"/>
              </w:rPr>
              <w:t>$</w:t>
            </w:r>
          </w:p>
        </w:tc>
        <w:tc>
          <w:tcPr>
            <w:tcW w:w="7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shd w:val="clear" w:color="auto" w:fill="E5E6E7"/>
              </w:rPr>
              <w:t>(214,339</w:t>
            </w:r>
          </w:p>
        </w:tc>
        <w:tc>
          <w:tcPr>
            <w:tcW w:w="10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6"/>
                <w:szCs w:val="16"/>
                <w:color w:val="414142"/>
                <w:w w:val="74"/>
                <w:shd w:val="clear" w:color="auto" w:fill="E5E6E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-5942965</wp:posOffset>
            </wp:positionV>
            <wp:extent cx="223139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3">
                      <a:extLst>
                        <a:ext uri="{28A0092B-C50C-407E-A947-70E740481C1C}"/>
                      </a:extLst>
                    </a:blip>
                    <a:srcRect/>
                    <a:stretch>
                      <a:fillRect/>
                    </a:stretch>
                  </pic:blipFill>
                  <pic:spPr bwMode="auto">
                    <a:xfrm>
                      <a:off x="0" y="0"/>
                      <a:ext cx="2231390" cy="38100"/>
                    </a:xfrm>
                    <a:prstGeom prst="rect">
                      <a:avLst/>
                    </a:prstGeom>
                    <a:noFill/>
                  </pic:spPr>
                </pic:pic>
              </a:graphicData>
            </a:graphic>
          </wp:anchor>
        </w:drawing>
      </w:r>
    </w:p>
    <w:p>
      <w:pPr>
        <w:spacing w:after="0" w:line="191" w:lineRule="exact"/>
        <w:rPr>
          <w:sz w:val="20"/>
          <w:szCs w:val="20"/>
          <w:color w:val="auto"/>
        </w:rPr>
      </w:pPr>
    </w:p>
    <w:p>
      <w:pPr>
        <w:ind w:right="960"/>
        <w:spacing w:after="0" w:line="235" w:lineRule="auto"/>
        <w:tabs>
          <w:tab w:leader="none" w:pos="202" w:val="left"/>
        </w:tabs>
        <w:numPr>
          <w:ilvl w:val="0"/>
          <w:numId w:val="61"/>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Includes increase in related party accounts receivable of $2,141 and $4,203 as of December 31, 2025 and 2024, respectively. Includes decrease in related party accounts receivable of $318 as of December 31, 2023.</w:t>
      </w:r>
    </w:p>
    <w:p>
      <w:pPr>
        <w:spacing w:after="0" w:line="194" w:lineRule="exact"/>
        <w:rPr>
          <w:rFonts w:ascii="Times New Roman" w:cs="Times New Roman" w:eastAsia="Times New Roman" w:hAnsi="Times New Roman"/>
          <w:sz w:val="25"/>
          <w:szCs w:val="25"/>
          <w:color w:val="231F20"/>
          <w:vertAlign w:val="superscript"/>
        </w:rPr>
      </w:pPr>
    </w:p>
    <w:p>
      <w:pPr>
        <w:ind w:right="740"/>
        <w:spacing w:after="0" w:line="235" w:lineRule="auto"/>
        <w:tabs>
          <w:tab w:leader="none" w:pos="202" w:val="left"/>
        </w:tabs>
        <w:numPr>
          <w:ilvl w:val="0"/>
          <w:numId w:val="61"/>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Includes increase in related party deferred revenue of $3,938, $0 and $0 as of December 31, 2025, 2024 and 2023, respectively.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080"/>
          </w:cols>
          <w:pgMar w:left="900" w:top="7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141</w:t>
      </w:r>
    </w:p>
    <w:p>
      <w:pPr>
        <w:sectPr>
          <w:pgSz w:w="11880" w:h="15480" w:orient="portrait"/>
          <w:cols w:equalWidth="0" w:num="1">
            <w:col w:w="10080"/>
          </w:cols>
          <w:pgMar w:left="900" w:top="792" w:right="900" w:bottom="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7"/>
        </w:trPr>
        <w:tc>
          <w:tcPr>
            <w:tcW w:w="634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4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40" w:type="dxa"/>
            <w:vAlign w:val="bottom"/>
            <w:tcBorders>
              <w:bottom w:val="single" w:sz="8" w:color="E5E6E7"/>
            </w:tcBorders>
          </w:tcPr>
          <w:p>
            <w:pPr>
              <w:spacing w:after="0"/>
              <w:rPr>
                <w:sz w:val="19"/>
                <w:szCs w:val="19"/>
                <w:color w:val="auto"/>
              </w:rPr>
            </w:pPr>
          </w:p>
        </w:tc>
        <w:tc>
          <w:tcPr>
            <w:tcW w:w="60" w:type="dxa"/>
            <w:vAlign w:val="bottom"/>
            <w:tcBorders>
              <w:bottom w:val="single" w:sz="8" w:color="E5E6E7"/>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Borders>
              <w:bottom w:val="single" w:sz="8" w:color="E5E6E7"/>
            </w:tcBorders>
          </w:tcPr>
          <w:p>
            <w:pPr>
              <w:spacing w:after="0"/>
              <w:rPr>
                <w:sz w:val="19"/>
                <w:szCs w:val="19"/>
                <w:color w:val="auto"/>
              </w:rPr>
            </w:pPr>
          </w:p>
        </w:tc>
      </w:tr>
      <w:tr>
        <w:trPr>
          <w:trHeight w:val="216"/>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b w:val="1"/>
                <w:bCs w:val="1"/>
                <w:color w:val="414142"/>
              </w:rPr>
              <w:t>Investing activities</w:t>
            </w:r>
          </w:p>
        </w:tc>
        <w:tc>
          <w:tcPr>
            <w:tcW w:w="8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6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300" w:type="dxa"/>
            <w:vAlign w:val="bottom"/>
            <w:shd w:val="clear" w:color="auto" w:fill="E5E6E7"/>
          </w:tcPr>
          <w:p>
            <w:pPr>
              <w:spacing w:after="0"/>
              <w:rPr>
                <w:sz w:val="18"/>
                <w:szCs w:val="18"/>
                <w:color w:val="auto"/>
              </w:rPr>
            </w:pPr>
          </w:p>
        </w:tc>
        <w:tc>
          <w:tcPr>
            <w:tcW w:w="7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Purchases of property and equipment</w:t>
            </w:r>
          </w:p>
        </w:tc>
        <w:tc>
          <w:tcPr>
            <w:tcW w:w="8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(21,049)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(22,121)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(34,608)</w:t>
            </w: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Proceeds from sale of marketable equity securities</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8,316</w:t>
            </w: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23,098</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Purchases of marketable equity securities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(2,740)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(36,183)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Business combinations, net of cash acquired (Note 3)</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(376,666)</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8"/>
                <w:szCs w:val="18"/>
                <w:color w:val="414142"/>
              </w:rPr>
              <w:t>(5,705)</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Investment in joint venture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(95,186)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Capitalized software costs</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(6,216)</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16"/>
        </w:trPr>
        <w:tc>
          <w:tcPr>
            <w:tcW w:w="6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18"/>
                <w:szCs w:val="18"/>
                <w:b w:val="1"/>
                <w:bCs w:val="1"/>
                <w:color w:val="231F20"/>
              </w:rPr>
              <w:t>Net cash used in investing activities</w:t>
            </w:r>
          </w:p>
        </w:tc>
        <w:tc>
          <w:tcPr>
            <w:tcW w:w="80" w:type="dxa"/>
            <w:vAlign w:val="bottom"/>
            <w:tcBorders>
              <w:bottom w:val="single" w:sz="8" w:color="E5E6E7"/>
            </w:tcBorders>
          </w:tcPr>
          <w:p>
            <w:pPr>
              <w:spacing w:after="0"/>
              <w:rPr>
                <w:sz w:val="18"/>
                <w:szCs w:val="18"/>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(398,355</w:t>
            </w:r>
          </w:p>
        </w:tc>
        <w:tc>
          <w:tcPr>
            <w:tcW w:w="140" w:type="dxa"/>
            <w:vAlign w:val="bottom"/>
            <w:tcBorders>
              <w:bottom w:val="single" w:sz="8" w:color="E5E6E7"/>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80" w:type="dxa"/>
            <w:vAlign w:val="bottom"/>
            <w:tcBorders>
              <w:bottom w:val="single" w:sz="8" w:color="E5E6E7"/>
            </w:tcBorders>
          </w:tcPr>
          <w:p>
            <w:pPr>
              <w:spacing w:after="0"/>
              <w:rPr>
                <w:sz w:val="18"/>
                <w:szCs w:val="18"/>
                <w:color w:val="auto"/>
              </w:rPr>
            </w:pPr>
          </w:p>
        </w:tc>
        <w:tc>
          <w:tcPr>
            <w:tcW w:w="220" w:type="dxa"/>
            <w:vAlign w:val="bottom"/>
            <w:tcBorders>
              <w:top w:val="single" w:sz="8" w:color="231F20"/>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(130,392</w:t>
            </w:r>
          </w:p>
        </w:tc>
        <w:tc>
          <w:tcPr>
            <w:tcW w:w="140" w:type="dxa"/>
            <w:vAlign w:val="bottom"/>
            <w:tcBorders>
              <w:bottom w:val="single" w:sz="8" w:color="E5E6E7"/>
            </w:tcBorders>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60" w:type="dxa"/>
            <w:vAlign w:val="bottom"/>
            <w:tcBorders>
              <w:bottom w:val="single" w:sz="8" w:color="E5E6E7"/>
            </w:tcBorders>
          </w:tcPr>
          <w:p>
            <w:pPr>
              <w:spacing w:after="0"/>
              <w:rPr>
                <w:sz w:val="18"/>
                <w:szCs w:val="18"/>
                <w:color w:val="auto"/>
              </w:rPr>
            </w:pPr>
          </w:p>
        </w:tc>
        <w:tc>
          <w:tcPr>
            <w:tcW w:w="300" w:type="dxa"/>
            <w:vAlign w:val="bottom"/>
            <w:tcBorders>
              <w:top w:val="single" w:sz="8" w:color="231F20"/>
              <w:bottom w:val="single" w:sz="8" w:color="231F20"/>
            </w:tcBorders>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(40,313)</w:t>
            </w:r>
          </w:p>
        </w:tc>
        <w:tc>
          <w:tcPr>
            <w:tcW w:w="80" w:type="dxa"/>
            <w:vAlign w:val="bottom"/>
            <w:tcBorders>
              <w:bottom w:val="single" w:sz="8" w:color="E5E6E7"/>
            </w:tcBorders>
          </w:tcPr>
          <w:p>
            <w:pPr>
              <w:spacing w:after="0"/>
              <w:rPr>
                <w:sz w:val="18"/>
                <w:szCs w:val="18"/>
                <w:color w:val="auto"/>
              </w:rPr>
            </w:pPr>
          </w:p>
        </w:tc>
      </w:tr>
      <w:tr>
        <w:trPr>
          <w:trHeight w:val="216"/>
        </w:trPr>
        <w:tc>
          <w:tcPr>
            <w:tcW w:w="63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6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300" w:type="dxa"/>
            <w:vAlign w:val="bottom"/>
            <w:shd w:val="clear" w:color="auto" w:fill="E5E6E7"/>
          </w:tcPr>
          <w:p>
            <w:pPr>
              <w:spacing w:after="0"/>
              <w:rPr>
                <w:sz w:val="18"/>
                <w:szCs w:val="18"/>
                <w:color w:val="auto"/>
              </w:rPr>
            </w:pPr>
          </w:p>
        </w:tc>
        <w:tc>
          <w:tcPr>
            <w:tcW w:w="7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Financing activities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6340" w:type="dxa"/>
            <w:vAlign w:val="bottom"/>
            <w:shd w:val="clear" w:color="auto" w:fill="E5E6E7"/>
          </w:tcPr>
          <w:p>
            <w:pPr>
              <w:spacing w:after="0" w:line="202" w:lineRule="exact"/>
              <w:rPr>
                <w:sz w:val="20"/>
                <w:szCs w:val="20"/>
                <w:color w:val="auto"/>
              </w:rPr>
            </w:pPr>
            <w:r>
              <w:rPr>
                <w:rFonts w:ascii="Times New Roman" w:cs="Times New Roman" w:eastAsia="Times New Roman" w:hAnsi="Times New Roman"/>
                <w:sz w:val="18"/>
                <w:szCs w:val="18"/>
                <w:color w:val="414142"/>
              </w:rPr>
              <w:t>Proceeds from issuance of common stock in connection with initial public offering, net</w:t>
            </w:r>
          </w:p>
        </w:tc>
        <w:tc>
          <w:tcPr>
            <w:tcW w:w="8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86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76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r>
      <w:tr>
        <w:trPr>
          <w:trHeight w:val="225"/>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of underwriting discounts and commissions</w:t>
            </w:r>
          </w:p>
        </w:tc>
        <w:tc>
          <w:tcPr>
            <w:tcW w:w="280" w:type="dxa"/>
            <w:vAlign w:val="bottom"/>
            <w:gridSpan w:val="2"/>
            <w:shd w:val="clear" w:color="auto" w:fill="E5E6E7"/>
          </w:tcPr>
          <w:p>
            <w:pPr>
              <w:jc w:val="right"/>
              <w:ind w:right="35"/>
              <w:spacing w:after="0"/>
              <w:rPr>
                <w:sz w:val="20"/>
                <w:szCs w:val="20"/>
                <w:color w:val="auto"/>
              </w:rPr>
            </w:pPr>
            <w:r>
              <w:rPr>
                <w:rFonts w:ascii="Times New Roman" w:cs="Times New Roman" w:eastAsia="Times New Roman" w:hAnsi="Times New Roman"/>
                <w:sz w:val="18"/>
                <w:szCs w:val="18"/>
                <w:color w:val="414142"/>
              </w:rPr>
              <w:t>$</w:t>
            </w:r>
          </w:p>
        </w:tc>
        <w:tc>
          <w:tcPr>
            <w:tcW w:w="9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300" w:type="dxa"/>
            <w:vAlign w:val="bottom"/>
            <w:gridSpan w:val="2"/>
            <w:shd w:val="clear" w:color="auto" w:fill="E5E6E7"/>
          </w:tcPr>
          <w:p>
            <w:pPr>
              <w:jc w:val="right"/>
              <w:ind w:right="30"/>
              <w:spacing w:after="0"/>
              <w:rPr>
                <w:sz w:val="20"/>
                <w:szCs w:val="20"/>
                <w:color w:val="auto"/>
              </w:rPr>
            </w:pPr>
            <w:r>
              <w:rPr>
                <w:rFonts w:ascii="Times New Roman" w:cs="Times New Roman" w:eastAsia="Times New Roman" w:hAnsi="Times New Roman"/>
                <w:sz w:val="18"/>
                <w:szCs w:val="18"/>
                <w:color w:val="414142"/>
              </w:rPr>
              <w: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381,951</w:t>
            </w:r>
          </w:p>
        </w:tc>
        <w:tc>
          <w:tcPr>
            <w:tcW w:w="140" w:type="dxa"/>
            <w:vAlign w:val="bottom"/>
            <w:shd w:val="clear" w:color="auto" w:fill="E5E6E7"/>
          </w:tcPr>
          <w:p>
            <w:pPr>
              <w:spacing w:after="0"/>
              <w:rPr>
                <w:sz w:val="19"/>
                <w:szCs w:val="19"/>
                <w:color w:val="auto"/>
              </w:rPr>
            </w:pPr>
          </w:p>
        </w:tc>
        <w:tc>
          <w:tcPr>
            <w:tcW w:w="360" w:type="dxa"/>
            <w:vAlign w:val="bottom"/>
            <w:gridSpan w:val="2"/>
            <w:shd w:val="clear" w:color="auto" w:fill="E5E6E7"/>
          </w:tcPr>
          <w:p>
            <w:pPr>
              <w:jc w:val="right"/>
              <w:ind w:right="130"/>
              <w:spacing w:after="0"/>
              <w:rPr>
                <w:sz w:val="20"/>
                <w:szCs w:val="20"/>
                <w:color w:val="auto"/>
              </w:rPr>
            </w:pPr>
            <w:r>
              <w:rPr>
                <w:rFonts w:ascii="Times New Roman" w:cs="Times New Roman" w:eastAsia="Times New Roman" w:hAnsi="Times New Roman"/>
                <w:sz w:val="18"/>
                <w:szCs w:val="18"/>
                <w:color w:val="414142"/>
              </w:rPr>
              <w:t>$</w:t>
            </w: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Tax withholding related to net share settlement of restricted stock units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(69,918)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Issuance of Series G-4 Preferred Stock, net of offering costs</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44,885</w:t>
            </w:r>
          </w:p>
        </w:tc>
        <w:tc>
          <w:tcPr>
            <w:tcW w:w="80" w:type="dxa"/>
            <w:vAlign w:val="bottom"/>
            <w:shd w:val="clear" w:color="auto" w:fill="E5E6E7"/>
          </w:tcPr>
          <w:p>
            <w:pPr>
              <w:spacing w:after="0"/>
              <w:rPr>
                <w:sz w:val="19"/>
                <w:szCs w:val="19"/>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Issuance of Series G-5 Preferred Stock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199,750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Principal payments on finance lease liabilities</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8"/>
                <w:szCs w:val="18"/>
                <w:color w:val="414142"/>
              </w:rPr>
              <w:t>(288)</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Purchase of treasury stock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(3,040)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(3,602)</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Payment of deferred offering costs</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(806)</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(8,766)</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8"/>
                <w:szCs w:val="18"/>
                <w:color w:val="414142"/>
              </w:rPr>
              <w:t>(698)</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Dividends paid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(5,625)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(5,625)</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Proceeds from revolving credit facility, net of original issue discount</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98,000</w:t>
            </w: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Proceeds from long-term debt, net of original issue discount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196,000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82,875</w:t>
            </w: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Proceeds from convertible senior notes, net of initial purchasers' discount</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726,497</w:t>
            </w: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Payment of deferred financing fees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(1,519)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Payment of indemnity holdback related to acquisition</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(813)</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G-4 Special Payment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(2,250)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Principal payments on long-term debt</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(276,892)</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Prepayment premium on long-term debt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(7,841)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Purchases of capped call</w:t>
            </w:r>
          </w:p>
        </w:tc>
        <w:tc>
          <w:tcPr>
            <w:tcW w:w="80" w:type="dxa"/>
            <w:vAlign w:val="bottom"/>
            <w:shd w:val="clear" w:color="auto" w:fill="E5E6E7"/>
          </w:tcPr>
          <w:p>
            <w:pPr>
              <w:spacing w:after="0"/>
              <w:rPr>
                <w:sz w:val="19"/>
                <w:szCs w:val="19"/>
                <w:color w:val="auto"/>
              </w:rPr>
            </w:pPr>
          </w:p>
        </w:tc>
        <w:tc>
          <w:tcPr>
            <w:tcW w:w="200" w:type="dxa"/>
            <w:vAlign w:val="bottom"/>
            <w:shd w:val="clear" w:color="auto" w:fill="E5E6E7"/>
          </w:tcPr>
          <w:p>
            <w:pPr>
              <w:spacing w:after="0"/>
              <w:rPr>
                <w:sz w:val="19"/>
                <w:szCs w:val="19"/>
                <w:color w:val="auto"/>
              </w:rPr>
            </w:pPr>
          </w:p>
        </w:tc>
        <w:tc>
          <w:tcPr>
            <w:tcW w:w="9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(41,775)</w:t>
            </w:r>
          </w:p>
        </w:tc>
        <w:tc>
          <w:tcPr>
            <w:tcW w:w="80" w:type="dxa"/>
            <w:vAlign w:val="bottom"/>
            <w:shd w:val="clear" w:color="auto" w:fill="E5E6E7"/>
          </w:tcPr>
          <w:p>
            <w:pPr>
              <w:spacing w:after="0"/>
              <w:rPr>
                <w:sz w:val="19"/>
                <w:szCs w:val="19"/>
                <w:color w:val="auto"/>
              </w:rPr>
            </w:pPr>
          </w:p>
        </w:tc>
        <w:tc>
          <w:tcPr>
            <w:tcW w:w="220" w:type="dxa"/>
            <w:vAlign w:val="bottom"/>
            <w:shd w:val="clear" w:color="auto" w:fill="E5E6E7"/>
          </w:tcPr>
          <w:p>
            <w:pPr>
              <w:spacing w:after="0"/>
              <w:rPr>
                <w:sz w:val="19"/>
                <w:szCs w:val="19"/>
                <w:color w:val="auto"/>
              </w:rPr>
            </w:pPr>
          </w:p>
        </w:tc>
        <w:tc>
          <w:tcPr>
            <w:tcW w:w="100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9"/>
                <w:szCs w:val="19"/>
                <w:color w:val="auto"/>
              </w:rPr>
            </w:pPr>
          </w:p>
        </w:tc>
        <w:tc>
          <w:tcPr>
            <w:tcW w:w="300" w:type="dxa"/>
            <w:vAlign w:val="bottom"/>
            <w:shd w:val="clear" w:color="auto" w:fill="E5E6E7"/>
          </w:tcPr>
          <w:p>
            <w:pPr>
              <w:spacing w:after="0"/>
              <w:rPr>
                <w:sz w:val="19"/>
                <w:szCs w:val="19"/>
                <w:color w:val="auto"/>
              </w:rPr>
            </w:pPr>
          </w:p>
        </w:tc>
        <w:tc>
          <w:tcPr>
            <w:tcW w:w="84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r>
      <w:tr>
        <w:trPr>
          <w:trHeight w:val="202"/>
        </w:trPr>
        <w:tc>
          <w:tcPr>
            <w:tcW w:w="6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Proceeds from issuance of common stock in connection with at-the-market offering,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net of commissions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195,499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6340" w:type="dxa"/>
            <w:vAlign w:val="bottom"/>
            <w:tcBorders>
              <w:top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18"/>
                <w:szCs w:val="18"/>
                <w:b w:val="1"/>
                <w:bCs w:val="1"/>
                <w:color w:val="414142"/>
              </w:rPr>
              <w:t>Net cash provided by financing activities</w:t>
            </w:r>
          </w:p>
        </w:tc>
        <w:tc>
          <w:tcPr>
            <w:tcW w:w="80" w:type="dxa"/>
            <w:vAlign w:val="bottom"/>
            <w:tcBorders>
              <w:top w:val="single" w:sz="8" w:color="E5E6E7"/>
            </w:tcBorders>
            <w:shd w:val="clear" w:color="auto" w:fill="E5E6E7"/>
          </w:tcPr>
          <w:p>
            <w:pPr>
              <w:spacing w:after="0"/>
              <w:rPr>
                <w:sz w:val="18"/>
                <w:szCs w:val="18"/>
                <w:color w:val="auto"/>
              </w:rPr>
            </w:pPr>
          </w:p>
        </w:tc>
        <w:tc>
          <w:tcPr>
            <w:tcW w:w="2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884,123</w:t>
            </w:r>
          </w:p>
        </w:tc>
        <w:tc>
          <w:tcPr>
            <w:tcW w:w="140" w:type="dxa"/>
            <w:vAlign w:val="bottom"/>
            <w:tcBorders>
              <w:top w:val="single" w:sz="8" w:color="E5E6E7"/>
            </w:tcBorders>
            <w:shd w:val="clear" w:color="auto" w:fill="E5E6E7"/>
          </w:tcPr>
          <w:p>
            <w:pPr>
              <w:spacing w:after="0"/>
              <w:rPr>
                <w:sz w:val="18"/>
                <w:szCs w:val="18"/>
                <w:color w:val="auto"/>
              </w:rPr>
            </w:pPr>
          </w:p>
        </w:tc>
        <w:tc>
          <w:tcPr>
            <w:tcW w:w="80" w:type="dxa"/>
            <w:vAlign w:val="bottom"/>
            <w:tcBorders>
              <w:top w:val="single" w:sz="8" w:color="E5E6E7"/>
            </w:tcBorders>
            <w:shd w:val="clear" w:color="auto" w:fill="E5E6E7"/>
          </w:tcPr>
          <w:p>
            <w:pPr>
              <w:spacing w:after="0"/>
              <w:rPr>
                <w:sz w:val="18"/>
                <w:szCs w:val="18"/>
                <w:color w:val="auto"/>
              </w:rPr>
            </w:pPr>
          </w:p>
        </w:tc>
        <w:tc>
          <w:tcPr>
            <w:tcW w:w="220" w:type="dxa"/>
            <w:vAlign w:val="bottom"/>
            <w:tcBorders>
              <w:top w:val="single" w:sz="8" w:color="231F20"/>
              <w:bottom w:val="single" w:sz="8" w:color="231F20"/>
            </w:tcBorders>
            <w:shd w:val="clear" w:color="auto" w:fill="E5E6E7"/>
          </w:tcPr>
          <w:p>
            <w:pPr>
              <w:jc w:val="right"/>
              <w:ind w:right="30"/>
              <w:spacing w:after="0"/>
              <w:rPr>
                <w:sz w:val="20"/>
                <w:szCs w:val="20"/>
                <w:color w:val="auto"/>
              </w:rPr>
            </w:pPr>
            <w:r>
              <w:rPr>
                <w:rFonts w:ascii="Times New Roman" w:cs="Times New Roman" w:eastAsia="Times New Roman" w:hAnsi="Times New Roman"/>
                <w:sz w:val="18"/>
                <w:szCs w:val="18"/>
                <w:color w:val="414142"/>
                <w:w w:val="88"/>
              </w:rPr>
              <w:t>$</w:t>
            </w:r>
          </w:p>
        </w:tc>
        <w:tc>
          <w:tcPr>
            <w:tcW w:w="8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494,329</w:t>
            </w:r>
          </w:p>
        </w:tc>
        <w:tc>
          <w:tcPr>
            <w:tcW w:w="140" w:type="dxa"/>
            <w:vAlign w:val="bottom"/>
            <w:tcBorders>
              <w:top w:val="single" w:sz="8" w:color="E5E6E7"/>
            </w:tcBorders>
            <w:shd w:val="clear" w:color="auto" w:fill="E5E6E7"/>
          </w:tcPr>
          <w:p>
            <w:pPr>
              <w:spacing w:after="0"/>
              <w:rPr>
                <w:sz w:val="18"/>
                <w:szCs w:val="18"/>
                <w:color w:val="auto"/>
              </w:rPr>
            </w:pPr>
          </w:p>
        </w:tc>
        <w:tc>
          <w:tcPr>
            <w:tcW w:w="60" w:type="dxa"/>
            <w:vAlign w:val="bottom"/>
            <w:tcBorders>
              <w:top w:val="single" w:sz="8" w:color="E5E6E7"/>
            </w:tcBorders>
            <w:shd w:val="clear" w:color="auto" w:fill="E5E6E7"/>
          </w:tcPr>
          <w:p>
            <w:pPr>
              <w:spacing w:after="0"/>
              <w:rPr>
                <w:sz w:val="18"/>
                <w:szCs w:val="18"/>
                <w:color w:val="auto"/>
              </w:rPr>
            </w:pPr>
          </w:p>
        </w:tc>
        <w:tc>
          <w:tcPr>
            <w:tcW w:w="300" w:type="dxa"/>
            <w:vAlign w:val="bottom"/>
            <w:tcBorders>
              <w:top w:val="single" w:sz="8" w:color="231F20"/>
              <w:bottom w:val="single" w:sz="8" w:color="231F20"/>
            </w:tcBorders>
            <w:shd w:val="clear" w:color="auto" w:fill="E5E6E7"/>
          </w:tcPr>
          <w:p>
            <w:pPr>
              <w:jc w:val="right"/>
              <w:ind w:right="110"/>
              <w:spacing w:after="0"/>
              <w:rPr>
                <w:sz w:val="20"/>
                <w:szCs w:val="20"/>
                <w:color w:val="auto"/>
              </w:rPr>
            </w:pPr>
            <w:r>
              <w:rPr>
                <w:rFonts w:ascii="Times New Roman" w:cs="Times New Roman" w:eastAsia="Times New Roman" w:hAnsi="Times New Roman"/>
                <w:sz w:val="18"/>
                <w:szCs w:val="18"/>
                <w:color w:val="414142"/>
                <w:w w:val="88"/>
              </w:rPr>
              <w:t>$</w:t>
            </w:r>
          </w:p>
        </w:tc>
        <w:tc>
          <w:tcPr>
            <w:tcW w:w="7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117,547</w:t>
            </w:r>
          </w:p>
        </w:tc>
        <w:tc>
          <w:tcPr>
            <w:tcW w:w="80" w:type="dxa"/>
            <w:vAlign w:val="bottom"/>
            <w:tcBorders>
              <w:top w:val="single" w:sz="8" w:color="E5E6E7"/>
            </w:tcBorders>
            <w:shd w:val="clear" w:color="auto" w:fill="E5E6E7"/>
          </w:tcPr>
          <w:p>
            <w:pPr>
              <w:spacing w:after="0"/>
              <w:rPr>
                <w:sz w:val="18"/>
                <w:szCs w:val="18"/>
                <w:color w:val="auto"/>
              </w:rPr>
            </w:pPr>
          </w:p>
        </w:tc>
      </w:tr>
      <w:tr>
        <w:trPr>
          <w:trHeight w:val="216"/>
        </w:trPr>
        <w:tc>
          <w:tcPr>
            <w:tcW w:w="6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18"/>
                <w:szCs w:val="18"/>
                <w:color w:val="231F20"/>
              </w:rPr>
              <w:t>Effect of foreign exchange rates on cash</w:t>
            </w:r>
          </w:p>
        </w:tc>
        <w:tc>
          <w:tcPr>
            <w:tcW w:w="80" w:type="dxa"/>
            <w:vAlign w:val="bottom"/>
            <w:tcBorders>
              <w:bottom w:val="single" w:sz="8" w:color="E5E6E7"/>
            </w:tcBorders>
          </w:tcPr>
          <w:p>
            <w:pPr>
              <w:spacing w:after="0"/>
              <w:rPr>
                <w:sz w:val="18"/>
                <w:szCs w:val="18"/>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(62)</w:t>
            </w:r>
          </w:p>
        </w:tc>
        <w:tc>
          <w:tcPr>
            <w:tcW w:w="140" w:type="dxa"/>
            <w:vAlign w:val="bottom"/>
            <w:tcBorders>
              <w:bottom w:val="single" w:sz="8" w:color="E5E6E7"/>
            </w:tcBorders>
          </w:tcPr>
          <w:p>
            <w:pPr>
              <w:spacing w:after="0"/>
              <w:rPr>
                <w:sz w:val="18"/>
                <w:szCs w:val="18"/>
                <w:color w:val="auto"/>
              </w:rPr>
            </w:pPr>
          </w:p>
        </w:tc>
        <w:tc>
          <w:tcPr>
            <w:tcW w:w="80" w:type="dxa"/>
            <w:vAlign w:val="bottom"/>
            <w:tcBorders>
              <w:bottom w:val="single" w:sz="8" w:color="E5E6E7"/>
            </w:tcBorders>
          </w:tcPr>
          <w:p>
            <w:pPr>
              <w:spacing w:after="0"/>
              <w:rPr>
                <w:sz w:val="18"/>
                <w:szCs w:val="18"/>
                <w:color w:val="auto"/>
              </w:rPr>
            </w:pPr>
          </w:p>
        </w:tc>
        <w:tc>
          <w:tcPr>
            <w:tcW w:w="22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336</w:t>
            </w:r>
          </w:p>
        </w:tc>
        <w:tc>
          <w:tcPr>
            <w:tcW w:w="140" w:type="dxa"/>
            <w:vAlign w:val="bottom"/>
            <w:tcBorders>
              <w:bottom w:val="single" w:sz="8" w:color="E5E6E7"/>
            </w:tcBorders>
          </w:tcPr>
          <w:p>
            <w:pPr>
              <w:spacing w:after="0"/>
              <w:rPr>
                <w:sz w:val="18"/>
                <w:szCs w:val="18"/>
                <w:color w:val="auto"/>
              </w:rPr>
            </w:pPr>
          </w:p>
        </w:tc>
        <w:tc>
          <w:tcPr>
            <w:tcW w:w="60" w:type="dxa"/>
            <w:vAlign w:val="bottom"/>
            <w:tcBorders>
              <w:bottom w:val="single" w:sz="8" w:color="E5E6E7"/>
            </w:tcBorders>
          </w:tcPr>
          <w:p>
            <w:pPr>
              <w:spacing w:after="0"/>
              <w:rPr>
                <w:sz w:val="18"/>
                <w:szCs w:val="18"/>
                <w:color w:val="auto"/>
              </w:rPr>
            </w:pPr>
          </w:p>
        </w:tc>
        <w:tc>
          <w:tcPr>
            <w:tcW w:w="300" w:type="dxa"/>
            <w:vAlign w:val="bottom"/>
            <w:tcBorders>
              <w:bottom w:val="single" w:sz="8" w:color="231F20"/>
            </w:tcBorders>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(19)</w:t>
            </w:r>
          </w:p>
        </w:tc>
        <w:tc>
          <w:tcPr>
            <w:tcW w:w="80" w:type="dxa"/>
            <w:vAlign w:val="bottom"/>
            <w:tcBorders>
              <w:bottom w:val="single" w:sz="8" w:color="E5E6E7"/>
            </w:tcBorders>
          </w:tcPr>
          <w:p>
            <w:pPr>
              <w:spacing w:after="0"/>
              <w:rPr>
                <w:sz w:val="18"/>
                <w:szCs w:val="18"/>
                <w:color w:val="auto"/>
              </w:rPr>
            </w:pPr>
          </w:p>
        </w:tc>
      </w:tr>
      <w:tr>
        <w:trPr>
          <w:trHeight w:val="216"/>
        </w:trPr>
        <w:tc>
          <w:tcPr>
            <w:tcW w:w="63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60" w:type="dxa"/>
            <w:vAlign w:val="bottom"/>
            <w:shd w:val="clear" w:color="auto" w:fill="E5E6E7"/>
          </w:tcPr>
          <w:p>
            <w:pPr>
              <w:spacing w:after="0"/>
              <w:rPr>
                <w:sz w:val="18"/>
                <w:szCs w:val="18"/>
                <w:color w:val="auto"/>
              </w:rPr>
            </w:pPr>
          </w:p>
        </w:tc>
        <w:tc>
          <w:tcPr>
            <w:tcW w:w="14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300" w:type="dxa"/>
            <w:vAlign w:val="bottom"/>
            <w:shd w:val="clear" w:color="auto" w:fill="E5E6E7"/>
          </w:tcPr>
          <w:p>
            <w:pPr>
              <w:spacing w:after="0"/>
              <w:rPr>
                <w:sz w:val="18"/>
                <w:szCs w:val="18"/>
                <w:color w:val="auto"/>
              </w:rPr>
            </w:pPr>
          </w:p>
        </w:tc>
        <w:tc>
          <w:tcPr>
            <w:tcW w:w="76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Net increase (decrease) in Cash, Cash Equivalents and Restricted Cash</w:t>
            </w:r>
          </w:p>
        </w:tc>
        <w:tc>
          <w:tcPr>
            <w:tcW w:w="8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267,616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175,228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(137,124)</w:t>
            </w: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Cash, cash equivalents and restricted cash, beginning of period</w:t>
            </w:r>
          </w:p>
        </w:tc>
        <w:tc>
          <w:tcPr>
            <w:tcW w:w="80" w:type="dxa"/>
            <w:vAlign w:val="bottom"/>
            <w:shd w:val="clear" w:color="auto" w:fill="E5E6E7"/>
          </w:tcPr>
          <w:p>
            <w:pPr>
              <w:spacing w:after="0"/>
              <w:rPr>
                <w:sz w:val="19"/>
                <w:szCs w:val="19"/>
                <w:color w:val="auto"/>
              </w:rPr>
            </w:pPr>
          </w:p>
        </w:tc>
        <w:tc>
          <w:tcPr>
            <w:tcW w:w="200" w:type="dxa"/>
            <w:vAlign w:val="bottom"/>
            <w:tcBorders>
              <w:bottom w:val="single" w:sz="8" w:color="231F20"/>
            </w:tcBorders>
            <w:shd w:val="clear" w:color="auto" w:fill="E5E6E7"/>
          </w:tcPr>
          <w:p>
            <w:pPr>
              <w:spacing w:after="0"/>
              <w:rPr>
                <w:sz w:val="19"/>
                <w:szCs w:val="19"/>
                <w:color w:val="auto"/>
              </w:rPr>
            </w:pP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341,835</w:t>
            </w:r>
          </w:p>
        </w:tc>
        <w:tc>
          <w:tcPr>
            <w:tcW w:w="14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220" w:type="dxa"/>
            <w:vAlign w:val="bottom"/>
            <w:tcBorders>
              <w:bottom w:val="single" w:sz="8" w:color="231F20"/>
            </w:tcBorders>
            <w:shd w:val="clear" w:color="auto" w:fill="E5E6E7"/>
          </w:tcPr>
          <w:p>
            <w:pPr>
              <w:spacing w:after="0"/>
              <w:rPr>
                <w:sz w:val="19"/>
                <w:szCs w:val="19"/>
                <w:color w:val="auto"/>
              </w:rPr>
            </w:pPr>
          </w:p>
        </w:tc>
        <w:tc>
          <w:tcPr>
            <w:tcW w:w="8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166,607</w:t>
            </w:r>
          </w:p>
        </w:tc>
        <w:tc>
          <w:tcPr>
            <w:tcW w:w="140" w:type="dxa"/>
            <w:vAlign w:val="bottom"/>
            <w:shd w:val="clear" w:color="auto" w:fill="E5E6E7"/>
          </w:tcPr>
          <w:p>
            <w:pPr>
              <w:spacing w:after="0"/>
              <w:rPr>
                <w:sz w:val="19"/>
                <w:szCs w:val="19"/>
                <w:color w:val="auto"/>
              </w:rPr>
            </w:pPr>
          </w:p>
        </w:tc>
        <w:tc>
          <w:tcPr>
            <w:tcW w:w="60" w:type="dxa"/>
            <w:vAlign w:val="bottom"/>
            <w:shd w:val="clear" w:color="auto" w:fill="E5E6E7"/>
          </w:tcPr>
          <w:p>
            <w:pPr>
              <w:spacing w:after="0"/>
              <w:rPr>
                <w:sz w:val="19"/>
                <w:szCs w:val="19"/>
                <w:color w:val="auto"/>
              </w:rPr>
            </w:pPr>
          </w:p>
        </w:tc>
        <w:tc>
          <w:tcPr>
            <w:tcW w:w="300" w:type="dxa"/>
            <w:vAlign w:val="bottom"/>
            <w:tcBorders>
              <w:bottom w:val="single" w:sz="8" w:color="231F20"/>
            </w:tcBorders>
            <w:shd w:val="clear" w:color="auto" w:fill="E5E6E7"/>
          </w:tcPr>
          <w:p>
            <w:pPr>
              <w:spacing w:after="0"/>
              <w:rPr>
                <w:sz w:val="19"/>
                <w:szCs w:val="19"/>
                <w:color w:val="auto"/>
              </w:rPr>
            </w:pPr>
          </w:p>
        </w:tc>
        <w:tc>
          <w:tcPr>
            <w:tcW w:w="7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303,731</w:t>
            </w:r>
          </w:p>
        </w:tc>
        <w:tc>
          <w:tcPr>
            <w:tcW w:w="80" w:type="dxa"/>
            <w:vAlign w:val="bottom"/>
            <w:shd w:val="clear" w:color="auto" w:fill="E5E6E7"/>
          </w:tcPr>
          <w:p>
            <w:pPr>
              <w:spacing w:after="0"/>
              <w:rPr>
                <w:sz w:val="19"/>
                <w:szCs w:val="19"/>
                <w:color w:val="auto"/>
              </w:rPr>
            </w:pPr>
          </w:p>
        </w:tc>
      </w:tr>
      <w:tr>
        <w:trPr>
          <w:trHeight w:val="256"/>
        </w:trPr>
        <w:tc>
          <w:tcPr>
            <w:tcW w:w="63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18"/>
                <w:szCs w:val="18"/>
                <w:color w:val="231F20"/>
              </w:rPr>
              <w:t>Cash, cash equivalents and restricted cash, end of period</w:t>
            </w:r>
          </w:p>
        </w:tc>
        <w:tc>
          <w:tcPr>
            <w:tcW w:w="80" w:type="dxa"/>
            <w:vAlign w:val="bottom"/>
            <w:tcBorders>
              <w:bottom w:val="single" w:sz="8" w:color="E5E6E7"/>
            </w:tcBorders>
          </w:tcPr>
          <w:p>
            <w:pPr>
              <w:spacing w:after="0"/>
              <w:rPr>
                <w:sz w:val="22"/>
                <w:szCs w:val="22"/>
                <w:color w:val="auto"/>
              </w:rPr>
            </w:pPr>
          </w:p>
        </w:tc>
        <w:tc>
          <w:tcPr>
            <w:tcW w:w="200" w:type="dxa"/>
            <w:vAlign w:val="bottom"/>
            <w:tcBorders>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609,451</w:t>
            </w:r>
          </w:p>
        </w:tc>
        <w:tc>
          <w:tcPr>
            <w:tcW w:w="140" w:type="dxa"/>
            <w:vAlign w:val="bottom"/>
            <w:tcBorders>
              <w:bottom w:val="single" w:sz="8" w:color="E5E6E7"/>
            </w:tcBorders>
          </w:tcPr>
          <w:p>
            <w:pPr>
              <w:spacing w:after="0"/>
              <w:rPr>
                <w:sz w:val="22"/>
                <w:szCs w:val="22"/>
                <w:color w:val="auto"/>
              </w:rPr>
            </w:pPr>
          </w:p>
        </w:tc>
        <w:tc>
          <w:tcPr>
            <w:tcW w:w="80" w:type="dxa"/>
            <w:vAlign w:val="bottom"/>
            <w:tcBorders>
              <w:bottom w:val="single" w:sz="8" w:color="E5E6E7"/>
            </w:tcBorders>
          </w:tcPr>
          <w:p>
            <w:pPr>
              <w:spacing w:after="0"/>
              <w:rPr>
                <w:sz w:val="22"/>
                <w:szCs w:val="22"/>
                <w:color w:val="auto"/>
              </w:rPr>
            </w:pPr>
          </w:p>
        </w:tc>
        <w:tc>
          <w:tcPr>
            <w:tcW w:w="220" w:type="dxa"/>
            <w:vAlign w:val="bottom"/>
            <w:tcBorders>
              <w:bottom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341,835</w:t>
            </w:r>
          </w:p>
        </w:tc>
        <w:tc>
          <w:tcPr>
            <w:tcW w:w="140" w:type="dxa"/>
            <w:vAlign w:val="bottom"/>
            <w:tcBorders>
              <w:bottom w:val="single" w:sz="8" w:color="E5E6E7"/>
            </w:tcBorders>
          </w:tcPr>
          <w:p>
            <w:pPr>
              <w:spacing w:after="0"/>
              <w:rPr>
                <w:sz w:val="22"/>
                <w:szCs w:val="22"/>
                <w:color w:val="auto"/>
              </w:rPr>
            </w:pPr>
          </w:p>
        </w:tc>
        <w:tc>
          <w:tcPr>
            <w:tcW w:w="60" w:type="dxa"/>
            <w:vAlign w:val="bottom"/>
            <w:tcBorders>
              <w:bottom w:val="single" w:sz="8" w:color="E5E6E7"/>
            </w:tcBorders>
          </w:tcPr>
          <w:p>
            <w:pPr>
              <w:spacing w:after="0"/>
              <w:rPr>
                <w:sz w:val="22"/>
                <w:szCs w:val="22"/>
                <w:color w:val="auto"/>
              </w:rPr>
            </w:pPr>
          </w:p>
        </w:tc>
        <w:tc>
          <w:tcPr>
            <w:tcW w:w="300" w:type="dxa"/>
            <w:vAlign w:val="bottom"/>
            <w:tcBorders>
              <w:bottom w:val="single" w:sz="8" w:color="231F20"/>
            </w:tcBorders>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166,607</w:t>
            </w:r>
          </w:p>
        </w:tc>
        <w:tc>
          <w:tcPr>
            <w:tcW w:w="80" w:type="dxa"/>
            <w:vAlign w:val="bottom"/>
            <w:tcBorders>
              <w:bottom w:val="single" w:sz="8" w:color="E5E6E7"/>
            </w:tcBorders>
          </w:tcPr>
          <w:p>
            <w:pPr>
              <w:spacing w:after="0"/>
              <w:rPr>
                <w:sz w:val="22"/>
                <w:szCs w:val="22"/>
                <w:color w:val="auto"/>
              </w:rPr>
            </w:pPr>
          </w:p>
        </w:tc>
      </w:tr>
      <w:tr>
        <w:trPr>
          <w:trHeight w:val="206"/>
        </w:trPr>
        <w:tc>
          <w:tcPr>
            <w:tcW w:w="63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200" w:type="dxa"/>
            <w:vAlign w:val="bottom"/>
            <w:shd w:val="clear" w:color="auto" w:fill="E5E6E7"/>
          </w:tcPr>
          <w:p>
            <w:pPr>
              <w:spacing w:after="0"/>
              <w:rPr>
                <w:sz w:val="17"/>
                <w:szCs w:val="17"/>
                <w:color w:val="auto"/>
              </w:rPr>
            </w:pPr>
          </w:p>
        </w:tc>
        <w:tc>
          <w:tcPr>
            <w:tcW w:w="82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c>
          <w:tcPr>
            <w:tcW w:w="220" w:type="dxa"/>
            <w:vAlign w:val="bottom"/>
            <w:shd w:val="clear" w:color="auto" w:fill="E5E6E7"/>
          </w:tcPr>
          <w:p>
            <w:pPr>
              <w:spacing w:after="0"/>
              <w:rPr>
                <w:sz w:val="17"/>
                <w:szCs w:val="17"/>
                <w:color w:val="auto"/>
              </w:rPr>
            </w:pPr>
          </w:p>
        </w:tc>
        <w:tc>
          <w:tcPr>
            <w:tcW w:w="860" w:type="dxa"/>
            <w:vAlign w:val="bottom"/>
            <w:shd w:val="clear" w:color="auto" w:fill="E5E6E7"/>
          </w:tcPr>
          <w:p>
            <w:pPr>
              <w:spacing w:after="0"/>
              <w:rPr>
                <w:sz w:val="17"/>
                <w:szCs w:val="17"/>
                <w:color w:val="auto"/>
              </w:rPr>
            </w:pPr>
          </w:p>
        </w:tc>
        <w:tc>
          <w:tcPr>
            <w:tcW w:w="140" w:type="dxa"/>
            <w:vAlign w:val="bottom"/>
            <w:shd w:val="clear" w:color="auto" w:fill="E5E6E7"/>
          </w:tcPr>
          <w:p>
            <w:pPr>
              <w:spacing w:after="0"/>
              <w:rPr>
                <w:sz w:val="17"/>
                <w:szCs w:val="17"/>
                <w:color w:val="auto"/>
              </w:rPr>
            </w:pPr>
          </w:p>
        </w:tc>
        <w:tc>
          <w:tcPr>
            <w:tcW w:w="60" w:type="dxa"/>
            <w:vAlign w:val="bottom"/>
            <w:shd w:val="clear" w:color="auto" w:fill="E5E6E7"/>
          </w:tcPr>
          <w:p>
            <w:pPr>
              <w:spacing w:after="0"/>
              <w:rPr>
                <w:sz w:val="17"/>
                <w:szCs w:val="17"/>
                <w:color w:val="auto"/>
              </w:rPr>
            </w:pPr>
          </w:p>
        </w:tc>
        <w:tc>
          <w:tcPr>
            <w:tcW w:w="300" w:type="dxa"/>
            <w:vAlign w:val="bottom"/>
            <w:shd w:val="clear" w:color="auto" w:fill="E5E6E7"/>
          </w:tcPr>
          <w:p>
            <w:pPr>
              <w:spacing w:after="0"/>
              <w:rPr>
                <w:sz w:val="17"/>
                <w:szCs w:val="17"/>
                <w:color w:val="auto"/>
              </w:rPr>
            </w:pPr>
          </w:p>
        </w:tc>
        <w:tc>
          <w:tcPr>
            <w:tcW w:w="760" w:type="dxa"/>
            <w:vAlign w:val="bottom"/>
            <w:shd w:val="clear" w:color="auto" w:fill="E5E6E7"/>
          </w:tcPr>
          <w:p>
            <w:pPr>
              <w:spacing w:after="0"/>
              <w:rPr>
                <w:sz w:val="17"/>
                <w:szCs w:val="17"/>
                <w:color w:val="auto"/>
              </w:rPr>
            </w:pPr>
          </w:p>
        </w:tc>
        <w:tc>
          <w:tcPr>
            <w:tcW w:w="80" w:type="dxa"/>
            <w:vAlign w:val="bottom"/>
            <w:shd w:val="clear" w:color="auto" w:fill="E5E6E7"/>
          </w:tcPr>
          <w:p>
            <w:pPr>
              <w:spacing w:after="0"/>
              <w:rPr>
                <w:sz w:val="17"/>
                <w:szCs w:val="17"/>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Cash, Cash Equivalents and Restricted Cash are Comprised of:</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3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Cash and cash equivalents</w:t>
            </w:r>
          </w:p>
        </w:tc>
        <w:tc>
          <w:tcPr>
            <w:tcW w:w="280" w:type="dxa"/>
            <w:vAlign w:val="bottom"/>
            <w:gridSpan w:val="2"/>
            <w:shd w:val="clear" w:color="auto" w:fill="E5E6E7"/>
          </w:tcPr>
          <w:p>
            <w:pPr>
              <w:jc w:val="right"/>
              <w:ind w:right="35"/>
              <w:spacing w:after="0"/>
              <w:rPr>
                <w:sz w:val="20"/>
                <w:szCs w:val="20"/>
                <w:color w:val="auto"/>
              </w:rPr>
            </w:pPr>
            <w:r>
              <w:rPr>
                <w:rFonts w:ascii="Times New Roman" w:cs="Times New Roman" w:eastAsia="Times New Roman" w:hAnsi="Times New Roman"/>
                <w:sz w:val="18"/>
                <w:szCs w:val="18"/>
                <w:color w:val="414142"/>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604,787</w:t>
            </w:r>
          </w:p>
        </w:tc>
        <w:tc>
          <w:tcPr>
            <w:tcW w:w="140" w:type="dxa"/>
            <w:vAlign w:val="bottom"/>
            <w:shd w:val="clear" w:color="auto" w:fill="E5E6E7"/>
          </w:tcPr>
          <w:p>
            <w:pPr>
              <w:spacing w:after="0"/>
              <w:rPr>
                <w:sz w:val="19"/>
                <w:szCs w:val="19"/>
                <w:color w:val="auto"/>
              </w:rPr>
            </w:pPr>
          </w:p>
        </w:tc>
        <w:tc>
          <w:tcPr>
            <w:tcW w:w="300" w:type="dxa"/>
            <w:vAlign w:val="bottom"/>
            <w:gridSpan w:val="2"/>
            <w:shd w:val="clear" w:color="auto" w:fill="E5E6E7"/>
          </w:tcPr>
          <w:p>
            <w:pPr>
              <w:jc w:val="right"/>
              <w:ind w:right="30"/>
              <w:spacing w:after="0"/>
              <w:rPr>
                <w:sz w:val="20"/>
                <w:szCs w:val="20"/>
                <w:color w:val="auto"/>
              </w:rPr>
            </w:pPr>
            <w:r>
              <w:rPr>
                <w:rFonts w:ascii="Times New Roman" w:cs="Times New Roman" w:eastAsia="Times New Roman" w:hAnsi="Times New Roman"/>
                <w:sz w:val="18"/>
                <w:szCs w:val="18"/>
                <w:color w:val="414142"/>
              </w:rPr>
              <w:t>$</w:t>
            </w:r>
          </w:p>
        </w:tc>
        <w:tc>
          <w:tcPr>
            <w:tcW w:w="8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340,954</w:t>
            </w:r>
          </w:p>
        </w:tc>
        <w:tc>
          <w:tcPr>
            <w:tcW w:w="140" w:type="dxa"/>
            <w:vAlign w:val="bottom"/>
            <w:shd w:val="clear" w:color="auto" w:fill="E5E6E7"/>
          </w:tcPr>
          <w:p>
            <w:pPr>
              <w:spacing w:after="0"/>
              <w:rPr>
                <w:sz w:val="19"/>
                <w:szCs w:val="19"/>
                <w:color w:val="auto"/>
              </w:rPr>
            </w:pPr>
          </w:p>
        </w:tc>
        <w:tc>
          <w:tcPr>
            <w:tcW w:w="360" w:type="dxa"/>
            <w:vAlign w:val="bottom"/>
            <w:gridSpan w:val="2"/>
            <w:shd w:val="clear" w:color="auto" w:fill="E5E6E7"/>
          </w:tcPr>
          <w:p>
            <w:pPr>
              <w:jc w:val="right"/>
              <w:ind w:right="110"/>
              <w:spacing w:after="0"/>
              <w:rPr>
                <w:sz w:val="20"/>
                <w:szCs w:val="20"/>
                <w:color w:val="auto"/>
              </w:rPr>
            </w:pPr>
            <w:r>
              <w:rPr>
                <w:rFonts w:ascii="Times New Roman" w:cs="Times New Roman" w:eastAsia="Times New Roman" w:hAnsi="Times New Roman"/>
                <w:sz w:val="18"/>
                <w:szCs w:val="18"/>
                <w:color w:val="414142"/>
              </w:rPr>
              <w:t>$</w:t>
            </w: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165,767</w:t>
            </w:r>
          </w:p>
        </w:tc>
        <w:tc>
          <w:tcPr>
            <w:tcW w:w="80" w:type="dxa"/>
            <w:vAlign w:val="bottom"/>
            <w:shd w:val="clear" w:color="auto" w:fill="E5E6E7"/>
          </w:tcPr>
          <w:p>
            <w:pPr>
              <w:spacing w:after="0"/>
              <w:rPr>
                <w:sz w:val="19"/>
                <w:szCs w:val="19"/>
                <w:color w:val="auto"/>
              </w:rPr>
            </w:pPr>
          </w:p>
        </w:tc>
      </w:tr>
      <w:tr>
        <w:trPr>
          <w:trHeight w:val="221"/>
        </w:trPr>
        <w:tc>
          <w:tcPr>
            <w:tcW w:w="634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18"/>
                <w:szCs w:val="18"/>
                <w:color w:val="231F20"/>
              </w:rPr>
              <w:t>Restricted cash and cash equivalents</w:t>
            </w:r>
          </w:p>
        </w:tc>
        <w:tc>
          <w:tcPr>
            <w:tcW w:w="80" w:type="dxa"/>
            <w:vAlign w:val="bottom"/>
            <w:tcBorders>
              <w:bottom w:val="single" w:sz="8" w:color="E5E6E7"/>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4,664</w:t>
            </w:r>
          </w:p>
        </w:tc>
        <w:tc>
          <w:tcPr>
            <w:tcW w:w="140" w:type="dxa"/>
            <w:vAlign w:val="bottom"/>
            <w:tcBorders>
              <w:bottom w:val="single" w:sz="8" w:color="E5E6E7"/>
            </w:tcBorders>
          </w:tcPr>
          <w:p>
            <w:pPr>
              <w:spacing w:after="0"/>
              <w:rPr>
                <w:sz w:val="19"/>
                <w:szCs w:val="19"/>
                <w:color w:val="auto"/>
              </w:rPr>
            </w:pPr>
          </w:p>
        </w:tc>
        <w:tc>
          <w:tcPr>
            <w:tcW w:w="80" w:type="dxa"/>
            <w:vAlign w:val="bottom"/>
            <w:tcBorders>
              <w:bottom w:val="single" w:sz="8" w:color="E5E6E7"/>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881</w:t>
            </w:r>
          </w:p>
        </w:tc>
        <w:tc>
          <w:tcPr>
            <w:tcW w:w="140" w:type="dxa"/>
            <w:vAlign w:val="bottom"/>
            <w:tcBorders>
              <w:bottom w:val="single" w:sz="8" w:color="E5E6E7"/>
            </w:tcBorders>
          </w:tcPr>
          <w:p>
            <w:pPr>
              <w:spacing w:after="0"/>
              <w:rPr>
                <w:sz w:val="19"/>
                <w:szCs w:val="19"/>
                <w:color w:val="auto"/>
              </w:rPr>
            </w:pPr>
          </w:p>
        </w:tc>
        <w:tc>
          <w:tcPr>
            <w:tcW w:w="60" w:type="dxa"/>
            <w:vAlign w:val="bottom"/>
            <w:tcBorders>
              <w:bottom w:val="single" w:sz="8" w:color="E5E6E7"/>
            </w:tcBorders>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color w:val="231F20"/>
              </w:rPr>
              <w:t>840</w:t>
            </w:r>
          </w:p>
        </w:tc>
        <w:tc>
          <w:tcPr>
            <w:tcW w:w="80" w:type="dxa"/>
            <w:vAlign w:val="bottom"/>
            <w:tcBorders>
              <w:bottom w:val="single" w:sz="8" w:color="E5E6E7"/>
            </w:tcBorders>
          </w:tcPr>
          <w:p>
            <w:pPr>
              <w:spacing w:after="0"/>
              <w:rPr>
                <w:sz w:val="19"/>
                <w:szCs w:val="19"/>
                <w:color w:val="auto"/>
              </w:rPr>
            </w:pPr>
          </w:p>
        </w:tc>
      </w:tr>
      <w:tr>
        <w:trPr>
          <w:trHeight w:val="216"/>
        </w:trPr>
        <w:tc>
          <w:tcPr>
            <w:tcW w:w="63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Total cash, cash equivalents and restricted cash</w:t>
            </w:r>
          </w:p>
        </w:tc>
        <w:tc>
          <w:tcPr>
            <w:tcW w:w="80" w:type="dxa"/>
            <w:vAlign w:val="bottom"/>
            <w:shd w:val="clear" w:color="auto" w:fill="E5E6E7"/>
          </w:tcPr>
          <w:p>
            <w:pPr>
              <w:spacing w:after="0"/>
              <w:rPr>
                <w:sz w:val="18"/>
                <w:szCs w:val="18"/>
                <w:color w:val="auto"/>
              </w:rPr>
            </w:pP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609,451</w:t>
            </w:r>
          </w:p>
        </w:tc>
        <w:tc>
          <w:tcPr>
            <w:tcW w:w="140" w:type="dxa"/>
            <w:vAlign w:val="bottom"/>
            <w:shd w:val="clear" w:color="auto" w:fill="E5E6E7"/>
          </w:tcPr>
          <w:p>
            <w:pPr>
              <w:spacing w:after="0"/>
              <w:rPr>
                <w:sz w:val="18"/>
                <w:szCs w:val="18"/>
                <w:color w:val="auto"/>
              </w:rPr>
            </w:pPr>
          </w:p>
        </w:tc>
        <w:tc>
          <w:tcPr>
            <w:tcW w:w="80" w:type="dxa"/>
            <w:vAlign w:val="bottom"/>
            <w:shd w:val="clear" w:color="auto" w:fill="E5E6E7"/>
          </w:tcPr>
          <w:p>
            <w:pPr>
              <w:spacing w:after="0"/>
              <w:rPr>
                <w:sz w:val="18"/>
                <w:szCs w:val="18"/>
                <w:color w:val="auto"/>
              </w:rPr>
            </w:pPr>
          </w:p>
        </w:tc>
        <w:tc>
          <w:tcPr>
            <w:tcW w:w="220" w:type="dxa"/>
            <w:vAlign w:val="bottom"/>
            <w:tcBorders>
              <w:bottom w:val="single" w:sz="8" w:color="231F20"/>
            </w:tcBorders>
            <w:shd w:val="clear" w:color="auto" w:fill="E5E6E7"/>
          </w:tcPr>
          <w:p>
            <w:pPr>
              <w:jc w:val="right"/>
              <w:ind w:right="30"/>
              <w:spacing w:after="0"/>
              <w:rPr>
                <w:sz w:val="20"/>
                <w:szCs w:val="20"/>
                <w:color w:val="auto"/>
              </w:rPr>
            </w:pPr>
            <w:r>
              <w:rPr>
                <w:rFonts w:ascii="Times New Roman" w:cs="Times New Roman" w:eastAsia="Times New Roman" w:hAnsi="Times New Roman"/>
                <w:sz w:val="18"/>
                <w:szCs w:val="18"/>
                <w:color w:val="414142"/>
                <w:w w:val="88"/>
              </w:rPr>
              <w:t>$</w:t>
            </w:r>
          </w:p>
        </w:tc>
        <w:tc>
          <w:tcPr>
            <w:tcW w:w="8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341,835</w:t>
            </w:r>
          </w:p>
        </w:tc>
        <w:tc>
          <w:tcPr>
            <w:tcW w:w="140" w:type="dxa"/>
            <w:vAlign w:val="bottom"/>
            <w:shd w:val="clear" w:color="auto" w:fill="E5E6E7"/>
          </w:tcPr>
          <w:p>
            <w:pPr>
              <w:spacing w:after="0"/>
              <w:rPr>
                <w:sz w:val="18"/>
                <w:szCs w:val="18"/>
                <w:color w:val="auto"/>
              </w:rPr>
            </w:pPr>
          </w:p>
        </w:tc>
        <w:tc>
          <w:tcPr>
            <w:tcW w:w="60" w:type="dxa"/>
            <w:vAlign w:val="bottom"/>
            <w:shd w:val="clear" w:color="auto" w:fill="E5E6E7"/>
          </w:tcPr>
          <w:p>
            <w:pPr>
              <w:spacing w:after="0"/>
              <w:rPr>
                <w:sz w:val="18"/>
                <w:szCs w:val="18"/>
                <w:color w:val="auto"/>
              </w:rPr>
            </w:pPr>
          </w:p>
        </w:tc>
        <w:tc>
          <w:tcPr>
            <w:tcW w:w="300" w:type="dxa"/>
            <w:vAlign w:val="bottom"/>
            <w:tcBorders>
              <w:bottom w:val="single" w:sz="8" w:color="231F20"/>
            </w:tcBorders>
            <w:shd w:val="clear" w:color="auto" w:fill="E5E6E7"/>
          </w:tcPr>
          <w:p>
            <w:pPr>
              <w:jc w:val="right"/>
              <w:ind w:right="110"/>
              <w:spacing w:after="0"/>
              <w:rPr>
                <w:sz w:val="20"/>
                <w:szCs w:val="20"/>
                <w:color w:val="auto"/>
              </w:rPr>
            </w:pPr>
            <w:r>
              <w:rPr>
                <w:rFonts w:ascii="Times New Roman" w:cs="Times New Roman" w:eastAsia="Times New Roman" w:hAnsi="Times New Roman"/>
                <w:sz w:val="18"/>
                <w:szCs w:val="18"/>
                <w:color w:val="414142"/>
                <w:w w:val="88"/>
              </w:rPr>
              <w:t>$</w:t>
            </w:r>
          </w:p>
        </w:tc>
        <w:tc>
          <w:tcPr>
            <w:tcW w:w="7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166,607</w:t>
            </w:r>
          </w:p>
        </w:tc>
        <w:tc>
          <w:tcPr>
            <w:tcW w:w="80" w:type="dxa"/>
            <w:vAlign w:val="bottom"/>
            <w:shd w:val="clear" w:color="auto" w:fill="E5E6E7"/>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-6029960</wp:posOffset>
            </wp:positionV>
            <wp:extent cx="231457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4">
                      <a:extLst>
                        <a:ext uri="{28A0092B-C50C-407E-A947-70E740481C1C}"/>
                      </a:extLst>
                    </a:blip>
                    <a:srcRect/>
                    <a:stretch>
                      <a:fillRect/>
                    </a:stretch>
                  </pic:blipFill>
                  <pic:spPr bwMode="auto">
                    <a:xfrm>
                      <a:off x="0" y="0"/>
                      <a:ext cx="231457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4074795</wp:posOffset>
                </wp:positionH>
                <wp:positionV relativeFrom="paragraph">
                  <wp:posOffset>-1647190</wp:posOffset>
                </wp:positionV>
                <wp:extent cx="0" cy="952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85pt,-129.6999pt" to="320.85pt,-128.9499pt" o:allowincell="f" strokecolor="#414142" strokeweight="0pt"/>
            </w:pict>
          </mc:Fallback>
        </mc:AlternateContent>
        <w:drawing>
          <wp:anchor simplePos="0" relativeHeight="251657728" behindDoc="1" locked="0" layoutInCell="0" allowOverlap="1">
            <wp:simplePos x="0" y="0"/>
            <wp:positionH relativeFrom="column">
              <wp:posOffset>4055745</wp:posOffset>
            </wp:positionH>
            <wp:positionV relativeFrom="paragraph">
              <wp:posOffset>-1656715</wp:posOffset>
            </wp:positionV>
            <wp:extent cx="11239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5">
                      <a:extLst>
                        <a:ext uri="{28A0092B-C50C-407E-A947-70E740481C1C}"/>
                      </a:extLst>
                    </a:blip>
                    <a:srcRect/>
                    <a:stretch>
                      <a:fillRect/>
                    </a:stretch>
                  </pic:blipFill>
                  <pic:spPr bwMode="auto">
                    <a:xfrm>
                      <a:off x="0" y="0"/>
                      <a:ext cx="11239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4074795</wp:posOffset>
                </wp:positionH>
                <wp:positionV relativeFrom="paragraph">
                  <wp:posOffset>-1348105</wp:posOffset>
                </wp:positionV>
                <wp:extent cx="0" cy="952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85pt,-106.1499pt" to="320.85pt,-105.3999pt" o:allowincell="f" strokecolor="#414142" strokeweight="0pt"/>
            </w:pict>
          </mc:Fallback>
        </mc:AlternateContent>
        <w:drawing>
          <wp:anchor simplePos="0" relativeHeight="251657728" behindDoc="1" locked="0" layoutInCell="0" allowOverlap="1">
            <wp:simplePos x="0" y="0"/>
            <wp:positionH relativeFrom="column">
              <wp:posOffset>4055745</wp:posOffset>
            </wp:positionH>
            <wp:positionV relativeFrom="paragraph">
              <wp:posOffset>-1356995</wp:posOffset>
            </wp:positionV>
            <wp:extent cx="11239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6">
                      <a:extLst>
                        <a:ext uri="{28A0092B-C50C-407E-A947-70E740481C1C}"/>
                      </a:extLst>
                    </a:blip>
                    <a:srcRect/>
                    <a:stretch>
                      <a:fillRect/>
                    </a:stretch>
                  </pic:blipFill>
                  <pic:spPr bwMode="auto">
                    <a:xfrm>
                      <a:off x="0" y="0"/>
                      <a:ext cx="112395" cy="3810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080"/>
          </w:cols>
          <w:pgMar w:left="900" w:top="7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142</w:t>
      </w:r>
    </w:p>
    <w:p>
      <w:pPr>
        <w:sectPr>
          <w:pgSz w:w="11880" w:h="15480" w:orient="portrait"/>
          <w:cols w:equalWidth="0" w:num="1">
            <w:col w:w="10080"/>
          </w:cols>
          <w:pgMar w:left="900" w:top="792" w:right="900" w:bottom="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231F20"/>
              </w:rPr>
              <w:t>Year Ended December 31,</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Supplemental disclosure of cash flow information</w:t>
            </w:r>
          </w:p>
        </w:tc>
        <w:tc>
          <w:tcPr>
            <w:tcW w:w="20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4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20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Cash paid during the year for interest</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44,031</w:t>
            </w:r>
          </w:p>
        </w:tc>
        <w:tc>
          <w:tcPr>
            <w:tcW w:w="240" w:type="dxa"/>
            <w:vAlign w:val="bottom"/>
            <w:shd w:val="clear" w:color="auto" w:fill="E5E6E7"/>
          </w:tcPr>
          <w:p>
            <w:pPr>
              <w:spacing w:after="0"/>
              <w:rPr>
                <w:sz w:val="19"/>
                <w:szCs w:val="19"/>
                <w:color w:val="auto"/>
              </w:rPr>
            </w:pPr>
          </w:p>
        </w:tc>
        <w:tc>
          <w:tcPr>
            <w:tcW w:w="1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28,045</w:t>
            </w:r>
          </w:p>
        </w:tc>
        <w:tc>
          <w:tcPr>
            <w:tcW w:w="200" w:type="dxa"/>
            <w:vAlign w:val="bottom"/>
            <w:shd w:val="clear" w:color="auto" w:fill="E5E6E7"/>
          </w:tcPr>
          <w:p>
            <w:pPr>
              <w:spacing w:after="0"/>
              <w:rPr>
                <w:sz w:val="19"/>
                <w:szCs w:val="19"/>
                <w:color w:val="auto"/>
              </w:rPr>
            </w:pPr>
          </w:p>
        </w:tc>
        <w:tc>
          <w:tcPr>
            <w:tcW w:w="280" w:type="dxa"/>
            <w:vAlign w:val="bottom"/>
            <w:tcBorders>
              <w:bottom w:val="single" w:sz="8" w:color="231F20"/>
            </w:tcBorders>
            <w:shd w:val="clear" w:color="auto" w:fill="E5E6E7"/>
          </w:tcPr>
          <w:p>
            <w:pPr>
              <w:jc w:val="right"/>
              <w:ind w:right="90"/>
              <w:spacing w:after="0"/>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16,913</w:t>
            </w: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Cash paid for income taxes</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E5E6E7"/>
            </w:tcBorders>
            <w:vMerge w:val="continue"/>
          </w:tcPr>
          <w:p>
            <w:pPr>
              <w:spacing w:after="0"/>
              <w:rPr>
                <w:sz w:val="21"/>
                <w:szCs w:val="21"/>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654</w:t>
            </w:r>
          </w:p>
        </w:tc>
        <w:tc>
          <w:tcPr>
            <w:tcW w:w="240" w:type="dxa"/>
            <w:vAlign w:val="bottom"/>
            <w:tcBorders>
              <w:bottom w:val="single" w:sz="8" w:color="E5E6E7"/>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206</w:t>
            </w:r>
          </w:p>
        </w:tc>
        <w:tc>
          <w:tcPr>
            <w:tcW w:w="200" w:type="dxa"/>
            <w:vAlign w:val="bottom"/>
            <w:tcBorders>
              <w:bottom w:val="single" w:sz="8" w:color="E5E6E7"/>
            </w:tcBorders>
          </w:tcPr>
          <w:p>
            <w:pPr>
              <w:spacing w:after="0"/>
              <w:rPr>
                <w:sz w:val="21"/>
                <w:szCs w:val="21"/>
                <w:color w:val="auto"/>
              </w:rPr>
            </w:pPr>
          </w:p>
        </w:tc>
        <w:tc>
          <w:tcPr>
            <w:tcW w:w="280" w:type="dxa"/>
            <w:vAlign w:val="bottom"/>
            <w:tcBorders>
              <w:top w:val="single" w:sz="8" w:color="231F20"/>
              <w:bottom w:val="single" w:sz="8" w:color="231F20"/>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161</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Marketable equity securities received on accounts receivable</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32,000</w:t>
            </w:r>
          </w:p>
        </w:tc>
        <w:tc>
          <w:tcPr>
            <w:tcW w:w="240" w:type="dxa"/>
            <w:vAlign w:val="bottom"/>
            <w:shd w:val="clear" w:color="auto" w:fill="E5E6E7"/>
          </w:tcPr>
          <w:p>
            <w:pPr>
              <w:spacing w:after="0"/>
              <w:rPr>
                <w:sz w:val="17"/>
                <w:szCs w:val="17"/>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22,000</w:t>
            </w:r>
          </w:p>
        </w:tc>
        <w:tc>
          <w:tcPr>
            <w:tcW w:w="200" w:type="dxa"/>
            <w:vAlign w:val="bottom"/>
            <w:shd w:val="clear" w:color="auto" w:fill="E5E6E7"/>
          </w:tcPr>
          <w:p>
            <w:pPr>
              <w:spacing w:after="0"/>
              <w:rPr>
                <w:sz w:val="17"/>
                <w:szCs w:val="17"/>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22,000</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Supplemental disclosure of noncash investing and financing activities</w:t>
            </w: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18"/>
                <w:szCs w:val="18"/>
                <w:color w:val="414142"/>
              </w:rPr>
              <w:t>Dividends payable</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w:t>
            </w:r>
          </w:p>
        </w:tc>
        <w:tc>
          <w:tcPr>
            <w:tcW w:w="240" w:type="dxa"/>
            <w:vAlign w:val="bottom"/>
            <w:shd w:val="clear" w:color="auto" w:fill="E5E6E7"/>
          </w:tcPr>
          <w:p>
            <w:pPr>
              <w:spacing w:after="0"/>
              <w:rPr>
                <w:sz w:val="19"/>
                <w:szCs w:val="19"/>
                <w:color w:val="auto"/>
              </w:rPr>
            </w:pPr>
          </w:p>
        </w:tc>
        <w:tc>
          <w:tcPr>
            <w:tcW w:w="1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5,487</w:t>
            </w:r>
          </w:p>
        </w:tc>
        <w:tc>
          <w:tcPr>
            <w:tcW w:w="200" w:type="dxa"/>
            <w:vAlign w:val="bottom"/>
            <w:shd w:val="clear" w:color="auto" w:fill="E5E6E7"/>
          </w:tcPr>
          <w:p>
            <w:pPr>
              <w:spacing w:after="0"/>
              <w:rPr>
                <w:sz w:val="19"/>
                <w:szCs w:val="19"/>
                <w:color w:val="auto"/>
              </w:rPr>
            </w:pPr>
          </w:p>
        </w:tc>
        <w:tc>
          <w:tcPr>
            <w:tcW w:w="280" w:type="dxa"/>
            <w:vAlign w:val="bottom"/>
            <w:tcBorders>
              <w:bottom w:val="single" w:sz="8" w:color="231F20"/>
            </w:tcBorders>
            <w:shd w:val="clear" w:color="auto" w:fill="E5E6E7"/>
          </w:tcPr>
          <w:p>
            <w:pPr>
              <w:jc w:val="right"/>
              <w:ind w:right="90"/>
              <w:spacing w:after="0"/>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12,535</w:t>
            </w:r>
          </w:p>
        </w:tc>
        <w:tc>
          <w:tcPr>
            <w:tcW w:w="6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Purchases of property and equipment, accrued but not paid</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E5E6E7"/>
            </w:tcBorders>
            <w:vMerge w:val="continue"/>
          </w:tcPr>
          <w:p>
            <w:pPr>
              <w:spacing w:after="0"/>
              <w:rPr>
                <w:sz w:val="21"/>
                <w:szCs w:val="21"/>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5,535</w:t>
            </w:r>
          </w:p>
        </w:tc>
        <w:tc>
          <w:tcPr>
            <w:tcW w:w="240" w:type="dxa"/>
            <w:vAlign w:val="bottom"/>
            <w:tcBorders>
              <w:bottom w:val="single" w:sz="8" w:color="E5E6E7"/>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4,292</w:t>
            </w:r>
          </w:p>
        </w:tc>
        <w:tc>
          <w:tcPr>
            <w:tcW w:w="200" w:type="dxa"/>
            <w:vAlign w:val="bottom"/>
            <w:tcBorders>
              <w:bottom w:val="single" w:sz="8" w:color="E5E6E7"/>
            </w:tcBorders>
          </w:tcPr>
          <w:p>
            <w:pPr>
              <w:spacing w:after="0"/>
              <w:rPr>
                <w:sz w:val="21"/>
                <w:szCs w:val="21"/>
                <w:color w:val="auto"/>
              </w:rPr>
            </w:pPr>
          </w:p>
        </w:tc>
        <w:tc>
          <w:tcPr>
            <w:tcW w:w="280" w:type="dxa"/>
            <w:vAlign w:val="bottom"/>
            <w:tcBorders>
              <w:top w:val="single" w:sz="8" w:color="231F20"/>
              <w:bottom w:val="single" w:sz="8" w:color="231F20"/>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6,137</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Redemption of convertible promissory note</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32,008</w:t>
            </w:r>
          </w:p>
        </w:tc>
        <w:tc>
          <w:tcPr>
            <w:tcW w:w="240" w:type="dxa"/>
            <w:vAlign w:val="bottom"/>
            <w:shd w:val="clear" w:color="auto" w:fill="E5E6E7"/>
          </w:tcPr>
          <w:p>
            <w:pPr>
              <w:spacing w:after="0"/>
              <w:rPr>
                <w:sz w:val="17"/>
                <w:szCs w:val="17"/>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24,932</w:t>
            </w:r>
          </w:p>
        </w:tc>
        <w:tc>
          <w:tcPr>
            <w:tcW w:w="200" w:type="dxa"/>
            <w:vAlign w:val="bottom"/>
            <w:shd w:val="clear" w:color="auto" w:fill="E5E6E7"/>
          </w:tcPr>
          <w:p>
            <w:pPr>
              <w:spacing w:after="0"/>
              <w:rPr>
                <w:sz w:val="17"/>
                <w:szCs w:val="17"/>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27,970</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Non-voting common stock issued in connection with business combinations</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E5E6E7"/>
            </w:tcBorders>
            <w:vMerge w:val="continue"/>
          </w:tcPr>
          <w:p>
            <w:pPr>
              <w:spacing w:after="0"/>
              <w:rPr>
                <w:sz w:val="21"/>
                <w:szCs w:val="21"/>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240" w:type="dxa"/>
            <w:vAlign w:val="bottom"/>
            <w:tcBorders>
              <w:bottom w:val="single" w:sz="8" w:color="E5E6E7"/>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344</w:t>
            </w:r>
          </w:p>
        </w:tc>
        <w:tc>
          <w:tcPr>
            <w:tcW w:w="200" w:type="dxa"/>
            <w:vAlign w:val="bottom"/>
            <w:tcBorders>
              <w:bottom w:val="single" w:sz="8" w:color="E5E6E7"/>
            </w:tcBorders>
          </w:tcPr>
          <w:p>
            <w:pPr>
              <w:spacing w:after="0"/>
              <w:rPr>
                <w:sz w:val="21"/>
                <w:szCs w:val="21"/>
                <w:color w:val="auto"/>
              </w:rPr>
            </w:pPr>
          </w:p>
        </w:tc>
        <w:tc>
          <w:tcPr>
            <w:tcW w:w="280" w:type="dxa"/>
            <w:vAlign w:val="bottom"/>
            <w:tcBorders>
              <w:top w:val="single" w:sz="8" w:color="231F20"/>
              <w:bottom w:val="single" w:sz="8" w:color="231F20"/>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9,209</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Accretion of convertible preferred stock to redemption value</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40" w:type="dxa"/>
            <w:vAlign w:val="bottom"/>
            <w:shd w:val="clear" w:color="auto" w:fill="E5E6E7"/>
          </w:tcPr>
          <w:p>
            <w:pPr>
              <w:spacing w:after="0"/>
              <w:rPr>
                <w:sz w:val="17"/>
                <w:szCs w:val="17"/>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00" w:type="dxa"/>
            <w:vAlign w:val="bottom"/>
            <w:shd w:val="clear" w:color="auto" w:fill="E5E6E7"/>
          </w:tcPr>
          <w:p>
            <w:pPr>
              <w:spacing w:after="0"/>
              <w:rPr>
                <w:sz w:val="17"/>
                <w:szCs w:val="17"/>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4,338</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Deferred offering costs, accrued but not yet paid</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E5E6E7"/>
            </w:tcBorders>
            <w:vMerge w:val="continue"/>
          </w:tcPr>
          <w:p>
            <w:pPr>
              <w:spacing w:after="0"/>
              <w:rPr>
                <w:sz w:val="21"/>
                <w:szCs w:val="21"/>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47</w:t>
            </w:r>
          </w:p>
        </w:tc>
        <w:tc>
          <w:tcPr>
            <w:tcW w:w="240" w:type="dxa"/>
            <w:vAlign w:val="bottom"/>
            <w:tcBorders>
              <w:bottom w:val="single" w:sz="8" w:color="E5E6E7"/>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200" w:type="dxa"/>
            <w:vAlign w:val="bottom"/>
            <w:tcBorders>
              <w:bottom w:val="single" w:sz="8" w:color="E5E6E7"/>
            </w:tcBorders>
          </w:tcPr>
          <w:p>
            <w:pPr>
              <w:spacing w:after="0"/>
              <w:rPr>
                <w:sz w:val="21"/>
                <w:szCs w:val="21"/>
                <w:color w:val="auto"/>
              </w:rPr>
            </w:pPr>
          </w:p>
        </w:tc>
        <w:tc>
          <w:tcPr>
            <w:tcW w:w="280" w:type="dxa"/>
            <w:vAlign w:val="bottom"/>
            <w:tcBorders>
              <w:top w:val="single" w:sz="8" w:color="231F20"/>
              <w:bottom w:val="single" w:sz="8" w:color="231F20"/>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3,504</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600" w:type="dxa"/>
            <w:vAlign w:val="bottom"/>
            <w:tcBorders>
              <w:bottom w:val="single" w:sz="8" w:color="E5E6E7"/>
            </w:tcBorders>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Deferred financing fees, accrued but not yet paid</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226</w:t>
            </w:r>
          </w:p>
        </w:tc>
        <w:tc>
          <w:tcPr>
            <w:tcW w:w="240" w:type="dxa"/>
            <w:vAlign w:val="bottom"/>
            <w:tcBorders>
              <w:bottom w:val="single" w:sz="8" w:color="E5E6E7"/>
            </w:tcBorders>
            <w:shd w:val="clear" w:color="auto" w:fill="E5E6E7"/>
          </w:tcPr>
          <w:p>
            <w:pPr>
              <w:spacing w:after="0"/>
              <w:rPr>
                <w:sz w:val="19"/>
                <w:szCs w:val="19"/>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00" w:type="dxa"/>
            <w:vAlign w:val="bottom"/>
            <w:tcBorders>
              <w:bottom w:val="single" w:sz="8" w:color="E5E6E7"/>
            </w:tcBorders>
            <w:shd w:val="clear" w:color="auto" w:fill="E5E6E7"/>
          </w:tcPr>
          <w:p>
            <w:pPr>
              <w:spacing w:after="0"/>
              <w:rPr>
                <w:sz w:val="19"/>
                <w:szCs w:val="19"/>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60" w:type="dxa"/>
            <w:vAlign w:val="bottom"/>
            <w:tcBorders>
              <w:bottom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Reclassification of deferred offering costs to additional paid-in capital upon at-the-</w:t>
            </w: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market offering</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6"/>
        </w:trPr>
        <w:tc>
          <w:tcPr>
            <w:tcW w:w="6600" w:type="dxa"/>
            <w:vAlign w:val="bottom"/>
            <w:tcBorders>
              <w:top w:val="single" w:sz="8" w:color="E5E6E7"/>
              <w:bottom w:val="single" w:sz="8" w:color="E5E6E7"/>
            </w:tcBorders>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Operating lease liabilities arising from obtaining right-of-use assets</w:t>
            </w:r>
          </w:p>
        </w:tc>
        <w:tc>
          <w:tcPr>
            <w:tcW w:w="2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22,670</w:t>
            </w:r>
          </w:p>
        </w:tc>
        <w:tc>
          <w:tcPr>
            <w:tcW w:w="240" w:type="dxa"/>
            <w:vAlign w:val="bottom"/>
            <w:tcBorders>
              <w:top w:val="single" w:sz="8" w:color="E5E6E7"/>
              <w:bottom w:val="single" w:sz="8" w:color="E5E6E7"/>
            </w:tcBorders>
            <w:shd w:val="clear" w:color="auto" w:fill="E5E6E7"/>
          </w:tcPr>
          <w:p>
            <w:pPr>
              <w:spacing w:after="0"/>
              <w:rPr>
                <w:sz w:val="19"/>
                <w:szCs w:val="19"/>
                <w:color w:val="auto"/>
              </w:rPr>
            </w:pPr>
          </w:p>
        </w:tc>
        <w:tc>
          <w:tcPr>
            <w:tcW w:w="18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1,997</w:t>
            </w:r>
          </w:p>
        </w:tc>
        <w:tc>
          <w:tcPr>
            <w:tcW w:w="200" w:type="dxa"/>
            <w:vAlign w:val="bottom"/>
            <w:tcBorders>
              <w:top w:val="single" w:sz="8" w:color="E5E6E7"/>
              <w:bottom w:val="single" w:sz="8" w:color="E5E6E7"/>
            </w:tcBorders>
            <w:shd w:val="clear" w:color="auto" w:fill="E5E6E7"/>
          </w:tcPr>
          <w:p>
            <w:pPr>
              <w:spacing w:after="0"/>
              <w:rPr>
                <w:sz w:val="19"/>
                <w:szCs w:val="19"/>
                <w:color w:val="auto"/>
              </w:rPr>
            </w:pPr>
          </w:p>
        </w:tc>
        <w:tc>
          <w:tcPr>
            <w:tcW w:w="280" w:type="dxa"/>
            <w:vAlign w:val="bottom"/>
            <w:tcBorders>
              <w:top w:val="single" w:sz="8" w:color="231F20"/>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1,097</w:t>
            </w:r>
          </w:p>
        </w:tc>
        <w:tc>
          <w:tcPr>
            <w:tcW w:w="60" w:type="dxa"/>
            <w:vAlign w:val="bottom"/>
            <w:tcBorders>
              <w:top w:val="single" w:sz="8" w:color="E5E6E7"/>
              <w:bottom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Conversion of redeemable convertible preferred stock to common stock in connection</w:t>
            </w: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with initial public offering</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1,348,809</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6"/>
        </w:trPr>
        <w:tc>
          <w:tcPr>
            <w:tcW w:w="6600" w:type="dxa"/>
            <w:vAlign w:val="bottom"/>
            <w:tcBorders>
              <w:top w:val="single" w:sz="8" w:color="E5E6E7"/>
              <w:bottom w:val="single" w:sz="8" w:color="E5E6E7"/>
            </w:tcBorders>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Taxes related to net share settlement of restricted stock units not yet paid</w:t>
            </w:r>
          </w:p>
        </w:tc>
        <w:tc>
          <w:tcPr>
            <w:tcW w:w="2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40" w:type="dxa"/>
            <w:vAlign w:val="bottom"/>
            <w:tcBorders>
              <w:top w:val="single" w:sz="8" w:color="E5E6E7"/>
              <w:bottom w:val="single" w:sz="8" w:color="E5E6E7"/>
            </w:tcBorders>
            <w:shd w:val="clear" w:color="auto" w:fill="E5E6E7"/>
          </w:tcPr>
          <w:p>
            <w:pPr>
              <w:spacing w:after="0"/>
              <w:rPr>
                <w:sz w:val="19"/>
                <w:szCs w:val="19"/>
                <w:color w:val="auto"/>
              </w:rPr>
            </w:pPr>
          </w:p>
        </w:tc>
        <w:tc>
          <w:tcPr>
            <w:tcW w:w="18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20</w:t>
            </w:r>
          </w:p>
        </w:tc>
        <w:tc>
          <w:tcPr>
            <w:tcW w:w="200" w:type="dxa"/>
            <w:vAlign w:val="bottom"/>
            <w:tcBorders>
              <w:top w:val="single" w:sz="8" w:color="E5E6E7"/>
              <w:bottom w:val="single" w:sz="8" w:color="E5E6E7"/>
            </w:tcBorders>
            <w:shd w:val="clear" w:color="auto" w:fill="E5E6E7"/>
          </w:tcPr>
          <w:p>
            <w:pPr>
              <w:spacing w:after="0"/>
              <w:rPr>
                <w:sz w:val="19"/>
                <w:szCs w:val="19"/>
                <w:color w:val="auto"/>
              </w:rPr>
            </w:pPr>
          </w:p>
        </w:tc>
        <w:tc>
          <w:tcPr>
            <w:tcW w:w="280" w:type="dxa"/>
            <w:vAlign w:val="bottom"/>
            <w:tcBorders>
              <w:top w:val="single" w:sz="8" w:color="231F20"/>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60" w:type="dxa"/>
            <w:vAlign w:val="bottom"/>
            <w:tcBorders>
              <w:top w:val="single" w:sz="8" w:color="E5E6E7"/>
              <w:bottom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Reclassification of deferred offering costs to additional paid-in capital upon initial</w:t>
            </w: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public offering</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12,347</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6"/>
        </w:trPr>
        <w:tc>
          <w:tcPr>
            <w:tcW w:w="6600" w:type="dxa"/>
            <w:vAlign w:val="bottom"/>
            <w:tcBorders>
              <w:top w:val="single" w:sz="8" w:color="E5E6E7"/>
              <w:bottom w:val="single" w:sz="8" w:color="E5E6E7"/>
            </w:tcBorders>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Class A Common Stock issued in connection with business combinations</w:t>
            </w:r>
          </w:p>
        </w:tc>
        <w:tc>
          <w:tcPr>
            <w:tcW w:w="2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403,154</w:t>
            </w:r>
          </w:p>
        </w:tc>
        <w:tc>
          <w:tcPr>
            <w:tcW w:w="240" w:type="dxa"/>
            <w:vAlign w:val="bottom"/>
            <w:tcBorders>
              <w:top w:val="single" w:sz="8" w:color="E5E6E7"/>
              <w:bottom w:val="single" w:sz="8" w:color="E5E6E7"/>
            </w:tcBorders>
            <w:shd w:val="clear" w:color="auto" w:fill="E5E6E7"/>
          </w:tcPr>
          <w:p>
            <w:pPr>
              <w:spacing w:after="0"/>
              <w:rPr>
                <w:sz w:val="19"/>
                <w:szCs w:val="19"/>
                <w:color w:val="auto"/>
              </w:rPr>
            </w:pPr>
          </w:p>
        </w:tc>
        <w:tc>
          <w:tcPr>
            <w:tcW w:w="18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00" w:type="dxa"/>
            <w:vAlign w:val="bottom"/>
            <w:tcBorders>
              <w:top w:val="single" w:sz="8" w:color="E5E6E7"/>
              <w:bottom w:val="single" w:sz="8" w:color="E5E6E7"/>
            </w:tcBorders>
            <w:shd w:val="clear" w:color="auto" w:fill="E5E6E7"/>
          </w:tcPr>
          <w:p>
            <w:pPr>
              <w:spacing w:after="0"/>
              <w:rPr>
                <w:sz w:val="19"/>
                <w:szCs w:val="19"/>
                <w:color w:val="auto"/>
              </w:rPr>
            </w:pPr>
          </w:p>
        </w:tc>
        <w:tc>
          <w:tcPr>
            <w:tcW w:w="280" w:type="dxa"/>
            <w:vAlign w:val="bottom"/>
            <w:tcBorders>
              <w:top w:val="single" w:sz="8" w:color="231F20"/>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top w:val="single" w:sz="8" w:color="231F20"/>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60" w:type="dxa"/>
            <w:vAlign w:val="bottom"/>
            <w:tcBorders>
              <w:top w:val="single" w:sz="8" w:color="E5E6E7"/>
              <w:bottom w:val="single" w:sz="8" w:color="E5E6E7"/>
            </w:tcBorders>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Class A Common Stock issued in connection with license agreement</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600" w:type="dxa"/>
            <w:vAlign w:val="bottom"/>
            <w:tcBorders>
              <w:bottom w:val="single" w:sz="8" w:color="E5E6E7"/>
            </w:tcBorders>
            <w:vMerge w:val="continue"/>
          </w:tcPr>
          <w:p>
            <w:pPr>
              <w:spacing w:after="0"/>
              <w:rPr>
                <w:sz w:val="19"/>
                <w:szCs w:val="19"/>
                <w:color w:val="auto"/>
              </w:rPr>
            </w:pPr>
          </w:p>
        </w:tc>
        <w:tc>
          <w:tcPr>
            <w:tcW w:w="200" w:type="dxa"/>
            <w:vAlign w:val="bottom"/>
            <w:tcBorders>
              <w:top w:val="single" w:sz="8" w:color="231F20"/>
              <w:bottom w:val="single" w:sz="8" w:color="231F20"/>
            </w:tcBorders>
          </w:tcPr>
          <w:p>
            <w:pPr>
              <w:jc w:val="right"/>
              <w:ind w:right="35"/>
              <w:spacing w:after="0" w:line="186" w:lineRule="exact"/>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186" w:lineRule="exact"/>
              <w:rPr>
                <w:sz w:val="20"/>
                <w:szCs w:val="20"/>
                <w:color w:val="auto"/>
              </w:rPr>
            </w:pPr>
            <w:r>
              <w:rPr>
                <w:rFonts w:ascii="Times New Roman" w:cs="Times New Roman" w:eastAsia="Times New Roman" w:hAnsi="Times New Roman"/>
                <w:sz w:val="18"/>
                <w:szCs w:val="18"/>
                <w:color w:val="231F20"/>
              </w:rPr>
              <w:t>1,443</w:t>
            </w:r>
          </w:p>
        </w:tc>
        <w:tc>
          <w:tcPr>
            <w:tcW w:w="240" w:type="dxa"/>
            <w:vAlign w:val="bottom"/>
            <w:tcBorders>
              <w:bottom w:val="single" w:sz="8" w:color="E5E6E7"/>
            </w:tcBorders>
          </w:tcPr>
          <w:p>
            <w:pPr>
              <w:spacing w:after="0"/>
              <w:rPr>
                <w:sz w:val="19"/>
                <w:szCs w:val="19"/>
                <w:color w:val="auto"/>
              </w:rPr>
            </w:pPr>
          </w:p>
        </w:tc>
        <w:tc>
          <w:tcPr>
            <w:tcW w:w="180" w:type="dxa"/>
            <w:vAlign w:val="bottom"/>
            <w:tcBorders>
              <w:top w:val="single" w:sz="8" w:color="231F20"/>
              <w:bottom w:val="single" w:sz="8" w:color="231F20"/>
            </w:tcBorders>
          </w:tcPr>
          <w:p>
            <w:pPr>
              <w:jc w:val="right"/>
              <w:spacing w:after="0" w:line="18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186" w:lineRule="exact"/>
              <w:rPr>
                <w:sz w:val="20"/>
                <w:szCs w:val="20"/>
                <w:color w:val="auto"/>
              </w:rPr>
            </w:pPr>
            <w:r>
              <w:rPr>
                <w:rFonts w:ascii="Times New Roman" w:cs="Times New Roman" w:eastAsia="Times New Roman" w:hAnsi="Times New Roman"/>
                <w:sz w:val="18"/>
                <w:szCs w:val="18"/>
                <w:color w:val="231F20"/>
              </w:rPr>
              <w:t>—</w:t>
            </w:r>
          </w:p>
        </w:tc>
        <w:tc>
          <w:tcPr>
            <w:tcW w:w="200" w:type="dxa"/>
            <w:vAlign w:val="bottom"/>
            <w:tcBorders>
              <w:bottom w:val="single" w:sz="8" w:color="E5E6E7"/>
            </w:tcBorders>
          </w:tcPr>
          <w:p>
            <w:pPr>
              <w:spacing w:after="0"/>
              <w:rPr>
                <w:sz w:val="19"/>
                <w:szCs w:val="19"/>
                <w:color w:val="auto"/>
              </w:rPr>
            </w:pPr>
          </w:p>
        </w:tc>
        <w:tc>
          <w:tcPr>
            <w:tcW w:w="280" w:type="dxa"/>
            <w:vAlign w:val="bottom"/>
            <w:tcBorders>
              <w:top w:val="single" w:sz="8" w:color="231F20"/>
              <w:bottom w:val="single" w:sz="8" w:color="231F20"/>
            </w:tcBorders>
          </w:tcPr>
          <w:p>
            <w:pPr>
              <w:jc w:val="right"/>
              <w:ind w:right="90"/>
              <w:spacing w:after="0" w:line="18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186" w:lineRule="exact"/>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Issuance of Series G-3 Preferred Stock</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40" w:type="dxa"/>
            <w:vAlign w:val="bottom"/>
            <w:shd w:val="clear" w:color="auto" w:fill="E5E6E7"/>
          </w:tcPr>
          <w:p>
            <w:pPr>
              <w:spacing w:after="0"/>
              <w:rPr>
                <w:sz w:val="17"/>
                <w:szCs w:val="17"/>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3,809</w:t>
            </w:r>
          </w:p>
        </w:tc>
        <w:tc>
          <w:tcPr>
            <w:tcW w:w="200" w:type="dxa"/>
            <w:vAlign w:val="bottom"/>
            <w:shd w:val="clear" w:color="auto" w:fill="E5E6E7"/>
          </w:tcPr>
          <w:p>
            <w:pPr>
              <w:spacing w:after="0"/>
              <w:rPr>
                <w:sz w:val="17"/>
                <w:szCs w:val="17"/>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2,738</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Issuance of Series G-4 Preferred Stock</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E5E6E7"/>
            </w:tcBorders>
            <w:vMerge w:val="continue"/>
          </w:tcPr>
          <w:p>
            <w:pPr>
              <w:spacing w:after="0"/>
              <w:rPr>
                <w:sz w:val="21"/>
                <w:szCs w:val="21"/>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240" w:type="dxa"/>
            <w:vAlign w:val="bottom"/>
            <w:tcBorders>
              <w:bottom w:val="single" w:sz="8" w:color="E5E6E7"/>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611</w:t>
            </w:r>
          </w:p>
        </w:tc>
        <w:tc>
          <w:tcPr>
            <w:tcW w:w="200" w:type="dxa"/>
            <w:vAlign w:val="bottom"/>
            <w:tcBorders>
              <w:bottom w:val="single" w:sz="8" w:color="E5E6E7"/>
            </w:tcBorders>
          </w:tcPr>
          <w:p>
            <w:pPr>
              <w:spacing w:after="0"/>
              <w:rPr>
                <w:sz w:val="21"/>
                <w:szCs w:val="21"/>
                <w:color w:val="auto"/>
              </w:rPr>
            </w:pPr>
          </w:p>
        </w:tc>
        <w:tc>
          <w:tcPr>
            <w:tcW w:w="280" w:type="dxa"/>
            <w:vAlign w:val="bottom"/>
            <w:tcBorders>
              <w:top w:val="single" w:sz="8" w:color="231F20"/>
              <w:bottom w:val="single" w:sz="8" w:color="231F20"/>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Issuance of warrant</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40" w:type="dxa"/>
            <w:vAlign w:val="bottom"/>
            <w:shd w:val="clear" w:color="auto" w:fill="E5E6E7"/>
          </w:tcPr>
          <w:p>
            <w:pPr>
              <w:spacing w:after="0"/>
              <w:rPr>
                <w:sz w:val="17"/>
                <w:szCs w:val="17"/>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00" w:type="dxa"/>
            <w:vAlign w:val="bottom"/>
            <w:shd w:val="clear" w:color="auto" w:fill="E5E6E7"/>
          </w:tcPr>
          <w:p>
            <w:pPr>
              <w:spacing w:after="0"/>
              <w:rPr>
                <w:sz w:val="17"/>
                <w:szCs w:val="17"/>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4,223</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231F20"/>
              </w:rPr>
              <w:t>Issuance of common stock in connection with contingent consideration</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600" w:type="dxa"/>
            <w:vAlign w:val="bottom"/>
            <w:tcBorders>
              <w:bottom w:val="single" w:sz="8" w:color="E5E6E7"/>
            </w:tcBorders>
            <w:vMerge w:val="continue"/>
          </w:tcPr>
          <w:p>
            <w:pPr>
              <w:spacing w:after="0"/>
              <w:rPr>
                <w:sz w:val="21"/>
                <w:szCs w:val="21"/>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240" w:type="dxa"/>
            <w:vAlign w:val="bottom"/>
            <w:tcBorders>
              <w:bottom w:val="single" w:sz="8" w:color="E5E6E7"/>
            </w:tcBorders>
          </w:tcPr>
          <w:p>
            <w:pPr>
              <w:spacing w:after="0"/>
              <w:rPr>
                <w:sz w:val="21"/>
                <w:szCs w:val="21"/>
                <w:color w:val="auto"/>
              </w:rPr>
            </w:pPr>
          </w:p>
        </w:tc>
        <w:tc>
          <w:tcPr>
            <w:tcW w:w="18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847</w:t>
            </w:r>
          </w:p>
        </w:tc>
        <w:tc>
          <w:tcPr>
            <w:tcW w:w="200" w:type="dxa"/>
            <w:vAlign w:val="bottom"/>
            <w:tcBorders>
              <w:bottom w:val="single" w:sz="8" w:color="E5E6E7"/>
            </w:tcBorders>
          </w:tcPr>
          <w:p>
            <w:pPr>
              <w:spacing w:after="0"/>
              <w:rPr>
                <w:sz w:val="21"/>
                <w:szCs w:val="21"/>
                <w:color w:val="auto"/>
              </w:rPr>
            </w:pPr>
          </w:p>
        </w:tc>
        <w:tc>
          <w:tcPr>
            <w:tcW w:w="280" w:type="dxa"/>
            <w:vAlign w:val="bottom"/>
            <w:tcBorders>
              <w:top w:val="single" w:sz="8" w:color="231F20"/>
              <w:bottom w:val="single" w:sz="8" w:color="231F20"/>
            </w:tcBorders>
          </w:tcPr>
          <w:p>
            <w:pPr>
              <w:jc w:val="right"/>
              <w:ind w:right="90"/>
              <w:spacing w:after="0" w:line="206" w:lineRule="exact"/>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231F20"/>
              <w:bottom w:val="single" w:sz="8" w:color="231F20"/>
            </w:tcBorders>
          </w:tcPr>
          <w:p>
            <w:pPr>
              <w:jc w:val="right"/>
              <w:spacing w:after="0" w:line="206" w:lineRule="exact"/>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E5E6E7"/>
          </w:tcPr>
          <w:p>
            <w:pPr>
              <w:ind w:left="200"/>
              <w:spacing w:after="0" w:line="206" w:lineRule="exact"/>
              <w:rPr>
                <w:sz w:val="20"/>
                <w:szCs w:val="20"/>
                <w:color w:val="auto"/>
              </w:rPr>
            </w:pPr>
            <w:r>
              <w:rPr>
                <w:rFonts w:ascii="Times New Roman" w:cs="Times New Roman" w:eastAsia="Times New Roman" w:hAnsi="Times New Roman"/>
                <w:sz w:val="18"/>
                <w:szCs w:val="18"/>
                <w:color w:val="414142"/>
              </w:rPr>
              <w:t>Convertible promissory note principal reset due to amendment</w:t>
            </w:r>
          </w:p>
        </w:tc>
        <w:tc>
          <w:tcPr>
            <w:tcW w:w="200" w:type="dxa"/>
            <w:vAlign w:val="bottom"/>
            <w:tcBorders>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17"/>
                <w:szCs w:val="17"/>
                <w:color w:val="414142"/>
                <w:w w:val="70"/>
              </w:rPr>
              <w:t>$</w:t>
            </w:r>
          </w:p>
        </w:tc>
        <w:tc>
          <w:tcPr>
            <w:tcW w:w="82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72,488</w:t>
            </w:r>
          </w:p>
        </w:tc>
        <w:tc>
          <w:tcPr>
            <w:tcW w:w="240" w:type="dxa"/>
            <w:vAlign w:val="bottom"/>
            <w:shd w:val="clear" w:color="auto" w:fill="E5E6E7"/>
          </w:tcPr>
          <w:p>
            <w:pPr>
              <w:spacing w:after="0"/>
              <w:rPr>
                <w:sz w:val="17"/>
                <w:szCs w:val="17"/>
                <w:color w:val="auto"/>
              </w:rPr>
            </w:pPr>
          </w:p>
        </w:tc>
        <w:tc>
          <w:tcPr>
            <w:tcW w:w="18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8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200" w:type="dxa"/>
            <w:vAlign w:val="bottom"/>
            <w:shd w:val="clear" w:color="auto" w:fill="E5E6E7"/>
          </w:tcPr>
          <w:p>
            <w:pPr>
              <w:spacing w:after="0"/>
              <w:rPr>
                <w:sz w:val="17"/>
                <w:szCs w:val="17"/>
                <w:color w:val="auto"/>
              </w:rPr>
            </w:pPr>
          </w:p>
        </w:tc>
        <w:tc>
          <w:tcPr>
            <w:tcW w:w="280" w:type="dxa"/>
            <w:vAlign w:val="bottom"/>
            <w:tcBorders>
              <w:bottom w:val="single" w:sz="8" w:color="231F20"/>
            </w:tcBorders>
            <w:shd w:val="clear" w:color="auto" w:fill="E5E6E7"/>
          </w:tcPr>
          <w:p>
            <w:pPr>
              <w:jc w:val="right"/>
              <w:ind w:right="90"/>
              <w:spacing w:after="0" w:line="206" w:lineRule="exact"/>
              <w:rPr>
                <w:sz w:val="20"/>
                <w:szCs w:val="20"/>
                <w:color w:val="auto"/>
              </w:rPr>
            </w:pPr>
            <w:r>
              <w:rPr>
                <w:rFonts w:ascii="Times New Roman" w:cs="Times New Roman" w:eastAsia="Times New Roman" w:hAnsi="Times New Roman"/>
                <w:sz w:val="18"/>
                <w:szCs w:val="18"/>
                <w:color w:val="414142"/>
                <w:w w:val="88"/>
              </w:rPr>
              <w:t>$</w:t>
            </w:r>
          </w:p>
        </w:tc>
        <w:tc>
          <w:tcPr>
            <w:tcW w:w="700" w:type="dxa"/>
            <w:vAlign w:val="bottom"/>
            <w:tcBorders>
              <w:bottom w:val="single" w:sz="8" w:color="231F20"/>
            </w:tcBorders>
            <w:shd w:val="clear" w:color="auto" w:fill="E5E6E7"/>
          </w:tcPr>
          <w:p>
            <w:pPr>
              <w:jc w:val="right"/>
              <w:spacing w:after="0" w:line="206" w:lineRule="exact"/>
              <w:rPr>
                <w:sz w:val="20"/>
                <w:szCs w:val="20"/>
                <w:color w:val="auto"/>
              </w:rPr>
            </w:pPr>
            <w:r>
              <w:rPr>
                <w:rFonts w:ascii="Times New Roman" w:cs="Times New Roman" w:eastAsia="Times New Roman" w:hAnsi="Times New Roman"/>
                <w:sz w:val="18"/>
                <w:szCs w:val="18"/>
                <w:color w:val="414142"/>
              </w:rPr>
              <w:t>—</w:t>
            </w:r>
          </w:p>
        </w:tc>
        <w:tc>
          <w:tcPr>
            <w:tcW w:w="60" w:type="dxa"/>
            <w:vAlign w:val="bottom"/>
            <w:shd w:val="clear" w:color="auto" w:fill="E5E6E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-4702810</wp:posOffset>
            </wp:positionV>
            <wp:extent cx="221234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7">
                      <a:extLst>
                        <a:ext uri="{28A0092B-C50C-407E-A947-70E740481C1C}"/>
                      </a:extLst>
                    </a:blip>
                    <a:srcRect/>
                    <a:stretch>
                      <a:fillRect/>
                    </a:stretch>
                  </pic:blipFill>
                  <pic:spPr bwMode="auto">
                    <a:xfrm>
                      <a:off x="0" y="0"/>
                      <a:ext cx="2212340" cy="3810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080"/>
          </w:cols>
          <w:pgMar w:left="900" w:top="79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143</w:t>
      </w:r>
    </w:p>
    <w:p>
      <w:pPr>
        <w:sectPr>
          <w:pgSz w:w="11880" w:h="15480" w:orient="portrait"/>
          <w:cols w:equalWidth="0" w:num="1">
            <w:col w:w="10080"/>
          </w:cols>
          <w:pgMar w:left="900" w:top="792" w:right="900" w:bottom="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REDEEMABLE CONVERTIBLE</w:t>
      </w:r>
    </w:p>
    <w:p>
      <w:pPr>
        <w:jc w:val="center"/>
        <w:spacing w:after="0"/>
        <w:rPr>
          <w:sz w:val="20"/>
          <w:szCs w:val="20"/>
          <w:color w:val="auto"/>
        </w:rPr>
      </w:pPr>
      <w:r>
        <w:rPr>
          <w:rFonts w:ascii="Times New Roman" w:cs="Times New Roman" w:eastAsia="Times New Roman" w:hAnsi="Times New Roman"/>
          <w:sz w:val="20"/>
          <w:szCs w:val="20"/>
          <w:b w:val="1"/>
          <w:bCs w:val="1"/>
          <w:color w:val="231F20"/>
        </w:rPr>
        <w:t>PREFERRED STOCK, COMMON STOCK AND STOCKHOLDERS’ EQUITY (DEFICIT)</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7"/>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rPr>
              <w:t>Redeemable 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231F20"/>
                <w:w w:val="99"/>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Times New Roman" w:cs="Times New Roman" w:eastAsia="Times New Roman" w:hAnsi="Times New Roman"/>
                <w:sz w:val="12"/>
                <w:szCs w:val="12"/>
                <w:b w:val="1"/>
                <w:bCs w:val="1"/>
                <w:color w:val="231F20"/>
                <w:w w:val="99"/>
              </w:rPr>
              <w:t>Preferred</w:t>
            </w:r>
          </w:p>
        </w:tc>
        <w:tc>
          <w:tcPr>
            <w:tcW w:w="1980" w:type="dxa"/>
            <w:vAlign w:val="bottom"/>
            <w:tcBorders>
              <w:bottom w:val="single" w:sz="8" w:color="231F20"/>
            </w:tcBorders>
            <w:gridSpan w:val="8"/>
          </w:tcPr>
          <w:p>
            <w:pPr>
              <w:jc w:val="right"/>
              <w:ind w:right="80"/>
              <w:spacing w:after="0"/>
              <w:rPr>
                <w:sz w:val="20"/>
                <w:szCs w:val="20"/>
                <w:color w:val="auto"/>
              </w:rPr>
            </w:pPr>
            <w:r>
              <w:rPr>
                <w:rFonts w:ascii="Times New Roman" w:cs="Times New Roman" w:eastAsia="Times New Roman" w:hAnsi="Times New Roman"/>
                <w:sz w:val="12"/>
                <w:szCs w:val="12"/>
                <w:b w:val="1"/>
                <w:bCs w:val="1"/>
                <w:color w:val="231F20"/>
              </w:rPr>
              <w:t>Voting Common Stock</w:t>
            </w:r>
          </w:p>
        </w:tc>
        <w:tc>
          <w:tcPr>
            <w:tcW w:w="6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right"/>
              <w:ind w:right="106"/>
              <w:spacing w:after="0"/>
              <w:rPr>
                <w:sz w:val="20"/>
                <w:szCs w:val="20"/>
                <w:color w:val="auto"/>
              </w:rPr>
            </w:pPr>
            <w:r>
              <w:rPr>
                <w:rFonts w:ascii="Times New Roman" w:cs="Times New Roman" w:eastAsia="Times New Roman" w:hAnsi="Times New Roman"/>
                <w:sz w:val="12"/>
                <w:szCs w:val="12"/>
                <w:b w:val="1"/>
                <w:bCs w:val="1"/>
                <w:color w:val="231F20"/>
              </w:rPr>
              <w:t>Non-Voting</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10"/>
          </w:tcPr>
          <w:p>
            <w:pPr>
              <w:jc w:val="center"/>
              <w:ind w:right="175"/>
              <w:spacing w:after="0"/>
              <w:rPr>
                <w:sz w:val="20"/>
                <w:szCs w:val="20"/>
                <w:color w:val="auto"/>
              </w:rPr>
            </w:pPr>
            <w:r>
              <w:rPr>
                <w:rFonts w:ascii="Times New Roman" w:cs="Times New Roman" w:eastAsia="Times New Roman" w:hAnsi="Times New Roman"/>
                <w:sz w:val="12"/>
                <w:szCs w:val="12"/>
                <w:b w:val="1"/>
                <w:bCs w:val="1"/>
                <w:color w:val="231F20"/>
              </w:rPr>
              <w:t>Treasury</w:t>
            </w:r>
          </w:p>
        </w:tc>
        <w:tc>
          <w:tcPr>
            <w:tcW w:w="7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231F20"/>
              </w:rPr>
              <w:t>Additional</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231F20"/>
                <w:w w:val="97"/>
              </w:rPr>
              <w:t>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35"/>
              <w:spacing w:after="0"/>
              <w:rPr>
                <w:sz w:val="20"/>
                <w:szCs w:val="20"/>
                <w:color w:val="auto"/>
              </w:rPr>
            </w:pPr>
            <w:r>
              <w:rPr>
                <w:rFonts w:ascii="Times New Roman" w:cs="Times New Roman" w:eastAsia="Times New Roman" w:hAnsi="Times New Roman"/>
                <w:sz w:val="12"/>
                <w:szCs w:val="12"/>
                <w:b w:val="1"/>
                <w:bCs w:val="1"/>
                <w:color w:val="231F20"/>
              </w:rPr>
              <w:t>Total</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left="600"/>
              <w:spacing w:after="0"/>
              <w:rPr>
                <w:sz w:val="20"/>
                <w:szCs w:val="20"/>
                <w:color w:val="auto"/>
              </w:rPr>
            </w:pPr>
            <w:r>
              <w:rPr>
                <w:rFonts w:ascii="Times New Roman" w:cs="Times New Roman" w:eastAsia="Times New Roman" w:hAnsi="Times New Roman"/>
                <w:sz w:val="12"/>
                <w:szCs w:val="12"/>
                <w:b w:val="1"/>
                <w:bCs w:val="1"/>
                <w:color w:val="231F20"/>
                <w:w w:val="97"/>
              </w:rPr>
              <w:t>Stock</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right"/>
              <w:ind w:right="146"/>
              <w:spacing w:after="0"/>
              <w:rPr>
                <w:sz w:val="20"/>
                <w:szCs w:val="20"/>
                <w:color w:val="auto"/>
              </w:rPr>
            </w:pPr>
            <w:r>
              <w:rPr>
                <w:rFonts w:ascii="Times New Roman" w:cs="Times New Roman" w:eastAsia="Times New Roman" w:hAnsi="Times New Roman"/>
                <w:sz w:val="12"/>
                <w:szCs w:val="12"/>
                <w:b w:val="1"/>
                <w:bCs w:val="1"/>
                <w:color w:val="231F20"/>
              </w:rPr>
              <w:t>Class A</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231F20"/>
              </w:rPr>
              <w:t>Class B</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right"/>
              <w:ind w:right="26"/>
              <w:spacing w:after="0"/>
              <w:rPr>
                <w:sz w:val="20"/>
                <w:szCs w:val="20"/>
                <w:color w:val="auto"/>
              </w:rPr>
            </w:pPr>
            <w:r>
              <w:rPr>
                <w:rFonts w:ascii="Times New Roman" w:cs="Times New Roman" w:eastAsia="Times New Roman" w:hAnsi="Times New Roman"/>
                <w:sz w:val="12"/>
                <w:szCs w:val="12"/>
                <w:b w:val="1"/>
                <w:bCs w:val="1"/>
                <w:color w:val="231F20"/>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10"/>
          </w:tcPr>
          <w:p>
            <w:pPr>
              <w:jc w:val="center"/>
              <w:ind w:right="175"/>
              <w:spacing w:after="0"/>
              <w:rPr>
                <w:sz w:val="20"/>
                <w:szCs w:val="20"/>
                <w:color w:val="auto"/>
              </w:rPr>
            </w:pPr>
            <w:r>
              <w:rPr>
                <w:rFonts w:ascii="Times New Roman" w:cs="Times New Roman" w:eastAsia="Times New Roman" w:hAnsi="Times New Roman"/>
                <w:sz w:val="12"/>
                <w:szCs w:val="12"/>
                <w:b w:val="1"/>
                <w:bCs w:val="1"/>
                <w:color w:val="231F20"/>
                <w:w w:val="97"/>
              </w:rPr>
              <w:t>Stock</w:t>
            </w:r>
          </w:p>
        </w:tc>
        <w:tc>
          <w:tcPr>
            <w:tcW w:w="7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231F20"/>
                <w:w w:val="96"/>
              </w:rPr>
              <w:t>Paid-in</w:t>
            </w:r>
          </w:p>
        </w:tc>
        <w:tc>
          <w:tcPr>
            <w:tcW w:w="40" w:type="dxa"/>
            <w:vAlign w:val="bottom"/>
          </w:tcPr>
          <w:p>
            <w:pPr>
              <w:spacing w:after="0"/>
              <w:rPr>
                <w:sz w:val="12"/>
                <w:szCs w:val="12"/>
                <w:color w:val="auto"/>
              </w:rPr>
            </w:pPr>
          </w:p>
        </w:tc>
        <w:tc>
          <w:tcPr>
            <w:tcW w:w="1780" w:type="dxa"/>
            <w:vAlign w:val="bottom"/>
            <w:gridSpan w:val="9"/>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rPr>
              <w:t>Accumulated   Comprehensive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right"/>
              <w:ind w:right="115"/>
              <w:spacing w:after="0"/>
              <w:rPr>
                <w:sz w:val="20"/>
                <w:szCs w:val="20"/>
                <w:color w:val="auto"/>
              </w:rPr>
            </w:pPr>
            <w:r>
              <w:rPr>
                <w:rFonts w:ascii="Times New Roman" w:cs="Times New Roman" w:eastAsia="Times New Roman" w:hAnsi="Times New Roman"/>
                <w:sz w:val="12"/>
                <w:szCs w:val="12"/>
                <w:b w:val="1"/>
                <w:bCs w:val="1"/>
                <w:color w:val="231F20"/>
                <w:w w:val="99"/>
              </w:rPr>
              <w:t>Stockholders'</w:t>
            </w:r>
          </w:p>
        </w:tc>
        <w:tc>
          <w:tcPr>
            <w:tcW w:w="0" w:type="dxa"/>
            <w:vAlign w:val="bottom"/>
          </w:tcPr>
          <w:p>
            <w:pPr>
              <w:spacing w:after="0"/>
              <w:rPr>
                <w:sz w:val="1"/>
                <w:szCs w:val="1"/>
                <w:color w:val="auto"/>
              </w:rPr>
            </w:pPr>
          </w:p>
        </w:tc>
      </w:tr>
      <w:tr>
        <w:trPr>
          <w:trHeight w:val="147"/>
        </w:trPr>
        <w:tc>
          <w:tcPr>
            <w:tcW w:w="3620" w:type="dxa"/>
            <w:vAlign w:val="bottom"/>
            <w:tcBorders>
              <w:bottom w:val="single" w:sz="8" w:color="E5E6E7"/>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740" w:type="dxa"/>
            <w:vAlign w:val="bottom"/>
            <w:tcBorders>
              <w:top w:val="single" w:sz="8" w:color="231F20"/>
              <w:bottom w:val="single" w:sz="8" w:color="231F20"/>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40" w:type="dxa"/>
            <w:vAlign w:val="bottom"/>
            <w:tcBorders>
              <w:top w:val="single" w:sz="8" w:color="231F20"/>
              <w:bottom w:val="single" w:sz="8" w:color="E5E6E7"/>
            </w:tcBorders>
          </w:tcPr>
          <w:p>
            <w:pPr>
              <w:spacing w:after="0"/>
              <w:rPr>
                <w:sz w:val="12"/>
                <w:szCs w:val="12"/>
                <w:color w:val="auto"/>
              </w:rPr>
            </w:pPr>
          </w:p>
        </w:tc>
        <w:tc>
          <w:tcPr>
            <w:tcW w:w="20" w:type="dxa"/>
            <w:vAlign w:val="bottom"/>
            <w:tcBorders>
              <w:top w:val="single" w:sz="8" w:color="231F20"/>
              <w:bottom w:val="single" w:sz="8" w:color="231F20"/>
            </w:tcBorders>
          </w:tcPr>
          <w:p>
            <w:pPr>
              <w:spacing w:after="0"/>
              <w:rPr>
                <w:sz w:val="12"/>
                <w:szCs w:val="12"/>
                <w:color w:val="auto"/>
              </w:rPr>
            </w:pPr>
          </w:p>
        </w:tc>
        <w:tc>
          <w:tcPr>
            <w:tcW w:w="180" w:type="dxa"/>
            <w:vAlign w:val="bottom"/>
            <w:tcBorders>
              <w:top w:val="single" w:sz="8" w:color="231F20"/>
              <w:bottom w:val="single" w:sz="8" w:color="231F20"/>
            </w:tcBorders>
          </w:tcPr>
          <w:p>
            <w:pPr>
              <w:spacing w:after="0"/>
              <w:rPr>
                <w:sz w:val="12"/>
                <w:szCs w:val="12"/>
                <w:color w:val="auto"/>
              </w:rPr>
            </w:pPr>
          </w:p>
        </w:tc>
        <w:tc>
          <w:tcPr>
            <w:tcW w:w="700" w:type="dxa"/>
            <w:vAlign w:val="bottom"/>
            <w:tcBorders>
              <w:top w:val="single" w:sz="8" w:color="231F20"/>
              <w:bottom w:val="single" w:sz="8" w:color="231F20"/>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60" w:type="dxa"/>
            <w:vAlign w:val="bottom"/>
            <w:tcBorders>
              <w:bottom w:val="single" w:sz="8" w:color="E5E6E7"/>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720" w:type="dxa"/>
            <w:vAlign w:val="bottom"/>
            <w:tcBorders>
              <w:top w:val="single" w:sz="8" w:color="231F20"/>
              <w:bottom w:val="single" w:sz="8" w:color="231F20"/>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40" w:type="dxa"/>
            <w:vAlign w:val="bottom"/>
            <w:tcBorders>
              <w:top w:val="single" w:sz="8" w:color="231F20"/>
              <w:bottom w:val="single" w:sz="8" w:color="E5E6E7"/>
            </w:tcBorders>
          </w:tcPr>
          <w:p>
            <w:pPr>
              <w:spacing w:after="0"/>
              <w:rPr>
                <w:sz w:val="12"/>
                <w:szCs w:val="12"/>
                <w:color w:val="auto"/>
              </w:rPr>
            </w:pPr>
          </w:p>
        </w:tc>
        <w:tc>
          <w:tcPr>
            <w:tcW w:w="20" w:type="dxa"/>
            <w:vAlign w:val="bottom"/>
            <w:tcBorders>
              <w:top w:val="single" w:sz="8" w:color="231F20"/>
              <w:bottom w:val="single" w:sz="8" w:color="231F20"/>
            </w:tcBorders>
          </w:tcPr>
          <w:p>
            <w:pPr>
              <w:spacing w:after="0"/>
              <w:rPr>
                <w:sz w:val="12"/>
                <w:szCs w:val="12"/>
                <w:color w:val="auto"/>
              </w:rPr>
            </w:pPr>
          </w:p>
        </w:tc>
        <w:tc>
          <w:tcPr>
            <w:tcW w:w="48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231F20"/>
                <w:w w:val="99"/>
              </w:rPr>
              <w:t>Amount</w:t>
            </w:r>
          </w:p>
        </w:tc>
        <w:tc>
          <w:tcPr>
            <w:tcW w:w="60" w:type="dxa"/>
            <w:vAlign w:val="bottom"/>
            <w:tcBorders>
              <w:bottom w:val="single" w:sz="8" w:color="E5E6E7"/>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640" w:type="dxa"/>
            <w:vAlign w:val="bottom"/>
            <w:tcBorders>
              <w:top w:val="single" w:sz="8" w:color="231F20"/>
              <w:bottom w:val="single" w:sz="8" w:color="231F20"/>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60" w:type="dxa"/>
            <w:vAlign w:val="bottom"/>
            <w:tcBorders>
              <w:top w:val="single" w:sz="8" w:color="231F20"/>
              <w:bottom w:val="single" w:sz="8" w:color="E5E6E7"/>
            </w:tcBorders>
          </w:tcPr>
          <w:p>
            <w:pPr>
              <w:spacing w:after="0"/>
              <w:rPr>
                <w:sz w:val="12"/>
                <w:szCs w:val="12"/>
                <w:color w:val="auto"/>
              </w:rPr>
            </w:pPr>
          </w:p>
        </w:tc>
        <w:tc>
          <w:tcPr>
            <w:tcW w:w="20" w:type="dxa"/>
            <w:vAlign w:val="bottom"/>
            <w:tcBorders>
              <w:top w:val="single" w:sz="8" w:color="231F20"/>
              <w:bottom w:val="single" w:sz="8" w:color="231F20"/>
            </w:tcBorders>
          </w:tcPr>
          <w:p>
            <w:pPr>
              <w:spacing w:after="0"/>
              <w:rPr>
                <w:sz w:val="12"/>
                <w:szCs w:val="12"/>
                <w:color w:val="auto"/>
              </w:rPr>
            </w:pPr>
          </w:p>
        </w:tc>
        <w:tc>
          <w:tcPr>
            <w:tcW w:w="480" w:type="dxa"/>
            <w:vAlign w:val="bottom"/>
            <w:tcBorders>
              <w:top w:val="single" w:sz="8" w:color="231F20"/>
              <w:bottom w:val="single" w:sz="8" w:color="231F20"/>
            </w:tcBorders>
            <w:gridSpan w:val="2"/>
          </w:tcPr>
          <w:p>
            <w:pPr>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40" w:type="dxa"/>
            <w:vAlign w:val="bottom"/>
            <w:tcBorders>
              <w:bottom w:val="single" w:sz="8" w:color="E5E6E7"/>
            </w:tcBorders>
          </w:tcPr>
          <w:p>
            <w:pPr>
              <w:spacing w:after="0"/>
              <w:rPr>
                <w:sz w:val="12"/>
                <w:szCs w:val="12"/>
                <w:color w:val="auto"/>
              </w:rPr>
            </w:pPr>
          </w:p>
        </w:tc>
        <w:tc>
          <w:tcPr>
            <w:tcW w:w="660" w:type="dxa"/>
            <w:vAlign w:val="bottom"/>
            <w:tcBorders>
              <w:top w:val="single" w:sz="8" w:color="231F20"/>
              <w:bottom w:val="single" w:sz="8" w:color="231F20"/>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60" w:type="dxa"/>
            <w:vAlign w:val="bottom"/>
            <w:tcBorders>
              <w:top w:val="single" w:sz="8" w:color="231F20"/>
              <w:bottom w:val="single" w:sz="8" w:color="E5E6E7"/>
            </w:tcBorders>
          </w:tcPr>
          <w:p>
            <w:pPr>
              <w:spacing w:after="0"/>
              <w:rPr>
                <w:sz w:val="12"/>
                <w:szCs w:val="12"/>
                <w:color w:val="auto"/>
              </w:rPr>
            </w:pPr>
          </w:p>
        </w:tc>
        <w:tc>
          <w:tcPr>
            <w:tcW w:w="20" w:type="dxa"/>
            <w:vAlign w:val="bottom"/>
            <w:tcBorders>
              <w:top w:val="single" w:sz="8" w:color="231F20"/>
              <w:bottom w:val="single" w:sz="8" w:color="231F20"/>
            </w:tcBorders>
          </w:tcPr>
          <w:p>
            <w:pPr>
              <w:spacing w:after="0"/>
              <w:rPr>
                <w:sz w:val="12"/>
                <w:szCs w:val="12"/>
                <w:color w:val="auto"/>
              </w:rPr>
            </w:pPr>
          </w:p>
        </w:tc>
        <w:tc>
          <w:tcPr>
            <w:tcW w:w="48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231F20"/>
                <w:w w:val="99"/>
              </w:rPr>
              <w:t>Amount</w:t>
            </w:r>
          </w:p>
        </w:tc>
        <w:tc>
          <w:tcPr>
            <w:tcW w:w="60" w:type="dxa"/>
            <w:vAlign w:val="bottom"/>
            <w:tcBorders>
              <w:bottom w:val="single" w:sz="8" w:color="E5E6E7"/>
            </w:tcBorders>
          </w:tcPr>
          <w:p>
            <w:pPr>
              <w:spacing w:after="0"/>
              <w:rPr>
                <w:sz w:val="12"/>
                <w:szCs w:val="12"/>
                <w:color w:val="auto"/>
              </w:rPr>
            </w:pPr>
          </w:p>
        </w:tc>
        <w:tc>
          <w:tcPr>
            <w:tcW w:w="20" w:type="dxa"/>
            <w:vAlign w:val="bottom"/>
            <w:tcBorders>
              <w:bottom w:val="single" w:sz="8" w:color="E5E6E7"/>
            </w:tcBorders>
          </w:tcPr>
          <w:p>
            <w:pPr>
              <w:spacing w:after="0"/>
              <w:rPr>
                <w:sz w:val="12"/>
                <w:szCs w:val="12"/>
                <w:color w:val="auto"/>
              </w:rPr>
            </w:pPr>
          </w:p>
        </w:tc>
        <w:tc>
          <w:tcPr>
            <w:tcW w:w="20" w:type="dxa"/>
            <w:vAlign w:val="bottom"/>
            <w:tcBorders>
              <w:top w:val="single" w:sz="8" w:color="231F20"/>
              <w:bottom w:val="single" w:sz="8" w:color="231F20"/>
            </w:tcBorders>
          </w:tcPr>
          <w:p>
            <w:pPr>
              <w:spacing w:after="0"/>
              <w:rPr>
                <w:sz w:val="12"/>
                <w:szCs w:val="12"/>
                <w:color w:val="auto"/>
              </w:rPr>
            </w:pPr>
          </w:p>
        </w:tc>
        <w:tc>
          <w:tcPr>
            <w:tcW w:w="540" w:type="dxa"/>
            <w:vAlign w:val="bottom"/>
            <w:tcBorders>
              <w:top w:val="single" w:sz="8" w:color="231F20"/>
              <w:bottom w:val="single" w:sz="8" w:color="231F20"/>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60" w:type="dxa"/>
            <w:vAlign w:val="bottom"/>
            <w:tcBorders>
              <w:top w:val="single" w:sz="8" w:color="231F20"/>
              <w:bottom w:val="single" w:sz="8" w:color="E5E6E7"/>
            </w:tcBorders>
            <w:gridSpan w:val="2"/>
          </w:tcPr>
          <w:p>
            <w:pPr>
              <w:spacing w:after="0"/>
              <w:rPr>
                <w:sz w:val="12"/>
                <w:szCs w:val="12"/>
                <w:color w:val="auto"/>
              </w:rPr>
            </w:pPr>
          </w:p>
        </w:tc>
        <w:tc>
          <w:tcPr>
            <w:tcW w:w="60" w:type="dxa"/>
            <w:vAlign w:val="bottom"/>
            <w:tcBorders>
              <w:top w:val="single" w:sz="8" w:color="231F20"/>
              <w:bottom w:val="single" w:sz="8" w:color="231F20"/>
            </w:tcBorders>
            <w:gridSpan w:val="2"/>
          </w:tcPr>
          <w:p>
            <w:pPr>
              <w:spacing w:after="0"/>
              <w:rPr>
                <w:sz w:val="12"/>
                <w:szCs w:val="12"/>
                <w:color w:val="auto"/>
              </w:rPr>
            </w:pPr>
          </w:p>
        </w:tc>
        <w:tc>
          <w:tcPr>
            <w:tcW w:w="500" w:type="dxa"/>
            <w:vAlign w:val="bottom"/>
            <w:tcBorders>
              <w:top w:val="single" w:sz="8" w:color="231F20"/>
              <w:bottom w:val="single" w:sz="8" w:color="231F20"/>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231F20"/>
                <w:w w:val="95"/>
              </w:rPr>
              <w:t>Amount</w:t>
            </w:r>
          </w:p>
        </w:tc>
        <w:tc>
          <w:tcPr>
            <w:tcW w:w="20" w:type="dxa"/>
            <w:vAlign w:val="bottom"/>
          </w:tcPr>
          <w:p>
            <w:pPr>
              <w:spacing w:after="0"/>
              <w:rPr>
                <w:sz w:val="12"/>
                <w:szCs w:val="12"/>
                <w:color w:val="auto"/>
              </w:rPr>
            </w:pPr>
          </w:p>
        </w:tc>
        <w:tc>
          <w:tcPr>
            <w:tcW w:w="20" w:type="dxa"/>
            <w:vAlign w:val="bottom"/>
            <w:tcBorders>
              <w:bottom w:val="single" w:sz="8" w:color="E5E6E7"/>
            </w:tcBorders>
          </w:tcPr>
          <w:p>
            <w:pPr>
              <w:spacing w:after="0"/>
              <w:rPr>
                <w:sz w:val="12"/>
                <w:szCs w:val="12"/>
                <w:color w:val="auto"/>
              </w:rPr>
            </w:pPr>
          </w:p>
        </w:tc>
        <w:tc>
          <w:tcPr>
            <w:tcW w:w="80" w:type="dxa"/>
            <w:vAlign w:val="bottom"/>
            <w:tcBorders>
              <w:bottom w:val="single" w:sz="8" w:color="231F20"/>
            </w:tcBorders>
            <w:gridSpan w:val="2"/>
          </w:tcPr>
          <w:p>
            <w:pPr>
              <w:spacing w:after="0"/>
              <w:rPr>
                <w:sz w:val="12"/>
                <w:szCs w:val="12"/>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2"/>
                <w:szCs w:val="12"/>
                <w:b w:val="1"/>
                <w:bCs w:val="1"/>
                <w:color w:val="231F20"/>
                <w:w w:val="99"/>
              </w:rPr>
              <w:t>Capital</w:t>
            </w:r>
          </w:p>
        </w:tc>
        <w:tc>
          <w:tcPr>
            <w:tcW w:w="20" w:type="dxa"/>
            <w:vAlign w:val="bottom"/>
          </w:tcPr>
          <w:p>
            <w:pPr>
              <w:spacing w:after="0"/>
              <w:rPr>
                <w:sz w:val="12"/>
                <w:szCs w:val="12"/>
                <w:color w:val="auto"/>
              </w:rPr>
            </w:pPr>
          </w:p>
        </w:tc>
        <w:tc>
          <w:tcPr>
            <w:tcW w:w="60" w:type="dxa"/>
            <w:vAlign w:val="bottom"/>
            <w:tcBorders>
              <w:bottom w:val="single" w:sz="8" w:color="E5E6E7"/>
            </w:tcBorders>
            <w:gridSpan w:val="2"/>
          </w:tcPr>
          <w:p>
            <w:pPr>
              <w:spacing w:after="0"/>
              <w:rPr>
                <w:sz w:val="12"/>
                <w:szCs w:val="12"/>
                <w:color w:val="auto"/>
              </w:rPr>
            </w:pPr>
          </w:p>
        </w:tc>
        <w:tc>
          <w:tcPr>
            <w:tcW w:w="40" w:type="dxa"/>
            <w:vAlign w:val="bottom"/>
            <w:tcBorders>
              <w:bottom w:val="single" w:sz="8" w:color="231F20"/>
            </w:tcBorders>
          </w:tcPr>
          <w:p>
            <w:pPr>
              <w:spacing w:after="0"/>
              <w:rPr>
                <w:sz w:val="12"/>
                <w:szCs w:val="12"/>
                <w:color w:val="auto"/>
              </w:rPr>
            </w:pPr>
          </w:p>
        </w:tc>
        <w:tc>
          <w:tcPr>
            <w:tcW w:w="76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231F20"/>
              </w:rPr>
              <w:t>Deficit</w:t>
            </w:r>
          </w:p>
        </w:tc>
        <w:tc>
          <w:tcPr>
            <w:tcW w:w="20" w:type="dxa"/>
            <w:vAlign w:val="bottom"/>
          </w:tcPr>
          <w:p>
            <w:pPr>
              <w:spacing w:after="0"/>
              <w:rPr>
                <w:sz w:val="12"/>
                <w:szCs w:val="12"/>
                <w:color w:val="auto"/>
              </w:rPr>
            </w:pPr>
          </w:p>
        </w:tc>
        <w:tc>
          <w:tcPr>
            <w:tcW w:w="60" w:type="dxa"/>
            <w:vAlign w:val="bottom"/>
            <w:tcBorders>
              <w:bottom w:val="single" w:sz="8" w:color="E5E6E7"/>
            </w:tcBorders>
            <w:gridSpan w:val="2"/>
          </w:tcPr>
          <w:p>
            <w:pPr>
              <w:spacing w:after="0"/>
              <w:rPr>
                <w:sz w:val="12"/>
                <w:szCs w:val="12"/>
                <w:color w:val="auto"/>
              </w:rPr>
            </w:pPr>
          </w:p>
        </w:tc>
        <w:tc>
          <w:tcPr>
            <w:tcW w:w="60" w:type="dxa"/>
            <w:vAlign w:val="bottom"/>
            <w:tcBorders>
              <w:bottom w:val="single" w:sz="8" w:color="231F20"/>
            </w:tcBorders>
            <w:gridSpan w:val="2"/>
          </w:tcPr>
          <w:p>
            <w:pPr>
              <w:spacing w:after="0"/>
              <w:rPr>
                <w:sz w:val="12"/>
                <w:szCs w:val="12"/>
                <w:color w:val="auto"/>
              </w:rPr>
            </w:pPr>
          </w:p>
        </w:tc>
        <w:tc>
          <w:tcPr>
            <w:tcW w:w="820" w:type="dxa"/>
            <w:vAlign w:val="bottom"/>
            <w:tcBorders>
              <w:bottom w:val="single" w:sz="8" w:color="231F20"/>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231F20"/>
                <w:w w:val="99"/>
              </w:rPr>
              <w:t>Income</w:t>
            </w:r>
          </w:p>
        </w:tc>
        <w:tc>
          <w:tcPr>
            <w:tcW w:w="20" w:type="dxa"/>
            <w:vAlign w:val="bottom"/>
          </w:tcPr>
          <w:p>
            <w:pPr>
              <w:spacing w:after="0"/>
              <w:rPr>
                <w:sz w:val="12"/>
                <w:szCs w:val="12"/>
                <w:color w:val="auto"/>
              </w:rPr>
            </w:pPr>
          </w:p>
        </w:tc>
        <w:tc>
          <w:tcPr>
            <w:tcW w:w="40" w:type="dxa"/>
            <w:vAlign w:val="bottom"/>
            <w:tcBorders>
              <w:bottom w:val="single" w:sz="8" w:color="E5E6E7"/>
            </w:tcBorders>
          </w:tcPr>
          <w:p>
            <w:pPr>
              <w:spacing w:after="0"/>
              <w:rPr>
                <w:sz w:val="12"/>
                <w:szCs w:val="12"/>
                <w:color w:val="auto"/>
              </w:rPr>
            </w:pPr>
          </w:p>
        </w:tc>
        <w:tc>
          <w:tcPr>
            <w:tcW w:w="20" w:type="dxa"/>
            <w:vAlign w:val="bottom"/>
            <w:tcBorders>
              <w:bottom w:val="single" w:sz="8" w:color="E5E6E7"/>
            </w:tcBorders>
          </w:tcPr>
          <w:p>
            <w:pPr>
              <w:spacing w:after="0"/>
              <w:rPr>
                <w:sz w:val="12"/>
                <w:szCs w:val="12"/>
                <w:color w:val="auto"/>
              </w:rPr>
            </w:pPr>
          </w:p>
        </w:tc>
        <w:tc>
          <w:tcPr>
            <w:tcW w:w="20" w:type="dxa"/>
            <w:vAlign w:val="bottom"/>
            <w:tcBorders>
              <w:bottom w:val="single" w:sz="8" w:color="231F20"/>
            </w:tcBorders>
          </w:tcPr>
          <w:p>
            <w:pPr>
              <w:spacing w:after="0"/>
              <w:rPr>
                <w:sz w:val="12"/>
                <w:szCs w:val="12"/>
                <w:color w:val="auto"/>
              </w:rPr>
            </w:pPr>
          </w:p>
        </w:tc>
        <w:tc>
          <w:tcPr>
            <w:tcW w:w="78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2"/>
                <w:szCs w:val="12"/>
                <w:b w:val="1"/>
                <w:bCs w:val="1"/>
                <w:color w:val="231F20"/>
                <w:w w:val="95"/>
              </w:rPr>
              <w:t>(Deficit) Equity</w:t>
            </w:r>
          </w:p>
        </w:tc>
        <w:tc>
          <w:tcPr>
            <w:tcW w:w="20" w:type="dxa"/>
            <w:vAlign w:val="bottom"/>
          </w:tcPr>
          <w:p>
            <w:pPr>
              <w:spacing w:after="0"/>
              <w:rPr>
                <w:sz w:val="12"/>
                <w:szCs w:val="12"/>
                <w:color w:val="auto"/>
              </w:rPr>
            </w:pPr>
          </w:p>
        </w:tc>
        <w:tc>
          <w:tcPr>
            <w:tcW w:w="40" w:type="dxa"/>
            <w:vAlign w:val="bottom"/>
            <w:tcBorders>
              <w:bottom w:val="single" w:sz="8" w:color="E5E6E7"/>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b w:val="1"/>
                <w:bCs w:val="1"/>
                <w:color w:val="414142"/>
              </w:rPr>
              <w:t>Balance at December 31, 2022</w:t>
            </w:r>
          </w:p>
        </w:tc>
        <w:tc>
          <w:tcPr>
            <w:tcW w:w="80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62,692,927</w:t>
            </w:r>
          </w:p>
        </w:tc>
        <w:tc>
          <w:tcPr>
            <w:tcW w:w="180" w:type="dxa"/>
            <w:vAlign w:val="bottom"/>
            <w:shd w:val="clear" w:color="auto" w:fill="E5E6E7"/>
          </w:tcPr>
          <w:p>
            <w:pPr>
              <w:jc w:val="center"/>
              <w:ind w:right="85"/>
              <w:spacing w:after="0"/>
              <w:rPr>
                <w:sz w:val="20"/>
                <w:szCs w:val="20"/>
                <w:color w:val="auto"/>
              </w:rPr>
            </w:pPr>
            <w:r>
              <w:rPr>
                <w:rFonts w:ascii="Times New Roman" w:cs="Times New Roman" w:eastAsia="Times New Roman" w:hAnsi="Times New Roman"/>
                <w:sz w:val="11"/>
                <w:szCs w:val="11"/>
                <w:color w:val="414142"/>
                <w:w w:val="71"/>
              </w:rPr>
              <w:t>$</w:t>
            </w: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1,026,143</w:t>
            </w:r>
          </w:p>
        </w:tc>
        <w:tc>
          <w:tcPr>
            <w:tcW w:w="78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58,367,961</w:t>
            </w:r>
          </w:p>
        </w:tc>
        <w:tc>
          <w:tcPr>
            <w:tcW w:w="200" w:type="dxa"/>
            <w:vAlign w:val="bottom"/>
            <w:shd w:val="clear" w:color="auto" w:fill="E5E6E7"/>
          </w:tcPr>
          <w:p>
            <w:pPr>
              <w:jc w:val="right"/>
              <w:ind w:right="126"/>
              <w:spacing w:after="0"/>
              <w:rPr>
                <w:sz w:val="20"/>
                <w:szCs w:val="20"/>
                <w:color w:val="auto"/>
              </w:rPr>
            </w:pPr>
            <w:r>
              <w:rPr>
                <w:rFonts w:ascii="Times New Roman" w:cs="Times New Roman" w:eastAsia="Times New Roman" w:hAnsi="Times New Roman"/>
                <w:sz w:val="5"/>
                <w:szCs w:val="5"/>
                <w:color w:val="414142"/>
                <w:w w:val="78"/>
              </w:rPr>
              <w:t>$</w:t>
            </w:r>
          </w:p>
        </w:tc>
        <w:tc>
          <w:tcPr>
            <w:tcW w:w="360" w:type="dxa"/>
            <w:vAlign w:val="bottom"/>
            <w:gridSpan w:val="3"/>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6</w:t>
            </w:r>
          </w:p>
        </w:tc>
        <w:tc>
          <w:tcPr>
            <w:tcW w:w="920" w:type="dxa"/>
            <w:vAlign w:val="bottom"/>
            <w:gridSpan w:val="4"/>
            <w:shd w:val="clear" w:color="auto" w:fill="E5E6E7"/>
          </w:tcPr>
          <w:p>
            <w:pPr>
              <w:jc w:val="right"/>
              <w:ind w:right="22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4,932,415</w:t>
            </w:r>
          </w:p>
        </w:tc>
        <w:tc>
          <w:tcPr>
            <w:tcW w:w="320" w:type="dxa"/>
            <w:vAlign w:val="bottom"/>
            <w:shd w:val="clear" w:color="auto" w:fill="E5E6E7"/>
          </w:tcPr>
          <w:p>
            <w:pPr>
              <w:jc w:val="right"/>
              <w:ind w:right="246"/>
              <w:spacing w:after="0"/>
              <w:rPr>
                <w:sz w:val="20"/>
                <w:szCs w:val="20"/>
                <w:color w:val="auto"/>
              </w:rPr>
            </w:pPr>
            <w:r>
              <w:rPr>
                <w:rFonts w:ascii="Times New Roman" w:cs="Times New Roman" w:eastAsia="Times New Roman" w:hAnsi="Times New Roman"/>
                <w:sz w:val="5"/>
                <w:szCs w:val="5"/>
                <w:color w:val="414142"/>
                <w:w w:val="78"/>
              </w:rPr>
              <w:t>$</w:t>
            </w:r>
          </w:p>
        </w:tc>
        <w:tc>
          <w:tcPr>
            <w:tcW w:w="260" w:type="dxa"/>
            <w:vAlign w:val="bottom"/>
            <w:gridSpan w:val="4"/>
            <w:shd w:val="clear" w:color="auto" w:fill="E5E6E7"/>
          </w:tcPr>
          <w:p>
            <w:pPr>
              <w:jc w:val="right"/>
              <w:ind w:right="40"/>
              <w:spacing w:after="0"/>
              <w:rPr>
                <w:sz w:val="20"/>
                <w:szCs w:val="20"/>
                <w:color w:val="auto"/>
              </w:rPr>
            </w:pPr>
            <w:r>
              <w:rPr>
                <w:rFonts w:ascii="Times New Roman" w:cs="Times New Roman" w:eastAsia="Times New Roman" w:hAnsi="Times New Roman"/>
                <w:sz w:val="12"/>
                <w:szCs w:val="12"/>
                <w:color w:val="414142"/>
              </w:rPr>
              <w:t>0</w:t>
            </w:r>
          </w:p>
        </w:tc>
        <w:tc>
          <w:tcPr>
            <w:tcW w:w="620" w:type="dxa"/>
            <w:vAlign w:val="bottom"/>
            <w:gridSpan w:val="4"/>
            <w:shd w:val="clear" w:color="auto" w:fill="E5E6E7"/>
          </w:tcPr>
          <w:p>
            <w:pPr>
              <w:jc w:val="right"/>
              <w:ind w:right="95"/>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jc w:val="right"/>
              <w:ind w:right="15"/>
              <w:spacing w:after="0"/>
              <w:rPr>
                <w:sz w:val="20"/>
                <w:szCs w:val="20"/>
                <w:color w:val="auto"/>
              </w:rPr>
            </w:pPr>
            <w:r>
              <w:rPr>
                <w:rFonts w:ascii="Times New Roman" w:cs="Times New Roman" w:eastAsia="Times New Roman" w:hAnsi="Times New Roman"/>
                <w:sz w:val="1"/>
                <w:szCs w:val="1"/>
                <w:color w:val="414142"/>
                <w:w w:val="4294967286"/>
              </w:rPr>
              <w:t>$</w:t>
            </w:r>
          </w:p>
        </w:tc>
        <w:tc>
          <w:tcPr>
            <w:tcW w:w="560" w:type="dxa"/>
            <w:vAlign w:val="bottom"/>
            <w:gridSpan w:val="4"/>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5"/>
                <w:szCs w:val="5"/>
                <w:color w:val="414142"/>
                <w:w w:val="78"/>
              </w:rPr>
              <w:t>$</w:t>
            </w:r>
          </w:p>
        </w:tc>
        <w:tc>
          <w:tcPr>
            <w:tcW w:w="760" w:type="dxa"/>
            <w:vAlign w:val="bottom"/>
            <w:gridSpan w:val="4"/>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9,251</w:t>
            </w:r>
          </w:p>
        </w:tc>
        <w:tc>
          <w:tcPr>
            <w:tcW w:w="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5"/>
                <w:szCs w:val="5"/>
                <w:color w:val="414142"/>
                <w:w w:val="78"/>
              </w:rPr>
              <w:t>$</w:t>
            </w:r>
          </w:p>
        </w:tc>
        <w:tc>
          <w:tcPr>
            <w:tcW w:w="7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(1,138,302</w:t>
            </w:r>
          </w:p>
        </w:tc>
        <w:tc>
          <w:tcPr>
            <w:tcW w:w="80" w:type="dxa"/>
            <w:vAlign w:val="bottom"/>
            <w:gridSpan w:val="3"/>
            <w:shd w:val="clear" w:color="auto" w:fill="E5E6E7"/>
          </w:tcPr>
          <w:p>
            <w:pPr>
              <w:jc w:val="right"/>
              <w:ind w:right="35"/>
              <w:spacing w:after="0"/>
              <w:rPr>
                <w:sz w:val="20"/>
                <w:szCs w:val="20"/>
                <w:color w:val="auto"/>
              </w:rPr>
            </w:pPr>
            <w:r>
              <w:rPr>
                <w:rFonts w:ascii="Times New Roman" w:cs="Times New Roman" w:eastAsia="Times New Roman" w:hAnsi="Times New Roman"/>
                <w:sz w:val="1"/>
                <w:szCs w:val="1"/>
                <w:color w:val="414142"/>
                <w:w w:val="4294967281"/>
              </w:rPr>
              <w:t>)</w:t>
            </w:r>
          </w:p>
        </w:tc>
        <w:tc>
          <w:tcPr>
            <w:tcW w:w="4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5"/>
                <w:szCs w:val="5"/>
                <w:color w:val="414142"/>
                <w:w w:val="78"/>
              </w:rPr>
              <w:t>$</w:t>
            </w:r>
          </w:p>
        </w:tc>
        <w:tc>
          <w:tcPr>
            <w:tcW w:w="920" w:type="dxa"/>
            <w:vAlign w:val="bottom"/>
            <w:gridSpan w:val="5"/>
            <w:shd w:val="clear" w:color="auto" w:fill="E5E6E7"/>
          </w:tcPr>
          <w:p>
            <w:pPr>
              <w:jc w:val="right"/>
              <w:ind w:right="40"/>
              <w:spacing w:after="0"/>
              <w:rPr>
                <w:sz w:val="20"/>
                <w:szCs w:val="20"/>
                <w:color w:val="auto"/>
              </w:rPr>
            </w:pPr>
            <w:r>
              <w:rPr>
                <w:rFonts w:ascii="Times New Roman" w:cs="Times New Roman" w:eastAsia="Times New Roman" w:hAnsi="Times New Roman"/>
                <w:sz w:val="12"/>
                <w:szCs w:val="12"/>
                <w:color w:val="414142"/>
              </w:rPr>
              <w:t>18</w:t>
            </w:r>
          </w:p>
        </w:tc>
        <w:tc>
          <w:tcPr>
            <w:tcW w:w="120" w:type="dxa"/>
            <w:vAlign w:val="bottom"/>
            <w:shd w:val="clear" w:color="auto" w:fill="E5E6E7"/>
          </w:tcPr>
          <w:p>
            <w:pPr>
              <w:spacing w:after="0"/>
              <w:rPr>
                <w:sz w:val="20"/>
                <w:szCs w:val="20"/>
                <w:color w:val="auto"/>
              </w:rPr>
            </w:pPr>
            <w:r>
              <w:rPr>
                <w:rFonts w:ascii="Times New Roman" w:cs="Times New Roman" w:eastAsia="Times New Roman" w:hAnsi="Times New Roman"/>
                <w:sz w:val="12"/>
                <w:szCs w:val="12"/>
                <w:color w:val="414142"/>
              </w:rPr>
              <w:t>$</w:t>
            </w:r>
          </w:p>
        </w:tc>
        <w:tc>
          <w:tcPr>
            <w:tcW w:w="6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(1,129,027</w:t>
            </w:r>
          </w:p>
        </w:tc>
        <w:tc>
          <w:tcPr>
            <w:tcW w:w="40" w:type="dxa"/>
            <w:vAlign w:val="bottom"/>
            <w:shd w:val="clear" w:color="auto" w:fill="E5E6E7"/>
          </w:tcPr>
          <w:p>
            <w:pPr>
              <w:jc w:val="right"/>
              <w:ind w:right="15"/>
              <w:spacing w:after="0"/>
              <w:rPr>
                <w:sz w:val="20"/>
                <w:szCs w:val="20"/>
                <w:color w:val="auto"/>
              </w:rPr>
            </w:pPr>
            <w:r>
              <w:rPr>
                <w:rFonts w:ascii="Times New Roman" w:cs="Times New Roman" w:eastAsia="Times New Roman" w:hAnsi="Times New Roman"/>
                <w:sz w:val="1"/>
                <w:szCs w:val="1"/>
                <w:color w:val="414142"/>
                <w:w w:val="4294967281"/>
              </w:rPr>
              <w:t>)</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Issuance of Series G-3 Preferred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47,781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2,738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040" w:type="dxa"/>
            <w:vAlign w:val="bottom"/>
            <w:gridSpan w:val="60"/>
            <w:shd w:val="clear" w:color="auto" w:fill="E5E6E7"/>
          </w:tcPr>
          <w:p>
            <w:pPr>
              <w:spacing w:after="0" w:line="126" w:lineRule="exact"/>
              <w:rPr>
                <w:sz w:val="20"/>
                <w:szCs w:val="20"/>
                <w:color w:val="auto"/>
              </w:rPr>
            </w:pPr>
            <w:r>
              <w:rPr>
                <w:rFonts w:ascii="Times New Roman" w:cs="Times New Roman" w:eastAsia="Times New Roman" w:hAnsi="Times New Roman"/>
                <w:sz w:val="12"/>
                <w:szCs w:val="12"/>
                <w:color w:val="414142"/>
              </w:rPr>
              <w:t>Issuance of Series G-4 Preferred Stock, net of stock issuance costs of</w:t>
            </w:r>
          </w:p>
        </w:tc>
        <w:tc>
          <w:tcPr>
            <w:tcW w:w="0" w:type="dxa"/>
            <w:vAlign w:val="bottom"/>
          </w:tcPr>
          <w:p>
            <w:pPr>
              <w:spacing w:after="0"/>
              <w:rPr>
                <w:sz w:val="1"/>
                <w:szCs w:val="1"/>
                <w:color w:val="auto"/>
              </w:rPr>
            </w:pPr>
          </w:p>
        </w:tc>
      </w:tr>
      <w:tr>
        <w:trPr>
          <w:trHeight w:val="164"/>
        </w:trPr>
        <w:tc>
          <w:tcPr>
            <w:tcW w:w="3620" w:type="dxa"/>
            <w:vAlign w:val="bottom"/>
            <w:shd w:val="clear" w:color="auto" w:fill="E5E6E7"/>
          </w:tcPr>
          <w:p>
            <w:pPr>
              <w:spacing w:after="0"/>
              <w:rPr>
                <w:sz w:val="20"/>
                <w:szCs w:val="20"/>
                <w:color w:val="auto"/>
              </w:rPr>
            </w:pPr>
            <w:r>
              <w:rPr>
                <w:rFonts w:ascii="Times New Roman" w:cs="Times New Roman" w:eastAsia="Times New Roman" w:hAnsi="Times New Roman"/>
                <w:sz w:val="12"/>
                <w:szCs w:val="12"/>
                <w:color w:val="414142"/>
              </w:rPr>
              <w:t>$4,338</w:t>
            </w:r>
          </w:p>
        </w:tc>
        <w:tc>
          <w:tcPr>
            <w:tcW w:w="20" w:type="dxa"/>
            <w:vAlign w:val="bottom"/>
            <w:shd w:val="clear" w:color="auto" w:fill="E5E6E7"/>
          </w:tcPr>
          <w:p>
            <w:pPr>
              <w:spacing w:after="0"/>
              <w:rPr>
                <w:sz w:val="14"/>
                <w:szCs w:val="14"/>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785,245</w:t>
            </w:r>
          </w:p>
        </w:tc>
        <w:tc>
          <w:tcPr>
            <w:tcW w:w="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80" w:type="dxa"/>
            <w:vAlign w:val="bottom"/>
            <w:shd w:val="clear" w:color="auto" w:fill="E5E6E7"/>
          </w:tcPr>
          <w:p>
            <w:pPr>
              <w:spacing w:after="0"/>
              <w:rPr>
                <w:sz w:val="14"/>
                <w:szCs w:val="14"/>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40,662</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4"/>
                <w:szCs w:val="14"/>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760" w:type="dxa"/>
            <w:vAlign w:val="bottom"/>
            <w:gridSpan w:val="4"/>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20" w:type="dxa"/>
            <w:vAlign w:val="bottom"/>
            <w:shd w:val="clear" w:color="auto" w:fill="E5E6E7"/>
          </w:tcPr>
          <w:p>
            <w:pPr>
              <w:spacing w:after="0"/>
              <w:rPr>
                <w:sz w:val="14"/>
                <w:szCs w:val="14"/>
                <w:color w:val="auto"/>
              </w:rPr>
            </w:pPr>
          </w:p>
        </w:tc>
        <w:tc>
          <w:tcPr>
            <w:tcW w:w="720" w:type="dxa"/>
            <w:vAlign w:val="bottom"/>
            <w:gridSpan w:val="3"/>
            <w:shd w:val="clear" w:color="auto" w:fill="E5E6E7"/>
          </w:tcPr>
          <w:p>
            <w:pPr>
              <w:jc w:val="right"/>
              <w:ind w:right="55"/>
              <w:spacing w:after="0"/>
              <w:rPr>
                <w:sz w:val="20"/>
                <w:szCs w:val="20"/>
                <w:color w:val="auto"/>
              </w:rPr>
            </w:pPr>
            <w:r>
              <w:rPr>
                <w:rFonts w:ascii="Times New Roman" w:cs="Times New Roman" w:eastAsia="Times New Roman" w:hAnsi="Times New Roman"/>
                <w:sz w:val="12"/>
                <w:szCs w:val="12"/>
                <w:color w:val="414142"/>
              </w:rPr>
              <w:t>—</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Accretion of convertible preferred stock to redemption value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4,338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231F20"/>
              </w:rPr>
              <w:t>(4,338 )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(4,338 )</w:t>
            </w: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Foreign currency translation adjustment</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760" w:type="dxa"/>
            <w:vAlign w:val="bottom"/>
            <w:gridSpan w:val="4"/>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(13 )</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7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12"/>
                <w:szCs w:val="12"/>
                <w:color w:val="414142"/>
              </w:rPr>
              <w:t>(13 )</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Dividends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31,662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8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(44,497 )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(44,497 )</w:t>
            </w: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Repurchase of Non-voting Common Stock</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80" w:type="dxa"/>
            <w:vAlign w:val="bottom"/>
            <w:gridSpan w:val="5"/>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(145,466 )</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54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(3,602 )</w:t>
            </w:r>
          </w:p>
        </w:tc>
        <w:tc>
          <w:tcPr>
            <w:tcW w:w="2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760" w:type="dxa"/>
            <w:vAlign w:val="bottom"/>
            <w:gridSpan w:val="4"/>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7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12"/>
                <w:szCs w:val="12"/>
                <w:color w:val="414142"/>
              </w:rPr>
              <w:t>(3,602 )</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Common stock issued in connection with business combination</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273,387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9,209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9,209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Issuance of warrant</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4,223</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4,223</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Net loss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8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(214,118 )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(214,118 )</w:t>
            </w:r>
          </w:p>
        </w:tc>
        <w:tc>
          <w:tcPr>
            <w:tcW w:w="0" w:type="dxa"/>
            <w:vAlign w:val="bottom"/>
          </w:tcPr>
          <w:p>
            <w:pPr>
              <w:spacing w:after="0"/>
              <w:rPr>
                <w:sz w:val="1"/>
                <w:szCs w:val="1"/>
                <w:color w:val="auto"/>
              </w:rPr>
            </w:pPr>
          </w:p>
        </w:tc>
      </w:tr>
      <w:tr>
        <w:trPr>
          <w:trHeight w:val="147"/>
        </w:trPr>
        <w:tc>
          <w:tcPr>
            <w:tcW w:w="362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12"/>
                <w:szCs w:val="12"/>
                <w:b w:val="1"/>
                <w:bCs w:val="1"/>
                <w:color w:val="414142"/>
              </w:rPr>
              <w:t>Balance at December 31, 2023</w:t>
            </w:r>
          </w:p>
        </w:tc>
        <w:tc>
          <w:tcPr>
            <w:tcW w:w="20" w:type="dxa"/>
            <w:vAlign w:val="bottom"/>
            <w:tcBorders>
              <w:top w:val="single" w:sz="8" w:color="231F20"/>
            </w:tcBorders>
            <w:shd w:val="clear" w:color="auto" w:fill="E5E6E7"/>
          </w:tcPr>
          <w:p>
            <w:pPr>
              <w:spacing w:after="0"/>
              <w:rPr>
                <w:sz w:val="12"/>
                <w:szCs w:val="12"/>
                <w:color w:val="auto"/>
              </w:rPr>
            </w:pPr>
          </w:p>
        </w:tc>
        <w:tc>
          <w:tcPr>
            <w:tcW w:w="7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63,525,953</w:t>
            </w:r>
          </w:p>
        </w:tc>
        <w:tc>
          <w:tcPr>
            <w:tcW w:w="4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231F20"/>
            </w:tcBorders>
            <w:shd w:val="clear" w:color="auto" w:fill="E5E6E7"/>
          </w:tcPr>
          <w:p>
            <w:pPr>
              <w:spacing w:after="0"/>
              <w:rPr>
                <w:sz w:val="12"/>
                <w:szCs w:val="12"/>
                <w:color w:val="auto"/>
              </w:rPr>
            </w:pPr>
          </w:p>
        </w:tc>
        <w:tc>
          <w:tcPr>
            <w:tcW w:w="180" w:type="dxa"/>
            <w:vAlign w:val="bottom"/>
            <w:tcBorders>
              <w:top w:val="single" w:sz="8" w:color="231F20"/>
              <w:bottom w:val="single" w:sz="8" w:color="231F20"/>
            </w:tcBorders>
            <w:shd w:val="clear" w:color="auto" w:fill="E5E6E7"/>
          </w:tcPr>
          <w:p>
            <w:pPr>
              <w:jc w:val="center"/>
              <w:ind w:right="85"/>
              <w:spacing w:after="0"/>
              <w:rPr>
                <w:sz w:val="20"/>
                <w:szCs w:val="20"/>
                <w:color w:val="auto"/>
              </w:rPr>
            </w:pPr>
            <w:r>
              <w:rPr>
                <w:rFonts w:ascii="Times New Roman" w:cs="Times New Roman" w:eastAsia="Times New Roman" w:hAnsi="Times New Roman"/>
                <w:sz w:val="11"/>
                <w:szCs w:val="11"/>
                <w:color w:val="414142"/>
                <w:w w:val="71"/>
              </w:rPr>
              <w:t>$</w:t>
            </w:r>
          </w:p>
        </w:tc>
        <w:tc>
          <w:tcPr>
            <w:tcW w:w="7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1,105,543</w:t>
            </w:r>
          </w:p>
        </w:tc>
        <w:tc>
          <w:tcPr>
            <w:tcW w:w="6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231F20"/>
            </w:tcBorders>
            <w:shd w:val="clear" w:color="auto" w:fill="E5E6E7"/>
          </w:tcPr>
          <w:p>
            <w:pPr>
              <w:spacing w:after="0"/>
              <w:rPr>
                <w:sz w:val="12"/>
                <w:szCs w:val="12"/>
                <w:color w:val="auto"/>
              </w:rPr>
            </w:pPr>
          </w:p>
        </w:tc>
        <w:tc>
          <w:tcPr>
            <w:tcW w:w="7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58,367,961</w:t>
            </w:r>
          </w:p>
        </w:tc>
        <w:tc>
          <w:tcPr>
            <w:tcW w:w="4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231F20"/>
            </w:tcBorders>
            <w:shd w:val="clear" w:color="auto" w:fill="E5E6E7"/>
          </w:tcPr>
          <w:p>
            <w:pPr>
              <w:spacing w:after="0"/>
              <w:rPr>
                <w:sz w:val="12"/>
                <w:szCs w:val="12"/>
                <w:color w:val="auto"/>
              </w:rPr>
            </w:pPr>
          </w:p>
        </w:tc>
        <w:tc>
          <w:tcPr>
            <w:tcW w:w="200" w:type="dxa"/>
            <w:vAlign w:val="bottom"/>
            <w:tcBorders>
              <w:top w:val="single" w:sz="8" w:color="231F20"/>
              <w:bottom w:val="single" w:sz="8" w:color="231F20"/>
            </w:tcBorders>
            <w:shd w:val="clear" w:color="auto" w:fill="E5E6E7"/>
          </w:tcPr>
          <w:p>
            <w:pPr>
              <w:jc w:val="right"/>
              <w:ind w:right="126"/>
              <w:spacing w:after="0"/>
              <w:rPr>
                <w:sz w:val="20"/>
                <w:szCs w:val="20"/>
                <w:color w:val="auto"/>
              </w:rPr>
            </w:pPr>
            <w:r>
              <w:rPr>
                <w:rFonts w:ascii="Times New Roman" w:cs="Times New Roman" w:eastAsia="Times New Roman" w:hAnsi="Times New Roman"/>
                <w:sz w:val="5"/>
                <w:szCs w:val="5"/>
                <w:color w:val="414142"/>
                <w:w w:val="78"/>
              </w:rPr>
              <w:t>$</w:t>
            </w:r>
          </w:p>
        </w:tc>
        <w:tc>
          <w:tcPr>
            <w:tcW w:w="2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6</w:t>
            </w:r>
          </w:p>
        </w:tc>
        <w:tc>
          <w:tcPr>
            <w:tcW w:w="6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231F20"/>
            </w:tcBorders>
            <w:shd w:val="clear" w:color="auto" w:fill="E5E6E7"/>
          </w:tcPr>
          <w:p>
            <w:pPr>
              <w:spacing w:after="0"/>
              <w:rPr>
                <w:sz w:val="12"/>
                <w:szCs w:val="12"/>
                <w:color w:val="auto"/>
              </w:rPr>
            </w:pPr>
          </w:p>
        </w:tc>
        <w:tc>
          <w:tcPr>
            <w:tcW w:w="6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231F20"/>
            </w:tcBorders>
            <w:shd w:val="clear" w:color="auto" w:fill="E5E6E7"/>
          </w:tcPr>
          <w:p>
            <w:pPr>
              <w:spacing w:after="0"/>
              <w:rPr>
                <w:sz w:val="12"/>
                <w:szCs w:val="12"/>
                <w:color w:val="auto"/>
              </w:rPr>
            </w:pPr>
          </w:p>
        </w:tc>
        <w:tc>
          <w:tcPr>
            <w:tcW w:w="200" w:type="dxa"/>
            <w:vAlign w:val="bottom"/>
            <w:tcBorders>
              <w:top w:val="single" w:sz="8" w:color="231F20"/>
              <w:bottom w:val="single" w:sz="8" w:color="231F20"/>
            </w:tcBorders>
            <w:shd w:val="clear" w:color="auto" w:fill="E5E6E7"/>
          </w:tcPr>
          <w:p>
            <w:pPr>
              <w:spacing w:after="0"/>
              <w:rPr>
                <w:sz w:val="20"/>
                <w:szCs w:val="20"/>
                <w:color w:val="auto"/>
              </w:rPr>
            </w:pPr>
            <w:r>
              <w:rPr>
                <w:rFonts w:ascii="Times New Roman" w:cs="Times New Roman" w:eastAsia="Times New Roman" w:hAnsi="Times New Roman"/>
                <w:sz w:val="12"/>
                <w:szCs w:val="12"/>
                <w:color w:val="414142"/>
              </w:rPr>
              <w:t>$</w:t>
            </w:r>
          </w:p>
        </w:tc>
        <w:tc>
          <w:tcPr>
            <w:tcW w:w="2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tcBorders>
              <w:top w:val="single" w:sz="8" w:color="E5E6E7"/>
            </w:tcBorders>
            <w:shd w:val="clear" w:color="auto" w:fill="E5E6E7"/>
          </w:tcPr>
          <w:p>
            <w:pPr>
              <w:spacing w:after="0"/>
              <w:rPr>
                <w:sz w:val="12"/>
                <w:szCs w:val="12"/>
                <w:color w:val="auto"/>
              </w:rPr>
            </w:pPr>
          </w:p>
        </w:tc>
        <w:tc>
          <w:tcPr>
            <w:tcW w:w="6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5,205,802</w:t>
            </w:r>
          </w:p>
        </w:tc>
        <w:tc>
          <w:tcPr>
            <w:tcW w:w="6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231F20"/>
            </w:tcBorders>
            <w:shd w:val="clear" w:color="auto" w:fill="E5E6E7"/>
          </w:tcPr>
          <w:p>
            <w:pPr>
              <w:spacing w:after="0"/>
              <w:rPr>
                <w:sz w:val="12"/>
                <w:szCs w:val="12"/>
                <w:color w:val="auto"/>
              </w:rPr>
            </w:pPr>
          </w:p>
        </w:tc>
        <w:tc>
          <w:tcPr>
            <w:tcW w:w="320" w:type="dxa"/>
            <w:vAlign w:val="bottom"/>
            <w:tcBorders>
              <w:top w:val="single" w:sz="8" w:color="231F20"/>
              <w:bottom w:val="single" w:sz="8" w:color="231F20"/>
            </w:tcBorders>
            <w:shd w:val="clear" w:color="auto" w:fill="E5E6E7"/>
          </w:tcPr>
          <w:p>
            <w:pPr>
              <w:jc w:val="right"/>
              <w:ind w:right="246"/>
              <w:spacing w:after="0"/>
              <w:rPr>
                <w:sz w:val="20"/>
                <w:szCs w:val="20"/>
                <w:color w:val="auto"/>
              </w:rPr>
            </w:pPr>
            <w:r>
              <w:rPr>
                <w:rFonts w:ascii="Times New Roman" w:cs="Times New Roman" w:eastAsia="Times New Roman" w:hAnsi="Times New Roman"/>
                <w:sz w:val="5"/>
                <w:szCs w:val="5"/>
                <w:color w:val="414142"/>
                <w:w w:val="78"/>
              </w:rPr>
              <w:t>$</w:t>
            </w:r>
          </w:p>
        </w:tc>
        <w:tc>
          <w:tcPr>
            <w:tcW w:w="1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0</w:t>
            </w:r>
          </w:p>
        </w:tc>
        <w:tc>
          <w:tcPr>
            <w:tcW w:w="80" w:type="dxa"/>
            <w:vAlign w:val="bottom"/>
            <w:tcBorders>
              <w:top w:val="single" w:sz="8" w:color="E5E6E7"/>
            </w:tcBorders>
            <w:gridSpan w:val="2"/>
            <w:shd w:val="clear" w:color="auto" w:fill="E5E6E7"/>
          </w:tcPr>
          <w:p>
            <w:pPr>
              <w:spacing w:after="0"/>
              <w:rPr>
                <w:sz w:val="12"/>
                <w:szCs w:val="12"/>
                <w:color w:val="auto"/>
              </w:rPr>
            </w:pPr>
          </w:p>
        </w:tc>
        <w:tc>
          <w:tcPr>
            <w:tcW w:w="560" w:type="dxa"/>
            <w:vAlign w:val="bottom"/>
            <w:tcBorders>
              <w:top w:val="single" w:sz="8" w:color="231F20"/>
              <w:bottom w:val="single" w:sz="8" w:color="231F20"/>
            </w:tcBorders>
            <w:gridSpan w:val="2"/>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(145,466</w:t>
            </w:r>
          </w:p>
        </w:tc>
        <w:tc>
          <w:tcPr>
            <w:tcW w:w="60" w:type="dxa"/>
            <w:vAlign w:val="bottom"/>
            <w:tcBorders>
              <w:top w:val="single" w:sz="8" w:color="E5E6E7"/>
            </w:tcBorders>
            <w:gridSpan w:val="2"/>
            <w:shd w:val="clear" w:color="auto" w:fill="E5E6E7"/>
          </w:tcPr>
          <w:p>
            <w:pPr>
              <w:jc w:val="center"/>
              <w:ind w:right="20"/>
              <w:spacing w:after="0"/>
              <w:rPr>
                <w:sz w:val="20"/>
                <w:szCs w:val="20"/>
                <w:color w:val="auto"/>
              </w:rPr>
            </w:pPr>
            <w:r>
              <w:rPr>
                <w:rFonts w:ascii="Times New Roman" w:cs="Times New Roman" w:eastAsia="Times New Roman" w:hAnsi="Times New Roman"/>
                <w:sz w:val="12"/>
                <w:szCs w:val="12"/>
                <w:color w:val="414142"/>
                <w:w w:val="98"/>
              </w:rPr>
              <w:t>)</w:t>
            </w:r>
          </w:p>
        </w:tc>
        <w:tc>
          <w:tcPr>
            <w:tcW w:w="60" w:type="dxa"/>
            <w:vAlign w:val="bottom"/>
            <w:tcBorders>
              <w:top w:val="single" w:sz="8" w:color="231F20"/>
              <w:bottom w:val="single" w:sz="8" w:color="231F20"/>
            </w:tcBorders>
            <w:gridSpan w:val="2"/>
            <w:shd w:val="clear" w:color="auto" w:fill="E5E6E7"/>
          </w:tcPr>
          <w:p>
            <w:pPr>
              <w:jc w:val="right"/>
              <w:ind w:right="55"/>
              <w:spacing w:after="0"/>
              <w:rPr>
                <w:sz w:val="20"/>
                <w:szCs w:val="20"/>
                <w:color w:val="auto"/>
              </w:rPr>
            </w:pPr>
            <w:r>
              <w:rPr>
                <w:rFonts w:ascii="Times New Roman" w:cs="Times New Roman" w:eastAsia="Times New Roman" w:hAnsi="Times New Roman"/>
                <w:sz w:val="1"/>
                <w:szCs w:val="1"/>
                <w:color w:val="414142"/>
              </w:rPr>
              <w:t>$</w:t>
            </w:r>
          </w:p>
        </w:tc>
        <w:tc>
          <w:tcPr>
            <w:tcW w:w="5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(3,602</w:t>
            </w:r>
          </w:p>
        </w:tc>
        <w:tc>
          <w:tcPr>
            <w:tcW w:w="20" w:type="dxa"/>
            <w:vAlign w:val="bottom"/>
            <w:shd w:val="clear" w:color="auto" w:fill="E5E6E7"/>
          </w:tcPr>
          <w:p>
            <w:pPr>
              <w:spacing w:after="0"/>
              <w:rPr>
                <w:sz w:val="12"/>
                <w:szCs w:val="12"/>
                <w:color w:val="auto"/>
              </w:rPr>
            </w:pPr>
          </w:p>
        </w:tc>
        <w:tc>
          <w:tcPr>
            <w:tcW w:w="2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1"/>
                <w:szCs w:val="1"/>
                <w:color w:val="414142"/>
                <w:w w:val="4294967281"/>
              </w:rPr>
              <w:t>)</w:t>
            </w:r>
          </w:p>
        </w:tc>
        <w:tc>
          <w:tcPr>
            <w:tcW w:w="760" w:type="dxa"/>
            <w:vAlign w:val="bottom"/>
            <w:tcBorders>
              <w:top w:val="single" w:sz="8" w:color="231F20"/>
              <w:bottom w:val="single" w:sz="8" w:color="231F20"/>
            </w:tcBorders>
            <w:gridSpan w:val="3"/>
            <w:shd w:val="clear" w:color="auto" w:fill="E5E6E7"/>
          </w:tcPr>
          <w:p>
            <w:pPr>
              <w:jc w:val="right"/>
              <w:ind w:right="700"/>
              <w:spacing w:after="0"/>
              <w:rPr>
                <w:sz w:val="20"/>
                <w:szCs w:val="20"/>
                <w:color w:val="auto"/>
              </w:rPr>
            </w:pPr>
            <w:r>
              <w:rPr>
                <w:rFonts w:ascii="Times New Roman" w:cs="Times New Roman" w:eastAsia="Times New Roman" w:hAnsi="Times New Roman"/>
                <w:sz w:val="12"/>
                <w:szCs w:val="12"/>
                <w:color w:val="414142"/>
              </w:rPr>
              <w:t>18,345</w:t>
            </w:r>
          </w:p>
        </w:tc>
        <w:tc>
          <w:tcPr>
            <w:tcW w:w="20" w:type="dxa"/>
            <w:vAlign w:val="bottom"/>
            <w:shd w:val="clear" w:color="auto" w:fill="E5E6E7"/>
          </w:tcPr>
          <w:p>
            <w:pPr>
              <w:spacing w:after="0"/>
              <w:rPr>
                <w:sz w:val="12"/>
                <w:szCs w:val="12"/>
                <w:color w:val="auto"/>
              </w:rPr>
            </w:pPr>
          </w:p>
        </w:tc>
        <w:tc>
          <w:tcPr>
            <w:tcW w:w="60" w:type="dxa"/>
            <w:vAlign w:val="bottom"/>
            <w:tcBorders>
              <w:top w:val="single" w:sz="8" w:color="E5E6E7"/>
            </w:tcBorders>
            <w:gridSpan w:val="2"/>
            <w:shd w:val="clear" w:color="auto" w:fill="E5E6E7"/>
          </w:tcPr>
          <w:p>
            <w:pPr>
              <w:spacing w:after="0"/>
              <w:rPr>
                <w:sz w:val="12"/>
                <w:szCs w:val="12"/>
                <w:color w:val="auto"/>
              </w:rPr>
            </w:pPr>
          </w:p>
        </w:tc>
        <w:tc>
          <w:tcPr>
            <w:tcW w:w="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414142"/>
                <w:w w:val="78"/>
              </w:rPr>
              <w:t>$</w:t>
            </w:r>
          </w:p>
        </w:tc>
        <w:tc>
          <w:tcPr>
            <w:tcW w:w="7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(1,396,917</w:t>
            </w:r>
          </w:p>
        </w:tc>
        <w:tc>
          <w:tcPr>
            <w:tcW w:w="20" w:type="dxa"/>
            <w:vAlign w:val="bottom"/>
            <w:shd w:val="clear" w:color="auto" w:fill="E5E6E7"/>
          </w:tcPr>
          <w:p>
            <w:pPr>
              <w:spacing w:after="0"/>
              <w:rPr>
                <w:sz w:val="12"/>
                <w:szCs w:val="12"/>
                <w:color w:val="auto"/>
              </w:rPr>
            </w:pPr>
          </w:p>
        </w:tc>
        <w:tc>
          <w:tcPr>
            <w:tcW w:w="60" w:type="dxa"/>
            <w:vAlign w:val="bottom"/>
            <w:tcBorders>
              <w:top w:val="single" w:sz="8" w:color="E5E6E7"/>
            </w:tcBorders>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
                <w:szCs w:val="1"/>
                <w:color w:val="414142"/>
                <w:w w:val="4294967281"/>
              </w:rPr>
              <w:t>)</w:t>
            </w:r>
          </w:p>
        </w:tc>
        <w:tc>
          <w:tcPr>
            <w:tcW w:w="60" w:type="dxa"/>
            <w:vAlign w:val="bottom"/>
            <w:tcBorders>
              <w:top w:val="single" w:sz="8" w:color="231F20"/>
              <w:bottom w:val="single" w:sz="8" w:color="231F20"/>
            </w:tcBorders>
            <w:gridSpan w:val="2"/>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14142"/>
              </w:rPr>
              <w:t>$</w:t>
            </w:r>
          </w:p>
        </w:tc>
        <w:tc>
          <w:tcPr>
            <w:tcW w:w="8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w:t>
            </w:r>
          </w:p>
        </w:tc>
        <w:tc>
          <w:tcPr>
            <w:tcW w:w="20" w:type="dxa"/>
            <w:vAlign w:val="bottom"/>
            <w:shd w:val="clear" w:color="auto" w:fill="E5E6E7"/>
          </w:tcPr>
          <w:p>
            <w:pPr>
              <w:spacing w:after="0"/>
              <w:rPr>
                <w:sz w:val="12"/>
                <w:szCs w:val="12"/>
                <w:color w:val="auto"/>
              </w:rPr>
            </w:pPr>
          </w:p>
        </w:tc>
        <w:tc>
          <w:tcPr>
            <w:tcW w:w="60" w:type="dxa"/>
            <w:vAlign w:val="bottom"/>
            <w:tcBorders>
              <w:top w:val="single" w:sz="8" w:color="E5E6E7"/>
            </w:tcBorders>
            <w:gridSpan w:val="2"/>
            <w:shd w:val="clear" w:color="auto" w:fill="E5E6E7"/>
          </w:tcPr>
          <w:p>
            <w:pPr>
              <w:spacing w:after="0"/>
              <w:rPr>
                <w:sz w:val="12"/>
                <w:szCs w:val="12"/>
                <w:color w:val="auto"/>
              </w:rPr>
            </w:pPr>
          </w:p>
        </w:tc>
        <w:tc>
          <w:tcPr>
            <w:tcW w:w="140" w:type="dxa"/>
            <w:vAlign w:val="bottom"/>
            <w:tcBorders>
              <w:top w:val="single" w:sz="8" w:color="231F20"/>
              <w:bottom w:val="single" w:sz="8" w:color="231F20"/>
            </w:tcBorders>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6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(1,382,163</w:t>
            </w:r>
          </w:p>
        </w:tc>
        <w:tc>
          <w:tcPr>
            <w:tcW w:w="20" w:type="dxa"/>
            <w:vAlign w:val="bottom"/>
            <w:shd w:val="clear" w:color="auto" w:fill="E5E6E7"/>
          </w:tcPr>
          <w:p>
            <w:pPr>
              <w:spacing w:after="0"/>
              <w:rPr>
                <w:sz w:val="12"/>
                <w:szCs w:val="12"/>
                <w:color w:val="auto"/>
              </w:rPr>
            </w:pPr>
          </w:p>
        </w:tc>
        <w:tc>
          <w:tcPr>
            <w:tcW w:w="40" w:type="dxa"/>
            <w:vAlign w:val="bottom"/>
            <w:tcBorders>
              <w:top w:val="single" w:sz="8" w:color="E5E6E7"/>
            </w:tcBorders>
            <w:shd w:val="clear" w:color="auto" w:fill="E5E6E7"/>
          </w:tcPr>
          <w:p>
            <w:pPr>
              <w:jc w:val="right"/>
              <w:ind w:right="15"/>
              <w:spacing w:after="0"/>
              <w:rPr>
                <w:sz w:val="20"/>
                <w:szCs w:val="20"/>
                <w:color w:val="auto"/>
              </w:rPr>
            </w:pPr>
            <w:r>
              <w:rPr>
                <w:rFonts w:ascii="Times New Roman" w:cs="Times New Roman" w:eastAsia="Times New Roman" w:hAnsi="Times New Roman"/>
                <w:sz w:val="1"/>
                <w:szCs w:val="1"/>
                <w:color w:val="414142"/>
                <w:w w:val="4294967281"/>
              </w:rPr>
              <w:t>)</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231F20"/>
              </w:rPr>
              <w:t>Issuance of Series G-3 Preferred Stock</w:t>
            </w:r>
          </w:p>
        </w:tc>
        <w:tc>
          <w:tcPr>
            <w:tcW w:w="7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231F20"/>
            </w:tcBorders>
            <w:gridSpan w:val="2"/>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tcBorders>
              <w:bottom w:val="single" w:sz="8" w:color="231F20"/>
            </w:tcBorders>
            <w:gridSpan w:val="2"/>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231F20"/>
            </w:tcBorders>
            <w:gridSpan w:val="2"/>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640" w:type="dxa"/>
            <w:vAlign w:val="bottom"/>
            <w:gridSpan w:val="2"/>
            <w:vMerge w:val="continue"/>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66,465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3,809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gridSpan w:val="2"/>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gridSpan w:val="2"/>
            <w:vMerge w:val="continue"/>
          </w:tcPr>
          <w:p>
            <w:pPr>
              <w:spacing w:after="0"/>
              <w:rPr>
                <w:sz w:val="11"/>
                <w:szCs w:val="11"/>
                <w:color w:val="auto"/>
              </w:rPr>
            </w:pPr>
          </w:p>
        </w:tc>
        <w:tc>
          <w:tcPr>
            <w:tcW w:w="80" w:type="dxa"/>
            <w:vAlign w:val="bottom"/>
            <w:gridSpan w:val="2"/>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gridSpan w:val="2"/>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Issuance of Series G-4 Preferred Stock</w:t>
            </w: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10,666</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611</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760" w:type="dxa"/>
            <w:vAlign w:val="bottom"/>
            <w:gridSpan w:val="4"/>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720" w:type="dxa"/>
            <w:vAlign w:val="bottom"/>
            <w:gridSpan w:val="3"/>
            <w:shd w:val="clear" w:color="auto" w:fill="E5E6E7"/>
          </w:tcPr>
          <w:p>
            <w:pPr>
              <w:jc w:val="right"/>
              <w:ind w:right="55"/>
              <w:spacing w:after="0"/>
              <w:rPr>
                <w:sz w:val="20"/>
                <w:szCs w:val="20"/>
                <w:color w:val="auto"/>
              </w:rPr>
            </w:pPr>
            <w:r>
              <w:rPr>
                <w:rFonts w:ascii="Times New Roman" w:cs="Times New Roman" w:eastAsia="Times New Roman" w:hAnsi="Times New Roman"/>
                <w:sz w:val="12"/>
                <w:szCs w:val="12"/>
                <w:color w:val="414142"/>
              </w:rPr>
              <w:t>—</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Issuance of Series G-5 Preferred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3,489,981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199,750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900" w:type="dxa"/>
            <w:vAlign w:val="bottom"/>
            <w:gridSpan w:val="6"/>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55"/>
              <w:spacing w:after="0"/>
              <w:rPr>
                <w:sz w:val="20"/>
                <w:szCs w:val="20"/>
                <w:color w:val="auto"/>
              </w:rPr>
            </w:pPr>
            <w:r>
              <w:rPr>
                <w:rFonts w:ascii="Times New Roman" w:cs="Times New Roman" w:eastAsia="Times New Roman" w:hAnsi="Times New Roman"/>
                <w:sz w:val="12"/>
                <w:szCs w:val="12"/>
                <w:color w:val="231F20"/>
              </w:rPr>
              <w:t>—</w:t>
            </w: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Common stock issued in connection with business combinations</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7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9,141</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0</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344</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344</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Dividends</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33,669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8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(39,347 )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(39,347 )</w:t>
            </w:r>
          </w:p>
        </w:tc>
        <w:tc>
          <w:tcPr>
            <w:tcW w:w="0" w:type="dxa"/>
            <w:vAlign w:val="bottom"/>
          </w:tcPr>
          <w:p>
            <w:pPr>
              <w:spacing w:after="0"/>
              <w:rPr>
                <w:sz w:val="1"/>
                <w:szCs w:val="1"/>
                <w:color w:val="auto"/>
              </w:rPr>
            </w:pPr>
          </w:p>
        </w:tc>
      </w:tr>
      <w:tr>
        <w:trPr>
          <w:trHeight w:val="126"/>
        </w:trPr>
        <w:tc>
          <w:tcPr>
            <w:tcW w:w="14040" w:type="dxa"/>
            <w:vAlign w:val="bottom"/>
            <w:gridSpan w:val="60"/>
            <w:shd w:val="clear" w:color="auto" w:fill="E5E6E7"/>
          </w:tcPr>
          <w:p>
            <w:pPr>
              <w:spacing w:after="0" w:line="126" w:lineRule="exact"/>
              <w:rPr>
                <w:sz w:val="20"/>
                <w:szCs w:val="20"/>
                <w:color w:val="auto"/>
              </w:rPr>
            </w:pPr>
            <w:r>
              <w:rPr>
                <w:rFonts w:ascii="Times New Roman" w:cs="Times New Roman" w:eastAsia="Times New Roman" w:hAnsi="Times New Roman"/>
                <w:sz w:val="12"/>
                <w:szCs w:val="12"/>
                <w:color w:val="414142"/>
              </w:rPr>
              <w:t>Issuance of common stock in connection with initial public offering,</w:t>
            </w:r>
          </w:p>
        </w:tc>
        <w:tc>
          <w:tcPr>
            <w:tcW w:w="0" w:type="dxa"/>
            <w:vAlign w:val="bottom"/>
          </w:tcPr>
          <w:p>
            <w:pPr>
              <w:spacing w:after="0"/>
              <w:rPr>
                <w:sz w:val="1"/>
                <w:szCs w:val="1"/>
                <w:color w:val="auto"/>
              </w:rPr>
            </w:pPr>
          </w:p>
        </w:tc>
      </w:tr>
      <w:tr>
        <w:trPr>
          <w:trHeight w:val="164"/>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net of underwriting discounts and other offering costs</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4"/>
                <w:szCs w:val="14"/>
                <w:color w:val="auto"/>
              </w:rPr>
            </w:pPr>
          </w:p>
        </w:tc>
        <w:tc>
          <w:tcPr>
            <w:tcW w:w="180" w:type="dxa"/>
            <w:vAlign w:val="bottom"/>
            <w:shd w:val="clear" w:color="auto" w:fill="E5E6E7"/>
          </w:tcPr>
          <w:p>
            <w:pPr>
              <w:spacing w:after="0"/>
              <w:rPr>
                <w:sz w:val="14"/>
                <w:szCs w:val="14"/>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11,100,000</w:t>
            </w:r>
          </w:p>
        </w:tc>
        <w:tc>
          <w:tcPr>
            <w:tcW w:w="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0" w:type="dxa"/>
            <w:vAlign w:val="bottom"/>
            <w:shd w:val="clear" w:color="auto" w:fill="E5E6E7"/>
          </w:tcPr>
          <w:p>
            <w:pPr>
              <w:spacing w:after="0"/>
              <w:rPr>
                <w:sz w:val="14"/>
                <w:szCs w:val="14"/>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4"/>
                <w:szCs w:val="14"/>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369,603</w:t>
            </w:r>
          </w:p>
        </w:tc>
        <w:tc>
          <w:tcPr>
            <w:tcW w:w="20" w:type="dxa"/>
            <w:vAlign w:val="bottom"/>
            <w:shd w:val="clear" w:color="auto" w:fill="E5E6E7"/>
          </w:tcPr>
          <w:p>
            <w:pPr>
              <w:spacing w:after="0"/>
              <w:rPr>
                <w:sz w:val="14"/>
                <w:szCs w:val="14"/>
                <w:color w:val="auto"/>
              </w:rPr>
            </w:pPr>
          </w:p>
        </w:tc>
        <w:tc>
          <w:tcPr>
            <w:tcW w:w="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40" w:type="dxa"/>
            <w:vAlign w:val="bottom"/>
            <w:shd w:val="clear" w:color="auto" w:fill="E5E6E7"/>
          </w:tcPr>
          <w:p>
            <w:pPr>
              <w:spacing w:after="0"/>
              <w:rPr>
                <w:sz w:val="14"/>
                <w:szCs w:val="14"/>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20" w:type="dxa"/>
            <w:vAlign w:val="bottom"/>
            <w:shd w:val="clear" w:color="auto" w:fill="E5E6E7"/>
          </w:tcPr>
          <w:p>
            <w:pPr>
              <w:spacing w:after="0"/>
              <w:rPr>
                <w:sz w:val="14"/>
                <w:szCs w:val="14"/>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369,604</w:t>
            </w:r>
          </w:p>
        </w:tc>
        <w:tc>
          <w:tcPr>
            <w:tcW w:w="20" w:type="dxa"/>
            <w:vAlign w:val="bottom"/>
            <w:shd w:val="clear" w:color="auto" w:fill="E5E6E7"/>
          </w:tcPr>
          <w:p>
            <w:pPr>
              <w:spacing w:after="0"/>
              <w:rPr>
                <w:sz w:val="14"/>
                <w:szCs w:val="14"/>
                <w:color w:val="auto"/>
              </w:rPr>
            </w:pPr>
          </w:p>
        </w:tc>
        <w:tc>
          <w:tcPr>
            <w:tcW w:w="40" w:type="dxa"/>
            <w:vAlign w:val="bottom"/>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Issuance of common stock in connection with contingent consideration</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19,620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847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847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Stock option exercise</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205,847</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0</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54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50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(0 )</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7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8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7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12"/>
                <w:szCs w:val="12"/>
                <w:color w:val="414142"/>
              </w:rPr>
              <w:t>(0 )</w:t>
            </w:r>
          </w:p>
        </w:tc>
        <w:tc>
          <w:tcPr>
            <w:tcW w:w="0" w:type="dxa"/>
            <w:vAlign w:val="bottom"/>
          </w:tcPr>
          <w:p>
            <w:pPr>
              <w:spacing w:after="0"/>
              <w:rPr>
                <w:sz w:val="1"/>
                <w:szCs w:val="1"/>
                <w:color w:val="auto"/>
              </w:rPr>
            </w:pPr>
          </w:p>
        </w:tc>
      </w:tr>
      <w:tr>
        <w:trPr>
          <w:trHeight w:val="126"/>
        </w:trPr>
        <w:tc>
          <w:tcPr>
            <w:tcW w:w="14040" w:type="dxa"/>
            <w:vAlign w:val="bottom"/>
            <w:gridSpan w:val="60"/>
          </w:tcPr>
          <w:p>
            <w:pPr>
              <w:spacing w:after="0" w:line="126" w:lineRule="exact"/>
              <w:rPr>
                <w:sz w:val="20"/>
                <w:szCs w:val="20"/>
                <w:color w:val="auto"/>
              </w:rPr>
            </w:pPr>
            <w:r>
              <w:rPr>
                <w:rFonts w:ascii="Times New Roman" w:cs="Times New Roman" w:eastAsia="Times New Roman" w:hAnsi="Times New Roman"/>
                <w:sz w:val="12"/>
                <w:szCs w:val="12"/>
                <w:color w:val="231F20"/>
              </w:rPr>
              <w:t>Conversion of redeemable convertible preferred stock to common</w:t>
            </w:r>
          </w:p>
        </w:tc>
        <w:tc>
          <w:tcPr>
            <w:tcW w:w="0" w:type="dxa"/>
            <w:vAlign w:val="bottom"/>
          </w:tcPr>
          <w:p>
            <w:pPr>
              <w:spacing w:after="0"/>
              <w:rPr>
                <w:sz w:val="1"/>
                <w:szCs w:val="1"/>
                <w:color w:val="auto"/>
              </w:rPr>
            </w:pPr>
          </w:p>
        </w:tc>
      </w:tr>
      <w:tr>
        <w:trPr>
          <w:trHeight w:val="159"/>
        </w:trPr>
        <w:tc>
          <w:tcPr>
            <w:tcW w:w="3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231F20"/>
              </w:rPr>
              <w:t>stock in connection with initial public offering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(67,093,065 )</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(1,343,382 )</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71,976,178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5,043,789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1,357,562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(8,761 )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1,348,809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Conversion of non-voting common stock to Class A common stock</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5,069,477</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76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(5,214,943 )</w:t>
            </w:r>
          </w:p>
        </w:tc>
        <w:tc>
          <w:tcPr>
            <w:tcW w:w="20" w:type="dxa"/>
            <w:vAlign w:val="bottom"/>
            <w:shd w:val="clear" w:color="auto" w:fill="E5E6E7"/>
          </w:tcPr>
          <w:p>
            <w:pPr>
              <w:spacing w:after="0"/>
              <w:rPr>
                <w:sz w:val="13"/>
                <w:szCs w:val="13"/>
                <w:color w:val="auto"/>
              </w:rPr>
            </w:pP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0</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74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(1 )</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0</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040" w:type="dxa"/>
            <w:vAlign w:val="bottom"/>
            <w:gridSpan w:val="60"/>
          </w:tcPr>
          <w:p>
            <w:pPr>
              <w:spacing w:after="0" w:line="126" w:lineRule="exact"/>
              <w:rPr>
                <w:sz w:val="20"/>
                <w:szCs w:val="20"/>
                <w:color w:val="auto"/>
              </w:rPr>
            </w:pPr>
            <w:r>
              <w:rPr>
                <w:rFonts w:ascii="Times New Roman" w:cs="Times New Roman" w:eastAsia="Times New Roman" w:hAnsi="Times New Roman"/>
                <w:sz w:val="12"/>
                <w:szCs w:val="12"/>
                <w:color w:val="231F20"/>
              </w:rPr>
              <w:t>Issuance of common stock upon settlement of restricted stock</w:t>
            </w:r>
          </w:p>
        </w:tc>
        <w:tc>
          <w:tcPr>
            <w:tcW w:w="0" w:type="dxa"/>
            <w:vAlign w:val="bottom"/>
          </w:tcPr>
          <w:p>
            <w:pPr>
              <w:spacing w:after="0"/>
              <w:rPr>
                <w:sz w:val="1"/>
                <w:szCs w:val="1"/>
                <w:color w:val="auto"/>
              </w:rPr>
            </w:pPr>
          </w:p>
        </w:tc>
      </w:tr>
      <w:tr>
        <w:trPr>
          <w:trHeight w:val="159"/>
        </w:trPr>
        <w:tc>
          <w:tcPr>
            <w:tcW w:w="3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231F20"/>
              </w:rPr>
              <w:t>units, net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10,228,430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231F20"/>
              </w:rPr>
              <w:t>(70,001 )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(70,000 )</w:t>
            </w:r>
          </w:p>
        </w:tc>
        <w:tc>
          <w:tcPr>
            <w:tcW w:w="0" w:type="dxa"/>
            <w:vAlign w:val="bottom"/>
          </w:tcPr>
          <w:p>
            <w:pPr>
              <w:spacing w:after="0"/>
              <w:rPr>
                <w:sz w:val="1"/>
                <w:szCs w:val="1"/>
                <w:color w:val="auto"/>
              </w:rPr>
            </w:pPr>
          </w:p>
        </w:tc>
      </w:tr>
      <w:tr>
        <w:trPr>
          <w:trHeight w:val="157"/>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Issuance of common stock upon settlement of warrant</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109,459</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0</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740" w:type="dxa"/>
            <w:vAlign w:val="bottom"/>
            <w:gridSpan w:val="3"/>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(173 )</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80" w:type="dxa"/>
            <w:vAlign w:val="bottom"/>
            <w:gridSpan w:val="3"/>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720" w:type="dxa"/>
            <w:vAlign w:val="bottom"/>
            <w:gridSpan w:val="3"/>
            <w:shd w:val="clear" w:color="auto" w:fill="E5E6E7"/>
          </w:tcPr>
          <w:p>
            <w:pPr>
              <w:jc w:val="right"/>
              <w:ind w:right="15"/>
              <w:spacing w:after="0"/>
              <w:rPr>
                <w:sz w:val="20"/>
                <w:szCs w:val="20"/>
                <w:color w:val="auto"/>
              </w:rPr>
            </w:pPr>
            <w:r>
              <w:rPr>
                <w:rFonts w:ascii="Times New Roman" w:cs="Times New Roman" w:eastAsia="Times New Roman" w:hAnsi="Times New Roman"/>
                <w:sz w:val="12"/>
                <w:szCs w:val="12"/>
                <w:color w:val="414142"/>
              </w:rPr>
              <w:t>(173 )</w:t>
            </w: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Stock-based compensation expense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jc w:val="right"/>
              <w:ind w:right="135"/>
              <w:spacing w:after="0"/>
              <w:rPr>
                <w:sz w:val="20"/>
                <w:szCs w:val="20"/>
                <w:color w:val="auto"/>
              </w:rPr>
            </w:pPr>
            <w:r>
              <w:rPr>
                <w:rFonts w:ascii="Times New Roman" w:cs="Times New Roman" w:eastAsia="Times New Roman" w:hAnsi="Times New Roman"/>
                <w:sz w:val="12"/>
                <w:szCs w:val="12"/>
                <w:color w:val="231F20"/>
              </w:rPr>
              <w:t>—</w:t>
            </w:r>
          </w:p>
        </w:tc>
        <w:tc>
          <w:tcPr>
            <w:tcW w:w="620" w:type="dxa"/>
            <w:vAlign w:val="bottom"/>
            <w:gridSpan w:val="5"/>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534,138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6"/>
          </w:tcPr>
          <w:p>
            <w:pPr>
              <w:jc w:val="right"/>
              <w:ind w:right="115"/>
              <w:spacing w:after="0"/>
              <w:rPr>
                <w:sz w:val="20"/>
                <w:szCs w:val="20"/>
                <w:color w:val="auto"/>
              </w:rPr>
            </w:pPr>
            <w:r>
              <w:rPr>
                <w:rFonts w:ascii="Times New Roman" w:cs="Times New Roman" w:eastAsia="Times New Roman" w:hAnsi="Times New Roman"/>
                <w:sz w:val="12"/>
                <w:szCs w:val="12"/>
                <w:color w:val="231F20"/>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534,138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12"/>
                <w:szCs w:val="12"/>
                <w:color w:val="414142"/>
              </w:rPr>
              <w:t>Foreign currency translation adjustment</w:t>
            </w:r>
          </w:p>
        </w:tc>
        <w:tc>
          <w:tcPr>
            <w:tcW w:w="78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80" w:type="dxa"/>
            <w:vAlign w:val="bottom"/>
            <w:shd w:val="clear" w:color="auto" w:fill="E5E6E7"/>
          </w:tcPr>
          <w:p>
            <w:pPr>
              <w:spacing w:after="0"/>
              <w:rPr>
                <w:sz w:val="13"/>
                <w:szCs w:val="13"/>
                <w:color w:val="auto"/>
              </w:rPr>
            </w:pPr>
          </w:p>
        </w:tc>
        <w:tc>
          <w:tcPr>
            <w:tcW w:w="78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0" w:type="dxa"/>
            <w:vAlign w:val="bottom"/>
            <w:shd w:val="clear" w:color="auto" w:fill="E5E6E7"/>
          </w:tcPr>
          <w:p>
            <w:pPr>
              <w:spacing w:after="0"/>
              <w:rPr>
                <w:sz w:val="13"/>
                <w:szCs w:val="13"/>
                <w:color w:val="auto"/>
              </w:rPr>
            </w:pPr>
          </w:p>
        </w:tc>
        <w:tc>
          <w:tcPr>
            <w:tcW w:w="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40" w:type="dxa"/>
            <w:vAlign w:val="bottom"/>
            <w:gridSpan w:val="3"/>
            <w:shd w:val="clear" w:color="auto" w:fill="E5E6E7"/>
          </w:tcPr>
          <w:p>
            <w:pPr>
              <w:jc w:val="right"/>
              <w:ind w:right="100"/>
              <w:spacing w:after="0"/>
              <w:rPr>
                <w:sz w:val="20"/>
                <w:szCs w:val="20"/>
                <w:color w:val="auto"/>
              </w:rPr>
            </w:pPr>
            <w:r>
              <w:rPr>
                <w:rFonts w:ascii="Times New Roman" w:cs="Times New Roman" w:eastAsia="Times New Roman" w:hAnsi="Times New Roman"/>
                <w:sz w:val="12"/>
                <w:szCs w:val="12"/>
                <w:color w:val="414142"/>
              </w:rPr>
              <w:t>—</w:t>
            </w:r>
          </w:p>
        </w:tc>
        <w:tc>
          <w:tcPr>
            <w:tcW w:w="320" w:type="dxa"/>
            <w:vAlign w:val="bottom"/>
            <w:shd w:val="clear" w:color="auto" w:fill="E5E6E7"/>
          </w:tcPr>
          <w:p>
            <w:pPr>
              <w:spacing w:after="0"/>
              <w:rPr>
                <w:sz w:val="13"/>
                <w:szCs w:val="1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660" w:type="dxa"/>
            <w:vAlign w:val="bottom"/>
            <w:gridSpan w:val="5"/>
            <w:shd w:val="clear" w:color="auto" w:fill="E5E6E7"/>
          </w:tcPr>
          <w:p>
            <w:pPr>
              <w:jc w:val="right"/>
              <w:ind w:right="135"/>
              <w:spacing w:after="0"/>
              <w:rPr>
                <w:sz w:val="20"/>
                <w:szCs w:val="20"/>
                <w:color w:val="auto"/>
              </w:rPr>
            </w:pPr>
            <w:r>
              <w:rPr>
                <w:rFonts w:ascii="Times New Roman" w:cs="Times New Roman" w:eastAsia="Times New Roman" w:hAnsi="Times New Roman"/>
                <w:sz w:val="12"/>
                <w:szCs w:val="12"/>
                <w:color w:val="414142"/>
              </w:rPr>
              <w:t>—</w:t>
            </w:r>
          </w:p>
        </w:tc>
        <w:tc>
          <w:tcPr>
            <w:tcW w:w="620" w:type="dxa"/>
            <w:vAlign w:val="bottom"/>
            <w:gridSpan w:val="5"/>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760" w:type="dxa"/>
            <w:vAlign w:val="bottom"/>
            <w:gridSpan w:val="4"/>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00" w:type="dxa"/>
            <w:vAlign w:val="bottom"/>
            <w:gridSpan w:val="6"/>
            <w:shd w:val="clear" w:color="auto" w:fill="E5E6E7"/>
          </w:tcPr>
          <w:p>
            <w:pPr>
              <w:jc w:val="right"/>
              <w:ind w:right="115"/>
              <w:spacing w:after="0"/>
              <w:rPr>
                <w:sz w:val="20"/>
                <w:szCs w:val="20"/>
                <w:color w:val="auto"/>
              </w:rPr>
            </w:pPr>
            <w:r>
              <w:rPr>
                <w:rFonts w:ascii="Times New Roman" w:cs="Times New Roman" w:eastAsia="Times New Roman" w:hAnsi="Times New Roman"/>
                <w:sz w:val="12"/>
                <w:szCs w:val="12"/>
                <w:color w:val="414142"/>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89</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89</w:t>
            </w:r>
          </w:p>
        </w:tc>
        <w:tc>
          <w:tcPr>
            <w:tcW w:w="20" w:type="dxa"/>
            <w:vAlign w:val="bottom"/>
            <w:shd w:val="clear" w:color="auto" w:fill="E5E6E7"/>
          </w:tcPr>
          <w:p>
            <w:pPr>
              <w:spacing w:after="0"/>
              <w:rPr>
                <w:sz w:val="13"/>
                <w:szCs w:val="13"/>
                <w:color w:val="auto"/>
              </w:rPr>
            </w:pPr>
          </w:p>
        </w:tc>
        <w:tc>
          <w:tcPr>
            <w:tcW w:w="40" w:type="dxa"/>
            <w:vAlign w:val="bottom"/>
            <w:shd w:val="clear" w:color="auto" w:fill="E5E6E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gridSpan w:val="2"/>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(705,809 )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15"/>
              <w:spacing w:after="0"/>
              <w:rPr>
                <w:sz w:val="20"/>
                <w:szCs w:val="20"/>
                <w:color w:val="auto"/>
              </w:rPr>
            </w:pPr>
            <w:r>
              <w:rPr>
                <w:rFonts w:ascii="Times New Roman" w:cs="Times New Roman" w:eastAsia="Times New Roman" w:hAnsi="Times New Roman"/>
                <w:sz w:val="12"/>
                <w:szCs w:val="12"/>
                <w:color w:val="231F20"/>
              </w:rPr>
              <w:t>(705,809 )</w:t>
            </w:r>
          </w:p>
        </w:tc>
        <w:tc>
          <w:tcPr>
            <w:tcW w:w="0" w:type="dxa"/>
            <w:vAlign w:val="bottom"/>
          </w:tcPr>
          <w:p>
            <w:pPr>
              <w:spacing w:after="0"/>
              <w:rPr>
                <w:sz w:val="1"/>
                <w:szCs w:val="1"/>
                <w:color w:val="auto"/>
              </w:rPr>
            </w:pPr>
          </w:p>
        </w:tc>
      </w:tr>
      <w:tr>
        <w:trPr>
          <w:trHeight w:val="167"/>
        </w:trPr>
        <w:tc>
          <w:tcPr>
            <w:tcW w:w="3640" w:type="dxa"/>
            <w:vAlign w:val="bottom"/>
            <w:tcBorders>
              <w:top w:val="single" w:sz="8" w:color="E5E6E7"/>
            </w:tcBorders>
            <w:gridSpan w:val="2"/>
            <w:shd w:val="clear" w:color="auto" w:fill="E5E6E7"/>
          </w:tcPr>
          <w:p>
            <w:pPr>
              <w:spacing w:after="0"/>
              <w:rPr>
                <w:sz w:val="20"/>
                <w:szCs w:val="20"/>
                <w:color w:val="auto"/>
              </w:rPr>
            </w:pPr>
            <w:r>
              <w:rPr>
                <w:rFonts w:ascii="Times New Roman" w:cs="Times New Roman" w:eastAsia="Times New Roman" w:hAnsi="Times New Roman"/>
                <w:sz w:val="12"/>
                <w:szCs w:val="12"/>
                <w:b w:val="1"/>
                <w:bCs w:val="1"/>
                <w:color w:val="414142"/>
              </w:rPr>
              <w:t>Balance at December 31, 2024</w:t>
            </w:r>
          </w:p>
        </w:tc>
        <w:tc>
          <w:tcPr>
            <w:tcW w:w="7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60" w:type="dxa"/>
            <w:vAlign w:val="bottom"/>
            <w:tcBorders>
              <w:top w:val="single" w:sz="8" w:color="E5E6E7"/>
            </w:tcBorders>
            <w:gridSpan w:val="2"/>
            <w:shd w:val="clear" w:color="auto" w:fill="E5E6E7"/>
          </w:tcPr>
          <w:p>
            <w:pPr>
              <w:spacing w:after="0"/>
              <w:rPr>
                <w:sz w:val="14"/>
                <w:szCs w:val="14"/>
                <w:color w:val="auto"/>
              </w:rPr>
            </w:pPr>
          </w:p>
        </w:tc>
        <w:tc>
          <w:tcPr>
            <w:tcW w:w="180" w:type="dxa"/>
            <w:vAlign w:val="bottom"/>
            <w:tcBorders>
              <w:top w:val="single" w:sz="8" w:color="231F20"/>
            </w:tcBorders>
            <w:shd w:val="clear" w:color="auto" w:fill="E5E6E7"/>
          </w:tcPr>
          <w:p>
            <w:pPr>
              <w:jc w:val="center"/>
              <w:ind w:right="85"/>
              <w:spacing w:after="0"/>
              <w:rPr>
                <w:sz w:val="20"/>
                <w:szCs w:val="20"/>
                <w:color w:val="auto"/>
              </w:rPr>
            </w:pPr>
            <w:r>
              <w:rPr>
                <w:rFonts w:ascii="Times New Roman" w:cs="Times New Roman" w:eastAsia="Times New Roman" w:hAnsi="Times New Roman"/>
                <w:sz w:val="11"/>
                <w:szCs w:val="11"/>
                <w:color w:val="414142"/>
                <w:w w:val="71"/>
              </w:rPr>
              <w:t>$</w:t>
            </w:r>
          </w:p>
        </w:tc>
        <w:tc>
          <w:tcPr>
            <w:tcW w:w="7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80" w:type="dxa"/>
            <w:vAlign w:val="bottom"/>
            <w:tcBorders>
              <w:top w:val="single" w:sz="8" w:color="E5E6E7"/>
            </w:tcBorders>
            <w:gridSpan w:val="2"/>
            <w:shd w:val="clear" w:color="auto" w:fill="E5E6E7"/>
          </w:tcPr>
          <w:p>
            <w:pPr>
              <w:spacing w:after="0"/>
              <w:rPr>
                <w:sz w:val="14"/>
                <w:szCs w:val="14"/>
                <w:color w:val="auto"/>
              </w:rPr>
            </w:pPr>
          </w:p>
        </w:tc>
        <w:tc>
          <w:tcPr>
            <w:tcW w:w="7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157,076,972</w:t>
            </w:r>
          </w:p>
        </w:tc>
        <w:tc>
          <w:tcPr>
            <w:tcW w:w="60" w:type="dxa"/>
            <w:vAlign w:val="bottom"/>
            <w:tcBorders>
              <w:top w:val="single" w:sz="8" w:color="E5E6E7"/>
            </w:tcBorders>
            <w:gridSpan w:val="2"/>
            <w:shd w:val="clear" w:color="auto" w:fill="E5E6E7"/>
          </w:tcPr>
          <w:p>
            <w:pPr>
              <w:spacing w:after="0"/>
              <w:rPr>
                <w:sz w:val="14"/>
                <w:szCs w:val="14"/>
                <w:color w:val="auto"/>
              </w:rPr>
            </w:pPr>
          </w:p>
        </w:tc>
        <w:tc>
          <w:tcPr>
            <w:tcW w:w="200" w:type="dxa"/>
            <w:vAlign w:val="bottom"/>
            <w:tcBorders>
              <w:top w:val="single" w:sz="8" w:color="231F20"/>
            </w:tcBorders>
            <w:shd w:val="clear" w:color="auto" w:fill="E5E6E7"/>
          </w:tcPr>
          <w:p>
            <w:pPr>
              <w:jc w:val="right"/>
              <w:ind w:right="126"/>
              <w:spacing w:after="0"/>
              <w:rPr>
                <w:sz w:val="20"/>
                <w:szCs w:val="20"/>
                <w:color w:val="auto"/>
              </w:rPr>
            </w:pPr>
            <w:r>
              <w:rPr>
                <w:rFonts w:ascii="Times New Roman" w:cs="Times New Roman" w:eastAsia="Times New Roman" w:hAnsi="Times New Roman"/>
                <w:sz w:val="5"/>
                <w:szCs w:val="5"/>
                <w:color w:val="414142"/>
                <w:w w:val="78"/>
              </w:rPr>
              <w:t>$</w:t>
            </w:r>
          </w:p>
        </w:tc>
        <w:tc>
          <w:tcPr>
            <w:tcW w:w="2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16</w:t>
            </w:r>
          </w:p>
        </w:tc>
        <w:tc>
          <w:tcPr>
            <w:tcW w:w="80" w:type="dxa"/>
            <w:vAlign w:val="bottom"/>
            <w:tcBorders>
              <w:top w:val="single" w:sz="8" w:color="E5E6E7"/>
            </w:tcBorders>
            <w:gridSpan w:val="2"/>
            <w:shd w:val="clear" w:color="auto" w:fill="E5E6E7"/>
          </w:tcPr>
          <w:p>
            <w:pPr>
              <w:spacing w:after="0"/>
              <w:rPr>
                <w:sz w:val="14"/>
                <w:szCs w:val="14"/>
                <w:color w:val="auto"/>
              </w:rPr>
            </w:pPr>
          </w:p>
        </w:tc>
        <w:tc>
          <w:tcPr>
            <w:tcW w:w="6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5,043,789</w:t>
            </w:r>
          </w:p>
        </w:tc>
        <w:tc>
          <w:tcPr>
            <w:tcW w:w="80" w:type="dxa"/>
            <w:vAlign w:val="bottom"/>
            <w:tcBorders>
              <w:top w:val="single" w:sz="8" w:color="E5E6E7"/>
            </w:tcBorders>
            <w:gridSpan w:val="2"/>
            <w:shd w:val="clear" w:color="auto" w:fill="E5E6E7"/>
          </w:tcPr>
          <w:p>
            <w:pPr>
              <w:spacing w:after="0"/>
              <w:rPr>
                <w:sz w:val="14"/>
                <w:szCs w:val="14"/>
                <w:color w:val="auto"/>
              </w:rPr>
            </w:pPr>
          </w:p>
        </w:tc>
        <w:tc>
          <w:tcPr>
            <w:tcW w:w="20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12"/>
                <w:szCs w:val="12"/>
                <w:color w:val="414142"/>
              </w:rPr>
              <w:t>$</w:t>
            </w:r>
          </w:p>
        </w:tc>
        <w:tc>
          <w:tcPr>
            <w:tcW w:w="2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w:t>
            </w:r>
          </w:p>
        </w:tc>
        <w:tc>
          <w:tcPr>
            <w:tcW w:w="40" w:type="dxa"/>
            <w:vAlign w:val="bottom"/>
            <w:tcBorders>
              <w:top w:val="single" w:sz="8" w:color="E5E6E7"/>
            </w:tcBorders>
            <w:shd w:val="clear" w:color="auto" w:fill="E5E6E7"/>
          </w:tcPr>
          <w:p>
            <w:pPr>
              <w:spacing w:after="0"/>
              <w:rPr>
                <w:sz w:val="14"/>
                <w:szCs w:val="14"/>
                <w:color w:val="auto"/>
              </w:rPr>
            </w:pPr>
          </w:p>
        </w:tc>
        <w:tc>
          <w:tcPr>
            <w:tcW w:w="6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80" w:type="dxa"/>
            <w:vAlign w:val="bottom"/>
            <w:tcBorders>
              <w:top w:val="single" w:sz="8" w:color="E5E6E7"/>
            </w:tcBorders>
            <w:gridSpan w:val="2"/>
            <w:shd w:val="clear" w:color="auto" w:fill="E5E6E7"/>
          </w:tcPr>
          <w:p>
            <w:pPr>
              <w:spacing w:after="0"/>
              <w:rPr>
                <w:sz w:val="14"/>
                <w:szCs w:val="14"/>
                <w:color w:val="auto"/>
              </w:rPr>
            </w:pPr>
          </w:p>
        </w:tc>
        <w:tc>
          <w:tcPr>
            <w:tcW w:w="320" w:type="dxa"/>
            <w:vAlign w:val="bottom"/>
            <w:tcBorders>
              <w:top w:val="single" w:sz="8" w:color="231F20"/>
            </w:tcBorders>
            <w:shd w:val="clear" w:color="auto" w:fill="E5E6E7"/>
          </w:tcPr>
          <w:p>
            <w:pPr>
              <w:jc w:val="right"/>
              <w:ind w:right="246"/>
              <w:spacing w:after="0"/>
              <w:rPr>
                <w:sz w:val="20"/>
                <w:szCs w:val="20"/>
                <w:color w:val="auto"/>
              </w:rPr>
            </w:pPr>
            <w:r>
              <w:rPr>
                <w:rFonts w:ascii="Times New Roman" w:cs="Times New Roman" w:eastAsia="Times New Roman" w:hAnsi="Times New Roman"/>
                <w:sz w:val="5"/>
                <w:szCs w:val="5"/>
                <w:color w:val="414142"/>
                <w:w w:val="78"/>
              </w:rPr>
              <w:t>$</w:t>
            </w:r>
          </w:p>
        </w:tc>
        <w:tc>
          <w:tcPr>
            <w:tcW w:w="1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80" w:type="dxa"/>
            <w:vAlign w:val="bottom"/>
            <w:tcBorders>
              <w:top w:val="single" w:sz="8" w:color="E5E6E7"/>
            </w:tcBorders>
            <w:gridSpan w:val="2"/>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5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(145,466</w:t>
            </w:r>
          </w:p>
        </w:tc>
        <w:tc>
          <w:tcPr>
            <w:tcW w:w="80" w:type="dxa"/>
            <w:vAlign w:val="bottom"/>
            <w:tcBorders>
              <w:top w:val="single" w:sz="8" w:color="E5E6E7"/>
            </w:tcBorders>
            <w:gridSpan w:val="3"/>
            <w:shd w:val="clear" w:color="auto" w:fill="E5E6E7"/>
          </w:tcPr>
          <w:p>
            <w:pPr>
              <w:jc w:val="center"/>
              <w:ind w:right="35"/>
              <w:spacing w:after="0"/>
              <w:rPr>
                <w:sz w:val="20"/>
                <w:szCs w:val="20"/>
                <w:color w:val="auto"/>
              </w:rPr>
            </w:pPr>
            <w:r>
              <w:rPr>
                <w:rFonts w:ascii="Times New Roman" w:cs="Times New Roman" w:eastAsia="Times New Roman" w:hAnsi="Times New Roman"/>
                <w:sz w:val="12"/>
                <w:szCs w:val="12"/>
                <w:color w:val="414142"/>
                <w:w w:val="98"/>
              </w:rPr>
              <w:t>)</w:t>
            </w:r>
          </w:p>
        </w:tc>
        <w:tc>
          <w:tcPr>
            <w:tcW w:w="40" w:type="dxa"/>
            <w:vAlign w:val="bottom"/>
            <w:tcBorders>
              <w:top w:val="single" w:sz="8" w:color="231F20"/>
            </w:tcBorders>
            <w:shd w:val="clear" w:color="auto" w:fill="E5E6E7"/>
          </w:tcPr>
          <w:p>
            <w:pPr>
              <w:jc w:val="right"/>
              <w:ind w:right="15"/>
              <w:spacing w:after="0"/>
              <w:rPr>
                <w:sz w:val="20"/>
                <w:szCs w:val="20"/>
                <w:color w:val="auto"/>
              </w:rPr>
            </w:pPr>
            <w:r>
              <w:rPr>
                <w:rFonts w:ascii="Times New Roman" w:cs="Times New Roman" w:eastAsia="Times New Roman" w:hAnsi="Times New Roman"/>
                <w:sz w:val="1"/>
                <w:szCs w:val="1"/>
                <w:color w:val="414142"/>
                <w:w w:val="4294967286"/>
              </w:rPr>
              <w:t>$</w:t>
            </w:r>
          </w:p>
        </w:tc>
        <w:tc>
          <w:tcPr>
            <w:tcW w:w="520" w:type="dxa"/>
            <w:vAlign w:val="bottom"/>
            <w:tcBorders>
              <w:top w:val="single" w:sz="8" w:color="231F20"/>
            </w:tcBorders>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12"/>
                <w:szCs w:val="12"/>
                <w:color w:val="414142"/>
              </w:rPr>
              <w:t>(3,602</w:t>
            </w:r>
          </w:p>
        </w:tc>
        <w:tc>
          <w:tcPr>
            <w:tcW w:w="40" w:type="dxa"/>
            <w:vAlign w:val="bottom"/>
            <w:tcBorders>
              <w:top w:val="single" w:sz="8" w:color="E5E6E7"/>
            </w:tcBorders>
            <w:gridSpan w:val="2"/>
            <w:shd w:val="clear" w:color="auto" w:fill="E5E6E7"/>
          </w:tcPr>
          <w:p>
            <w:pPr>
              <w:jc w:val="right"/>
              <w:spacing w:after="0"/>
              <w:rPr>
                <w:sz w:val="20"/>
                <w:szCs w:val="20"/>
                <w:color w:val="auto"/>
              </w:rPr>
            </w:pPr>
            <w:r>
              <w:rPr>
                <w:rFonts w:ascii="Times New Roman" w:cs="Times New Roman" w:eastAsia="Times New Roman" w:hAnsi="Times New Roman"/>
                <w:sz w:val="1"/>
                <w:szCs w:val="1"/>
                <w:color w:val="414142"/>
                <w:w w:val="4294967281"/>
              </w:rPr>
              <w:t>)</w:t>
            </w:r>
          </w:p>
        </w:tc>
        <w:tc>
          <w:tcPr>
            <w:tcW w:w="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414142"/>
                <w:w w:val="78"/>
              </w:rPr>
              <w:t>$</w:t>
            </w:r>
          </w:p>
        </w:tc>
        <w:tc>
          <w:tcPr>
            <w:tcW w:w="700" w:type="dxa"/>
            <w:vAlign w:val="bottom"/>
            <w:tcBorders>
              <w:top w:val="single" w:sz="8" w:color="231F20"/>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2,210,664</w:t>
            </w:r>
          </w:p>
        </w:tc>
        <w:tc>
          <w:tcPr>
            <w:tcW w:w="60" w:type="dxa"/>
            <w:vAlign w:val="bottom"/>
            <w:tcBorders>
              <w:top w:val="single" w:sz="8" w:color="E5E6E7"/>
            </w:tcBorders>
            <w:gridSpan w:val="2"/>
            <w:shd w:val="clear" w:color="auto" w:fill="E5E6E7"/>
          </w:tcPr>
          <w:p>
            <w:pPr>
              <w:spacing w:after="0"/>
              <w:rPr>
                <w:sz w:val="14"/>
                <w:szCs w:val="14"/>
                <w:color w:val="auto"/>
              </w:rPr>
            </w:pPr>
          </w:p>
        </w:tc>
        <w:tc>
          <w:tcPr>
            <w:tcW w:w="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5"/>
                <w:szCs w:val="5"/>
                <w:color w:val="414142"/>
                <w:w w:val="78"/>
              </w:rPr>
              <w:t>$</w:t>
            </w:r>
          </w:p>
        </w:tc>
        <w:tc>
          <w:tcPr>
            <w:tcW w:w="780" w:type="dxa"/>
            <w:vAlign w:val="bottom"/>
            <w:tcBorders>
              <w:top w:val="single" w:sz="8" w:color="231F20"/>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(2,150,834</w:t>
            </w:r>
          </w:p>
        </w:tc>
        <w:tc>
          <w:tcPr>
            <w:tcW w:w="80" w:type="dxa"/>
            <w:vAlign w:val="bottom"/>
            <w:tcBorders>
              <w:top w:val="single" w:sz="8" w:color="E5E6E7"/>
            </w:tcBorders>
            <w:gridSpan w:val="3"/>
            <w:shd w:val="clear" w:color="auto" w:fill="E5E6E7"/>
          </w:tcPr>
          <w:p>
            <w:pPr>
              <w:jc w:val="right"/>
              <w:ind w:right="35"/>
              <w:spacing w:after="0"/>
              <w:rPr>
                <w:sz w:val="20"/>
                <w:szCs w:val="20"/>
                <w:color w:val="auto"/>
              </w:rPr>
            </w:pPr>
            <w:r>
              <w:rPr>
                <w:rFonts w:ascii="Times New Roman" w:cs="Times New Roman" w:eastAsia="Times New Roman" w:hAnsi="Times New Roman"/>
                <w:sz w:val="1"/>
                <w:szCs w:val="1"/>
                <w:color w:val="414142"/>
                <w:w w:val="4294967281"/>
              </w:rPr>
              <w:t>)</w:t>
            </w:r>
          </w:p>
        </w:tc>
        <w:tc>
          <w:tcPr>
            <w:tcW w:w="40" w:type="dxa"/>
            <w:vAlign w:val="bottom"/>
            <w:tcBorders>
              <w:top w:val="single" w:sz="8" w:color="231F20"/>
            </w:tcBorders>
            <w:shd w:val="clear" w:color="auto" w:fill="E5E6E7"/>
          </w:tcPr>
          <w:p>
            <w:pPr>
              <w:jc w:val="center"/>
              <w:spacing w:after="0"/>
              <w:rPr>
                <w:sz w:val="20"/>
                <w:szCs w:val="20"/>
                <w:color w:val="auto"/>
              </w:rPr>
            </w:pPr>
            <w:r>
              <w:rPr>
                <w:rFonts w:ascii="Times New Roman" w:cs="Times New Roman" w:eastAsia="Times New Roman" w:hAnsi="Times New Roman"/>
                <w:sz w:val="5"/>
                <w:szCs w:val="5"/>
                <w:color w:val="414142"/>
                <w:w w:val="78"/>
              </w:rPr>
              <w:t>$</w:t>
            </w:r>
          </w:p>
        </w:tc>
        <w:tc>
          <w:tcPr>
            <w:tcW w:w="840" w:type="dxa"/>
            <w:vAlign w:val="bottom"/>
            <w:tcBorders>
              <w:top w:val="single" w:sz="8" w:color="231F20"/>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94</w:t>
            </w:r>
          </w:p>
        </w:tc>
        <w:tc>
          <w:tcPr>
            <w:tcW w:w="80" w:type="dxa"/>
            <w:vAlign w:val="bottom"/>
            <w:tcBorders>
              <w:top w:val="single" w:sz="8" w:color="E5E6E7"/>
            </w:tcBorders>
            <w:gridSpan w:val="3"/>
            <w:shd w:val="clear" w:color="auto" w:fill="E5E6E7"/>
          </w:tcPr>
          <w:p>
            <w:pPr>
              <w:spacing w:after="0"/>
              <w:rPr>
                <w:sz w:val="14"/>
                <w:szCs w:val="14"/>
                <w:color w:val="auto"/>
              </w:rPr>
            </w:pPr>
          </w:p>
        </w:tc>
        <w:tc>
          <w:tcPr>
            <w:tcW w:w="12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12"/>
                <w:szCs w:val="12"/>
                <w:color w:val="414142"/>
              </w:rPr>
              <w:t>$</w:t>
            </w:r>
          </w:p>
        </w:tc>
        <w:tc>
          <w:tcPr>
            <w:tcW w:w="680" w:type="dxa"/>
            <w:vAlign w:val="bottom"/>
            <w:tcBorders>
              <w:top w:val="single" w:sz="8" w:color="231F20"/>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12"/>
                <w:szCs w:val="12"/>
                <w:color w:val="414142"/>
              </w:rPr>
              <w:t>56,339</w:t>
            </w:r>
          </w:p>
        </w:tc>
        <w:tc>
          <w:tcPr>
            <w:tcW w:w="40" w:type="dxa"/>
            <w:vAlign w:val="bottom"/>
            <w:tcBorders>
              <w:top w:val="single" w:sz="8" w:color="E5E6E7"/>
            </w:tcBorders>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E5E6E7"/>
            </w:tcBorders>
          </w:tcPr>
          <w:p>
            <w:pPr>
              <w:spacing w:after="0" w:line="20" w:lineRule="exact"/>
              <w:rPr>
                <w:sz w:val="1"/>
                <w:szCs w:val="1"/>
                <w:color w:val="auto"/>
              </w:rPr>
            </w:pPr>
          </w:p>
        </w:tc>
        <w:tc>
          <w:tcPr>
            <w:tcW w:w="760" w:type="dxa"/>
            <w:vAlign w:val="bottom"/>
            <w:tcBorders>
              <w:top w:val="single" w:sz="8" w:color="231F20"/>
              <w:bottom w:val="single" w:sz="8" w:color="231F20"/>
            </w:tcBorders>
            <w:gridSpan w:val="2"/>
          </w:tcPr>
          <w:p>
            <w:pPr>
              <w:spacing w:after="0" w:line="20" w:lineRule="exact"/>
              <w:rPr>
                <w:sz w:val="1"/>
                <w:szCs w:val="1"/>
                <w:color w:val="auto"/>
              </w:rPr>
            </w:pPr>
          </w:p>
        </w:tc>
        <w:tc>
          <w:tcPr>
            <w:tcW w:w="40" w:type="dxa"/>
            <w:vAlign w:val="bottom"/>
            <w:tcBorders>
              <w:top w:val="single" w:sz="8" w:color="E5E6E7"/>
            </w:tcBorders>
          </w:tcPr>
          <w:p>
            <w:pPr>
              <w:spacing w:after="0" w:line="20" w:lineRule="exact"/>
              <w:rPr>
                <w:sz w:val="1"/>
                <w:szCs w:val="1"/>
                <w:color w:val="auto"/>
              </w:rPr>
            </w:pPr>
          </w:p>
        </w:tc>
        <w:tc>
          <w:tcPr>
            <w:tcW w:w="900" w:type="dxa"/>
            <w:vAlign w:val="bottom"/>
            <w:tcBorders>
              <w:top w:val="single" w:sz="8" w:color="231F20"/>
              <w:bottom w:val="single" w:sz="8" w:color="231F20"/>
            </w:tcBorders>
            <w:gridSpan w:val="3"/>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740" w:type="dxa"/>
            <w:vAlign w:val="bottom"/>
            <w:tcBorders>
              <w:top w:val="single" w:sz="8" w:color="231F20"/>
              <w:bottom w:val="single" w:sz="8" w:color="231F20"/>
            </w:tcBorders>
            <w:gridSpan w:val="2"/>
          </w:tcPr>
          <w:p>
            <w:pPr>
              <w:spacing w:after="0" w:line="20" w:lineRule="exact"/>
              <w:rPr>
                <w:sz w:val="1"/>
                <w:szCs w:val="1"/>
                <w:color w:val="auto"/>
              </w:rPr>
            </w:pPr>
          </w:p>
        </w:tc>
        <w:tc>
          <w:tcPr>
            <w:tcW w:w="40" w:type="dxa"/>
            <w:vAlign w:val="bottom"/>
            <w:tcBorders>
              <w:top w:val="single" w:sz="8" w:color="E5E6E7"/>
            </w:tcBorders>
          </w:tcPr>
          <w:p>
            <w:pPr>
              <w:spacing w:after="0" w:line="20" w:lineRule="exact"/>
              <w:rPr>
                <w:sz w:val="1"/>
                <w:szCs w:val="1"/>
                <w:color w:val="auto"/>
              </w:rPr>
            </w:pPr>
          </w:p>
        </w:tc>
        <w:tc>
          <w:tcPr>
            <w:tcW w:w="500" w:type="dxa"/>
            <w:vAlign w:val="bottom"/>
            <w:tcBorders>
              <w:top w:val="single" w:sz="8" w:color="231F20"/>
              <w:bottom w:val="single" w:sz="8" w:color="231F20"/>
            </w:tcBorders>
            <w:gridSpan w:val="3"/>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660" w:type="dxa"/>
            <w:vAlign w:val="bottom"/>
            <w:tcBorders>
              <w:top w:val="single" w:sz="8" w:color="231F20"/>
              <w:bottom w:val="single" w:sz="8" w:color="231F20"/>
            </w:tcBorders>
            <w:gridSpan w:val="2"/>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500" w:type="dxa"/>
            <w:vAlign w:val="bottom"/>
            <w:tcBorders>
              <w:top w:val="single" w:sz="8" w:color="231F20"/>
              <w:bottom w:val="single" w:sz="8" w:color="231F20"/>
            </w:tcBorders>
            <w:gridSpan w:val="3"/>
          </w:tcPr>
          <w:p>
            <w:pPr>
              <w:spacing w:after="0" w:line="20" w:lineRule="exact"/>
              <w:rPr>
                <w:sz w:val="1"/>
                <w:szCs w:val="1"/>
                <w:color w:val="auto"/>
              </w:rPr>
            </w:pPr>
          </w:p>
        </w:tc>
        <w:tc>
          <w:tcPr>
            <w:tcW w:w="40" w:type="dxa"/>
            <w:vAlign w:val="bottom"/>
            <w:tcBorders>
              <w:top w:val="single" w:sz="8" w:color="E5E6E7"/>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500" w:type="dxa"/>
            <w:vAlign w:val="bottom"/>
            <w:tcBorders>
              <w:top w:val="single" w:sz="8" w:color="231F20"/>
              <w:bottom w:val="single" w:sz="8" w:color="231F20"/>
            </w:tcBorders>
            <w:gridSpan w:val="3"/>
          </w:tcPr>
          <w:p>
            <w:pPr>
              <w:spacing w:after="0" w:line="20" w:lineRule="exact"/>
              <w:rPr>
                <w:sz w:val="1"/>
                <w:szCs w:val="1"/>
                <w:color w:val="auto"/>
              </w:rPr>
            </w:pPr>
          </w:p>
        </w:tc>
        <w:tc>
          <w:tcPr>
            <w:tcW w:w="60" w:type="dxa"/>
            <w:vAlign w:val="bottom"/>
            <w:tcBorders>
              <w:top w:val="single" w:sz="8" w:color="E5E6E7"/>
            </w:tcBorders>
          </w:tcPr>
          <w:p>
            <w:pPr>
              <w:spacing w:after="0" w:line="20" w:lineRule="exact"/>
              <w:rPr>
                <w:sz w:val="1"/>
                <w:szCs w:val="1"/>
                <w:color w:val="auto"/>
              </w:rPr>
            </w:pPr>
          </w:p>
        </w:tc>
        <w:tc>
          <w:tcPr>
            <w:tcW w:w="580" w:type="dxa"/>
            <w:vAlign w:val="bottom"/>
            <w:tcBorders>
              <w:top w:val="single" w:sz="8" w:color="231F20"/>
              <w:bottom w:val="single" w:sz="8" w:color="231F20"/>
            </w:tcBorders>
            <w:gridSpan w:val="3"/>
          </w:tcPr>
          <w:p>
            <w:pPr>
              <w:spacing w:after="0" w:line="20" w:lineRule="exact"/>
              <w:rPr>
                <w:sz w:val="1"/>
                <w:szCs w:val="1"/>
                <w:color w:val="auto"/>
              </w:rPr>
            </w:pPr>
          </w:p>
        </w:tc>
        <w:tc>
          <w:tcPr>
            <w:tcW w:w="40" w:type="dxa"/>
            <w:vAlign w:val="bottom"/>
            <w:tcBorders>
              <w:top w:val="single" w:sz="8" w:color="E5E6E7"/>
            </w:tcBorders>
          </w:tcPr>
          <w:p>
            <w:pPr>
              <w:spacing w:after="0" w:line="20" w:lineRule="exact"/>
              <w:rPr>
                <w:sz w:val="1"/>
                <w:szCs w:val="1"/>
                <w:color w:val="auto"/>
              </w:rPr>
            </w:pPr>
          </w:p>
        </w:tc>
        <w:tc>
          <w:tcPr>
            <w:tcW w:w="580" w:type="dxa"/>
            <w:vAlign w:val="bottom"/>
            <w:tcBorders>
              <w:top w:val="single" w:sz="8" w:color="231F20"/>
              <w:bottom w:val="single" w:sz="8" w:color="231F20"/>
            </w:tcBorders>
            <w:gridSpan w:val="4"/>
          </w:tcPr>
          <w:p>
            <w:pPr>
              <w:spacing w:after="0" w:line="20" w:lineRule="exact"/>
              <w:rPr>
                <w:sz w:val="1"/>
                <w:szCs w:val="1"/>
                <w:color w:val="auto"/>
              </w:rPr>
            </w:pPr>
          </w:p>
        </w:tc>
        <w:tc>
          <w:tcPr>
            <w:tcW w:w="20" w:type="dxa"/>
            <w:vAlign w:val="bottom"/>
            <w:tcBorders>
              <w:top w:val="single" w:sz="8" w:color="E5E6E7"/>
            </w:tcBorders>
          </w:tcPr>
          <w:p>
            <w:pPr>
              <w:spacing w:after="0" w:line="20" w:lineRule="exact"/>
              <w:rPr>
                <w:sz w:val="1"/>
                <w:szCs w:val="1"/>
                <w:color w:val="auto"/>
              </w:rPr>
            </w:pPr>
          </w:p>
        </w:tc>
        <w:tc>
          <w:tcPr>
            <w:tcW w:w="780" w:type="dxa"/>
            <w:vAlign w:val="bottom"/>
            <w:tcBorders>
              <w:top w:val="single" w:sz="8" w:color="231F20"/>
              <w:bottom w:val="single" w:sz="8" w:color="231F20"/>
            </w:tcBorders>
            <w:gridSpan w:val="4"/>
          </w:tcPr>
          <w:p>
            <w:pPr>
              <w:spacing w:after="0" w:line="20" w:lineRule="exact"/>
              <w:rPr>
                <w:sz w:val="1"/>
                <w:szCs w:val="1"/>
                <w:color w:val="auto"/>
              </w:rPr>
            </w:pPr>
          </w:p>
        </w:tc>
        <w:tc>
          <w:tcPr>
            <w:tcW w:w="60" w:type="dxa"/>
            <w:vAlign w:val="bottom"/>
            <w:tcBorders>
              <w:top w:val="single" w:sz="8" w:color="E5E6E7"/>
            </w:tcBorders>
            <w:gridSpan w:val="2"/>
          </w:tcPr>
          <w:p>
            <w:pPr>
              <w:spacing w:after="0" w:line="20" w:lineRule="exact"/>
              <w:rPr>
                <w:sz w:val="1"/>
                <w:szCs w:val="1"/>
                <w:color w:val="auto"/>
              </w:rPr>
            </w:pPr>
          </w:p>
        </w:tc>
        <w:tc>
          <w:tcPr>
            <w:tcW w:w="820" w:type="dxa"/>
            <w:vAlign w:val="bottom"/>
            <w:tcBorders>
              <w:top w:val="single" w:sz="8" w:color="231F20"/>
              <w:bottom w:val="single" w:sz="8" w:color="231F20"/>
            </w:tcBorders>
            <w:gridSpan w:val="3"/>
          </w:tcPr>
          <w:p>
            <w:pPr>
              <w:spacing w:after="0" w:line="20" w:lineRule="exact"/>
              <w:rPr>
                <w:sz w:val="1"/>
                <w:szCs w:val="1"/>
                <w:color w:val="auto"/>
              </w:rPr>
            </w:pPr>
          </w:p>
        </w:tc>
        <w:tc>
          <w:tcPr>
            <w:tcW w:w="60" w:type="dxa"/>
            <w:vAlign w:val="bottom"/>
            <w:tcBorders>
              <w:top w:val="single" w:sz="8" w:color="E5E6E7"/>
            </w:tcBorders>
            <w:gridSpan w:val="2"/>
          </w:tcPr>
          <w:p>
            <w:pPr>
              <w:spacing w:after="0" w:line="20" w:lineRule="exact"/>
              <w:rPr>
                <w:sz w:val="1"/>
                <w:szCs w:val="1"/>
                <w:color w:val="auto"/>
              </w:rPr>
            </w:pPr>
          </w:p>
        </w:tc>
        <w:tc>
          <w:tcPr>
            <w:tcW w:w="900" w:type="dxa"/>
            <w:vAlign w:val="bottom"/>
            <w:tcBorders>
              <w:top w:val="single" w:sz="8" w:color="231F20"/>
              <w:bottom w:val="single" w:sz="8" w:color="231F20"/>
            </w:tcBorders>
            <w:gridSpan w:val="4"/>
          </w:tcPr>
          <w:p>
            <w:pPr>
              <w:spacing w:after="0" w:line="20" w:lineRule="exact"/>
              <w:rPr>
                <w:sz w:val="1"/>
                <w:szCs w:val="1"/>
                <w:color w:val="auto"/>
              </w:rPr>
            </w:pPr>
          </w:p>
        </w:tc>
        <w:tc>
          <w:tcPr>
            <w:tcW w:w="60" w:type="dxa"/>
            <w:vAlign w:val="bottom"/>
            <w:tcBorders>
              <w:top w:val="single" w:sz="8" w:color="E5E6E7"/>
            </w:tcBorders>
            <w:gridSpan w:val="2"/>
          </w:tcPr>
          <w:p>
            <w:pPr>
              <w:spacing w:after="0" w:line="20" w:lineRule="exact"/>
              <w:rPr>
                <w:sz w:val="1"/>
                <w:szCs w:val="1"/>
                <w:color w:val="auto"/>
              </w:rPr>
            </w:pPr>
          </w:p>
        </w:tc>
        <w:tc>
          <w:tcPr>
            <w:tcW w:w="820" w:type="dxa"/>
            <w:vAlign w:val="bottom"/>
            <w:tcBorders>
              <w:top w:val="single" w:sz="8" w:color="231F20"/>
              <w:bottom w:val="single" w:sz="8" w:color="231F20"/>
            </w:tcBorders>
            <w:gridSpan w:val="4"/>
          </w:tcPr>
          <w:p>
            <w:pPr>
              <w:spacing w:after="0" w:line="20" w:lineRule="exact"/>
              <w:rPr>
                <w:sz w:val="1"/>
                <w:szCs w:val="1"/>
                <w:color w:val="auto"/>
              </w:rPr>
            </w:pPr>
          </w:p>
        </w:tc>
        <w:tc>
          <w:tcPr>
            <w:tcW w:w="60" w:type="dxa"/>
            <w:vAlign w:val="bottom"/>
            <w:tcBorders>
              <w:top w:val="single" w:sz="8" w:color="E5E6E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-153035</wp:posOffset>
            </wp:positionV>
            <wp:extent cx="46355" cy="47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8">
                      <a:extLst>
                        <a:ext uri="{28A0092B-C50C-407E-A947-70E740481C1C}"/>
                      </a:extLst>
                    </a:blip>
                    <a:srcRect/>
                    <a:stretch>
                      <a:fillRect/>
                    </a:stretch>
                  </pic:blipFill>
                  <pic:spPr bwMode="auto">
                    <a:xfrm>
                      <a:off x="0" y="0"/>
                      <a:ext cx="46355"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5875020</wp:posOffset>
                </wp:positionH>
                <wp:positionV relativeFrom="paragraph">
                  <wp:posOffset>-124460</wp:posOffset>
                </wp:positionV>
                <wp:extent cx="2730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05" cy="4763"/>
                        </a:xfrm>
                        <a:prstGeom prst="line">
                          <a:avLst/>
                        </a:prstGeom>
                        <a:solidFill>
                          <a:srgbClr val="FFFFFF"/>
                        </a:solidFill>
                        <a:ln w="0">
                          <a:solidFill>
                            <a:srgbClr val="414142"/>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6pt,-9.7999pt" to="464.75pt,-9.7999pt" o:allowincell="f" strokecolor="#414142" strokeweight="0pt"/>
            </w:pict>
          </mc:Fallback>
        </mc:AlternateConten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5480" w:h="11880" w:orient="landscape"/>
          <w:cols w:equalWidth="0" w:num="1">
            <w:col w:w="14040"/>
          </w:cols>
          <w:pgMar w:left="720" w:top="760" w:right="72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144</w:t>
      </w:r>
    </w:p>
    <w:p>
      <w:pPr>
        <w:sectPr>
          <w:pgSz w:w="15480" w:h="11880" w:orient="landscape"/>
          <w:cols w:equalWidth="0" w:num="1">
            <w:col w:w="14040"/>
          </w:cols>
          <w:pgMar w:left="720" w:top="760" w:right="720" w:bottom="27"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0"/>
          <w:szCs w:val="20"/>
          <w:b w:val="1"/>
          <w:bCs w:val="1"/>
          <w:color w:val="231F20"/>
        </w:rPr>
        <w:t>Tempus AI,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REDEEMABLE CONVERTIBLE</w:t>
      </w:r>
    </w:p>
    <w:p>
      <w:pPr>
        <w:jc w:val="center"/>
        <w:spacing w:after="0"/>
        <w:rPr>
          <w:sz w:val="20"/>
          <w:szCs w:val="20"/>
          <w:color w:val="auto"/>
        </w:rPr>
      </w:pPr>
      <w:r>
        <w:rPr>
          <w:rFonts w:ascii="Times New Roman" w:cs="Times New Roman" w:eastAsia="Times New Roman" w:hAnsi="Times New Roman"/>
          <w:sz w:val="20"/>
          <w:szCs w:val="20"/>
          <w:b w:val="1"/>
          <w:bCs w:val="1"/>
          <w:color w:val="231F20"/>
        </w:rPr>
        <w:t>PREFERRED STOCK, COMMON STOCK AND STOCKHOLDERS’ EQUITY (DEFICIT)</w:t>
      </w: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9"/>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3"/>
        </w:trPr>
        <w:tc>
          <w:tcPr>
            <w:tcW w:w="4360" w:type="dxa"/>
            <w:vAlign w:val="bottom"/>
          </w:tcPr>
          <w:p>
            <w:pPr>
              <w:spacing w:after="0"/>
              <w:rPr>
                <w:sz w:val="14"/>
                <w:szCs w:val="14"/>
                <w:color w:val="auto"/>
              </w:rPr>
            </w:pPr>
          </w:p>
        </w:tc>
        <w:tc>
          <w:tcPr>
            <w:tcW w:w="92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1800" w:type="dxa"/>
            <w:vAlign w:val="bottom"/>
            <w:tcBorders>
              <w:bottom w:val="single" w:sz="8" w:color="231F20"/>
            </w:tcBorders>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231F20"/>
              </w:rPr>
              <w:t>Voting Common Stock</w:t>
            </w:r>
          </w:p>
        </w:tc>
        <w:tc>
          <w:tcPr>
            <w:tcW w:w="4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540" w:type="dxa"/>
            <w:vAlign w:val="bottom"/>
            <w:tcBorders>
              <w:bottom w:val="single" w:sz="8" w:color="231F20"/>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231F20"/>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231F20"/>
                <w:w w:val="97"/>
              </w:rPr>
              <w:t>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231F20"/>
              </w:rPr>
              <w:t>Total</w:t>
            </w:r>
          </w:p>
        </w:tc>
      </w:tr>
      <w:tr>
        <w:trPr>
          <w:trHeight w:val="148"/>
        </w:trPr>
        <w:tc>
          <w:tcPr>
            <w:tcW w:w="4360" w:type="dxa"/>
            <w:vAlign w:val="bottom"/>
          </w:tcPr>
          <w:p>
            <w:pPr>
              <w:spacing w:after="0"/>
              <w:rPr>
                <w:sz w:val="12"/>
                <w:szCs w:val="1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231F20"/>
              </w:rPr>
              <w:t>Class A</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231F20"/>
              </w:rPr>
              <w:t>Class B</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6"/>
          </w:tcPr>
          <w:p>
            <w:pPr>
              <w:jc w:val="right"/>
              <w:ind w:right="465"/>
              <w:spacing w:after="0"/>
              <w:rPr>
                <w:sz w:val="20"/>
                <w:szCs w:val="20"/>
                <w:color w:val="auto"/>
              </w:rPr>
            </w:pPr>
            <w:r>
              <w:rPr>
                <w:rFonts w:ascii="Times New Roman" w:cs="Times New Roman" w:eastAsia="Times New Roman" w:hAnsi="Times New Roman"/>
                <w:sz w:val="12"/>
                <w:szCs w:val="12"/>
                <w:b w:val="1"/>
                <w:bCs w:val="1"/>
                <w:color w:val="231F20"/>
              </w:rPr>
              <w:t>Treasury Stock</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ind w:right="395"/>
              <w:spacing w:after="0"/>
              <w:rPr>
                <w:sz w:val="20"/>
                <w:szCs w:val="20"/>
                <w:color w:val="auto"/>
              </w:rPr>
            </w:pPr>
            <w:r>
              <w:rPr>
                <w:rFonts w:ascii="Times New Roman" w:cs="Times New Roman" w:eastAsia="Times New Roman" w:hAnsi="Times New Roman"/>
                <w:sz w:val="12"/>
                <w:szCs w:val="12"/>
                <w:b w:val="1"/>
                <w:bCs w:val="1"/>
                <w:color w:val="231F20"/>
              </w:rPr>
              <w:t>Accumulated</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9"/>
              </w:rPr>
              <w:t>Comprehensive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231F20"/>
                <w:w w:val="99"/>
              </w:rPr>
              <w:t>Stockholders'</w:t>
            </w:r>
          </w:p>
        </w:tc>
      </w:tr>
      <w:tr>
        <w:trPr>
          <w:trHeight w:val="147"/>
        </w:trPr>
        <w:tc>
          <w:tcPr>
            <w:tcW w:w="4360" w:type="dxa"/>
            <w:vAlign w:val="bottom"/>
          </w:tcPr>
          <w:p>
            <w:pPr>
              <w:spacing w:after="0"/>
              <w:rPr>
                <w:sz w:val="12"/>
                <w:szCs w:val="12"/>
                <w:color w:val="auto"/>
              </w:rPr>
            </w:pPr>
          </w:p>
        </w:tc>
        <w:tc>
          <w:tcPr>
            <w:tcW w:w="980" w:type="dxa"/>
            <w:vAlign w:val="bottom"/>
            <w:tcBorders>
              <w:top w:val="single" w:sz="8" w:color="231F20"/>
            </w:tcBorders>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220" w:type="dxa"/>
            <w:vAlign w:val="bottom"/>
            <w:tcBorders>
              <w:top w:val="single" w:sz="8" w:color="231F20"/>
            </w:tcBorders>
          </w:tcPr>
          <w:p>
            <w:pPr>
              <w:spacing w:after="0"/>
              <w:rPr>
                <w:sz w:val="12"/>
                <w:szCs w:val="12"/>
                <w:color w:val="auto"/>
              </w:rPr>
            </w:pPr>
          </w:p>
        </w:tc>
        <w:tc>
          <w:tcPr>
            <w:tcW w:w="760" w:type="dxa"/>
            <w:vAlign w:val="bottom"/>
            <w:tcBorders>
              <w:top w:val="single" w:sz="8" w:color="231F20"/>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40" w:type="dxa"/>
            <w:vAlign w:val="bottom"/>
          </w:tcPr>
          <w:p>
            <w:pPr>
              <w:spacing w:after="0"/>
              <w:rPr>
                <w:sz w:val="12"/>
                <w:szCs w:val="12"/>
                <w:color w:val="auto"/>
              </w:rPr>
            </w:pPr>
          </w:p>
        </w:tc>
        <w:tc>
          <w:tcPr>
            <w:tcW w:w="780" w:type="dxa"/>
            <w:vAlign w:val="bottom"/>
            <w:tcBorders>
              <w:top w:val="single" w:sz="8" w:color="231F20"/>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40" w:type="dxa"/>
            <w:vAlign w:val="bottom"/>
            <w:tcBorders>
              <w:top w:val="single" w:sz="8" w:color="231F20"/>
            </w:tcBorders>
          </w:tcPr>
          <w:p>
            <w:pPr>
              <w:spacing w:after="0"/>
              <w:rPr>
                <w:sz w:val="12"/>
                <w:szCs w:val="12"/>
                <w:color w:val="auto"/>
              </w:rPr>
            </w:pPr>
          </w:p>
        </w:tc>
        <w:tc>
          <w:tcPr>
            <w:tcW w:w="120" w:type="dxa"/>
            <w:vAlign w:val="bottom"/>
            <w:tcBorders>
              <w:top w:val="single" w:sz="8" w:color="231F20"/>
            </w:tcBorders>
          </w:tcPr>
          <w:p>
            <w:pPr>
              <w:spacing w:after="0"/>
              <w:rPr>
                <w:sz w:val="12"/>
                <w:szCs w:val="12"/>
                <w:color w:val="auto"/>
              </w:rPr>
            </w:pPr>
          </w:p>
        </w:tc>
        <w:tc>
          <w:tcPr>
            <w:tcW w:w="540" w:type="dxa"/>
            <w:vAlign w:val="bottom"/>
            <w:tcBorders>
              <w:top w:val="single" w:sz="8" w:color="231F20"/>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231F20"/>
                <w:w w:val="95"/>
              </w:rPr>
              <w:t>Amount</w:t>
            </w:r>
          </w:p>
        </w:tc>
        <w:tc>
          <w:tcPr>
            <w:tcW w:w="40" w:type="dxa"/>
            <w:vAlign w:val="bottom"/>
          </w:tcPr>
          <w:p>
            <w:pPr>
              <w:spacing w:after="0"/>
              <w:rPr>
                <w:sz w:val="12"/>
                <w:szCs w:val="12"/>
                <w:color w:val="auto"/>
              </w:rPr>
            </w:pPr>
          </w:p>
        </w:tc>
        <w:tc>
          <w:tcPr>
            <w:tcW w:w="920" w:type="dxa"/>
            <w:vAlign w:val="bottom"/>
            <w:tcBorders>
              <w:top w:val="single" w:sz="8" w:color="231F20"/>
            </w:tcBorders>
            <w:gridSpan w:val="3"/>
          </w:tcPr>
          <w:p>
            <w:pPr>
              <w:jc w:val="right"/>
              <w:ind w:right="345"/>
              <w:spacing w:after="0"/>
              <w:rPr>
                <w:sz w:val="20"/>
                <w:szCs w:val="20"/>
                <w:color w:val="auto"/>
              </w:rPr>
            </w:pPr>
            <w:r>
              <w:rPr>
                <w:rFonts w:ascii="Times New Roman" w:cs="Times New Roman" w:eastAsia="Times New Roman" w:hAnsi="Times New Roman"/>
                <w:sz w:val="12"/>
                <w:szCs w:val="12"/>
                <w:b w:val="1"/>
                <w:bCs w:val="1"/>
                <w:color w:val="231F20"/>
              </w:rPr>
              <w:t>Units</w:t>
            </w:r>
          </w:p>
        </w:tc>
        <w:tc>
          <w:tcPr>
            <w:tcW w:w="560" w:type="dxa"/>
            <w:vAlign w:val="bottom"/>
            <w:tcBorders>
              <w:top w:val="single" w:sz="8" w:color="231F20"/>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231F20"/>
                <w:w w:val="99"/>
              </w:rPr>
              <w:t>Amount</w:t>
            </w:r>
          </w:p>
        </w:tc>
        <w:tc>
          <w:tcPr>
            <w:tcW w:w="160" w:type="dxa"/>
            <w:vAlign w:val="bottom"/>
            <w:gridSpan w:val="2"/>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231F20"/>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ind w:right="575"/>
              <w:spacing w:after="0"/>
              <w:rPr>
                <w:sz w:val="20"/>
                <w:szCs w:val="20"/>
                <w:color w:val="auto"/>
              </w:rPr>
            </w:pPr>
            <w:r>
              <w:rPr>
                <w:rFonts w:ascii="Times New Roman" w:cs="Times New Roman" w:eastAsia="Times New Roman" w:hAnsi="Times New Roman"/>
                <w:sz w:val="12"/>
                <w:szCs w:val="12"/>
                <w:b w:val="1"/>
                <w:bCs w:val="1"/>
                <w:color w:val="231F20"/>
              </w:rPr>
              <w:t>Deficit</w:t>
            </w: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231F20"/>
                <w:w w:val="99"/>
              </w:rPr>
              <w:t>(Loss) Income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231F20"/>
                <w:w w:val="97"/>
              </w:rPr>
              <w:t>Equity</w:t>
            </w:r>
          </w:p>
        </w:tc>
      </w:tr>
      <w:tr>
        <w:trPr>
          <w:trHeight w:val="147"/>
        </w:trPr>
        <w:tc>
          <w:tcPr>
            <w:tcW w:w="43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12"/>
                <w:szCs w:val="12"/>
                <w:b w:val="1"/>
                <w:bCs w:val="1"/>
                <w:color w:val="414142"/>
              </w:rPr>
              <w:t>Balance at December 31, 2024</w:t>
            </w:r>
          </w:p>
        </w:tc>
        <w:tc>
          <w:tcPr>
            <w:tcW w:w="9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157,076,972</w:t>
            </w:r>
          </w:p>
        </w:tc>
        <w:tc>
          <w:tcPr>
            <w:tcW w:w="60" w:type="dxa"/>
            <w:vAlign w:val="bottom"/>
            <w:tcBorders>
              <w:top w:val="single" w:sz="8" w:color="E5E6E7"/>
            </w:tcBorders>
            <w:shd w:val="clear" w:color="auto" w:fill="E5E6E7"/>
          </w:tcPr>
          <w:p>
            <w:pPr>
              <w:spacing w:after="0"/>
              <w:rPr>
                <w:sz w:val="12"/>
                <w:szCs w:val="12"/>
                <w:color w:val="auto"/>
              </w:rPr>
            </w:pPr>
          </w:p>
        </w:tc>
        <w:tc>
          <w:tcPr>
            <w:tcW w:w="220" w:type="dxa"/>
            <w:vAlign w:val="bottom"/>
            <w:tcBorders>
              <w:top w:val="single" w:sz="8" w:color="231F20"/>
            </w:tcBorders>
            <w:shd w:val="clear" w:color="auto" w:fill="E5E6E7"/>
          </w:tcPr>
          <w:p>
            <w:pPr>
              <w:jc w:val="right"/>
              <w:ind w:right="103"/>
              <w:spacing w:after="0"/>
              <w:rPr>
                <w:sz w:val="20"/>
                <w:szCs w:val="20"/>
                <w:color w:val="auto"/>
              </w:rPr>
            </w:pPr>
            <w:r>
              <w:rPr>
                <w:rFonts w:ascii="Times New Roman" w:cs="Times New Roman" w:eastAsia="Times New Roman" w:hAnsi="Times New Roman"/>
                <w:sz w:val="11"/>
                <w:szCs w:val="11"/>
                <w:color w:val="414142"/>
                <w:w w:val="71"/>
              </w:rPr>
              <w:t>$</w:t>
            </w:r>
          </w:p>
        </w:tc>
        <w:tc>
          <w:tcPr>
            <w:tcW w:w="7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16</w:t>
            </w:r>
          </w:p>
        </w:tc>
        <w:tc>
          <w:tcPr>
            <w:tcW w:w="40" w:type="dxa"/>
            <w:vAlign w:val="bottom"/>
            <w:tcBorders>
              <w:top w:val="single" w:sz="8" w:color="E5E6E7"/>
            </w:tcBorders>
            <w:shd w:val="clear" w:color="auto" w:fill="E5E6E7"/>
          </w:tcPr>
          <w:p>
            <w:pPr>
              <w:spacing w:after="0"/>
              <w:rPr>
                <w:sz w:val="12"/>
                <w:szCs w:val="12"/>
                <w:color w:val="auto"/>
              </w:rPr>
            </w:pPr>
          </w:p>
        </w:tc>
        <w:tc>
          <w:tcPr>
            <w:tcW w:w="7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5,043,789</w:t>
            </w:r>
          </w:p>
        </w:tc>
        <w:tc>
          <w:tcPr>
            <w:tcW w:w="40" w:type="dxa"/>
            <w:vAlign w:val="bottom"/>
            <w:tcBorders>
              <w:top w:val="single" w:sz="8" w:color="E5E6E7"/>
            </w:tcBorders>
            <w:shd w:val="clear" w:color="auto" w:fill="E5E6E7"/>
          </w:tcPr>
          <w:p>
            <w:pPr>
              <w:spacing w:after="0"/>
              <w:rPr>
                <w:sz w:val="12"/>
                <w:szCs w:val="12"/>
                <w:color w:val="auto"/>
              </w:rPr>
            </w:pPr>
          </w:p>
        </w:tc>
        <w:tc>
          <w:tcPr>
            <w:tcW w:w="120" w:type="dxa"/>
            <w:vAlign w:val="bottom"/>
            <w:tcBorders>
              <w:top w:val="single" w:sz="8" w:color="231F20"/>
            </w:tcBorders>
            <w:shd w:val="clear" w:color="auto" w:fill="E5E6E7"/>
          </w:tcPr>
          <w:p>
            <w:pPr>
              <w:jc w:val="right"/>
              <w:ind w:right="5"/>
              <w:spacing w:after="0"/>
              <w:rPr>
                <w:sz w:val="20"/>
                <w:szCs w:val="20"/>
                <w:color w:val="auto"/>
              </w:rPr>
            </w:pPr>
            <w:r>
              <w:rPr>
                <w:rFonts w:ascii="Times New Roman" w:cs="Times New Roman" w:eastAsia="Times New Roman" w:hAnsi="Times New Roman"/>
                <w:sz w:val="11"/>
                <w:szCs w:val="11"/>
                <w:color w:val="414142"/>
                <w:w w:val="71"/>
              </w:rPr>
              <w:t>$</w:t>
            </w:r>
          </w:p>
        </w:tc>
        <w:tc>
          <w:tcPr>
            <w:tcW w:w="5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w:t>
            </w:r>
          </w:p>
        </w:tc>
        <w:tc>
          <w:tcPr>
            <w:tcW w:w="40" w:type="dxa"/>
            <w:vAlign w:val="bottom"/>
            <w:tcBorders>
              <w:top w:val="single" w:sz="8" w:color="E5E6E7"/>
            </w:tcBorders>
            <w:shd w:val="clear" w:color="auto" w:fill="E5E6E7"/>
          </w:tcPr>
          <w:p>
            <w:pPr>
              <w:spacing w:after="0"/>
              <w:rPr>
                <w:sz w:val="12"/>
                <w:szCs w:val="12"/>
                <w:color w:val="auto"/>
              </w:rPr>
            </w:pPr>
          </w:p>
        </w:tc>
        <w:tc>
          <w:tcPr>
            <w:tcW w:w="7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(145,466</w:t>
            </w:r>
          </w:p>
        </w:tc>
        <w:tc>
          <w:tcPr>
            <w:tcW w:w="6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8"/>
                <w:szCs w:val="8"/>
                <w:color w:val="414142"/>
                <w:w w:val="73"/>
              </w:rPr>
              <w:t>)</w:t>
            </w:r>
          </w:p>
        </w:tc>
        <w:tc>
          <w:tcPr>
            <w:tcW w:w="1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414142"/>
                <w:w w:val="71"/>
              </w:rPr>
              <w:t>$</w:t>
            </w:r>
          </w:p>
        </w:tc>
        <w:tc>
          <w:tcPr>
            <w:tcW w:w="5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(3,602</w:t>
            </w:r>
          </w:p>
        </w:tc>
        <w:tc>
          <w:tcPr>
            <w:tcW w:w="6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8"/>
                <w:szCs w:val="8"/>
                <w:color w:val="414142"/>
                <w:w w:val="73"/>
              </w:rPr>
              <w:t>)</w:t>
            </w:r>
          </w:p>
        </w:tc>
        <w:tc>
          <w:tcPr>
            <w:tcW w:w="100" w:type="dxa"/>
            <w:vAlign w:val="bottom"/>
            <w:tcBorders>
              <w:top w:val="single" w:sz="8" w:color="231F20"/>
            </w:tcBorders>
            <w:shd w:val="clear" w:color="auto" w:fill="E5E6E7"/>
          </w:tcPr>
          <w:p>
            <w:pPr>
              <w:spacing w:after="0"/>
              <w:rPr>
                <w:sz w:val="12"/>
                <w:szCs w:val="12"/>
                <w:color w:val="auto"/>
              </w:rPr>
            </w:pPr>
          </w:p>
        </w:tc>
        <w:tc>
          <w:tcPr>
            <w:tcW w:w="7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2,210,664</w:t>
            </w:r>
          </w:p>
        </w:tc>
        <w:tc>
          <w:tcPr>
            <w:tcW w:w="6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E5E6E7"/>
            </w:tcBorders>
            <w:shd w:val="clear" w:color="auto" w:fill="E5E6E7"/>
          </w:tcPr>
          <w:p>
            <w:pPr>
              <w:spacing w:after="0"/>
              <w:rPr>
                <w:sz w:val="12"/>
                <w:szCs w:val="12"/>
                <w:color w:val="auto"/>
              </w:rPr>
            </w:pPr>
          </w:p>
        </w:tc>
        <w:tc>
          <w:tcPr>
            <w:tcW w:w="100" w:type="dxa"/>
            <w:vAlign w:val="bottom"/>
            <w:tcBorders>
              <w:top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14142"/>
                <w:w w:val="78"/>
              </w:rPr>
              <w:t>$</w:t>
            </w:r>
          </w:p>
        </w:tc>
        <w:tc>
          <w:tcPr>
            <w:tcW w:w="9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(2,150,834</w:t>
            </w:r>
          </w:p>
        </w:tc>
        <w:tc>
          <w:tcPr>
            <w:tcW w:w="4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8"/>
                <w:szCs w:val="8"/>
                <w:color w:val="414142"/>
                <w:w w:val="73"/>
              </w:rPr>
              <w:t>)</w:t>
            </w:r>
          </w:p>
        </w:tc>
        <w:tc>
          <w:tcPr>
            <w:tcW w:w="20" w:type="dxa"/>
            <w:vAlign w:val="bottom"/>
            <w:tcBorders>
              <w:top w:val="single" w:sz="8" w:color="E5E6E7"/>
            </w:tcBorders>
            <w:shd w:val="clear" w:color="auto" w:fill="E5E6E7"/>
          </w:tcPr>
          <w:p>
            <w:pPr>
              <w:spacing w:after="0"/>
              <w:rPr>
                <w:sz w:val="12"/>
                <w:szCs w:val="12"/>
                <w:color w:val="auto"/>
              </w:rPr>
            </w:pPr>
          </w:p>
        </w:tc>
        <w:tc>
          <w:tcPr>
            <w:tcW w:w="160" w:type="dxa"/>
            <w:vAlign w:val="bottom"/>
            <w:tcBorders>
              <w:top w:val="single" w:sz="8" w:color="231F20"/>
            </w:tcBorders>
            <w:shd w:val="clear" w:color="auto" w:fill="E5E6E7"/>
          </w:tcPr>
          <w:p>
            <w:pPr>
              <w:jc w:val="right"/>
              <w:ind w:right="95"/>
              <w:spacing w:after="0"/>
              <w:rPr>
                <w:sz w:val="20"/>
                <w:szCs w:val="20"/>
                <w:color w:val="auto"/>
              </w:rPr>
            </w:pPr>
            <w:r>
              <w:rPr>
                <w:rFonts w:ascii="Times New Roman" w:cs="Times New Roman" w:eastAsia="Times New Roman" w:hAnsi="Times New Roman"/>
                <w:sz w:val="5"/>
                <w:szCs w:val="5"/>
                <w:color w:val="414142"/>
                <w:w w:val="78"/>
              </w:rPr>
              <w:t>$</w:t>
            </w:r>
          </w:p>
        </w:tc>
        <w:tc>
          <w:tcPr>
            <w:tcW w:w="12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94</w:t>
            </w:r>
          </w:p>
        </w:tc>
        <w:tc>
          <w:tcPr>
            <w:tcW w:w="4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E5E6E7"/>
            </w:tcBorders>
            <w:shd w:val="clear" w:color="auto" w:fill="E5E6E7"/>
          </w:tcPr>
          <w:p>
            <w:pPr>
              <w:spacing w:after="0"/>
              <w:rPr>
                <w:sz w:val="12"/>
                <w:szCs w:val="12"/>
                <w:color w:val="auto"/>
              </w:rPr>
            </w:pPr>
          </w:p>
        </w:tc>
        <w:tc>
          <w:tcPr>
            <w:tcW w:w="100" w:type="dxa"/>
            <w:vAlign w:val="bottom"/>
            <w:tcBorders>
              <w:top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14142"/>
                <w:w w:val="78"/>
              </w:rPr>
              <w:t>$</w:t>
            </w:r>
          </w:p>
        </w:tc>
        <w:tc>
          <w:tcPr>
            <w:tcW w:w="9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56,339</w:t>
            </w:r>
          </w:p>
        </w:tc>
        <w:tc>
          <w:tcPr>
            <w:tcW w:w="60" w:type="dxa"/>
            <w:vAlign w:val="bottom"/>
            <w:tcBorders>
              <w:top w:val="single" w:sz="8" w:color="E5E6E7"/>
            </w:tcBorders>
            <w:shd w:val="clear" w:color="auto" w:fill="E5E6E7"/>
          </w:tcPr>
          <w:p>
            <w:pPr>
              <w:spacing w:after="0"/>
              <w:rPr>
                <w:sz w:val="12"/>
                <w:szCs w:val="12"/>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231F20"/>
              </w:rPr>
              <w:t>Issuance of common stock upon settlement of restricted stock units,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7,497,808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w:t>
            </w: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231F20"/>
                <w:w w:val="98"/>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3"/>
                <w:szCs w:val="13"/>
                <w:color w:val="auto"/>
              </w:rPr>
            </w:pPr>
          </w:p>
        </w:tc>
      </w:tr>
      <w:tr>
        <w:trPr>
          <w:trHeight w:val="126"/>
        </w:trPr>
        <w:tc>
          <w:tcPr>
            <w:tcW w:w="4360" w:type="dxa"/>
            <w:vAlign w:val="bottom"/>
            <w:shd w:val="clear" w:color="auto" w:fill="E5E6E7"/>
          </w:tcPr>
          <w:p>
            <w:pPr>
              <w:spacing w:after="0" w:line="126" w:lineRule="exact"/>
              <w:rPr>
                <w:sz w:val="20"/>
                <w:szCs w:val="20"/>
                <w:color w:val="auto"/>
              </w:rPr>
            </w:pPr>
            <w:r>
              <w:rPr>
                <w:rFonts w:ascii="Times New Roman" w:cs="Times New Roman" w:eastAsia="Times New Roman" w:hAnsi="Times New Roman"/>
                <w:sz w:val="12"/>
                <w:szCs w:val="12"/>
                <w:color w:val="414142"/>
              </w:rPr>
              <w:t>Issuance of common stock in connection with At the Market offering, net</w:t>
            </w:r>
          </w:p>
        </w:tc>
        <w:tc>
          <w:tcPr>
            <w:tcW w:w="920" w:type="dxa"/>
            <w:vAlign w:val="bottom"/>
            <w:shd w:val="clear" w:color="auto" w:fill="E5E6E7"/>
          </w:tcPr>
          <w:p>
            <w:pPr>
              <w:spacing w:after="0"/>
              <w:rPr>
                <w:sz w:val="10"/>
                <w:szCs w:val="10"/>
                <w:color w:val="auto"/>
              </w:rPr>
            </w:pPr>
          </w:p>
        </w:tc>
        <w:tc>
          <w:tcPr>
            <w:tcW w:w="60" w:type="dxa"/>
            <w:vAlign w:val="bottom"/>
            <w:shd w:val="clear" w:color="auto" w:fill="E5E6E7"/>
          </w:tcPr>
          <w:p>
            <w:pPr>
              <w:spacing w:after="0"/>
              <w:rPr>
                <w:sz w:val="10"/>
                <w:szCs w:val="10"/>
                <w:color w:val="auto"/>
              </w:rPr>
            </w:pPr>
          </w:p>
        </w:tc>
        <w:tc>
          <w:tcPr>
            <w:tcW w:w="220" w:type="dxa"/>
            <w:vAlign w:val="bottom"/>
            <w:shd w:val="clear" w:color="auto" w:fill="E5E6E7"/>
          </w:tcPr>
          <w:p>
            <w:pPr>
              <w:spacing w:after="0"/>
              <w:rPr>
                <w:sz w:val="10"/>
                <w:szCs w:val="10"/>
                <w:color w:val="auto"/>
              </w:rPr>
            </w:pPr>
          </w:p>
        </w:tc>
        <w:tc>
          <w:tcPr>
            <w:tcW w:w="760" w:type="dxa"/>
            <w:vAlign w:val="bottom"/>
            <w:shd w:val="clear" w:color="auto" w:fill="E5E6E7"/>
          </w:tcPr>
          <w:p>
            <w:pPr>
              <w:spacing w:after="0"/>
              <w:rPr>
                <w:sz w:val="10"/>
                <w:szCs w:val="10"/>
                <w:color w:val="auto"/>
              </w:rPr>
            </w:pPr>
          </w:p>
        </w:tc>
        <w:tc>
          <w:tcPr>
            <w:tcW w:w="40" w:type="dxa"/>
            <w:vAlign w:val="bottom"/>
            <w:shd w:val="clear" w:color="auto" w:fill="E5E6E7"/>
          </w:tcPr>
          <w:p>
            <w:pPr>
              <w:spacing w:after="0"/>
              <w:rPr>
                <w:sz w:val="10"/>
                <w:szCs w:val="10"/>
                <w:color w:val="auto"/>
              </w:rPr>
            </w:pPr>
          </w:p>
        </w:tc>
        <w:tc>
          <w:tcPr>
            <w:tcW w:w="780" w:type="dxa"/>
            <w:vAlign w:val="bottom"/>
            <w:shd w:val="clear" w:color="auto" w:fill="E5E6E7"/>
          </w:tcPr>
          <w:p>
            <w:pPr>
              <w:spacing w:after="0"/>
              <w:rPr>
                <w:sz w:val="10"/>
                <w:szCs w:val="10"/>
                <w:color w:val="auto"/>
              </w:rPr>
            </w:pPr>
          </w:p>
        </w:tc>
        <w:tc>
          <w:tcPr>
            <w:tcW w:w="40" w:type="dxa"/>
            <w:vAlign w:val="bottom"/>
            <w:shd w:val="clear" w:color="auto" w:fill="E5E6E7"/>
          </w:tcPr>
          <w:p>
            <w:pPr>
              <w:spacing w:after="0"/>
              <w:rPr>
                <w:sz w:val="10"/>
                <w:szCs w:val="10"/>
                <w:color w:val="auto"/>
              </w:rPr>
            </w:pPr>
          </w:p>
        </w:tc>
        <w:tc>
          <w:tcPr>
            <w:tcW w:w="120" w:type="dxa"/>
            <w:vAlign w:val="bottom"/>
            <w:shd w:val="clear" w:color="auto" w:fill="E5E6E7"/>
          </w:tcPr>
          <w:p>
            <w:pPr>
              <w:spacing w:after="0"/>
              <w:rPr>
                <w:sz w:val="10"/>
                <w:szCs w:val="10"/>
                <w:color w:val="auto"/>
              </w:rPr>
            </w:pPr>
          </w:p>
        </w:tc>
        <w:tc>
          <w:tcPr>
            <w:tcW w:w="540" w:type="dxa"/>
            <w:vAlign w:val="bottom"/>
            <w:shd w:val="clear" w:color="auto" w:fill="E5E6E7"/>
          </w:tcPr>
          <w:p>
            <w:pPr>
              <w:spacing w:after="0"/>
              <w:rPr>
                <w:sz w:val="10"/>
                <w:szCs w:val="10"/>
                <w:color w:val="auto"/>
              </w:rPr>
            </w:pPr>
          </w:p>
        </w:tc>
        <w:tc>
          <w:tcPr>
            <w:tcW w:w="40" w:type="dxa"/>
            <w:vAlign w:val="bottom"/>
            <w:shd w:val="clear" w:color="auto" w:fill="E5E6E7"/>
          </w:tcPr>
          <w:p>
            <w:pPr>
              <w:spacing w:after="0"/>
              <w:rPr>
                <w:sz w:val="10"/>
                <w:szCs w:val="10"/>
                <w:color w:val="auto"/>
              </w:rPr>
            </w:pPr>
          </w:p>
        </w:tc>
        <w:tc>
          <w:tcPr>
            <w:tcW w:w="760" w:type="dxa"/>
            <w:vAlign w:val="bottom"/>
            <w:shd w:val="clear" w:color="auto" w:fill="E5E6E7"/>
          </w:tcPr>
          <w:p>
            <w:pPr>
              <w:spacing w:after="0"/>
              <w:rPr>
                <w:sz w:val="10"/>
                <w:szCs w:val="10"/>
                <w:color w:val="auto"/>
              </w:rPr>
            </w:pPr>
          </w:p>
        </w:tc>
        <w:tc>
          <w:tcPr>
            <w:tcW w:w="60" w:type="dxa"/>
            <w:vAlign w:val="bottom"/>
            <w:shd w:val="clear" w:color="auto" w:fill="E5E6E7"/>
          </w:tcPr>
          <w:p>
            <w:pPr>
              <w:spacing w:after="0"/>
              <w:rPr>
                <w:sz w:val="10"/>
                <w:szCs w:val="10"/>
                <w:color w:val="auto"/>
              </w:rPr>
            </w:pPr>
          </w:p>
        </w:tc>
        <w:tc>
          <w:tcPr>
            <w:tcW w:w="100" w:type="dxa"/>
            <w:vAlign w:val="bottom"/>
            <w:shd w:val="clear" w:color="auto" w:fill="E5E6E7"/>
          </w:tcPr>
          <w:p>
            <w:pPr>
              <w:spacing w:after="0"/>
              <w:rPr>
                <w:sz w:val="10"/>
                <w:szCs w:val="10"/>
                <w:color w:val="auto"/>
              </w:rPr>
            </w:pPr>
          </w:p>
        </w:tc>
        <w:tc>
          <w:tcPr>
            <w:tcW w:w="560" w:type="dxa"/>
            <w:vAlign w:val="bottom"/>
            <w:shd w:val="clear" w:color="auto" w:fill="E5E6E7"/>
          </w:tcPr>
          <w:p>
            <w:pPr>
              <w:spacing w:after="0"/>
              <w:rPr>
                <w:sz w:val="10"/>
                <w:szCs w:val="10"/>
                <w:color w:val="auto"/>
              </w:rPr>
            </w:pPr>
          </w:p>
        </w:tc>
        <w:tc>
          <w:tcPr>
            <w:tcW w:w="60" w:type="dxa"/>
            <w:vAlign w:val="bottom"/>
            <w:shd w:val="clear" w:color="auto" w:fill="E5E6E7"/>
          </w:tcPr>
          <w:p>
            <w:pPr>
              <w:spacing w:after="0"/>
              <w:rPr>
                <w:sz w:val="10"/>
                <w:szCs w:val="10"/>
                <w:color w:val="auto"/>
              </w:rPr>
            </w:pPr>
          </w:p>
        </w:tc>
        <w:tc>
          <w:tcPr>
            <w:tcW w:w="100" w:type="dxa"/>
            <w:vAlign w:val="bottom"/>
            <w:shd w:val="clear" w:color="auto" w:fill="E5E6E7"/>
          </w:tcPr>
          <w:p>
            <w:pPr>
              <w:spacing w:after="0"/>
              <w:rPr>
                <w:sz w:val="10"/>
                <w:szCs w:val="10"/>
                <w:color w:val="auto"/>
              </w:rPr>
            </w:pPr>
          </w:p>
        </w:tc>
        <w:tc>
          <w:tcPr>
            <w:tcW w:w="780" w:type="dxa"/>
            <w:vAlign w:val="bottom"/>
            <w:shd w:val="clear" w:color="auto" w:fill="E5E6E7"/>
          </w:tcPr>
          <w:p>
            <w:pPr>
              <w:spacing w:after="0"/>
              <w:rPr>
                <w:sz w:val="10"/>
                <w:szCs w:val="10"/>
                <w:color w:val="auto"/>
              </w:rPr>
            </w:pPr>
          </w:p>
        </w:tc>
        <w:tc>
          <w:tcPr>
            <w:tcW w:w="60" w:type="dxa"/>
            <w:vAlign w:val="bottom"/>
            <w:shd w:val="clear" w:color="auto" w:fill="E5E6E7"/>
          </w:tcPr>
          <w:p>
            <w:pPr>
              <w:spacing w:after="0"/>
              <w:rPr>
                <w:sz w:val="10"/>
                <w:szCs w:val="10"/>
                <w:color w:val="auto"/>
              </w:rPr>
            </w:pPr>
          </w:p>
        </w:tc>
        <w:tc>
          <w:tcPr>
            <w:tcW w:w="20" w:type="dxa"/>
            <w:vAlign w:val="bottom"/>
            <w:shd w:val="clear" w:color="auto" w:fill="E5E6E7"/>
          </w:tcPr>
          <w:p>
            <w:pPr>
              <w:spacing w:after="0"/>
              <w:rPr>
                <w:sz w:val="10"/>
                <w:szCs w:val="10"/>
                <w:color w:val="auto"/>
              </w:rPr>
            </w:pPr>
          </w:p>
        </w:tc>
        <w:tc>
          <w:tcPr>
            <w:tcW w:w="100" w:type="dxa"/>
            <w:vAlign w:val="bottom"/>
            <w:shd w:val="clear" w:color="auto" w:fill="E5E6E7"/>
          </w:tcPr>
          <w:p>
            <w:pPr>
              <w:spacing w:after="0"/>
              <w:rPr>
                <w:sz w:val="10"/>
                <w:szCs w:val="10"/>
                <w:color w:val="auto"/>
              </w:rPr>
            </w:pPr>
          </w:p>
        </w:tc>
        <w:tc>
          <w:tcPr>
            <w:tcW w:w="960" w:type="dxa"/>
            <w:vAlign w:val="bottom"/>
            <w:shd w:val="clear" w:color="auto" w:fill="E5E6E7"/>
          </w:tcPr>
          <w:p>
            <w:pPr>
              <w:spacing w:after="0"/>
              <w:rPr>
                <w:sz w:val="10"/>
                <w:szCs w:val="10"/>
                <w:color w:val="auto"/>
              </w:rPr>
            </w:pPr>
          </w:p>
        </w:tc>
        <w:tc>
          <w:tcPr>
            <w:tcW w:w="40" w:type="dxa"/>
            <w:vAlign w:val="bottom"/>
            <w:shd w:val="clear" w:color="auto" w:fill="E5E6E7"/>
          </w:tcPr>
          <w:p>
            <w:pPr>
              <w:spacing w:after="0"/>
              <w:rPr>
                <w:sz w:val="10"/>
                <w:szCs w:val="10"/>
                <w:color w:val="auto"/>
              </w:rPr>
            </w:pPr>
          </w:p>
        </w:tc>
        <w:tc>
          <w:tcPr>
            <w:tcW w:w="20" w:type="dxa"/>
            <w:vAlign w:val="bottom"/>
            <w:shd w:val="clear" w:color="auto" w:fill="E5E6E7"/>
          </w:tcPr>
          <w:p>
            <w:pPr>
              <w:spacing w:after="0"/>
              <w:rPr>
                <w:sz w:val="10"/>
                <w:szCs w:val="10"/>
                <w:color w:val="auto"/>
              </w:rPr>
            </w:pPr>
          </w:p>
        </w:tc>
        <w:tc>
          <w:tcPr>
            <w:tcW w:w="160" w:type="dxa"/>
            <w:vAlign w:val="bottom"/>
            <w:shd w:val="clear" w:color="auto" w:fill="E5E6E7"/>
          </w:tcPr>
          <w:p>
            <w:pPr>
              <w:spacing w:after="0"/>
              <w:rPr>
                <w:sz w:val="10"/>
                <w:szCs w:val="10"/>
                <w:color w:val="auto"/>
              </w:rPr>
            </w:pPr>
          </w:p>
        </w:tc>
        <w:tc>
          <w:tcPr>
            <w:tcW w:w="1220" w:type="dxa"/>
            <w:vAlign w:val="bottom"/>
            <w:shd w:val="clear" w:color="auto" w:fill="E5E6E7"/>
          </w:tcPr>
          <w:p>
            <w:pPr>
              <w:spacing w:after="0"/>
              <w:rPr>
                <w:sz w:val="10"/>
                <w:szCs w:val="10"/>
                <w:color w:val="auto"/>
              </w:rPr>
            </w:pPr>
          </w:p>
        </w:tc>
        <w:tc>
          <w:tcPr>
            <w:tcW w:w="40" w:type="dxa"/>
            <w:vAlign w:val="bottom"/>
            <w:shd w:val="clear" w:color="auto" w:fill="E5E6E7"/>
          </w:tcPr>
          <w:p>
            <w:pPr>
              <w:spacing w:after="0"/>
              <w:rPr>
                <w:sz w:val="10"/>
                <w:szCs w:val="10"/>
                <w:color w:val="auto"/>
              </w:rPr>
            </w:pPr>
          </w:p>
        </w:tc>
        <w:tc>
          <w:tcPr>
            <w:tcW w:w="20" w:type="dxa"/>
            <w:vAlign w:val="bottom"/>
            <w:shd w:val="clear" w:color="auto" w:fill="E5E6E7"/>
          </w:tcPr>
          <w:p>
            <w:pPr>
              <w:spacing w:after="0"/>
              <w:rPr>
                <w:sz w:val="10"/>
                <w:szCs w:val="10"/>
                <w:color w:val="auto"/>
              </w:rPr>
            </w:pPr>
          </w:p>
        </w:tc>
        <w:tc>
          <w:tcPr>
            <w:tcW w:w="100" w:type="dxa"/>
            <w:vAlign w:val="bottom"/>
            <w:shd w:val="clear" w:color="auto" w:fill="E5E6E7"/>
          </w:tcPr>
          <w:p>
            <w:pPr>
              <w:spacing w:after="0"/>
              <w:rPr>
                <w:sz w:val="10"/>
                <w:szCs w:val="10"/>
                <w:color w:val="auto"/>
              </w:rPr>
            </w:pPr>
          </w:p>
        </w:tc>
        <w:tc>
          <w:tcPr>
            <w:tcW w:w="940" w:type="dxa"/>
            <w:vAlign w:val="bottom"/>
            <w:shd w:val="clear" w:color="auto" w:fill="E5E6E7"/>
          </w:tcPr>
          <w:p>
            <w:pPr>
              <w:spacing w:after="0"/>
              <w:rPr>
                <w:sz w:val="10"/>
                <w:szCs w:val="10"/>
                <w:color w:val="auto"/>
              </w:rPr>
            </w:pPr>
          </w:p>
        </w:tc>
        <w:tc>
          <w:tcPr>
            <w:tcW w:w="60" w:type="dxa"/>
            <w:vAlign w:val="bottom"/>
            <w:shd w:val="clear" w:color="auto" w:fill="E5E6E7"/>
          </w:tcPr>
          <w:p>
            <w:pPr>
              <w:spacing w:after="0"/>
              <w:rPr>
                <w:sz w:val="10"/>
                <w:szCs w:val="10"/>
                <w:color w:val="auto"/>
              </w:rPr>
            </w:pPr>
          </w:p>
        </w:tc>
      </w:tr>
      <w:tr>
        <w:trPr>
          <w:trHeight w:val="164"/>
        </w:trPr>
        <w:tc>
          <w:tcPr>
            <w:tcW w:w="4360" w:type="dxa"/>
            <w:vAlign w:val="bottom"/>
            <w:shd w:val="clear" w:color="auto" w:fill="E5E6E7"/>
          </w:tcPr>
          <w:p>
            <w:pPr>
              <w:spacing w:after="0"/>
              <w:rPr>
                <w:sz w:val="20"/>
                <w:szCs w:val="20"/>
                <w:color w:val="auto"/>
              </w:rPr>
            </w:pPr>
            <w:r>
              <w:rPr>
                <w:rFonts w:ascii="Times New Roman" w:cs="Times New Roman" w:eastAsia="Times New Roman" w:hAnsi="Times New Roman"/>
                <w:sz w:val="12"/>
                <w:szCs w:val="12"/>
                <w:color w:val="414142"/>
              </w:rPr>
              <w:t>of offering costs and commissions</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2,381,895</w:t>
            </w:r>
          </w:p>
        </w:tc>
        <w:tc>
          <w:tcPr>
            <w:tcW w:w="60" w:type="dxa"/>
            <w:vAlign w:val="bottom"/>
            <w:shd w:val="clear" w:color="auto" w:fill="E5E6E7"/>
          </w:tcPr>
          <w:p>
            <w:pPr>
              <w:spacing w:after="0"/>
              <w:rPr>
                <w:sz w:val="14"/>
                <w:szCs w:val="14"/>
                <w:color w:val="auto"/>
              </w:rPr>
            </w:pPr>
          </w:p>
        </w:tc>
        <w:tc>
          <w:tcPr>
            <w:tcW w:w="220" w:type="dxa"/>
            <w:vAlign w:val="bottom"/>
            <w:shd w:val="clear" w:color="auto" w:fill="E5E6E7"/>
          </w:tcPr>
          <w:p>
            <w:pPr>
              <w:spacing w:after="0"/>
              <w:rPr>
                <w:sz w:val="14"/>
                <w:szCs w:val="14"/>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120" w:type="dxa"/>
            <w:vAlign w:val="bottom"/>
            <w:shd w:val="clear" w:color="auto" w:fill="E5E6E7"/>
          </w:tcPr>
          <w:p>
            <w:pPr>
              <w:spacing w:after="0"/>
              <w:rPr>
                <w:sz w:val="14"/>
                <w:szCs w:val="14"/>
                <w:color w:val="auto"/>
              </w:rPr>
            </w:pP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920" w:type="dxa"/>
            <w:vAlign w:val="bottom"/>
            <w:gridSpan w:val="3"/>
            <w:shd w:val="clear" w:color="auto" w:fill="E5E6E7"/>
          </w:tcPr>
          <w:p>
            <w:pPr>
              <w:jc w:val="right"/>
              <w:ind w:right="105"/>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gridSpan w:val="3"/>
            <w:shd w:val="clear" w:color="auto" w:fill="E5E6E7"/>
          </w:tcPr>
          <w:p>
            <w:pPr>
              <w:jc w:val="right"/>
              <w:ind w:right="125"/>
              <w:spacing w:after="0"/>
              <w:rPr>
                <w:sz w:val="20"/>
                <w:szCs w:val="20"/>
                <w:color w:val="auto"/>
              </w:rPr>
            </w:pPr>
            <w:r>
              <w:rPr>
                <w:rFonts w:ascii="Times New Roman" w:cs="Times New Roman" w:eastAsia="Times New Roman" w:hAnsi="Times New Roman"/>
                <w:sz w:val="12"/>
                <w:szCs w:val="12"/>
                <w:color w:val="414142"/>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194,678</w:t>
            </w:r>
          </w:p>
        </w:tc>
        <w:tc>
          <w:tcPr>
            <w:tcW w:w="6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1180" w:type="dxa"/>
            <w:vAlign w:val="bottom"/>
            <w:gridSpan w:val="4"/>
            <w:shd w:val="clear" w:color="auto" w:fill="E5E6E7"/>
          </w:tcPr>
          <w:p>
            <w:pPr>
              <w:jc w:val="right"/>
              <w:ind w:right="215"/>
              <w:spacing w:after="0"/>
              <w:rPr>
                <w:sz w:val="20"/>
                <w:szCs w:val="20"/>
                <w:color w:val="auto"/>
              </w:rPr>
            </w:pPr>
            <w:r>
              <w:rPr>
                <w:rFonts w:ascii="Times New Roman" w:cs="Times New Roman" w:eastAsia="Times New Roman" w:hAnsi="Times New Roman"/>
                <w:sz w:val="12"/>
                <w:szCs w:val="12"/>
                <w:color w:val="414142"/>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4"/>
                <w:szCs w:val="14"/>
                <w:color w:val="auto"/>
              </w:rPr>
            </w:pPr>
          </w:p>
        </w:tc>
        <w:tc>
          <w:tcPr>
            <w:tcW w:w="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194,678</w:t>
            </w:r>
          </w:p>
        </w:tc>
        <w:tc>
          <w:tcPr>
            <w:tcW w:w="60" w:type="dxa"/>
            <w:vAlign w:val="bottom"/>
            <w:shd w:val="clear" w:color="auto" w:fill="E5E6E7"/>
          </w:tcPr>
          <w:p>
            <w:pPr>
              <w:spacing w:after="0"/>
              <w:rPr>
                <w:sz w:val="14"/>
                <w:szCs w:val="14"/>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231F20"/>
              </w:rPr>
              <w:t>Issuance of common stock in connection with business combinations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6,298,601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0</w:t>
            </w: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920" w:type="dxa"/>
            <w:vAlign w:val="bottom"/>
            <w:gridSpan w:val="3"/>
          </w:tcPr>
          <w:p>
            <w:pPr>
              <w:jc w:val="right"/>
              <w:ind w:right="105"/>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gridSpan w:val="3"/>
          </w:tcPr>
          <w:p>
            <w:pPr>
              <w:jc w:val="right"/>
              <w:ind w:right="125"/>
              <w:spacing w:after="0"/>
              <w:rPr>
                <w:sz w:val="20"/>
                <w:szCs w:val="20"/>
                <w:color w:val="auto"/>
              </w:rPr>
            </w:pPr>
            <w:r>
              <w:rPr>
                <w:rFonts w:ascii="Times New Roman" w:cs="Times New Roman" w:eastAsia="Times New Roman" w:hAnsi="Times New Roman"/>
                <w:sz w:val="12"/>
                <w:szCs w:val="12"/>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403,154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ind w:right="215"/>
              <w:spacing w:after="0"/>
              <w:rPr>
                <w:sz w:val="20"/>
                <w:szCs w:val="20"/>
                <w:color w:val="auto"/>
              </w:rPr>
            </w:pPr>
            <w:r>
              <w:rPr>
                <w:rFonts w:ascii="Times New Roman" w:cs="Times New Roman" w:eastAsia="Times New Roman" w:hAnsi="Times New Roman"/>
                <w:sz w:val="12"/>
                <w:szCs w:val="12"/>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403,154</w:t>
            </w:r>
          </w:p>
        </w:tc>
        <w:tc>
          <w:tcPr>
            <w:tcW w:w="60" w:type="dxa"/>
            <w:vAlign w:val="bottom"/>
          </w:tcPr>
          <w:p>
            <w:pPr>
              <w:spacing w:after="0"/>
              <w:rPr>
                <w:sz w:val="13"/>
                <w:szCs w:val="13"/>
                <w:color w:val="auto"/>
              </w:rPr>
            </w:pPr>
          </w:p>
        </w:tc>
      </w:tr>
      <w:tr>
        <w:trPr>
          <w:trHeight w:val="152"/>
        </w:trPr>
        <w:tc>
          <w:tcPr>
            <w:tcW w:w="4360" w:type="dxa"/>
            <w:vAlign w:val="bottom"/>
            <w:shd w:val="clear" w:color="auto" w:fill="E5E6E7"/>
          </w:tcPr>
          <w:p>
            <w:pPr>
              <w:spacing w:after="0"/>
              <w:rPr>
                <w:sz w:val="20"/>
                <w:szCs w:val="20"/>
                <w:color w:val="auto"/>
              </w:rPr>
            </w:pPr>
            <w:r>
              <w:rPr>
                <w:rFonts w:ascii="Times New Roman" w:cs="Times New Roman" w:eastAsia="Times New Roman" w:hAnsi="Times New Roman"/>
                <w:sz w:val="12"/>
                <w:szCs w:val="12"/>
                <w:color w:val="414142"/>
              </w:rPr>
              <w:t>Issuance of common stock in connection with license agreement</w:t>
            </w:r>
          </w:p>
        </w:tc>
        <w:tc>
          <w:tcPr>
            <w:tcW w:w="9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17,915</w:t>
            </w:r>
          </w:p>
        </w:tc>
        <w:tc>
          <w:tcPr>
            <w:tcW w:w="60" w:type="dxa"/>
            <w:vAlign w:val="bottom"/>
            <w:shd w:val="clear" w:color="auto" w:fill="E5E6E7"/>
          </w:tcPr>
          <w:p>
            <w:pPr>
              <w:spacing w:after="0"/>
              <w:rPr>
                <w:sz w:val="13"/>
                <w:szCs w:val="13"/>
                <w:color w:val="auto"/>
              </w:rPr>
            </w:pPr>
          </w:p>
        </w:tc>
        <w:tc>
          <w:tcPr>
            <w:tcW w:w="220" w:type="dxa"/>
            <w:vAlign w:val="bottom"/>
            <w:shd w:val="clear" w:color="auto" w:fill="E5E6E7"/>
          </w:tcPr>
          <w:p>
            <w:pPr>
              <w:spacing w:after="0"/>
              <w:rPr>
                <w:sz w:val="13"/>
                <w:szCs w:val="13"/>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20" w:type="dxa"/>
            <w:vAlign w:val="bottom"/>
            <w:gridSpan w:val="3"/>
            <w:shd w:val="clear" w:color="auto" w:fill="E5E6E7"/>
          </w:tcPr>
          <w:p>
            <w:pPr>
              <w:jc w:val="right"/>
              <w:ind w:right="105"/>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gridSpan w:val="3"/>
            <w:shd w:val="clear" w:color="auto" w:fill="E5E6E7"/>
          </w:tcPr>
          <w:p>
            <w:pPr>
              <w:jc w:val="right"/>
              <w:ind w:right="125"/>
              <w:spacing w:after="0"/>
              <w:rPr>
                <w:sz w:val="20"/>
                <w:szCs w:val="20"/>
                <w:color w:val="auto"/>
              </w:rPr>
            </w:pPr>
            <w:r>
              <w:rPr>
                <w:rFonts w:ascii="Times New Roman" w:cs="Times New Roman" w:eastAsia="Times New Roman" w:hAnsi="Times New Roman"/>
                <w:sz w:val="12"/>
                <w:szCs w:val="12"/>
                <w:color w:val="414142"/>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1,443</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1180" w:type="dxa"/>
            <w:vAlign w:val="bottom"/>
            <w:gridSpan w:val="4"/>
            <w:shd w:val="clear" w:color="auto" w:fill="E5E6E7"/>
          </w:tcPr>
          <w:p>
            <w:pPr>
              <w:jc w:val="right"/>
              <w:ind w:right="215"/>
              <w:spacing w:after="0"/>
              <w:rPr>
                <w:sz w:val="20"/>
                <w:szCs w:val="20"/>
                <w:color w:val="auto"/>
              </w:rPr>
            </w:pPr>
            <w:r>
              <w:rPr>
                <w:rFonts w:ascii="Times New Roman" w:cs="Times New Roman" w:eastAsia="Times New Roman" w:hAnsi="Times New Roman"/>
                <w:sz w:val="12"/>
                <w:szCs w:val="12"/>
                <w:color w:val="414142"/>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1,443</w:t>
            </w:r>
          </w:p>
        </w:tc>
        <w:tc>
          <w:tcPr>
            <w:tcW w:w="60" w:type="dxa"/>
            <w:vAlign w:val="bottom"/>
            <w:shd w:val="clear" w:color="auto" w:fill="E5E6E7"/>
          </w:tcPr>
          <w:p>
            <w:pPr>
              <w:spacing w:after="0"/>
              <w:rPr>
                <w:sz w:val="13"/>
                <w:szCs w:val="13"/>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231F20"/>
              </w:rPr>
              <w:t>Purchase of capped call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920" w:type="dxa"/>
            <w:vAlign w:val="bottom"/>
            <w:gridSpan w:val="3"/>
          </w:tcPr>
          <w:p>
            <w:pPr>
              <w:jc w:val="right"/>
              <w:ind w:right="105"/>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gridSpan w:val="3"/>
          </w:tcPr>
          <w:p>
            <w:pPr>
              <w:jc w:val="right"/>
              <w:ind w:right="125"/>
              <w:spacing w:after="0"/>
              <w:rPr>
                <w:sz w:val="20"/>
                <w:szCs w:val="20"/>
                <w:color w:val="auto"/>
              </w:rPr>
            </w:pPr>
            <w:r>
              <w:rPr>
                <w:rFonts w:ascii="Times New Roman" w:cs="Times New Roman" w:eastAsia="Times New Roman" w:hAnsi="Times New Roman"/>
                <w:sz w:val="12"/>
                <w:szCs w:val="12"/>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(41,775 )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ind w:right="215"/>
              <w:spacing w:after="0"/>
              <w:rPr>
                <w:sz w:val="20"/>
                <w:szCs w:val="20"/>
                <w:color w:val="auto"/>
              </w:rPr>
            </w:pPr>
            <w:r>
              <w:rPr>
                <w:rFonts w:ascii="Times New Roman" w:cs="Times New Roman" w:eastAsia="Times New Roman" w:hAnsi="Times New Roman"/>
                <w:sz w:val="12"/>
                <w:szCs w:val="12"/>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(41,775 )</w:t>
            </w:r>
          </w:p>
        </w:tc>
      </w:tr>
      <w:tr>
        <w:trPr>
          <w:trHeight w:val="152"/>
        </w:trPr>
        <w:tc>
          <w:tcPr>
            <w:tcW w:w="4360" w:type="dxa"/>
            <w:vAlign w:val="bottom"/>
            <w:shd w:val="clear" w:color="auto" w:fill="E5E6E7"/>
          </w:tcPr>
          <w:p>
            <w:pPr>
              <w:spacing w:after="0"/>
              <w:rPr>
                <w:sz w:val="20"/>
                <w:szCs w:val="20"/>
                <w:color w:val="auto"/>
              </w:rPr>
            </w:pPr>
            <w:r>
              <w:rPr>
                <w:rFonts w:ascii="Times New Roman" w:cs="Times New Roman" w:eastAsia="Times New Roman" w:hAnsi="Times New Roman"/>
                <w:sz w:val="12"/>
                <w:szCs w:val="12"/>
                <w:color w:val="414142"/>
              </w:rPr>
              <w:t>Stock-based compensation expense</w:t>
            </w:r>
          </w:p>
        </w:tc>
        <w:tc>
          <w:tcPr>
            <w:tcW w:w="9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220" w:type="dxa"/>
            <w:vAlign w:val="bottom"/>
            <w:shd w:val="clear" w:color="auto" w:fill="E5E6E7"/>
          </w:tcPr>
          <w:p>
            <w:pPr>
              <w:spacing w:after="0"/>
              <w:rPr>
                <w:sz w:val="13"/>
                <w:szCs w:val="13"/>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20" w:type="dxa"/>
            <w:vAlign w:val="bottom"/>
            <w:gridSpan w:val="3"/>
            <w:shd w:val="clear" w:color="auto" w:fill="E5E6E7"/>
          </w:tcPr>
          <w:p>
            <w:pPr>
              <w:jc w:val="right"/>
              <w:ind w:right="105"/>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gridSpan w:val="3"/>
            <w:shd w:val="clear" w:color="auto" w:fill="E5E6E7"/>
          </w:tcPr>
          <w:p>
            <w:pPr>
              <w:jc w:val="right"/>
              <w:ind w:right="125"/>
              <w:spacing w:after="0"/>
              <w:rPr>
                <w:sz w:val="20"/>
                <w:szCs w:val="20"/>
                <w:color w:val="auto"/>
              </w:rPr>
            </w:pPr>
            <w:r>
              <w:rPr>
                <w:rFonts w:ascii="Times New Roman" w:cs="Times New Roman" w:eastAsia="Times New Roman" w:hAnsi="Times New Roman"/>
                <w:sz w:val="12"/>
                <w:szCs w:val="12"/>
                <w:color w:val="414142"/>
              </w:rPr>
              <w:t>—</w:t>
            </w: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124,747</w:t>
            </w:r>
          </w:p>
        </w:tc>
        <w:tc>
          <w:tcPr>
            <w:tcW w:w="6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1180" w:type="dxa"/>
            <w:vAlign w:val="bottom"/>
            <w:gridSpan w:val="4"/>
            <w:shd w:val="clear" w:color="auto" w:fill="E5E6E7"/>
          </w:tcPr>
          <w:p>
            <w:pPr>
              <w:jc w:val="right"/>
              <w:ind w:right="215"/>
              <w:spacing w:after="0"/>
              <w:rPr>
                <w:sz w:val="20"/>
                <w:szCs w:val="20"/>
                <w:color w:val="auto"/>
              </w:rPr>
            </w:pPr>
            <w:r>
              <w:rPr>
                <w:rFonts w:ascii="Times New Roman" w:cs="Times New Roman" w:eastAsia="Times New Roman" w:hAnsi="Times New Roman"/>
                <w:sz w:val="12"/>
                <w:szCs w:val="12"/>
                <w:color w:val="414142"/>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124,747</w:t>
            </w:r>
          </w:p>
        </w:tc>
        <w:tc>
          <w:tcPr>
            <w:tcW w:w="60" w:type="dxa"/>
            <w:vAlign w:val="bottom"/>
            <w:shd w:val="clear" w:color="auto" w:fill="E5E6E7"/>
          </w:tcPr>
          <w:p>
            <w:pPr>
              <w:spacing w:after="0"/>
              <w:rPr>
                <w:sz w:val="13"/>
                <w:szCs w:val="13"/>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231F20"/>
              </w:rPr>
              <w:t>Repurchase of Class A voting 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(37,763 )</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(37,763 )</w:t>
            </w: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(3,040 )</w:t>
            </w: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ind w:right="215"/>
              <w:spacing w:after="0"/>
              <w:rPr>
                <w:sz w:val="20"/>
                <w:szCs w:val="20"/>
                <w:color w:val="auto"/>
              </w:rPr>
            </w:pPr>
            <w:r>
              <w:rPr>
                <w:rFonts w:ascii="Times New Roman" w:cs="Times New Roman" w:eastAsia="Times New Roman" w:hAnsi="Times New Roman"/>
                <w:sz w:val="12"/>
                <w:szCs w:val="12"/>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(3,040 )</w:t>
            </w:r>
          </w:p>
        </w:tc>
      </w:tr>
      <w:tr>
        <w:trPr>
          <w:trHeight w:val="152"/>
        </w:trPr>
        <w:tc>
          <w:tcPr>
            <w:tcW w:w="4360" w:type="dxa"/>
            <w:vAlign w:val="bottom"/>
            <w:shd w:val="clear" w:color="auto" w:fill="E5E6E7"/>
          </w:tcPr>
          <w:p>
            <w:pPr>
              <w:spacing w:after="0"/>
              <w:rPr>
                <w:sz w:val="20"/>
                <w:szCs w:val="20"/>
                <w:color w:val="auto"/>
              </w:rPr>
            </w:pPr>
            <w:r>
              <w:rPr>
                <w:rFonts w:ascii="Times New Roman" w:cs="Times New Roman" w:eastAsia="Times New Roman" w:hAnsi="Times New Roman"/>
                <w:sz w:val="12"/>
                <w:szCs w:val="12"/>
                <w:color w:val="414142"/>
              </w:rPr>
              <w:t>Foreign currency translation adjustment</w:t>
            </w:r>
          </w:p>
        </w:tc>
        <w:tc>
          <w:tcPr>
            <w:tcW w:w="98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12"/>
                <w:szCs w:val="12"/>
                <w:color w:val="414142"/>
              </w:rPr>
              <w:t>—</w:t>
            </w:r>
          </w:p>
        </w:tc>
        <w:tc>
          <w:tcPr>
            <w:tcW w:w="220" w:type="dxa"/>
            <w:vAlign w:val="bottom"/>
            <w:shd w:val="clear" w:color="auto" w:fill="E5E6E7"/>
          </w:tcPr>
          <w:p>
            <w:pPr>
              <w:spacing w:after="0"/>
              <w:rPr>
                <w:sz w:val="13"/>
                <w:szCs w:val="13"/>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120" w:type="dxa"/>
            <w:vAlign w:val="bottom"/>
            <w:shd w:val="clear" w:color="auto" w:fill="E5E6E7"/>
          </w:tcPr>
          <w:p>
            <w:pPr>
              <w:spacing w:after="0"/>
              <w:rPr>
                <w:sz w:val="13"/>
                <w:szCs w:val="13"/>
                <w:color w:val="auto"/>
              </w:rPr>
            </w:pPr>
          </w:p>
        </w:tc>
        <w:tc>
          <w:tcPr>
            <w:tcW w:w="5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40" w:type="dxa"/>
            <w:vAlign w:val="bottom"/>
            <w:shd w:val="clear" w:color="auto" w:fill="E5E6E7"/>
          </w:tcPr>
          <w:p>
            <w:pPr>
              <w:spacing w:after="0"/>
              <w:rPr>
                <w:sz w:val="13"/>
                <w:szCs w:val="13"/>
                <w:color w:val="auto"/>
              </w:rPr>
            </w:pPr>
          </w:p>
        </w:tc>
        <w:tc>
          <w:tcPr>
            <w:tcW w:w="920" w:type="dxa"/>
            <w:vAlign w:val="bottom"/>
            <w:gridSpan w:val="3"/>
            <w:shd w:val="clear" w:color="auto" w:fill="E5E6E7"/>
          </w:tcPr>
          <w:p>
            <w:pPr>
              <w:jc w:val="right"/>
              <w:ind w:right="105"/>
              <w:spacing w:after="0"/>
              <w:rPr>
                <w:sz w:val="20"/>
                <w:szCs w:val="20"/>
                <w:color w:val="auto"/>
              </w:rPr>
            </w:pPr>
            <w:r>
              <w:rPr>
                <w:rFonts w:ascii="Times New Roman" w:cs="Times New Roman" w:eastAsia="Times New Roman" w:hAnsi="Times New Roman"/>
                <w:sz w:val="12"/>
                <w:szCs w:val="12"/>
                <w:color w:val="414142"/>
              </w:rPr>
              <w:t>—</w:t>
            </w:r>
          </w:p>
        </w:tc>
        <w:tc>
          <w:tcPr>
            <w:tcW w:w="720" w:type="dxa"/>
            <w:vAlign w:val="bottom"/>
            <w:gridSpan w:val="3"/>
            <w:shd w:val="clear" w:color="auto" w:fill="E5E6E7"/>
          </w:tcPr>
          <w:p>
            <w:pPr>
              <w:jc w:val="right"/>
              <w:ind w:right="125"/>
              <w:spacing w:after="0"/>
              <w:rPr>
                <w:sz w:val="20"/>
                <w:szCs w:val="20"/>
                <w:color w:val="auto"/>
              </w:rPr>
            </w:pPr>
            <w:r>
              <w:rPr>
                <w:rFonts w:ascii="Times New Roman" w:cs="Times New Roman" w:eastAsia="Times New Roman" w:hAnsi="Times New Roman"/>
                <w:sz w:val="12"/>
                <w:szCs w:val="12"/>
                <w:color w:val="414142"/>
              </w:rPr>
              <w:t>—</w:t>
            </w:r>
          </w:p>
        </w:tc>
        <w:tc>
          <w:tcPr>
            <w:tcW w:w="84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w:t>
            </w: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1180" w:type="dxa"/>
            <w:vAlign w:val="bottom"/>
            <w:gridSpan w:val="4"/>
            <w:shd w:val="clear" w:color="auto" w:fill="E5E6E7"/>
          </w:tcPr>
          <w:p>
            <w:pPr>
              <w:jc w:val="right"/>
              <w:ind w:right="215"/>
              <w:spacing w:after="0"/>
              <w:rPr>
                <w:sz w:val="20"/>
                <w:szCs w:val="20"/>
                <w:color w:val="auto"/>
              </w:rPr>
            </w:pPr>
            <w:r>
              <w:rPr>
                <w:rFonts w:ascii="Times New Roman" w:cs="Times New Roman" w:eastAsia="Times New Roman" w:hAnsi="Times New Roman"/>
                <w:sz w:val="12"/>
                <w:szCs w:val="12"/>
                <w:color w:val="414142"/>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808</w:t>
            </w:r>
          </w:p>
        </w:tc>
        <w:tc>
          <w:tcPr>
            <w:tcW w:w="40" w:type="dxa"/>
            <w:vAlign w:val="bottom"/>
            <w:shd w:val="clear" w:color="auto" w:fill="E5E6E7"/>
          </w:tcPr>
          <w:p>
            <w:pPr>
              <w:spacing w:after="0"/>
              <w:rPr>
                <w:sz w:val="13"/>
                <w:szCs w:val="13"/>
                <w:color w:val="auto"/>
              </w:rPr>
            </w:pPr>
          </w:p>
        </w:tc>
        <w:tc>
          <w:tcPr>
            <w:tcW w:w="20" w:type="dxa"/>
            <w:vAlign w:val="bottom"/>
            <w:shd w:val="clear" w:color="auto" w:fill="E5E6E7"/>
          </w:tcPr>
          <w:p>
            <w:pPr>
              <w:spacing w:after="0"/>
              <w:rPr>
                <w:sz w:val="13"/>
                <w:szCs w:val="13"/>
                <w:color w:val="auto"/>
              </w:rPr>
            </w:pPr>
          </w:p>
        </w:tc>
        <w:tc>
          <w:tcPr>
            <w:tcW w:w="100" w:type="dxa"/>
            <w:vAlign w:val="bottom"/>
            <w:shd w:val="clear" w:color="auto" w:fill="E5E6E7"/>
          </w:tcPr>
          <w:p>
            <w:pPr>
              <w:spacing w:after="0"/>
              <w:rPr>
                <w:sz w:val="13"/>
                <w:szCs w:val="13"/>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808</w:t>
            </w:r>
          </w:p>
        </w:tc>
        <w:tc>
          <w:tcPr>
            <w:tcW w:w="60" w:type="dxa"/>
            <w:vAlign w:val="bottom"/>
            <w:shd w:val="clear" w:color="auto" w:fill="E5E6E7"/>
          </w:tcPr>
          <w:p>
            <w:pPr>
              <w:spacing w:after="0"/>
              <w:rPr>
                <w:sz w:val="13"/>
                <w:szCs w:val="13"/>
                <w:color w:val="auto"/>
              </w:rPr>
            </w:pPr>
          </w:p>
        </w:tc>
      </w:tr>
      <w:tr>
        <w:trPr>
          <w:trHeight w:val="152"/>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231F20"/>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920" w:type="dxa"/>
            <w:vAlign w:val="bottom"/>
            <w:gridSpan w:val="3"/>
          </w:tcPr>
          <w:p>
            <w:pPr>
              <w:jc w:val="right"/>
              <w:ind w:right="105"/>
              <w:spacing w:after="0"/>
              <w:rPr>
                <w:sz w:val="20"/>
                <w:szCs w:val="20"/>
                <w:color w:val="auto"/>
              </w:rPr>
            </w:pPr>
            <w:r>
              <w:rPr>
                <w:rFonts w:ascii="Times New Roman" w:cs="Times New Roman" w:eastAsia="Times New Roman" w:hAnsi="Times New Roman"/>
                <w:sz w:val="12"/>
                <w:szCs w:val="12"/>
                <w:color w:val="231F20"/>
              </w:rPr>
              <w:t>—</w:t>
            </w:r>
          </w:p>
        </w:tc>
        <w:tc>
          <w:tcPr>
            <w:tcW w:w="720" w:type="dxa"/>
            <w:vAlign w:val="bottom"/>
            <w:gridSpan w:val="3"/>
          </w:tcPr>
          <w:p>
            <w:pPr>
              <w:jc w:val="right"/>
              <w:ind w:right="125"/>
              <w:spacing w:after="0"/>
              <w:rPr>
                <w:sz w:val="20"/>
                <w:szCs w:val="20"/>
                <w:color w:val="auto"/>
              </w:rPr>
            </w:pPr>
            <w:r>
              <w:rPr>
                <w:rFonts w:ascii="Times New Roman" w:cs="Times New Roman" w:eastAsia="Times New Roman" w:hAnsi="Times New Roman"/>
                <w:sz w:val="12"/>
                <w:szCs w:val="12"/>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(245,028 )</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(245,028 )</w:t>
            </w:r>
          </w:p>
        </w:tc>
      </w:tr>
      <w:tr>
        <w:trPr>
          <w:trHeight w:val="147"/>
        </w:trPr>
        <w:tc>
          <w:tcPr>
            <w:tcW w:w="436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12"/>
                <w:szCs w:val="12"/>
                <w:b w:val="1"/>
                <w:bCs w:val="1"/>
                <w:color w:val="414142"/>
              </w:rPr>
              <w:t>Balance at December 31, 2025</w:t>
            </w:r>
          </w:p>
        </w:tc>
        <w:tc>
          <w:tcPr>
            <w:tcW w:w="9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173,235,428</w:t>
            </w:r>
          </w:p>
        </w:tc>
        <w:tc>
          <w:tcPr>
            <w:tcW w:w="60" w:type="dxa"/>
            <w:vAlign w:val="bottom"/>
            <w:tcBorders>
              <w:top w:val="single" w:sz="8" w:color="E5E6E7"/>
            </w:tcBorders>
            <w:shd w:val="clear" w:color="auto" w:fill="E5E6E7"/>
          </w:tcPr>
          <w:p>
            <w:pPr>
              <w:spacing w:after="0"/>
              <w:rPr>
                <w:sz w:val="12"/>
                <w:szCs w:val="12"/>
                <w:color w:val="auto"/>
              </w:rPr>
            </w:pPr>
          </w:p>
        </w:tc>
        <w:tc>
          <w:tcPr>
            <w:tcW w:w="220" w:type="dxa"/>
            <w:vAlign w:val="bottom"/>
            <w:tcBorders>
              <w:top w:val="single" w:sz="8" w:color="231F20"/>
              <w:bottom w:val="single" w:sz="8" w:color="231F20"/>
            </w:tcBorders>
            <w:shd w:val="clear" w:color="auto" w:fill="E5E6E7"/>
          </w:tcPr>
          <w:p>
            <w:pPr>
              <w:jc w:val="right"/>
              <w:ind w:right="103"/>
              <w:spacing w:after="0"/>
              <w:rPr>
                <w:sz w:val="20"/>
                <w:szCs w:val="20"/>
                <w:color w:val="auto"/>
              </w:rPr>
            </w:pPr>
            <w:r>
              <w:rPr>
                <w:rFonts w:ascii="Times New Roman" w:cs="Times New Roman" w:eastAsia="Times New Roman" w:hAnsi="Times New Roman"/>
                <w:sz w:val="11"/>
                <w:szCs w:val="11"/>
                <w:color w:val="414142"/>
                <w:w w:val="71"/>
              </w:rPr>
              <w:t>$</w:t>
            </w:r>
          </w:p>
        </w:tc>
        <w:tc>
          <w:tcPr>
            <w:tcW w:w="7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17</w:t>
            </w:r>
          </w:p>
        </w:tc>
        <w:tc>
          <w:tcPr>
            <w:tcW w:w="40" w:type="dxa"/>
            <w:vAlign w:val="bottom"/>
            <w:tcBorders>
              <w:top w:val="single" w:sz="8" w:color="E5E6E7"/>
            </w:tcBorders>
            <w:shd w:val="clear" w:color="auto" w:fill="E5E6E7"/>
          </w:tcPr>
          <w:p>
            <w:pPr>
              <w:spacing w:after="0"/>
              <w:rPr>
                <w:sz w:val="12"/>
                <w:szCs w:val="12"/>
                <w:color w:val="auto"/>
              </w:rPr>
            </w:pPr>
          </w:p>
        </w:tc>
        <w:tc>
          <w:tcPr>
            <w:tcW w:w="7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5,043,789</w:t>
            </w:r>
          </w:p>
        </w:tc>
        <w:tc>
          <w:tcPr>
            <w:tcW w:w="40" w:type="dxa"/>
            <w:vAlign w:val="bottom"/>
            <w:tcBorders>
              <w:top w:val="single" w:sz="8" w:color="E5E6E7"/>
            </w:tcBorders>
            <w:shd w:val="clear" w:color="auto" w:fill="E5E6E7"/>
          </w:tcPr>
          <w:p>
            <w:pPr>
              <w:spacing w:after="0"/>
              <w:rPr>
                <w:sz w:val="12"/>
                <w:szCs w:val="12"/>
                <w:color w:val="auto"/>
              </w:rPr>
            </w:pPr>
          </w:p>
        </w:tc>
        <w:tc>
          <w:tcPr>
            <w:tcW w:w="120" w:type="dxa"/>
            <w:vAlign w:val="bottom"/>
            <w:tcBorders>
              <w:top w:val="single" w:sz="8" w:color="231F20"/>
              <w:bottom w:val="single" w:sz="8" w:color="231F20"/>
            </w:tcBorders>
            <w:shd w:val="clear" w:color="auto" w:fill="E5E6E7"/>
          </w:tcPr>
          <w:p>
            <w:pPr>
              <w:jc w:val="right"/>
              <w:ind w:right="5"/>
              <w:spacing w:after="0"/>
              <w:rPr>
                <w:sz w:val="20"/>
                <w:szCs w:val="20"/>
                <w:color w:val="auto"/>
              </w:rPr>
            </w:pPr>
            <w:r>
              <w:rPr>
                <w:rFonts w:ascii="Times New Roman" w:cs="Times New Roman" w:eastAsia="Times New Roman" w:hAnsi="Times New Roman"/>
                <w:sz w:val="11"/>
                <w:szCs w:val="11"/>
                <w:color w:val="414142"/>
                <w:w w:val="71"/>
              </w:rPr>
              <w:t>$</w:t>
            </w:r>
          </w:p>
        </w:tc>
        <w:tc>
          <w:tcPr>
            <w:tcW w:w="5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w:t>
            </w:r>
          </w:p>
        </w:tc>
        <w:tc>
          <w:tcPr>
            <w:tcW w:w="40" w:type="dxa"/>
            <w:vAlign w:val="bottom"/>
            <w:tcBorders>
              <w:top w:val="single" w:sz="8" w:color="E5E6E7"/>
            </w:tcBorders>
            <w:shd w:val="clear" w:color="auto" w:fill="E5E6E7"/>
          </w:tcPr>
          <w:p>
            <w:pPr>
              <w:spacing w:after="0"/>
              <w:rPr>
                <w:sz w:val="12"/>
                <w:szCs w:val="12"/>
                <w:color w:val="auto"/>
              </w:rPr>
            </w:pPr>
          </w:p>
        </w:tc>
        <w:tc>
          <w:tcPr>
            <w:tcW w:w="7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(183,229</w:t>
            </w:r>
          </w:p>
        </w:tc>
        <w:tc>
          <w:tcPr>
            <w:tcW w:w="6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8"/>
                <w:szCs w:val="8"/>
                <w:color w:val="414142"/>
                <w:w w:val="73"/>
              </w:rPr>
              <w:t>)</w:t>
            </w:r>
          </w:p>
        </w:tc>
        <w:tc>
          <w:tcPr>
            <w:tcW w:w="1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414142"/>
                <w:w w:val="71"/>
              </w:rPr>
              <w:t>$</w:t>
            </w:r>
          </w:p>
        </w:tc>
        <w:tc>
          <w:tcPr>
            <w:tcW w:w="5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(6,642</w:t>
            </w:r>
          </w:p>
        </w:tc>
        <w:tc>
          <w:tcPr>
            <w:tcW w:w="6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8"/>
                <w:szCs w:val="8"/>
                <w:color w:val="414142"/>
                <w:w w:val="73"/>
              </w:rPr>
              <w:t>)</w:t>
            </w:r>
          </w:p>
        </w:tc>
        <w:tc>
          <w:tcPr>
            <w:tcW w:w="1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1"/>
                <w:szCs w:val="11"/>
                <w:color w:val="414142"/>
                <w:w w:val="71"/>
              </w:rPr>
              <w:t>$</w:t>
            </w:r>
          </w:p>
        </w:tc>
        <w:tc>
          <w:tcPr>
            <w:tcW w:w="7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2,892,910</w:t>
            </w:r>
          </w:p>
        </w:tc>
        <w:tc>
          <w:tcPr>
            <w:tcW w:w="6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E5E6E7"/>
              <w:bottom w:val="single" w:sz="8" w:color="231F20"/>
            </w:tcBorders>
            <w:shd w:val="clear" w:color="auto" w:fill="E5E6E7"/>
          </w:tcPr>
          <w:p>
            <w:pPr>
              <w:spacing w:after="0"/>
              <w:rPr>
                <w:sz w:val="12"/>
                <w:szCs w:val="12"/>
                <w:color w:val="auto"/>
              </w:rPr>
            </w:pPr>
          </w:p>
        </w:tc>
        <w:tc>
          <w:tcPr>
            <w:tcW w:w="1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14142"/>
                <w:w w:val="78"/>
              </w:rPr>
              <w:t>$</w:t>
            </w:r>
          </w:p>
        </w:tc>
        <w:tc>
          <w:tcPr>
            <w:tcW w:w="9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(2,395,862</w:t>
            </w:r>
          </w:p>
        </w:tc>
        <w:tc>
          <w:tcPr>
            <w:tcW w:w="4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8"/>
                <w:szCs w:val="8"/>
                <w:color w:val="414142"/>
                <w:w w:val="73"/>
              </w:rPr>
              <w:t>)</w:t>
            </w:r>
          </w:p>
        </w:tc>
        <w:tc>
          <w:tcPr>
            <w:tcW w:w="20" w:type="dxa"/>
            <w:vAlign w:val="bottom"/>
            <w:tcBorders>
              <w:top w:val="single" w:sz="8" w:color="E5E6E7"/>
              <w:bottom w:val="single" w:sz="8" w:color="231F20"/>
            </w:tcBorders>
            <w:shd w:val="clear" w:color="auto" w:fill="E5E6E7"/>
          </w:tcPr>
          <w:p>
            <w:pPr>
              <w:spacing w:after="0"/>
              <w:rPr>
                <w:sz w:val="12"/>
                <w:szCs w:val="12"/>
                <w:color w:val="auto"/>
              </w:rPr>
            </w:pPr>
          </w:p>
        </w:tc>
        <w:tc>
          <w:tcPr>
            <w:tcW w:w="160" w:type="dxa"/>
            <w:vAlign w:val="bottom"/>
            <w:tcBorders>
              <w:top w:val="single" w:sz="8" w:color="231F20"/>
              <w:bottom w:val="single" w:sz="8" w:color="231F20"/>
            </w:tcBorders>
            <w:shd w:val="clear" w:color="auto" w:fill="E5E6E7"/>
          </w:tcPr>
          <w:p>
            <w:pPr>
              <w:jc w:val="right"/>
              <w:ind w:right="95"/>
              <w:spacing w:after="0"/>
              <w:rPr>
                <w:sz w:val="20"/>
                <w:szCs w:val="20"/>
                <w:color w:val="auto"/>
              </w:rPr>
            </w:pPr>
            <w:r>
              <w:rPr>
                <w:rFonts w:ascii="Times New Roman" w:cs="Times New Roman" w:eastAsia="Times New Roman" w:hAnsi="Times New Roman"/>
                <w:sz w:val="5"/>
                <w:szCs w:val="5"/>
                <w:color w:val="414142"/>
                <w:w w:val="78"/>
              </w:rPr>
              <w:t>$</w:t>
            </w:r>
          </w:p>
        </w:tc>
        <w:tc>
          <w:tcPr>
            <w:tcW w:w="12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902</w:t>
            </w:r>
          </w:p>
        </w:tc>
        <w:tc>
          <w:tcPr>
            <w:tcW w:w="40" w:type="dxa"/>
            <w:vAlign w:val="bottom"/>
            <w:tcBorders>
              <w:top w:val="single" w:sz="8" w:color="E5E6E7"/>
            </w:tcBorders>
            <w:shd w:val="clear" w:color="auto" w:fill="E5E6E7"/>
          </w:tcPr>
          <w:p>
            <w:pPr>
              <w:spacing w:after="0"/>
              <w:rPr>
                <w:sz w:val="12"/>
                <w:szCs w:val="12"/>
                <w:color w:val="auto"/>
              </w:rPr>
            </w:pPr>
          </w:p>
        </w:tc>
        <w:tc>
          <w:tcPr>
            <w:tcW w:w="20" w:type="dxa"/>
            <w:vAlign w:val="bottom"/>
            <w:tcBorders>
              <w:top w:val="single" w:sz="8" w:color="E5E6E7"/>
              <w:bottom w:val="single" w:sz="8" w:color="231F20"/>
            </w:tcBorders>
            <w:shd w:val="clear" w:color="auto" w:fill="E5E6E7"/>
          </w:tcPr>
          <w:p>
            <w:pPr>
              <w:spacing w:after="0"/>
              <w:rPr>
                <w:sz w:val="12"/>
                <w:szCs w:val="12"/>
                <w:color w:val="auto"/>
              </w:rPr>
            </w:pPr>
          </w:p>
        </w:tc>
        <w:tc>
          <w:tcPr>
            <w:tcW w:w="100" w:type="dxa"/>
            <w:vAlign w:val="bottom"/>
            <w:tcBorders>
              <w:top w:val="single" w:sz="8" w:color="231F20"/>
              <w:bottom w:val="single" w:sz="8" w:color="231F20"/>
            </w:tcBorders>
            <w:shd w:val="clear" w:color="auto" w:fill="E5E6E7"/>
          </w:tcPr>
          <w:p>
            <w:pPr>
              <w:jc w:val="right"/>
              <w:ind w:right="35"/>
              <w:spacing w:after="0"/>
              <w:rPr>
                <w:sz w:val="20"/>
                <w:szCs w:val="20"/>
                <w:color w:val="auto"/>
              </w:rPr>
            </w:pPr>
            <w:r>
              <w:rPr>
                <w:rFonts w:ascii="Times New Roman" w:cs="Times New Roman" w:eastAsia="Times New Roman" w:hAnsi="Times New Roman"/>
                <w:sz w:val="5"/>
                <w:szCs w:val="5"/>
                <w:color w:val="414142"/>
                <w:w w:val="78"/>
              </w:rPr>
              <w:t>$</w:t>
            </w:r>
          </w:p>
        </w:tc>
        <w:tc>
          <w:tcPr>
            <w:tcW w:w="9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2"/>
                <w:szCs w:val="12"/>
                <w:color w:val="414142"/>
              </w:rPr>
              <w:t>491,326</w:t>
            </w:r>
          </w:p>
        </w:tc>
        <w:tc>
          <w:tcPr>
            <w:tcW w:w="60" w:type="dxa"/>
            <w:vAlign w:val="bottom"/>
            <w:tcBorders>
              <w:top w:val="single" w:sz="8" w:color="E5E6E7"/>
            </w:tcBorders>
            <w:shd w:val="clear" w:color="auto" w:fill="E5E6E7"/>
          </w:tcPr>
          <w:p>
            <w:pPr>
              <w:spacing w:after="0"/>
              <w:rPr>
                <w:sz w:val="12"/>
                <w:szCs w:val="12"/>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5480" w:h="11880" w:orient="landscape"/>
          <w:cols w:equalWidth="0" w:num="1">
            <w:col w:w="14040"/>
          </w:cols>
          <w:pgMar w:left="720" w:top="760" w:right="72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145</w:t>
      </w:r>
    </w:p>
    <w:p>
      <w:pPr>
        <w:sectPr>
          <w:pgSz w:w="15480" w:h="11880" w:orient="landscape"/>
          <w:cols w:equalWidth="0" w:num="1">
            <w:col w:w="14040"/>
          </w:cols>
          <w:pgMar w:left="720" w:top="760" w:right="720" w:bottom="27"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40" w:lineRule="exact"/>
        <w:rPr>
          <w:sz w:val="20"/>
          <w:szCs w:val="20"/>
          <w:color w:val="auto"/>
        </w:rPr>
      </w:pPr>
    </w:p>
    <w:p>
      <w:pPr>
        <w:ind w:left="500" w:right="6860" w:hanging="500"/>
        <w:spacing w:after="0" w:line="386" w:lineRule="auto"/>
        <w:tabs>
          <w:tab w:leader="none" w:pos="500" w:val="left"/>
        </w:tabs>
        <w:numPr>
          <w:ilvl w:val="0"/>
          <w:numId w:val="62"/>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DESCRIPTION OF BUSINESS Company Information</w:t>
      </w:r>
    </w:p>
    <w:p>
      <w:pPr>
        <w:spacing w:after="0" w:line="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Tempus AI, Inc., together with the subsidiaries through which it conducts business (the “Company” or "Tempus"),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20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Effective August 7, 2025, the Company reincorporated, by conversion, from a Delaware corporation to a Nevada corporation.</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Segment Information</w:t>
      </w:r>
    </w:p>
    <w:p>
      <w:pPr>
        <w:spacing w:after="0" w:line="124" w:lineRule="exact"/>
        <w:rPr>
          <w:sz w:val="20"/>
          <w:szCs w:val="20"/>
          <w:color w:val="auto"/>
        </w:rPr>
      </w:pPr>
    </w:p>
    <w:p>
      <w:pPr>
        <w:ind w:right="480" w:firstLine="490"/>
        <w:spacing w:after="0" w:line="252" w:lineRule="auto"/>
        <w:rPr>
          <w:sz w:val="20"/>
          <w:szCs w:val="20"/>
          <w:color w:val="auto"/>
        </w:rPr>
      </w:pPr>
      <w:r>
        <w:rPr>
          <w:rFonts w:ascii="Times New Roman" w:cs="Times New Roman" w:eastAsia="Times New Roman" w:hAnsi="Times New Roman"/>
          <w:sz w:val="20"/>
          <w:szCs w:val="20"/>
          <w:color w:val="231F20"/>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19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w:t>
      </w:r>
    </w:p>
    <w:p>
      <w:pPr>
        <w:spacing w:after="0" w:line="188"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spacing w:after="0" w:line="188" w:lineRule="exact"/>
        <w:rPr>
          <w:sz w:val="20"/>
          <w:szCs w:val="20"/>
          <w:color w:val="auto"/>
        </w:rPr>
      </w:pPr>
    </w:p>
    <w:p>
      <w:pPr>
        <w:ind w:right="460" w:firstLine="490"/>
        <w:spacing w:after="0" w:line="252" w:lineRule="auto"/>
        <w:rPr>
          <w:sz w:val="20"/>
          <w:szCs w:val="20"/>
          <w:color w:val="auto"/>
        </w:rPr>
      </w:pPr>
      <w:r>
        <w:rPr>
          <w:rFonts w:ascii="Times New Roman" w:cs="Times New Roman" w:eastAsia="Times New Roman" w:hAnsi="Times New Roman"/>
          <w:sz w:val="20"/>
          <w:szCs w:val="20"/>
          <w:color w:val="231F20"/>
        </w:rPr>
        <w:t>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11).</w:t>
      </w:r>
    </w:p>
    <w:p>
      <w:pPr>
        <w:spacing w:after="0" w:line="244"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180" w:type="dxa"/>
            <w:vAlign w:val="bottom"/>
            <w:tcBorders>
              <w:bottom w:val="single" w:sz="8" w:color="E5E6E7"/>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80" w:type="dxa"/>
            <w:vAlign w:val="bottom"/>
            <w:tcBorders>
              <w:bottom w:val="single" w:sz="8" w:color="E5E6E7"/>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5E6E7"/>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7"/>
                <w:szCs w:val="17"/>
                <w:color w:val="auto"/>
              </w:rPr>
            </w:pPr>
          </w:p>
        </w:tc>
      </w:tr>
      <w:tr>
        <w:trPr>
          <w:trHeight w:val="239"/>
        </w:trPr>
        <w:tc>
          <w:tcPr>
            <w:tcW w:w="5180" w:type="dxa"/>
            <w:vAlign w:val="bottom"/>
            <w:shd w:val="clear" w:color="auto" w:fill="E5E6E7"/>
          </w:tcPr>
          <w:p>
            <w:pPr>
              <w:ind w:left="300"/>
              <w:spacing w:after="0"/>
              <w:rPr>
                <w:sz w:val="20"/>
                <w:szCs w:val="20"/>
                <w:color w:val="auto"/>
              </w:rPr>
            </w:pPr>
            <w:r>
              <w:rPr>
                <w:rFonts w:ascii="Times New Roman" w:cs="Times New Roman" w:eastAsia="Times New Roman" w:hAnsi="Times New Roman"/>
                <w:sz w:val="20"/>
                <w:szCs w:val="20"/>
                <w:color w:val="414142"/>
              </w:rPr>
              <w:t>Selling, general and administrative payroll</w:t>
            </w:r>
          </w:p>
        </w:tc>
        <w:tc>
          <w:tcPr>
            <w:tcW w:w="280" w:type="dxa"/>
            <w:vAlign w:val="bottom"/>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w w:val="79"/>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276,208</w:t>
            </w:r>
          </w:p>
        </w:tc>
        <w:tc>
          <w:tcPr>
            <w:tcW w:w="280" w:type="dxa"/>
            <w:vAlign w:val="bottom"/>
            <w:shd w:val="clear" w:color="auto" w:fill="E5E6E7"/>
          </w:tcPr>
          <w:p>
            <w:pPr>
              <w:spacing w:after="0"/>
              <w:rPr>
                <w:sz w:val="20"/>
                <w:szCs w:val="20"/>
                <w:color w:val="auto"/>
              </w:rPr>
            </w:pPr>
          </w:p>
        </w:tc>
        <w:tc>
          <w:tcPr>
            <w:tcW w:w="240" w:type="dxa"/>
            <w:vAlign w:val="bottom"/>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w w:val="79"/>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162,194</w:t>
            </w:r>
          </w:p>
        </w:tc>
        <w:tc>
          <w:tcPr>
            <w:tcW w:w="240" w:type="dxa"/>
            <w:vAlign w:val="bottom"/>
            <w:shd w:val="clear" w:color="auto" w:fill="E5E6E7"/>
          </w:tcPr>
          <w:p>
            <w:pPr>
              <w:spacing w:after="0"/>
              <w:rPr>
                <w:sz w:val="20"/>
                <w:szCs w:val="20"/>
                <w:color w:val="auto"/>
              </w:rPr>
            </w:pPr>
          </w:p>
        </w:tc>
        <w:tc>
          <w:tcPr>
            <w:tcW w:w="260" w:type="dxa"/>
            <w:vAlign w:val="bottom"/>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79"/>
              </w:rPr>
              <w:t>$</w:t>
            </w:r>
          </w:p>
        </w:tc>
        <w:tc>
          <w:tcPr>
            <w:tcW w:w="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135,466</w:t>
            </w:r>
          </w:p>
        </w:tc>
        <w:tc>
          <w:tcPr>
            <w:tcW w:w="80" w:type="dxa"/>
            <w:vAlign w:val="bottom"/>
            <w:shd w:val="clear" w:color="auto" w:fill="E5E6E7"/>
          </w:tcPr>
          <w:p>
            <w:pPr>
              <w:spacing w:after="0"/>
              <w:rPr>
                <w:sz w:val="20"/>
                <w:szCs w:val="20"/>
                <w:color w:val="auto"/>
              </w:rPr>
            </w:pPr>
          </w:p>
        </w:tc>
      </w:tr>
      <w:tr>
        <w:trPr>
          <w:trHeight w:val="244"/>
        </w:trPr>
        <w:tc>
          <w:tcPr>
            <w:tcW w:w="518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Cloud and software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135,998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95,401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85,709</w:t>
            </w:r>
          </w:p>
        </w:tc>
        <w:tc>
          <w:tcPr>
            <w:tcW w:w="80" w:type="dxa"/>
            <w:vAlign w:val="bottom"/>
          </w:tcPr>
          <w:p>
            <w:pPr>
              <w:spacing w:after="0"/>
              <w:rPr>
                <w:sz w:val="21"/>
                <w:szCs w:val="21"/>
                <w:color w:val="auto"/>
              </w:rPr>
            </w:pPr>
          </w:p>
        </w:tc>
      </w:tr>
      <w:tr>
        <w:trPr>
          <w:trHeight w:val="244"/>
        </w:trPr>
        <w:tc>
          <w:tcPr>
            <w:tcW w:w="5180" w:type="dxa"/>
            <w:vAlign w:val="bottom"/>
            <w:shd w:val="clear" w:color="auto" w:fill="E5E6E7"/>
          </w:tcPr>
          <w:p>
            <w:pPr>
              <w:ind w:left="300"/>
              <w:spacing w:after="0"/>
              <w:rPr>
                <w:sz w:val="20"/>
                <w:szCs w:val="20"/>
                <w:color w:val="auto"/>
              </w:rPr>
            </w:pPr>
            <w:r>
              <w:rPr>
                <w:rFonts w:ascii="Times New Roman" w:cs="Times New Roman" w:eastAsia="Times New Roman" w:hAnsi="Times New Roman"/>
                <w:sz w:val="20"/>
                <w:szCs w:val="20"/>
                <w:color w:val="414142"/>
              </w:rPr>
              <w:t>Other selling, general and administrative</w:t>
            </w:r>
          </w:p>
        </w:tc>
        <w:tc>
          <w:tcPr>
            <w:tcW w:w="280" w:type="dxa"/>
            <w:vAlign w:val="bottom"/>
            <w:tcBorders>
              <w:bottom w:val="single" w:sz="8" w:color="231F20"/>
            </w:tcBorders>
            <w:shd w:val="clear" w:color="auto" w:fill="E5E6E7"/>
          </w:tcPr>
          <w:p>
            <w:pPr>
              <w:spacing w:after="0"/>
              <w:rPr>
                <w:sz w:val="21"/>
                <w:szCs w:val="21"/>
                <w:color w:val="auto"/>
              </w:rPr>
            </w:pPr>
          </w:p>
        </w:tc>
        <w:tc>
          <w:tcPr>
            <w:tcW w:w="9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319,532</w:t>
            </w:r>
          </w:p>
        </w:tc>
        <w:tc>
          <w:tcPr>
            <w:tcW w:w="280" w:type="dxa"/>
            <w:vAlign w:val="bottom"/>
            <w:shd w:val="clear" w:color="auto" w:fill="E5E6E7"/>
          </w:tcPr>
          <w:p>
            <w:pPr>
              <w:spacing w:after="0"/>
              <w:rPr>
                <w:sz w:val="21"/>
                <w:szCs w:val="21"/>
                <w:color w:val="auto"/>
              </w:rPr>
            </w:pPr>
          </w:p>
        </w:tc>
        <w:tc>
          <w:tcPr>
            <w:tcW w:w="240" w:type="dxa"/>
            <w:vAlign w:val="bottom"/>
            <w:tcBorders>
              <w:bottom w:val="single" w:sz="8" w:color="231F20"/>
            </w:tcBorders>
            <w:shd w:val="clear" w:color="auto" w:fill="E5E6E7"/>
          </w:tcPr>
          <w:p>
            <w:pPr>
              <w:spacing w:after="0"/>
              <w:rPr>
                <w:sz w:val="21"/>
                <w:szCs w:val="21"/>
                <w:color w:val="auto"/>
              </w:rPr>
            </w:pPr>
          </w:p>
        </w:tc>
        <w:tc>
          <w:tcPr>
            <w:tcW w:w="9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497,756</w:t>
            </w:r>
          </w:p>
        </w:tc>
        <w:tc>
          <w:tcPr>
            <w:tcW w:w="240" w:type="dxa"/>
            <w:vAlign w:val="bottom"/>
            <w:shd w:val="clear" w:color="auto" w:fill="E5E6E7"/>
          </w:tcPr>
          <w:p>
            <w:pPr>
              <w:spacing w:after="0"/>
              <w:rPr>
                <w:sz w:val="21"/>
                <w:szCs w:val="21"/>
                <w:color w:val="auto"/>
              </w:rPr>
            </w:pPr>
          </w:p>
        </w:tc>
        <w:tc>
          <w:tcPr>
            <w:tcW w:w="260" w:type="dxa"/>
            <w:vAlign w:val="bottom"/>
            <w:tcBorders>
              <w:bottom w:val="single" w:sz="8" w:color="231F20"/>
            </w:tcBorders>
            <w:shd w:val="clear" w:color="auto" w:fill="E5E6E7"/>
          </w:tcPr>
          <w:p>
            <w:pPr>
              <w:spacing w:after="0"/>
              <w:rPr>
                <w:sz w:val="21"/>
                <w:szCs w:val="21"/>
                <w:color w:val="auto"/>
              </w:rPr>
            </w:pPr>
          </w:p>
        </w:tc>
        <w:tc>
          <w:tcPr>
            <w:tcW w:w="8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75,585</w:t>
            </w:r>
          </w:p>
        </w:tc>
        <w:tc>
          <w:tcPr>
            <w:tcW w:w="80" w:type="dxa"/>
            <w:vAlign w:val="bottom"/>
            <w:shd w:val="clear" w:color="auto" w:fill="E5E6E7"/>
          </w:tcPr>
          <w:p>
            <w:pPr>
              <w:spacing w:after="0"/>
              <w:rPr>
                <w:sz w:val="21"/>
                <w:szCs w:val="21"/>
                <w:color w:val="auto"/>
              </w:rPr>
            </w:pPr>
          </w:p>
        </w:tc>
      </w:tr>
      <w:tr>
        <w:trPr>
          <w:trHeight w:val="239"/>
        </w:trPr>
        <w:tc>
          <w:tcPr>
            <w:tcW w:w="51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731,738</w:t>
            </w:r>
          </w:p>
        </w:tc>
        <w:tc>
          <w:tcPr>
            <w:tcW w:w="280" w:type="dxa"/>
            <w:vAlign w:val="bottom"/>
          </w:tcPr>
          <w:p>
            <w:pPr>
              <w:spacing w:after="0"/>
              <w:rPr>
                <w:sz w:val="20"/>
                <w:szCs w:val="20"/>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755,351</w:t>
            </w:r>
          </w:p>
        </w:tc>
        <w:tc>
          <w:tcPr>
            <w:tcW w:w="240" w:type="dxa"/>
            <w:vAlign w:val="bottom"/>
          </w:tcPr>
          <w:p>
            <w:pPr>
              <w:spacing w:after="0"/>
              <w:rPr>
                <w:sz w:val="20"/>
                <w:szCs w:val="20"/>
                <w:color w:val="auto"/>
              </w:rPr>
            </w:pPr>
          </w:p>
        </w:tc>
        <w:tc>
          <w:tcPr>
            <w:tcW w:w="26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296,760</w:t>
            </w:r>
          </w:p>
        </w:tc>
        <w:tc>
          <w:tcPr>
            <w:tcW w:w="8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-815975</wp:posOffset>
            </wp:positionV>
            <wp:extent cx="25914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9">
                      <a:extLst>
                        <a:ext uri="{28A0092B-C50C-407E-A947-70E740481C1C}"/>
                      </a:extLst>
                    </a:blip>
                    <a:srcRect/>
                    <a:stretch>
                      <a:fillRect/>
                    </a:stretch>
                  </pic:blipFill>
                  <pic:spPr bwMode="auto">
                    <a:xfrm>
                      <a:off x="0" y="0"/>
                      <a:ext cx="2591435" cy="38100"/>
                    </a:xfrm>
                    <a:prstGeom prst="rect">
                      <a:avLst/>
                    </a:prstGeom>
                    <a:noFill/>
                  </pic:spPr>
                </pic:pic>
              </a:graphicData>
            </a:graphic>
          </wp:anchor>
        </w:drawing>
      </w:r>
    </w:p>
    <w:p>
      <w:pPr>
        <w:spacing w:after="0" w:line="346" w:lineRule="exact"/>
        <w:rPr>
          <w:sz w:val="20"/>
          <w:szCs w:val="20"/>
          <w:color w:val="auto"/>
        </w:rPr>
      </w:pPr>
    </w:p>
    <w:p>
      <w:pPr>
        <w:ind w:left="480" w:right="4360" w:hanging="480"/>
        <w:spacing w:after="0" w:line="367" w:lineRule="auto"/>
        <w:tabs>
          <w:tab w:leader="none" w:pos="480" w:val="left"/>
        </w:tabs>
        <w:numPr>
          <w:ilvl w:val="0"/>
          <w:numId w:val="6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SUMMARY OF SIGNIFICANT ACCOUNTING POLICIES Principles of Consolidation and Basis of Presentation</w:t>
      </w:r>
    </w:p>
    <w:p>
      <w:pPr>
        <w:spacing w:after="0" w:line="1"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ectPr>
          <w:pgSz w:w="11880" w:h="15480" w:orient="portrait"/>
          <w:cols w:equalWidth="0" w:num="1">
            <w:col w:w="10080"/>
          </w:cols>
          <w:pgMar w:left="900" w:top="735" w:right="90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146</w:t>
      </w:r>
    </w:p>
    <w:p>
      <w:pPr>
        <w:sectPr>
          <w:pgSz w:w="11880" w:h="15480" w:orient="portrait"/>
          <w:cols w:equalWidth="0" w:num="1">
            <w:col w:w="10080"/>
          </w:cols>
          <w:pgMar w:left="900" w:top="735" w:right="900" w:bottom="0" w:gutter="0" w:footer="0" w:header="0"/>
          <w:type w:val="continuous"/>
        </w:sectPr>
      </w:pPr>
    </w:p>
    <w:bookmarkStart w:id="154" w:name="page155"/>
    <w:bookmarkEnd w:id="154"/>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The Company believes that its existing cash and cash equivalents and marketable equity securities at December 31, 2025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3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117" w:lineRule="exact"/>
        <w:rPr>
          <w:sz w:val="20"/>
          <w:szCs w:val="20"/>
          <w:color w:val="auto"/>
        </w:rPr>
      </w:pPr>
    </w:p>
    <w:p>
      <w:pPr>
        <w:ind w:right="80" w:firstLine="490"/>
        <w:spacing w:after="0"/>
        <w:rPr>
          <w:sz w:val="20"/>
          <w:szCs w:val="20"/>
          <w:color w:val="auto"/>
        </w:rPr>
      </w:pPr>
      <w:r>
        <w:rPr>
          <w:rFonts w:ascii="Times New Roman" w:cs="Times New Roman" w:eastAsia="Times New Roman" w:hAnsi="Times New Roman"/>
          <w:sz w:val="20"/>
          <w:szCs w:val="20"/>
          <w:color w:val="231F20"/>
        </w:rPr>
        <w:t>The preparation of the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and the cash flows used in determining the fair value of acquired intangible assets. Actual results could differ from those estimates.</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Cash, Cash Equivalents and Restricted Cash</w:t>
      </w:r>
    </w:p>
    <w:p>
      <w:pPr>
        <w:spacing w:after="0" w:line="11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The Company considers all highly-liquid investments with an original maturity of three months or less from the date of purchase to be cash equivalents. Restricted cash primarily represents amounts that the Company is unable to access for operational purposes pursuant to letters of credit with a financial institution in connection with certain of the Company's operating leases. The Company had $4.7 million and $0.9 million of restricted cash as of December 31, 2025 and 2024, respectively.</w:t>
      </w:r>
    </w:p>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Accounts Receivable and Allowances</w:t>
      </w:r>
    </w:p>
    <w:p>
      <w:pPr>
        <w:spacing w:after="0" w:line="11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31F20"/>
        </w:rPr>
        <w:t>Accounts receivable primarily represents the net cash due from the Company’s customers, including payors, pharmaceutical companies, genetic counselors,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w:t>
      </w:r>
    </w:p>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Concentration of Credit Risk</w:t>
      </w:r>
    </w:p>
    <w:p>
      <w:pPr>
        <w:spacing w:after="0" w:line="117" w:lineRule="exact"/>
        <w:rPr>
          <w:sz w:val="20"/>
          <w:szCs w:val="20"/>
          <w:color w:val="auto"/>
        </w:rPr>
      </w:pPr>
    </w:p>
    <w:p>
      <w:pPr>
        <w:ind w:right="300" w:firstLine="490"/>
        <w:spacing w:after="0" w:line="251" w:lineRule="auto"/>
        <w:rPr>
          <w:sz w:val="20"/>
          <w:szCs w:val="20"/>
          <w:color w:val="auto"/>
        </w:rPr>
      </w:pPr>
      <w:r>
        <w:rPr>
          <w:rFonts w:ascii="Times New Roman" w:cs="Times New Roman" w:eastAsia="Times New Roman" w:hAnsi="Times New Roman"/>
          <w:sz w:val="20"/>
          <w:szCs w:val="20"/>
          <w:color w:val="231F20"/>
        </w:rPr>
        <w:t>Financial instruments that potentially expose the Company to concentrations of credit risk are primarily cash, cash equivalents, restricted cash and accounts receivable. The Company maintains cash balances that may exceed the insured limits by the Federal Deposit Insurance Corporation. The Company has not experienced any losses on its deposits of cash.</w:t>
      </w:r>
    </w:p>
    <w:p>
      <w:pPr>
        <w:spacing w:after="0" w:line="188" w:lineRule="exact"/>
        <w:rPr>
          <w:sz w:val="20"/>
          <w:szCs w:val="20"/>
          <w:color w:val="auto"/>
        </w:rPr>
      </w:pPr>
    </w:p>
    <w:p>
      <w:pPr>
        <w:jc w:val="both"/>
        <w:ind w:firstLine="490"/>
        <w:spacing w:after="0" w:line="251" w:lineRule="auto"/>
        <w:rPr>
          <w:sz w:val="20"/>
          <w:szCs w:val="20"/>
          <w:color w:val="auto"/>
        </w:rPr>
      </w:pPr>
      <w:r>
        <w:rPr>
          <w:rFonts w:ascii="Times New Roman" w:cs="Times New Roman" w:eastAsia="Times New Roman" w:hAnsi="Times New Roman"/>
          <w:sz w:val="20"/>
          <w:szCs w:val="20"/>
          <w:color w:val="231F20"/>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88" w:lineRule="exact"/>
        <w:rPr>
          <w:sz w:val="20"/>
          <w:szCs w:val="20"/>
          <w:color w:val="auto"/>
        </w:rPr>
      </w:pPr>
    </w:p>
    <w:p>
      <w:pPr>
        <w:jc w:val="both"/>
        <w:ind w:right="720" w:firstLine="490"/>
        <w:spacing w:after="0" w:line="251" w:lineRule="auto"/>
        <w:rPr>
          <w:sz w:val="20"/>
          <w:szCs w:val="20"/>
          <w:color w:val="auto"/>
        </w:rPr>
      </w:pPr>
      <w:r>
        <w:rPr>
          <w:rFonts w:ascii="Times New Roman" w:cs="Times New Roman" w:eastAsia="Times New Roman" w:hAnsi="Times New Roman"/>
          <w:sz w:val="20"/>
          <w:szCs w:val="20"/>
          <w:color w:val="231F20"/>
        </w:rPr>
        <w:t>There were no customers that represented a significant portion of the Company's revenues for the years ended December 31, 2025, 2024 and 2023, respectively. No single customer represents a material portion of the Company's accounts receivable as of December 31, 2025 and 2024.</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Inventories</w:t>
      </w:r>
    </w:p>
    <w:p>
      <w:pPr>
        <w:spacing w:after="0" w:line="117" w:lineRule="exact"/>
        <w:rPr>
          <w:sz w:val="20"/>
          <w:szCs w:val="20"/>
          <w:color w:val="auto"/>
        </w:rPr>
      </w:pPr>
    </w:p>
    <w:p>
      <w:pPr>
        <w:ind w:right="40" w:firstLine="490"/>
        <w:spacing w:after="0" w:line="239" w:lineRule="auto"/>
        <w:rPr>
          <w:sz w:val="20"/>
          <w:szCs w:val="20"/>
          <w:color w:val="auto"/>
        </w:rPr>
      </w:pPr>
      <w:r>
        <w:rPr>
          <w:rFonts w:ascii="Times New Roman" w:cs="Times New Roman" w:eastAsia="Times New Roman" w:hAnsi="Times New Roman"/>
          <w:sz w:val="20"/>
          <w:szCs w:val="20"/>
          <w:color w:val="231F20"/>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As of December 31, 2025, the Company had approximately $ 49.9 million of inventory and $1.7 million of inventory in process in the labs. As of December 31, 2024, the Company had approximately $36.9 million of inventory and $1.5 million of inventory in process in the labs.</w:t>
      </w:r>
    </w:p>
    <w:p>
      <w:pPr>
        <w:spacing w:after="0" w:line="20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The Company relies on a sole supplier for certain laboratory materials, equipment and services. Purchases from this supplier accounted for approximately 33%, 39% and 33% of total vendor payments for the years ended December 31, 2025, 2024 and 2023, respectively. Amounts due to this vendor approximated $15.9 million and $18.2 million at December 31, 2025 and 2024, respectively.</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147</w:t>
      </w:r>
    </w:p>
    <w:p>
      <w:pPr>
        <w:sectPr>
          <w:pgSz w:w="11880" w:h="15480" w:orient="portrait"/>
          <w:cols w:equalWidth="0" w:num="1">
            <w:col w:w="10080"/>
          </w:cols>
          <w:pgMar w:left="900" w:top="739" w:right="900" w:bottom="0" w:gutter="0" w:footer="0" w:header="0"/>
          <w:type w:val="continuous"/>
        </w:sectPr>
      </w:pPr>
    </w:p>
    <w:bookmarkStart w:id="155" w:name="page156"/>
    <w:bookmarkEnd w:id="155"/>
    <w:p>
      <w:pPr>
        <w:ind w:left="480"/>
        <w:spacing w:after="0"/>
        <w:rPr>
          <w:sz w:val="20"/>
          <w:szCs w:val="20"/>
          <w:color w:val="auto"/>
        </w:rPr>
      </w:pPr>
      <w:r>
        <w:rPr>
          <w:rFonts w:ascii="Times New Roman" w:cs="Times New Roman" w:eastAsia="Times New Roman" w:hAnsi="Times New Roman"/>
          <w:sz w:val="20"/>
          <w:szCs w:val="20"/>
          <w:b w:val="1"/>
          <w:bCs w:val="1"/>
          <w:color w:val="231F20"/>
        </w:rPr>
        <w:t>Prepaid expenses and Other Current Assets</w:t>
      </w:r>
    </w:p>
    <w:p>
      <w:pPr>
        <w:spacing w:after="0" w:line="12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capitalized implementation costs, the short-term portion of the Company’s contract asset related to Personalis and other receivables.</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Marketable Equity Securities</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Company holds marketable equity securities, all of which are publicly traded shares of common stock, which have quoted prices in active markets and are classified as short-term. The Company’s investment in marketable equity securities does not give the Company the ability to control or exercise significant influence over the investee. See Note 15, "Fair Value Measurements and Marketable Equity Securities" for further information. Changes in fair value are recorded in earnings within Other income, net on the consolidated statements of operations and comprehensive loss.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Long-Lived Assets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Property and Equipment and Intangibles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seven years for furniture and fixtures and 30-40 years for buildings.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3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Impairment of Long-Lived Assets</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year ended December 31, 2023. See Note 5, “Goodwill and Intangibles” for additional information. There were no impairment charges recognized related to long-lived assets during the years ended December 31, 2025 and 2024.</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Goodwill</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97"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2025, 2024 and 2023.</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Equity Method Investments</w:t>
      </w:r>
    </w:p>
    <w:p>
      <w:pPr>
        <w:spacing w:after="0" w:line="124" w:lineRule="exact"/>
        <w:rPr>
          <w:sz w:val="20"/>
          <w:szCs w:val="20"/>
          <w:color w:val="auto"/>
        </w:rPr>
      </w:pPr>
    </w:p>
    <w:p>
      <w:pPr>
        <w:ind w:right="520" w:firstLine="490"/>
        <w:spacing w:after="0" w:line="278" w:lineRule="auto"/>
        <w:rPr>
          <w:sz w:val="20"/>
          <w:szCs w:val="20"/>
          <w:color w:val="auto"/>
        </w:rPr>
      </w:pPr>
      <w:r>
        <w:rPr>
          <w:rFonts w:ascii="Times New Roman" w:cs="Times New Roman" w:eastAsia="Times New Roman" w:hAnsi="Times New Roman"/>
          <w:sz w:val="19"/>
          <w:szCs w:val="19"/>
          <w:color w:val="231F20"/>
        </w:rPr>
        <w:t xml:space="preserve">The Company uses the equity method to account for investments in which it has the ability to exercise significant influence over the investee's operating and financial policies. The Company follows the guidance in ASC 323, </w:t>
      </w:r>
      <w:r>
        <w:rPr>
          <w:rFonts w:ascii="Times New Roman" w:cs="Times New Roman" w:eastAsia="Times New Roman" w:hAnsi="Times New Roman"/>
          <w:sz w:val="19"/>
          <w:szCs w:val="19"/>
          <w:i w:val="1"/>
          <w:iCs w:val="1"/>
          <w:color w:val="231F20"/>
        </w:rPr>
        <w:t>Investments—Equity Method and Joint Ventures</w:t>
      </w:r>
      <w:r>
        <w:rPr>
          <w:rFonts w:ascii="Times New Roman" w:cs="Times New Roman" w:eastAsia="Times New Roman" w:hAnsi="Times New Roman"/>
          <w:sz w:val="19"/>
          <w:szCs w:val="19"/>
          <w:color w:val="231F20"/>
        </w:rPr>
        <w:t>, which prescribes the use of the equity method for investments in joint</w:t>
      </w:r>
    </w:p>
    <w:p>
      <w:pPr>
        <w:sectPr>
          <w:pgSz w:w="11880" w:h="15480" w:orient="portrait"/>
          <w:cols w:equalWidth="0" w:num="1">
            <w:col w:w="10080"/>
          </w:cols>
          <w:pgMar w:left="900" w:top="735" w:right="900"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148</w:t>
      </w:r>
    </w:p>
    <w:p>
      <w:pPr>
        <w:sectPr>
          <w:pgSz w:w="11880" w:h="15480" w:orient="portrait"/>
          <w:cols w:equalWidth="0" w:num="1">
            <w:col w:w="10080"/>
          </w:cols>
          <w:pgMar w:left="900" w:top="735" w:right="900" w:bottom="0" w:gutter="0" w:footer="0" w:header="0"/>
          <w:type w:val="continuous"/>
        </w:sectPr>
      </w:pPr>
    </w:p>
    <w:bookmarkStart w:id="156" w:name="page157"/>
    <w:bookmarkEnd w:id="156"/>
    <w:p>
      <w:pPr>
        <w:spacing w:after="0" w:line="263" w:lineRule="auto"/>
        <w:rPr>
          <w:sz w:val="20"/>
          <w:szCs w:val="20"/>
          <w:color w:val="auto"/>
        </w:rPr>
      </w:pPr>
      <w:r>
        <w:rPr>
          <w:rFonts w:ascii="Times New Roman" w:cs="Times New Roman" w:eastAsia="Times New Roman" w:hAnsi="Times New Roman"/>
          <w:sz w:val="19"/>
          <w:szCs w:val="19"/>
          <w:color w:val="231F20"/>
        </w:rPr>
        <w:t>ventures where the Company has significant influence. The Company records the initial investment at cost and is subsequently adjusted by the Company's share, based on percentage ownership, of the investee's net income or loss after the date of investment. For the Company's foreign-based equity method investment, the proportionate share of the investee's income is translated into USD at the average exchange rate for the period and the investment is translated using the exchange rate as of the end of the reporting period. The unrealized gains and losses associated with the foreign currency translation of the investment are deferred in accumulated other comprehensive income on the Company's consolidated balance sheets.</w:t>
      </w: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Variable Interest Entities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A variable interest entity (“VIE”) is an entity that (i) has insufficient equity to permit the entity to finance its activities without additional subordinated financial support, (ii) has equity investors who lack the characteristics of a controlling financial interest, or (iii) the entity is established with non-substantive voting rights (i.e., the entity deprives the majority economic interest holder(s) of voting rights). Under ASC 810, </w:t>
      </w:r>
      <w:r>
        <w:rPr>
          <w:rFonts w:ascii="Times New Roman" w:cs="Times New Roman" w:eastAsia="Times New Roman" w:hAnsi="Times New Roman"/>
          <w:sz w:val="20"/>
          <w:szCs w:val="20"/>
          <w:i w:val="1"/>
          <w:iCs w:val="1"/>
          <w:color w:val="231F20"/>
        </w:rPr>
        <w:t>Consolidation</w:t>
      </w:r>
      <w:r>
        <w:rPr>
          <w:rFonts w:ascii="Times New Roman" w:cs="Times New Roman" w:eastAsia="Times New Roman" w:hAnsi="Times New Roman"/>
          <w:sz w:val="20"/>
          <w:szCs w:val="20"/>
          <w:color w:val="231F20"/>
        </w:rPr>
        <w:t>, an entity that holds a variable interest in a VIE and meets certain requirements would be considered to be the primary beneficiary of the VIE and required to consolidate the VIE in its consolidated financial statements. In order to be considered the primary beneficiary of a VIE, an entity must hold a variable interest in the VIE and have both:</w:t>
      </w:r>
    </w:p>
    <w:p>
      <w:pPr>
        <w:spacing w:after="0" w:line="94" w:lineRule="exact"/>
        <w:rPr>
          <w:sz w:val="20"/>
          <w:szCs w:val="20"/>
          <w:color w:val="auto"/>
        </w:rPr>
      </w:pPr>
    </w:p>
    <w:p>
      <w:pPr>
        <w:ind w:left="980" w:hanging="490"/>
        <w:spacing w:after="0"/>
        <w:tabs>
          <w:tab w:leader="none" w:pos="98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power to direct the activities that most significantly impact the economic performance of the VIE; and</w:t>
      </w:r>
    </w:p>
    <w:p>
      <w:pPr>
        <w:spacing w:after="0" w:line="133" w:lineRule="exact"/>
        <w:rPr>
          <w:rFonts w:ascii="Arial" w:cs="Arial" w:eastAsia="Arial" w:hAnsi="Arial"/>
          <w:sz w:val="20"/>
          <w:szCs w:val="20"/>
          <w:color w:val="231F20"/>
        </w:rPr>
      </w:pPr>
    </w:p>
    <w:p>
      <w:pPr>
        <w:ind w:left="980" w:right="740" w:hanging="490"/>
        <w:spacing w:after="0" w:line="276" w:lineRule="auto"/>
        <w:tabs>
          <w:tab w:leader="none" w:pos="980" w:val="left"/>
        </w:tabs>
        <w:numPr>
          <w:ilvl w:val="0"/>
          <w:numId w:val="64"/>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right to receive benefits from, or the obligation to absorb losses of, the VIE that could be potentially significant to the VIE.</w:t>
      </w:r>
    </w:p>
    <w:p>
      <w:pPr>
        <w:spacing w:after="0" w:line="17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If the Company is not the primary beneficiary in a VIE, it accounts for the investment or other variable interests in a VIE in accordance with applicable GAAP. Periodically, the Company assesses whether any changes in its interest or relationship with the entity affects its determination of whether the entity is a VIE and, if so, whether it is the primary beneficiary.</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Term Loan</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The Company’s outstanding term loan (see Note 12)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Revolving Credit Facility</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Company’s outstanding priority revolving loan commitments (see Note 12) is accounted for in accordance with ASC 470. The original issue discount and deferred financing fees are amortized into Interest expense within the consolidated statements of operations using the straight-line method over the term of the underlying revolving loan commitment, and the outstanding balance is presented within Revolving credit facility in the consolidated balance sheets.</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Convertible Senior Notes</w:t>
      </w:r>
    </w:p>
    <w:p>
      <w:pPr>
        <w:spacing w:after="0" w:line="124"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The Company's outstanding convertible senior notes (see Note 12) is accounted for in accordance with ASC 470. The Company determined the embedded conversion options, redemption features, and contingent interest and payments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 The initial purchasers' discount and deferred financing fees are amortized into Interest expense within the consolidated statements of operations using the straight-line method over the term of the underlying debt, and unamortized amounts are presented net of the principal balance within Convertible senior notes in the consolidated balance sheets.</w:t>
      </w:r>
    </w:p>
    <w:p>
      <w:pPr>
        <w:spacing w:after="0" w:line="20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In connection with the Notes, the Company entered into the Capped Call, or the Capped Call, with one of the initial purchasers and certain other financial institutions. The Capped Call is expected generally to reduce the potential dilution to our Class A common stock upon any conversion of the Notes and/or offset any cash payments the Company is required to make in excess of the principal amount of converted Notes, with such reduction and/or offset subject to a cap based on a cap price initially equal to $111.1950 per share, which is subject to certain adjustments under the terms of the Capped Call. The equity-classified Capped Call is not remeasured each reporting period and are recorded as a reduction to additional paid-in-capital within shareholders’ equity when purchased.</w:t>
      </w:r>
    </w:p>
    <w:p>
      <w:pPr>
        <w:sectPr>
          <w:pgSz w:w="11880" w:h="15480" w:orient="portrait"/>
          <w:cols w:equalWidth="0" w:num="1">
            <w:col w:w="10020"/>
          </w:cols>
          <w:pgMar w:left="900" w:top="739" w:right="96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149</w:t>
      </w:r>
    </w:p>
    <w:p>
      <w:pPr>
        <w:sectPr>
          <w:pgSz w:w="11880" w:h="15480" w:orient="portrait"/>
          <w:cols w:equalWidth="0" w:num="1">
            <w:col w:w="10020"/>
          </w:cols>
          <w:pgMar w:left="900" w:top="739" w:right="960" w:bottom="0" w:gutter="0" w:footer="0" w:header="0"/>
          <w:type w:val="continuous"/>
        </w:sectPr>
      </w:pPr>
    </w:p>
    <w:bookmarkStart w:id="157" w:name="page158"/>
    <w:bookmarkEnd w:id="157"/>
    <w:p>
      <w:pPr>
        <w:ind w:left="480"/>
        <w:spacing w:after="0"/>
        <w:rPr>
          <w:sz w:val="20"/>
          <w:szCs w:val="20"/>
          <w:color w:val="auto"/>
        </w:rPr>
      </w:pPr>
      <w:r>
        <w:rPr>
          <w:rFonts w:ascii="Times New Roman" w:cs="Times New Roman" w:eastAsia="Times New Roman" w:hAnsi="Times New Roman"/>
          <w:sz w:val="20"/>
          <w:szCs w:val="20"/>
          <w:b w:val="1"/>
          <w:bCs w:val="1"/>
          <w:color w:val="231F20"/>
        </w:rPr>
        <w:t>Convertible Note</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Company’s outstanding promissory note (see Note 12) is accounted for in accordance with ASC 470.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Business Combinations</w:t>
      </w:r>
    </w:p>
    <w:p>
      <w:pPr>
        <w:spacing w:after="0" w:line="16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accordance with ASC Topic 805, Business Combinations, we use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Assigning fair market values to the assets acquired and liabilities assumed at the date of an acquisition often requires the application of judgment regarding estimates and assumptions. These estimates include, but are not limited to, a market participant’s expectation of future cash flows from acquired customer relationships, acquired trade names, and acquired developed technology. All acquisition costs are expensed as incurred.</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Leases</w:t>
      </w:r>
    </w:p>
    <w:p>
      <w:pPr>
        <w:spacing w:after="0" w:line="12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w:t>
      </w:r>
    </w:p>
    <w:p>
      <w:pPr>
        <w:spacing w:after="0" w:line="19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ROU assets represent the Company’s right to use an underlying asset for the lease term, and lease liabilities represent the Company’s obligation to make lease payments arising from the lease. Operating ROU assets and operating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200"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19"/>
          <w:szCs w:val="19"/>
          <w:color w:val="231F20"/>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 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2025, the Company’s lease liabilities did not include any options to extend or terminate any of its leases.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Revenue Recognition</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The Company derives revenue from selling lab services (“Diagnostics”) to physicians, genetic counselors, academic research institutions, and other parties. The Company also derives revenue from the commercialization of data generated in the lab (“Data and applications”)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9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The Company accounts for revenue in accordance with Financial Accounting Standards Board (“FASB”) ASC 606 </w:t>
      </w:r>
      <w:r>
        <w:rPr>
          <w:rFonts w:ascii="Times New Roman" w:cs="Times New Roman" w:eastAsia="Times New Roman" w:hAnsi="Times New Roman"/>
          <w:sz w:val="20"/>
          <w:szCs w:val="20"/>
          <w:i w:val="1"/>
          <w:iCs w:val="1"/>
          <w:color w:val="231F20"/>
        </w:rPr>
        <w:t xml:space="preserve">Revenue from Contracts with Customers </w:t>
      </w:r>
      <w:r>
        <w:rPr>
          <w:rFonts w:ascii="Times New Roman" w:cs="Times New Roman" w:eastAsia="Times New Roman" w:hAnsi="Times New Roman"/>
          <w:sz w:val="20"/>
          <w:szCs w:val="20"/>
          <w:color w:val="231F20"/>
        </w:rPr>
        <w:t>(“ASC 606”). The Company commences revenue recognition when control of these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products is transferred to customers in an amount that 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w:t>
      </w:r>
    </w:p>
    <w:p>
      <w:pPr>
        <w:sectPr>
          <w:pgSz w:w="11880" w:h="15480" w:orient="portrait"/>
          <w:cols w:equalWidth="0" w:num="1">
            <w:col w:w="10080"/>
          </w:cols>
          <w:pgMar w:left="900" w:top="735" w:right="90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150</w:t>
      </w:r>
    </w:p>
    <w:p>
      <w:pPr>
        <w:sectPr>
          <w:pgSz w:w="11880" w:h="15480" w:orient="portrait"/>
          <w:cols w:equalWidth="0" w:num="1">
            <w:col w:w="10080"/>
          </w:cols>
          <w:pgMar w:left="900" w:top="735" w:right="900" w:bottom="0" w:gutter="0" w:footer="0" w:header="0"/>
          <w:type w:val="continuous"/>
        </w:sectPr>
      </w:pPr>
    </w:p>
    <w:bookmarkStart w:id="158" w:name="page159"/>
    <w:bookmarkEnd w:id="158"/>
    <w:p>
      <w:pPr>
        <w:ind w:right="140"/>
        <w:spacing w:after="0" w:line="277" w:lineRule="auto"/>
        <w:rPr>
          <w:sz w:val="20"/>
          <w:szCs w:val="20"/>
          <w:color w:val="auto"/>
        </w:rPr>
      </w:pPr>
      <w:r>
        <w:rPr>
          <w:rFonts w:ascii="Times New Roman" w:cs="Times New Roman" w:eastAsia="Times New Roman" w:hAnsi="Times New Roman"/>
          <w:sz w:val="20"/>
          <w:szCs w:val="20"/>
          <w:color w:val="231F20"/>
        </w:rPr>
        <w:t>terms are identified, (iv) the contract has commercial substance and (v) collectability of consideration is probable. Revenues and any contract assets are not recognized until such time that the required conditions are met.</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Disaggregation of Revenue</w:t>
      </w:r>
    </w:p>
    <w:p>
      <w:pPr>
        <w:spacing w:after="0" w:line="11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The Company provides disaggregation of revenue based on Diagnostics and Data and applications on the consolidated statements of operations and comprehensive loss, as it believes these best depict how the nature, amount, timing and uncertainty of revenue and cash flows are affected by economic factors.</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Diagnostics</w:t>
      </w:r>
    </w:p>
    <w:p>
      <w:pPr>
        <w:spacing w:after="0" w:line="124" w:lineRule="exact"/>
        <w:rPr>
          <w:sz w:val="20"/>
          <w:szCs w:val="20"/>
          <w:color w:val="auto"/>
        </w:rPr>
      </w:pPr>
    </w:p>
    <w:p>
      <w:pPr>
        <w:ind w:right="120" w:firstLine="490"/>
        <w:spacing w:after="0" w:line="270" w:lineRule="auto"/>
        <w:rPr>
          <w:sz w:val="20"/>
          <w:szCs w:val="20"/>
          <w:color w:val="auto"/>
        </w:rPr>
      </w:pPr>
      <w:r>
        <w:rPr>
          <w:rFonts w:ascii="Times New Roman" w:cs="Times New Roman" w:eastAsia="Times New Roman" w:hAnsi="Times New Roman"/>
          <w:sz w:val="19"/>
          <w:szCs w:val="19"/>
          <w:color w:val="231F20"/>
        </w:rPr>
        <w:t>The Company generally recognizes revenue for its Diagnostics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w:t>
      </w:r>
    </w:p>
    <w:p>
      <w:pPr>
        <w:spacing w:after="0" w:line="1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variable consideration using the expected value method which is based on historical collections in relation to established rates, as well as known current or anticipated reimbursement trends not reflected in the historical data. The Company uses significant judgment when assessing whether estimates of variable consideration are constrained and these estimates are calculated based upon both insurance payor-specific and aggregated factors that include historical billing and adjustment data. Estimates are inclusive of the consideration to which the Company will be entitled at an amount for which it is probable that a reversal of cumulative consideration will not occur.The Company monitors the estimated amount to be collected at each reporting period based on actual cash collections in order to assess whether a revision to the estimate is required. During the year ended December 31, 2023, the Company recognized $12.2 million from cash collections in excess of revenue recognized in prior years, primarily as a result of achieving a higher success rate on appeals than estimated. During the years ended December 31, 2025 and 2024, the amount recognized from cash collections in excess of revenue recognized in prior years was not material.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$884.5 million, $409.4 million and $328.4 million for the years ended December 31, 2025, 2024 and 2023, respectively.</w:t>
      </w:r>
    </w:p>
    <w:p>
      <w:pPr>
        <w:spacing w:after="0" w:line="20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Diagnostics revenue for direct bill orders of $70.9 million, $42.3 million and $34.6 million for the years ended December 31, 2025, 2024 and 2023, respectively.</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Data and applications</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Data and applications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applications product offering when it has met its performance obligation under the terms of the agreement with the customer. The Company’s product offerings are as follows:</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Insights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Company’s Insights product consists primarily of licensing and analysis of de -identified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w:t>
      </w:r>
    </w:p>
    <w:p>
      <w:pPr>
        <w:sectPr>
          <w:pgSz w:w="11880" w:h="15480" w:orient="portrait"/>
          <w:cols w:equalWidth="0" w:num="1">
            <w:col w:w="10080"/>
          </w:cols>
          <w:pgMar w:left="900" w:top="739" w:right="90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151</w:t>
      </w:r>
    </w:p>
    <w:p>
      <w:pPr>
        <w:sectPr>
          <w:pgSz w:w="11880" w:h="15480" w:orient="portrait"/>
          <w:cols w:equalWidth="0" w:num="1">
            <w:col w:w="10080"/>
          </w:cols>
          <w:pgMar w:left="900" w:top="739" w:right="900" w:bottom="0" w:gutter="0" w:footer="0" w:header="0"/>
          <w:type w:val="continuous"/>
        </w:sectPr>
      </w:pPr>
    </w:p>
    <w:bookmarkStart w:id="159" w:name="page160"/>
    <w:bookmarkEnd w:id="159"/>
    <w:p>
      <w:pPr>
        <w:ind w:right="60"/>
        <w:spacing w:after="0" w:line="249" w:lineRule="auto"/>
        <w:rPr>
          <w:sz w:val="20"/>
          <w:szCs w:val="20"/>
          <w:color w:val="auto"/>
        </w:rPr>
      </w:pPr>
      <w:r>
        <w:rPr>
          <w:rFonts w:ascii="Times New Roman" w:cs="Times New Roman" w:eastAsia="Times New Roman" w:hAnsi="Times New Roman"/>
          <w:sz w:val="20"/>
          <w:szCs w:val="20"/>
          <w:color w:val="231F20"/>
        </w:rPr>
        <w:t>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9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determined that the delivery of de-identified records and, when applicable, analytical services, and access to its enhanced Lens application are separate and distinct performance obligations. The primary Insights contract types are as follows:</w:t>
      </w:r>
    </w:p>
    <w:p>
      <w:pPr>
        <w:spacing w:after="0" w:line="83" w:lineRule="exact"/>
        <w:rPr>
          <w:sz w:val="20"/>
          <w:szCs w:val="20"/>
          <w:color w:val="auto"/>
        </w:rPr>
      </w:pPr>
    </w:p>
    <w:p>
      <w:pPr>
        <w:ind w:left="980" w:hanging="490"/>
        <w:spacing w:after="0" w:line="252"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Data licensing on a one-time or limited duration basis </w:t>
      </w:r>
      <w:r>
        <w:rPr>
          <w:rFonts w:ascii="Times New Roman" w:cs="Times New Roman" w:eastAsia="Times New Roman" w:hAnsi="Times New Roman"/>
          <w:sz w:val="20"/>
          <w:szCs w:val="20"/>
          <w:color w:val="231F20"/>
        </w:rPr>
        <w:t>– Customer licenses a specific dataset of records, and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7" w:lineRule="exact"/>
        <w:rPr>
          <w:rFonts w:ascii="Arial" w:cs="Arial" w:eastAsia="Arial" w:hAnsi="Arial"/>
          <w:sz w:val="20"/>
          <w:szCs w:val="20"/>
          <w:color w:val="231F20"/>
        </w:rPr>
      </w:pPr>
    </w:p>
    <w:p>
      <w:pPr>
        <w:jc w:val="both"/>
        <w:ind w:left="980" w:hanging="490"/>
        <w:spacing w:after="0" w:line="258"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Multi-year data subscriptions </w:t>
      </w:r>
      <w:r>
        <w:rPr>
          <w:rFonts w:ascii="Times New Roman" w:cs="Times New Roman" w:eastAsia="Times New Roman" w:hAnsi="Times New Roman"/>
          <w:sz w:val="20"/>
          <w:szCs w:val="20"/>
          <w:color w:val="231F20"/>
        </w:rPr>
        <w:t>– Customer licenses an interchangeable maximum number of de-identified records,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the Company accounts for the service as a right to access license and one performance obligation. Revenue is recognized as access to the dataset is provided, ratably over-time, with the measure of progress time-based.</w:t>
      </w:r>
    </w:p>
    <w:p>
      <w:pPr>
        <w:spacing w:after="0" w:line="81" w:lineRule="exact"/>
        <w:rPr>
          <w:rFonts w:ascii="Arial" w:cs="Arial" w:eastAsia="Arial" w:hAnsi="Arial"/>
          <w:sz w:val="20"/>
          <w:szCs w:val="20"/>
          <w:color w:val="231F20"/>
        </w:rPr>
      </w:pPr>
    </w:p>
    <w:p>
      <w:pPr>
        <w:ind w:left="980" w:right="160" w:hanging="490"/>
        <w:spacing w:after="0" w:line="252"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Analytical services and other services </w:t>
      </w:r>
      <w:r>
        <w:rPr>
          <w:rFonts w:ascii="Times New Roman" w:cs="Times New Roman" w:eastAsia="Times New Roman" w:hAnsi="Times New Roman"/>
          <w:sz w:val="20"/>
          <w:szCs w:val="20"/>
          <w:color w:val="231F20"/>
        </w:rPr>
        <w:t>– Services typically involve data analysis and research performed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behalf of the customer by the 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7" w:lineRule="exact"/>
        <w:rPr>
          <w:rFonts w:ascii="Arial" w:cs="Arial" w:eastAsia="Arial" w:hAnsi="Arial"/>
          <w:sz w:val="20"/>
          <w:szCs w:val="20"/>
          <w:color w:val="231F20"/>
        </w:rPr>
      </w:pPr>
    </w:p>
    <w:p>
      <w:pPr>
        <w:ind w:left="980" w:right="60" w:hanging="490"/>
        <w:spacing w:after="0" w:line="247"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Enhanced Lens application subscription services </w:t>
      </w:r>
      <w:r>
        <w:rPr>
          <w:rFonts w:ascii="Times New Roman" w:cs="Times New Roman" w:eastAsia="Times New Roman" w:hAnsi="Times New Roman"/>
          <w:sz w:val="20"/>
          <w:szCs w:val="20"/>
          <w:color w:val="231F20"/>
        </w:rPr>
        <w:t>– Customer licenses access to the Company’s enhanced Lens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85" w:lineRule="exact"/>
        <w:rPr>
          <w:rFonts w:ascii="Arial" w:cs="Arial" w:eastAsia="Arial" w:hAnsi="Arial"/>
          <w:sz w:val="20"/>
          <w:szCs w:val="20"/>
          <w:color w:val="231F20"/>
        </w:rPr>
      </w:pPr>
    </w:p>
    <w:p>
      <w:pPr>
        <w:ind w:left="980" w:right="480" w:hanging="490"/>
        <w:spacing w:after="0" w:line="249" w:lineRule="auto"/>
        <w:tabs>
          <w:tab w:leader="none" w:pos="980" w:val="left"/>
        </w:tabs>
        <w:numPr>
          <w:ilvl w:val="0"/>
          <w:numId w:val="6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Cloud hosting services </w:t>
      </w:r>
      <w:r>
        <w:rPr>
          <w:rFonts w:ascii="Times New Roman" w:cs="Times New Roman" w:eastAsia="Times New Roman" w:hAnsi="Times New Roman"/>
          <w:sz w:val="20"/>
          <w:szCs w:val="20"/>
          <w:color w:val="231F20"/>
        </w:rPr>
        <w:t>– The Company provides cloud hosting services to customers via a third party cloud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infrastructure provider. Revenue is recognized as the related compute and storage costs are incurred by the customer.</w:t>
      </w:r>
    </w:p>
    <w:p>
      <w:pPr>
        <w:spacing w:after="0" w:line="186" w:lineRule="exact"/>
        <w:rPr>
          <w:sz w:val="20"/>
          <w:szCs w:val="20"/>
          <w:color w:val="auto"/>
        </w:rPr>
      </w:pPr>
    </w:p>
    <w:p>
      <w:pPr>
        <w:ind w:right="120" w:firstLine="490"/>
        <w:spacing w:after="0" w:line="268" w:lineRule="auto"/>
        <w:rPr>
          <w:sz w:val="20"/>
          <w:szCs w:val="20"/>
          <w:color w:val="auto"/>
        </w:rPr>
      </w:pPr>
      <w:r>
        <w:rPr>
          <w:rFonts w:ascii="Times New Roman" w:cs="Times New Roman" w:eastAsia="Times New Roman" w:hAnsi="Times New Roman"/>
          <w:sz w:val="20"/>
          <w:szCs w:val="20"/>
          <w:color w:val="231F20"/>
        </w:rPr>
        <w:t>The Company recognized revenue from Insights products of $257.7 million, $186.8 million and $117.6 million for the years ended December 31, 2025, 2024 and 2023, respectively.</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31F20"/>
        </w:rPr>
        <w:t>Trials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Company’s Trials product includes TIME clinical trial matching services and other clinical trial services.</w:t>
      </w:r>
    </w:p>
    <w:p>
      <w:pPr>
        <w:spacing w:after="0" w:line="231" w:lineRule="exact"/>
        <w:rPr>
          <w:sz w:val="20"/>
          <w:szCs w:val="20"/>
          <w:color w:val="auto"/>
        </w:rPr>
      </w:pPr>
    </w:p>
    <w:p>
      <w:pPr>
        <w:ind w:right="100" w:firstLine="490"/>
        <w:spacing w:after="0" w:line="237" w:lineRule="auto"/>
        <w:rPr>
          <w:sz w:val="20"/>
          <w:szCs w:val="20"/>
          <w:color w:val="auto"/>
        </w:rPr>
      </w:pPr>
      <w:r>
        <w:rPr>
          <w:rFonts w:ascii="Times New Roman" w:cs="Times New Roman" w:eastAsia="Times New Roman" w:hAnsi="Times New Roman"/>
          <w:sz w:val="20"/>
          <w:szCs w:val="20"/>
          <w:color w:val="231F20"/>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96" w:lineRule="exact"/>
        <w:rPr>
          <w:sz w:val="20"/>
          <w:szCs w:val="20"/>
          <w:color w:val="auto"/>
        </w:rPr>
      </w:pPr>
    </w:p>
    <w:p>
      <w:pPr>
        <w:ind w:right="80" w:firstLine="490"/>
        <w:spacing w:after="0" w:line="235" w:lineRule="auto"/>
        <w:rPr>
          <w:sz w:val="20"/>
          <w:szCs w:val="20"/>
          <w:color w:val="auto"/>
        </w:rPr>
      </w:pPr>
      <w:r>
        <w:rPr>
          <w:rFonts w:ascii="Times New Roman" w:cs="Times New Roman" w:eastAsia="Times New Roman" w:hAnsi="Times New Roman"/>
          <w:sz w:val="20"/>
          <w:szCs w:val="20"/>
          <w:color w:val="231F20"/>
        </w:rPr>
        <w:t>In addition to TIME, the Company provides other clinical trial services conducting or supporting studies. Tempus Compass LLC, a subsidiary of the Company, is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201"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20"/>
          <w:szCs w:val="20"/>
          <w:color w:val="231F20"/>
        </w:rPr>
        <w:t>The Company recognized revenue from Trials products of $38.5 million, $42.4 million and $45.6 million for the years ended December 31, 2025, 2024 and 2023, respectively.</w:t>
      </w:r>
    </w:p>
    <w:p>
      <w:pPr>
        <w:sectPr>
          <w:pgSz w:w="11880" w:h="15480" w:orient="portrait"/>
          <w:cols w:equalWidth="0" w:num="1">
            <w:col w:w="10080"/>
          </w:cols>
          <w:pgMar w:left="900" w:top="739" w:right="900" w:bottom="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152</w:t>
      </w:r>
    </w:p>
    <w:p>
      <w:pPr>
        <w:sectPr>
          <w:pgSz w:w="11880" w:h="15480" w:orient="portrait"/>
          <w:cols w:equalWidth="0" w:num="1">
            <w:col w:w="10080"/>
          </w:cols>
          <w:pgMar w:left="900" w:top="739" w:right="900" w:bottom="0" w:gutter="0" w:footer="0" w:header="0"/>
          <w:type w:val="continuous"/>
        </w:sectPr>
      </w:pPr>
    </w:p>
    <w:bookmarkStart w:id="160" w:name="page161"/>
    <w:bookmarkEnd w:id="160"/>
    <w:p>
      <w:pPr>
        <w:ind w:left="480"/>
        <w:spacing w:after="0"/>
        <w:rPr>
          <w:sz w:val="20"/>
          <w:szCs w:val="20"/>
          <w:color w:val="auto"/>
        </w:rPr>
      </w:pPr>
      <w:r>
        <w:rPr>
          <w:rFonts w:ascii="Times New Roman" w:cs="Times New Roman" w:eastAsia="Times New Roman" w:hAnsi="Times New Roman"/>
          <w:sz w:val="20"/>
          <w:szCs w:val="20"/>
          <w:i w:val="1"/>
          <w:iCs w:val="1"/>
          <w:color w:val="231F20"/>
        </w:rPr>
        <w:t>Next</w:t>
      </w:r>
    </w:p>
    <w:p>
      <w:pPr>
        <w:spacing w:after="0" w:line="116"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20"/>
          <w:szCs w:val="20"/>
          <w:color w:val="231F20"/>
        </w:rPr>
        <w:t>The Company's Next product is an AI platform that leverages machine learning to apply an "intelligent layer" onto routinely generated data to proactively identify and minimize care gaps for oncology and cardiology patients. The Company evaluates each contract to determine which performance obligations are capable of being distinct and separately identifiable from other promises in the contract and, therefore, represent distinct performance obligations. Fixed-price subscriptions generally represent a single performance obligation and are recognized over-time. Revenue can also be recognized upon delivery of reports or certain milestones as defined by the contract.</w:t>
      </w:r>
    </w:p>
    <w:p>
      <w:pPr>
        <w:spacing w:after="0" w:line="190" w:lineRule="exact"/>
        <w:rPr>
          <w:sz w:val="20"/>
          <w:szCs w:val="20"/>
          <w:color w:val="auto"/>
        </w:rPr>
      </w:pPr>
    </w:p>
    <w:p>
      <w:pPr>
        <w:ind w:right="500" w:firstLine="490"/>
        <w:spacing w:after="0" w:line="268" w:lineRule="auto"/>
        <w:rPr>
          <w:sz w:val="20"/>
          <w:szCs w:val="20"/>
          <w:color w:val="auto"/>
        </w:rPr>
      </w:pPr>
      <w:r>
        <w:rPr>
          <w:rFonts w:ascii="Times New Roman" w:cs="Times New Roman" w:eastAsia="Times New Roman" w:hAnsi="Times New Roman"/>
          <w:sz w:val="20"/>
          <w:szCs w:val="20"/>
          <w:color w:val="231F20"/>
        </w:rPr>
        <w:t>The Company recognized revenue from Next of $20.1 million, $12.3 million and $5.1 million for the years ended December 31, 2025, 2024 and 2023, respectively.</w:t>
      </w:r>
    </w:p>
    <w:p>
      <w:pPr>
        <w:spacing w:after="0" w:line="168" w:lineRule="exact"/>
        <w:rPr>
          <w:sz w:val="20"/>
          <w:szCs w:val="20"/>
          <w:color w:val="auto"/>
        </w:rPr>
      </w:pPr>
    </w:p>
    <w:p>
      <w:pPr>
        <w:ind w:right="120" w:firstLine="490"/>
        <w:spacing w:after="0" w:line="237" w:lineRule="auto"/>
        <w:rPr>
          <w:sz w:val="20"/>
          <w:szCs w:val="20"/>
          <w:color w:val="auto"/>
        </w:rPr>
      </w:pPr>
      <w:r>
        <w:rPr>
          <w:rFonts w:ascii="Times New Roman" w:cs="Times New Roman" w:eastAsia="Times New Roman" w:hAnsi="Times New Roman"/>
          <w:sz w:val="20"/>
          <w:szCs w:val="20"/>
          <w:color w:val="231F20"/>
        </w:rPr>
        <w:t>For Insights, Trials and Next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applications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w:t>
      </w:r>
    </w:p>
    <w:p>
      <w:pPr>
        <w:spacing w:after="0" w:line="3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Multi-year Contract Performance Obligations</w:t>
      </w:r>
    </w:p>
    <w:p>
      <w:pPr>
        <w:spacing w:after="0" w:line="115" w:lineRule="exact"/>
        <w:rPr>
          <w:sz w:val="20"/>
          <w:szCs w:val="20"/>
          <w:color w:val="auto"/>
        </w:rPr>
      </w:pPr>
    </w:p>
    <w:p>
      <w:pPr>
        <w:ind w:right="80" w:firstLine="490"/>
        <w:spacing w:after="0" w:line="239" w:lineRule="auto"/>
        <w:rPr>
          <w:sz w:val="20"/>
          <w:szCs w:val="20"/>
          <w:color w:val="auto"/>
        </w:rPr>
      </w:pPr>
      <w:r>
        <w:rPr>
          <w:rFonts w:ascii="Times New Roman" w:cs="Times New Roman" w:eastAsia="Times New Roman" w:hAnsi="Times New Roman"/>
          <w:sz w:val="20"/>
          <w:szCs w:val="20"/>
          <w:color w:val="231F20"/>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$348.1 million as of December 31, 2025, of which the Company expects to recognize approximately 52% as revenue over the next year, and the remaining 37% and 11% of its remaining performance obligations as revenue in years two and three, respectively.</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Contract Assets</w:t>
      </w:r>
    </w:p>
    <w:p>
      <w:pPr>
        <w:spacing w:after="0" w:line="115" w:lineRule="exact"/>
        <w:rPr>
          <w:sz w:val="20"/>
          <w:szCs w:val="20"/>
          <w:color w:val="auto"/>
        </w:rPr>
      </w:pPr>
    </w:p>
    <w:p>
      <w:pPr>
        <w:ind w:right="20" w:firstLine="490"/>
        <w:spacing w:after="0" w:line="239" w:lineRule="auto"/>
        <w:rPr>
          <w:sz w:val="20"/>
          <w:szCs w:val="20"/>
          <w:color w:val="auto"/>
        </w:rPr>
      </w:pPr>
      <w:r>
        <w:rPr>
          <w:rFonts w:ascii="Times New Roman" w:cs="Times New Roman" w:eastAsia="Times New Roman" w:hAnsi="Times New Roman"/>
          <w:sz w:val="20"/>
          <w:szCs w:val="20"/>
          <w:color w:val="231F20"/>
        </w:rPr>
        <w:t>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December 31, 2025 and 2024 included contract assets of $8.1 million and $4.1 million, respectively.</w:t>
      </w:r>
    </w:p>
    <w:p>
      <w:pPr>
        <w:spacing w:after="0" w:line="199"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231F20"/>
        </w:rPr>
        <w:t>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Compensation—Stock Compensation. As revenue is recognized over the period of the contractual commitment of the MSA, the associated contract asset amortization is recorded as reduction of revenue. At each reporting period, the short-term portion of the warrant asset is adjusted based on the financial commitment. The warrant was terminated for no consideration on December 31, 2024. In accordance with ASC 606, the Company recognized $16.3 million in Data and applications revenue to reverse historical warrant contract asset amortization in the year ended December 31, 2024, of which $11.5 million was recorded as contra revenue in prior periods. Additionally, the Company recognized expense of $37.8 million in Other income, net to reverse the warrant contract asset balance as of December 31, 2024.</w:t>
      </w:r>
    </w:p>
    <w:p>
      <w:pPr>
        <w:spacing w:after="0" w:line="202" w:lineRule="exact"/>
        <w:rPr>
          <w:sz w:val="20"/>
          <w:szCs w:val="20"/>
          <w:color w:val="auto"/>
        </w:rPr>
      </w:pPr>
    </w:p>
    <w:p>
      <w:pPr>
        <w:ind w:right="40" w:firstLine="490"/>
        <w:spacing w:after="0" w:line="237" w:lineRule="auto"/>
        <w:rPr>
          <w:sz w:val="20"/>
          <w:szCs w:val="20"/>
          <w:color w:val="auto"/>
        </w:rPr>
      </w:pPr>
      <w:r>
        <w:rPr>
          <w:rFonts w:ascii="Times New Roman" w:cs="Times New Roman" w:eastAsia="Times New Roman" w:hAnsi="Times New Roman"/>
          <w:sz w:val="20"/>
          <w:szCs w:val="20"/>
          <w:color w:val="231F20"/>
        </w:rPr>
        <w:t>In November 2023, the Company entered into a Commercialization and Reference Laboratory Agreement with Personalis, Inc. (“Personalis”), which was subsequently amended in August 2024 and July 2025. The Company agreed to pay up to $12.0 million to Personalis over three years as certain milestones are met, all of which has been paid as of December 31, 2025. These payments are treated as contract assets and amortized into revenue over the life of the contract. Contract asset balances are offset by deferred revenue generated from receipt of warrants for Personalis common stock (see Note 15). As of December 31, 2025 and 2024 , there was $ 4.7 million and $3.0 million, respectively, of net contract assets related to this agreement recorded in Prepaid expenses and other current assets, respectively.</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Deferred Revenue</w:t>
      </w:r>
    </w:p>
    <w:p>
      <w:pPr>
        <w:spacing w:after="0" w:line="124" w:lineRule="exact"/>
        <w:rPr>
          <w:sz w:val="20"/>
          <w:szCs w:val="20"/>
          <w:color w:val="auto"/>
        </w:rPr>
      </w:pPr>
    </w:p>
    <w:p>
      <w:pPr>
        <w:ind w:right="100" w:firstLine="490"/>
        <w:spacing w:after="0" w:line="278" w:lineRule="auto"/>
        <w:rPr>
          <w:sz w:val="20"/>
          <w:szCs w:val="20"/>
          <w:color w:val="auto"/>
        </w:rPr>
      </w:pPr>
      <w:r>
        <w:rPr>
          <w:rFonts w:ascii="Times New Roman" w:cs="Times New Roman" w:eastAsia="Times New Roman" w:hAnsi="Times New Roman"/>
          <w:sz w:val="19"/>
          <w:szCs w:val="19"/>
          <w:color w:val="231F20"/>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applications product offerings and timing of</w:t>
      </w:r>
    </w:p>
    <w:p>
      <w:pPr>
        <w:sectPr>
          <w:pgSz w:w="11880" w:h="15480" w:orient="portrait"/>
          <w:cols w:equalWidth="0" w:num="1">
            <w:col w:w="10080"/>
          </w:cols>
          <w:pgMar w:left="900" w:top="733" w:right="900" w:bottom="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153</w:t>
      </w:r>
    </w:p>
    <w:p>
      <w:pPr>
        <w:sectPr>
          <w:pgSz w:w="11880" w:h="15480" w:orient="portrait"/>
          <w:cols w:equalWidth="0" w:num="1">
            <w:col w:w="10080"/>
          </w:cols>
          <w:pgMar w:left="900" w:top="733" w:right="900" w:bottom="0" w:gutter="0" w:footer="0" w:header="0"/>
          <w:type w:val="continuous"/>
        </w:sectPr>
      </w:pPr>
    </w:p>
    <w:bookmarkStart w:id="161" w:name="page162"/>
    <w:bookmarkEnd w:id="161"/>
    <w:p>
      <w:pPr>
        <w:ind w:right="140"/>
        <w:spacing w:after="0" w:line="249" w:lineRule="auto"/>
        <w:rPr>
          <w:sz w:val="20"/>
          <w:szCs w:val="20"/>
          <w:color w:val="auto"/>
        </w:rPr>
      </w:pPr>
      <w:r>
        <w:rPr>
          <w:rFonts w:ascii="Times New Roman" w:cs="Times New Roman" w:eastAsia="Times New Roman" w:hAnsi="Times New Roman"/>
          <w:sz w:val="20"/>
          <w:szCs w:val="20"/>
          <w:color w:val="231F20"/>
        </w:rPr>
        <w:t>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$74.0 million, $69.5 million and $43.5 million during the years ended December 31, 2025, 2024 and 2023, respectively, that was included in the corresponding deferred revenue balance at the beginning of the periods.</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Cost of Revenue, Diagnostics</w:t>
      </w:r>
    </w:p>
    <w:p>
      <w:pPr>
        <w:spacing w:after="0" w:line="124"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Cost of revenue for Diagnostics consists of personnel lab expenses, including salaries, bonuses, employee benefits, amortization of intangible assets, cost of laboratory supplies and consumables, depreciation of laboratory equipment, shipping costs, third-party laboratory costs, and certain allocated overhead expenses. Costs associated with performing the Company’s tests are recorded as the tests are processed regardless of whether revenue was recognized with respect to that test.</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Cost of Revenue, Data and applications</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Cost of revenue for Data and applications includes data acquisition and royalty fees, and personnel costs related to our delivery of our data services and platform, and certain allocated overhead expenses. Costs associated with performing data services are recorded as incurred.</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Technology Research and Development</w:t>
      </w:r>
    </w:p>
    <w:p>
      <w:pPr>
        <w:spacing w:after="0" w:line="12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Research and Development</w:t>
      </w:r>
    </w:p>
    <w:p>
      <w:pPr>
        <w:spacing w:after="0" w:line="124" w:lineRule="exact"/>
        <w:rPr>
          <w:sz w:val="20"/>
          <w:szCs w:val="20"/>
          <w:color w:val="auto"/>
        </w:rPr>
      </w:pPr>
    </w:p>
    <w:p>
      <w:pPr>
        <w:ind w:right="60" w:firstLine="490"/>
        <w:spacing w:after="0" w:line="261" w:lineRule="auto"/>
        <w:rPr>
          <w:sz w:val="20"/>
          <w:szCs w:val="20"/>
          <w:color w:val="auto"/>
        </w:rPr>
      </w:pPr>
      <w:r>
        <w:rPr>
          <w:rFonts w:ascii="Times New Roman" w:cs="Times New Roman" w:eastAsia="Times New Roman" w:hAnsi="Times New Roman"/>
          <w:sz w:val="20"/>
          <w:szCs w:val="20"/>
          <w:color w:val="231F20"/>
        </w:rPr>
        <w:t>Research and development expenses include costs incurred to develop new assays and algorithms, and include salaries and benefits, amortization of intangible assets, inventory costs, overhead costs, validation costs, contract services and other related costs</w:t>
      </w: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0"/>
          <w:szCs w:val="20"/>
          <w:color w:val="231F20"/>
        </w:rPr>
        <w:t xml:space="preserve"> Research and development costs are expensed as incurred.</w:t>
      </w:r>
    </w:p>
    <w:p>
      <w:pPr>
        <w:spacing w:after="0" w:line="2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401(k) Plan</w:t>
      </w:r>
    </w:p>
    <w:p>
      <w:pPr>
        <w:spacing w:after="0" w:line="124"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2025, 2024 and 2023, the Company did not match any employee contributions.</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Income Taxes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20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w:t>
      </w:r>
    </w:p>
    <w:p>
      <w:pPr>
        <w:sectPr>
          <w:pgSz w:w="11880" w:h="15480" w:orient="portrait"/>
          <w:cols w:equalWidth="0" w:num="1">
            <w:col w:w="10040"/>
          </w:cols>
          <w:pgMar w:left="900" w:top="739" w:right="940" w:bottom="0" w:gutter="0" w:footer="0" w:header="0"/>
        </w:sectPr>
      </w:pP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154</w:t>
      </w:r>
    </w:p>
    <w:p>
      <w:pPr>
        <w:sectPr>
          <w:pgSz w:w="11880" w:h="15480" w:orient="portrait"/>
          <w:cols w:equalWidth="0" w:num="1">
            <w:col w:w="10040"/>
          </w:cols>
          <w:pgMar w:left="900" w:top="739" w:right="940" w:bottom="0" w:gutter="0" w:footer="0" w:header="0"/>
          <w:type w:val="continuous"/>
        </w:sectPr>
      </w:pPr>
    </w:p>
    <w:bookmarkStart w:id="162" w:name="page163"/>
    <w:bookmarkEnd w:id="162"/>
    <w:p>
      <w:pPr>
        <w:ind w:right="480"/>
        <w:spacing w:after="0" w:line="277" w:lineRule="auto"/>
        <w:rPr>
          <w:sz w:val="20"/>
          <w:szCs w:val="20"/>
          <w:color w:val="auto"/>
        </w:rPr>
      </w:pPr>
      <w:r>
        <w:rPr>
          <w:rFonts w:ascii="Times New Roman" w:cs="Times New Roman" w:eastAsia="Times New Roman" w:hAnsi="Times New Roman"/>
          <w:sz w:val="20"/>
          <w:szCs w:val="20"/>
          <w:color w:val="231F20"/>
        </w:rPr>
        <w:t>above, the Company established a valuation allowance against the Company’s net deferred tax assets due to uncertainty surrounding the Company’s ability to generate future taxable income to realize these assets.</w:t>
      </w:r>
    </w:p>
    <w:p>
      <w:pPr>
        <w:spacing w:after="0" w:line="16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the Company had tax effected federal and state net operating loss (“NOL”) carryforward of approximately $332.8 million and $69.6 million, respectively, which may be available to offset future taxable income. The NOLs will begin to expire in 2037.</w:t>
      </w:r>
    </w:p>
    <w:p>
      <w:pPr>
        <w:spacing w:after="0" w:line="188"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the Company had federal and state credit carry forwards of $11.6 million, which may be able to offset future tax expense. The credits will begin to expire in 2039. A full valuation allowance has been recorded against the NOL and credit carry forwards.</w:t>
      </w:r>
    </w:p>
    <w:p>
      <w:pPr>
        <w:spacing w:after="0" w:line="18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200" w:lineRule="exact"/>
        <w:rPr>
          <w:sz w:val="20"/>
          <w:szCs w:val="20"/>
          <w:color w:val="auto"/>
        </w:rPr>
      </w:pPr>
    </w:p>
    <w:p>
      <w:pPr>
        <w:ind w:right="740" w:firstLine="490"/>
        <w:spacing w:after="0" w:line="277" w:lineRule="auto"/>
        <w:rPr>
          <w:sz w:val="20"/>
          <w:szCs w:val="20"/>
          <w:color w:val="auto"/>
        </w:rPr>
      </w:pPr>
      <w:r>
        <w:rPr>
          <w:rFonts w:ascii="Times New Roman" w:cs="Times New Roman" w:eastAsia="Times New Roman" w:hAnsi="Times New Roman"/>
          <w:sz w:val="20"/>
          <w:szCs w:val="20"/>
          <w:color w:val="231F20"/>
        </w:rPr>
        <w:t>The Company has concluded that as of December 31, 2025 and 2024, there are no uncertain positions taken or expected to be taken that would require recognition of a liability in the financial statements.</w:t>
      </w:r>
    </w:p>
    <w:p>
      <w:pPr>
        <w:spacing w:after="0" w:line="169"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31F20"/>
        </w:rPr>
        <w:t>The Company is subject to routine audits by taxing jurisdictions. As of December 31, 2025, the Company was not under audit in any jurisdiction.</w:t>
      </w:r>
    </w:p>
    <w:p>
      <w:pPr>
        <w:spacing w:after="0" w:line="2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Net Loss Per Share Attributable to Common Stockholders</w:t>
      </w:r>
    </w:p>
    <w:p>
      <w:pPr>
        <w:spacing w:after="0" w:line="115" w:lineRule="exact"/>
        <w:rPr>
          <w:sz w:val="20"/>
          <w:szCs w:val="20"/>
          <w:color w:val="auto"/>
        </w:rPr>
      </w:pPr>
    </w:p>
    <w:p>
      <w:pPr>
        <w:ind w:right="120" w:firstLine="490"/>
        <w:spacing w:after="0" w:line="234" w:lineRule="auto"/>
        <w:rPr>
          <w:sz w:val="20"/>
          <w:szCs w:val="20"/>
          <w:color w:val="auto"/>
        </w:rPr>
      </w:pPr>
      <w:r>
        <w:rPr>
          <w:rFonts w:ascii="Times New Roman" w:cs="Times New Roman" w:eastAsia="Times New Roman" w:hAnsi="Times New Roman"/>
          <w:sz w:val="20"/>
          <w:szCs w:val="20"/>
          <w:color w:val="231F20"/>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Prior to the IPO, under the two-class method, the net loss attributable to common stockholders was not allocated to the redeemable convertible preferred stock as the holders of its redeemable convertible preferred stock did not have a contractual obligation to share in the Company’s losses. Upon IPO, the Company’s redeemable convertible preferred stock converted to either Class A or Class B common stock and therefore will be included in allocation of net loss attributable to common stockholders as they will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Stock-Based Compensation</w:t>
      </w:r>
    </w:p>
    <w:p>
      <w:pPr>
        <w:spacing w:after="0" w:line="12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 xml:space="preserve">The Company recognizes stock-based compensation for equity awards with only a service condition on the grant-date fair value on a straight-line basis over the remaining requisite service period for the award, which is generally the vesting period. The company recognizes stock-based compensation for equity awards with a market or performance condition using an accelerated attribution model over the requisite service period for each separately vesting portion of the award. For those awards with a market condition, the company utilizes a Monte Carlo simulation model to estimate the fair value of the restricted stock units. The Monte Carlo simulation model requires the input of estimates and assumptions, including, but not limited to, the expected stock price volatility, the life of the award and the risk-free interest rate. The probability of actual shares expected to be earned is considered in the grant date fair value. As a result, the expense is not adjusted to reflect the actual shares earned. For those awards with a performance condition, the Company recognizes stock-based compensation if it is probable that the performance condition will be satisfied and will reflect the number of awards that ultimately vest. </w:t>
      </w:r>
      <w:r>
        <w:rPr>
          <w:rFonts w:ascii="Times New Roman" w:cs="Times New Roman" w:eastAsia="Times New Roman" w:hAnsi="Times New Roman"/>
          <w:sz w:val="19"/>
          <w:szCs w:val="19"/>
          <w:color w:val="231F20"/>
        </w:rPr>
        <w:t>At each</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reporting period, the Company reassesses the probability of achievement of the performance condition and any change in expense resulting from an adjustment to estimates is treated as a cumulative catch-up in the period of the adjustment. </w:t>
      </w:r>
      <w:r>
        <w:rPr>
          <w:rFonts w:ascii="Times New Roman" w:cs="Times New Roman" w:eastAsia="Times New Roman" w:hAnsi="Times New Roman"/>
          <w:sz w:val="20"/>
          <w:szCs w:val="20"/>
          <w:color w:val="231F20"/>
        </w:rPr>
        <w:t>The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Company recognizes forfeitures as they occur. See Note 11 for further information on stock-based compensation.</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Fair Value Measurements</w:t>
      </w:r>
    </w:p>
    <w:p>
      <w:pPr>
        <w:sectPr>
          <w:pgSz w:w="11880" w:h="15480" w:orient="portrait"/>
          <w:cols w:equalWidth="0" w:num="1">
            <w:col w:w="10060"/>
          </w:cols>
          <w:pgMar w:left="900" w:top="73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155</w:t>
      </w:r>
    </w:p>
    <w:p>
      <w:pPr>
        <w:sectPr>
          <w:pgSz w:w="11880" w:h="15480" w:orient="portrait"/>
          <w:cols w:equalWidth="0" w:num="1">
            <w:col w:w="10060"/>
          </w:cols>
          <w:pgMar w:left="900" w:top="739" w:right="920" w:bottom="0" w:gutter="0" w:footer="0" w:header="0"/>
          <w:type w:val="continuous"/>
        </w:sectPr>
      </w:pPr>
    </w:p>
    <w:bookmarkStart w:id="163" w:name="page164"/>
    <w:bookmarkEnd w:id="163"/>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Fair value is defined under GAAP as the price that would be received to sell an asset or paid to transfer a liability in an orderly transaction between market participants at the measurement date. Fair value is a market-based measurement that is determined based on assumptions that market participants would use in pricing an asset or a liability.</w:t>
      </w:r>
    </w:p>
    <w:p>
      <w:pPr>
        <w:spacing w:after="0" w:line="187" w:lineRule="exact"/>
        <w:rPr>
          <w:sz w:val="20"/>
          <w:szCs w:val="20"/>
          <w:color w:val="auto"/>
        </w:rPr>
      </w:pPr>
    </w:p>
    <w:p>
      <w:pPr>
        <w:ind w:right="700" w:firstLine="490"/>
        <w:spacing w:after="0" w:line="268" w:lineRule="auto"/>
        <w:rPr>
          <w:sz w:val="20"/>
          <w:szCs w:val="20"/>
          <w:color w:val="auto"/>
        </w:rPr>
      </w:pPr>
      <w:r>
        <w:rPr>
          <w:rFonts w:ascii="Times New Roman" w:cs="Times New Roman" w:eastAsia="Times New Roman" w:hAnsi="Times New Roman"/>
          <w:sz w:val="20"/>
          <w:szCs w:val="20"/>
          <w:color w:val="231F20"/>
        </w:rPr>
        <w:t>To increase the comparability of fair value measures, the following hierarchy prioritizes the inputs in valuation methodologies used to measure fair value: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Level 1</w:t>
      </w:r>
      <w:r>
        <w:rPr>
          <w:rFonts w:ascii="Times New Roman" w:cs="Times New Roman" w:eastAsia="Times New Roman" w:hAnsi="Times New Roman"/>
          <w:sz w:val="20"/>
          <w:szCs w:val="20"/>
          <w:color w:val="231F20"/>
        </w:rPr>
        <w:t>—Measurements that reflect quoted prices (unadjusted) for identical assets or liabilities in active markets.</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Level 2</w:t>
      </w:r>
      <w:r>
        <w:rPr>
          <w:rFonts w:ascii="Times New Roman" w:cs="Times New Roman" w:eastAsia="Times New Roman" w:hAnsi="Times New Roman"/>
          <w:sz w:val="20"/>
          <w:szCs w:val="20"/>
          <w:color w:val="231F20"/>
        </w:rPr>
        <w:t>—Measurements that include other inputs that are directly or indirectly observable in the marketplace.</w:t>
      </w:r>
    </w:p>
    <w:p>
      <w:pPr>
        <w:spacing w:after="0" w:line="231" w:lineRule="exact"/>
        <w:rPr>
          <w:sz w:val="20"/>
          <w:szCs w:val="20"/>
          <w:color w:val="auto"/>
        </w:rPr>
      </w:pPr>
    </w:p>
    <w:p>
      <w:pPr>
        <w:ind w:right="40" w:firstLine="490"/>
        <w:spacing w:after="0" w:line="268" w:lineRule="auto"/>
        <w:rPr>
          <w:sz w:val="20"/>
          <w:szCs w:val="20"/>
          <w:color w:val="auto"/>
        </w:rPr>
      </w:pPr>
      <w:r>
        <w:rPr>
          <w:rFonts w:ascii="Times New Roman" w:cs="Times New Roman" w:eastAsia="Times New Roman" w:hAnsi="Times New Roman"/>
          <w:sz w:val="20"/>
          <w:szCs w:val="20"/>
          <w:i w:val="1"/>
          <w:iCs w:val="1"/>
          <w:color w:val="231F20"/>
        </w:rPr>
        <w:t>Level 3</w:t>
      </w:r>
      <w:r>
        <w:rPr>
          <w:rFonts w:ascii="Times New Roman" w:cs="Times New Roman" w:eastAsia="Times New Roman" w:hAnsi="Times New Roman"/>
          <w:sz w:val="20"/>
          <w:szCs w:val="20"/>
          <w:color w:val="231F20"/>
        </w:rPr>
        <w:t>—Measurements derived from valuation techniques in which one or more significant inputs or significant value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drivers are unobservable.</w:t>
      </w:r>
    </w:p>
    <w:p>
      <w:pPr>
        <w:spacing w:after="0" w:line="168" w:lineRule="exact"/>
        <w:rPr>
          <w:sz w:val="20"/>
          <w:szCs w:val="20"/>
          <w:color w:val="auto"/>
        </w:rPr>
      </w:pPr>
    </w:p>
    <w:p>
      <w:pPr>
        <w:ind w:right="80" w:firstLine="490"/>
        <w:spacing w:after="0" w:line="239" w:lineRule="auto"/>
        <w:rPr>
          <w:sz w:val="20"/>
          <w:szCs w:val="20"/>
          <w:color w:val="auto"/>
        </w:rPr>
      </w:pPr>
      <w:r>
        <w:rPr>
          <w:rFonts w:ascii="Times New Roman" w:cs="Times New Roman" w:eastAsia="Times New Roman" w:hAnsi="Times New Roman"/>
          <w:sz w:val="20"/>
          <w:szCs w:val="20"/>
          <w:color w:val="231F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15.</w:t>
      </w:r>
    </w:p>
    <w:p>
      <w:pPr>
        <w:spacing w:after="0" w:line="199" w:lineRule="exact"/>
        <w:rPr>
          <w:sz w:val="20"/>
          <w:szCs w:val="20"/>
          <w:color w:val="auto"/>
        </w:rPr>
      </w:pPr>
    </w:p>
    <w:p>
      <w:pPr>
        <w:ind w:right="400" w:firstLine="490"/>
        <w:spacing w:after="0" w:line="243" w:lineRule="auto"/>
        <w:rPr>
          <w:sz w:val="20"/>
          <w:szCs w:val="20"/>
          <w:color w:val="auto"/>
        </w:rPr>
      </w:pPr>
      <w:r>
        <w:rPr>
          <w:rFonts w:ascii="Times New Roman" w:cs="Times New Roman" w:eastAsia="Times New Roman" w:hAnsi="Times New Roman"/>
          <w:sz w:val="20"/>
          <w:szCs w:val="20"/>
          <w:color w:val="231F20"/>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Classification of Convertible Preferred Stock</w:t>
      </w:r>
    </w:p>
    <w:p>
      <w:pPr>
        <w:spacing w:after="0" w:line="115"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The Company’s Series A, B, B-1, B-2, C, D, E, F, G, G-2, G-3, G-4, and G-5 convertible preferred stock were classified outside of stockholders’ equity (deficit) because the holders of such shares have liquidation rights in the event of a deemed liquidation that, in certain situations, is not solely within the control of the Company.</w:t>
      </w: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Foreign Currency</w:t>
      </w:r>
    </w:p>
    <w:p>
      <w:pPr>
        <w:spacing w:after="0" w:line="115" w:lineRule="exact"/>
        <w:rPr>
          <w:sz w:val="20"/>
          <w:szCs w:val="20"/>
          <w:color w:val="auto"/>
        </w:rPr>
      </w:pPr>
    </w:p>
    <w:p>
      <w:pPr>
        <w:jc w:val="both"/>
        <w:ind w:right="280" w:firstLine="490"/>
        <w:spacing w:after="0" w:line="243" w:lineRule="auto"/>
        <w:rPr>
          <w:sz w:val="20"/>
          <w:szCs w:val="20"/>
          <w:color w:val="auto"/>
        </w:rPr>
      </w:pPr>
      <w:r>
        <w:rPr>
          <w:rFonts w:ascii="Times New Roman" w:cs="Times New Roman" w:eastAsia="Times New Roman" w:hAnsi="Times New Roman"/>
          <w:sz w:val="20"/>
          <w:szCs w:val="20"/>
          <w:color w:val="231F20"/>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Recently Adopted Accounting Standards</w:t>
      </w:r>
    </w:p>
    <w:p>
      <w:pPr>
        <w:spacing w:after="0" w:line="115" w:lineRule="exact"/>
        <w:rPr>
          <w:sz w:val="20"/>
          <w:szCs w:val="20"/>
          <w:color w:val="auto"/>
        </w:rPr>
      </w:pPr>
    </w:p>
    <w:p>
      <w:pPr>
        <w:ind w:right="220" w:firstLine="490"/>
        <w:spacing w:after="0" w:line="239" w:lineRule="auto"/>
        <w:rPr>
          <w:sz w:val="20"/>
          <w:szCs w:val="20"/>
          <w:color w:val="auto"/>
        </w:rPr>
      </w:pPr>
      <w:r>
        <w:rPr>
          <w:rFonts w:ascii="Times New Roman" w:cs="Times New Roman" w:eastAsia="Times New Roman" w:hAnsi="Times New Roman"/>
          <w:sz w:val="20"/>
          <w:szCs w:val="20"/>
          <w:color w:val="231F20"/>
        </w:rPr>
        <w:t>In December 2023, the FASB issued ASU 2023-09, “Income Taxes (Topic 740): Improvement to Income Tax Disclosures.” ASU 2023-09 requires additional disclosures aimed at enhancing the transparency and decision usefulness of income tax disclosures. The Company adopted the year-end disclosure requirements as of December 31, 2025 on a prospective basis. The adoption of the standard did not have a material impact on the Company's financial statements and resulted only in expanded income tax disclosure requirements.</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Recently Issued Accounting Pronouncements Not Yet Adopted</w:t>
      </w:r>
    </w:p>
    <w:p>
      <w:pPr>
        <w:spacing w:after="0" w:line="115" w:lineRule="exact"/>
        <w:rPr>
          <w:sz w:val="20"/>
          <w:szCs w:val="20"/>
          <w:color w:val="auto"/>
        </w:rPr>
      </w:pPr>
    </w:p>
    <w:p>
      <w:pPr>
        <w:ind w:firstLine="490"/>
        <w:spacing w:after="0" w:line="238"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w:t>
      </w:r>
    </w:p>
    <w:p>
      <w:pPr>
        <w:spacing w:after="0" w:line="196"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231F20"/>
        </w:rPr>
        <w:t>In November 2024, the FASB issued ASU 2024-04, “Debt with Conversion and Other Options (Subtopic 470-20): Induced Conversions of Convertible Debt Instruments”, which clarifies the requirements for determining whether certain settlements of convertible debt instruments should be accounted for as induced conversions.This ASU is effective for fiscal periods beginning after the year ended December 15, 2025, and for interim periods within those fiscal periods and may be</w:t>
      </w:r>
    </w:p>
    <w:p>
      <w:pPr>
        <w:sectPr>
          <w:pgSz w:w="11880" w:h="15480" w:orient="portrait"/>
          <w:cols w:equalWidth="0" w:num="1">
            <w:col w:w="10060"/>
          </w:cols>
          <w:pgMar w:left="900" w:top="731" w:right="92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156</w:t>
      </w:r>
    </w:p>
    <w:p>
      <w:pPr>
        <w:sectPr>
          <w:pgSz w:w="11880" w:h="15480" w:orient="portrait"/>
          <w:cols w:equalWidth="0" w:num="1">
            <w:col w:w="10060"/>
          </w:cols>
          <w:pgMar w:left="900" w:top="731" w:right="920" w:bottom="0" w:gutter="0" w:footer="0" w:header="0"/>
          <w:type w:val="continuous"/>
        </w:sectPr>
      </w:pPr>
    </w:p>
    <w:bookmarkStart w:id="164" w:name="page165"/>
    <w:bookmarkEnd w:id="164"/>
    <w:p>
      <w:pPr>
        <w:ind w:right="560"/>
        <w:spacing w:after="0" w:line="268" w:lineRule="auto"/>
        <w:rPr>
          <w:sz w:val="20"/>
          <w:szCs w:val="20"/>
          <w:color w:val="auto"/>
        </w:rPr>
      </w:pPr>
      <w:r>
        <w:rPr>
          <w:rFonts w:ascii="Times New Roman" w:cs="Times New Roman" w:eastAsia="Times New Roman" w:hAnsi="Times New Roman"/>
          <w:sz w:val="20"/>
          <w:szCs w:val="20"/>
          <w:color w:val="231F20"/>
        </w:rPr>
        <w:t>applied on a prospective or retrospective basis. The Company is currently evaluating the impact of this standard on the consolidated financial statements.</w:t>
      </w:r>
    </w:p>
    <w:p>
      <w:pPr>
        <w:spacing w:after="0" w:line="168"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231F20"/>
        </w:rPr>
        <w:t>In July 2025, the FASB issued ASU No. 2025-05, "Financial Instruments-Credit Losses (Topic 326): Measurement of Credit Losses for Accounts Receivable and Contract Assets". ASU 2025-05 provides a practical expedient that in developing reasonable and supportable forecasts as part of estimating expected credit losses, all entities may assume that current conditions as of the balance sheet date do not change for the remaining life of the asset. This ASU is effective for fiscal periods beginning after the year ended December 15, 2025, and for interim periods within those fiscal periods, with early adoption permitted and should be applied prospectively. The Company is currently evaluating the impact of the guidance on the consolidated financial statements and related disclosures.</w:t>
      </w:r>
    </w:p>
    <w:p>
      <w:pPr>
        <w:spacing w:after="0" w:line="196"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231F20"/>
        </w:rPr>
        <w:t>In September 2025, the FASB issued ASU 2025-06, “Intangibles-Goodwill and Other-Internal-Use Software (Subtopic 350-40): Targeted Improvements to the Accounting for Internal-Use Software.” ASU-2025-06 revises the recognition guidance for internal-use software by eliminating the previous model based on software development stages and introducing a principles-based approach. Under the new guidance, capitalization begins when management has authorized and committed to funding the project, and it is probable that the software will be completed and used for its intended purpose. This ASU is effective for interim periods and fiscal years beginning after December 15, 2027. This ASU permits an entity to apply the new guidance using either a prospective transition approach, a modified transition approach that is based on the status of the project and whether software costs were capitalized before the date of adoption, or a retrospective transition approach. The Company is currently evaluating the impact of the guidance on the related disclosures.</w:t>
      </w:r>
    </w:p>
    <w:p>
      <w:pPr>
        <w:spacing w:after="0" w:line="201"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231F20"/>
        </w:rPr>
        <w:t>In September 2025, the FASB issued ASU No. 2025-07, Derivatives and Hedging (Topic 815) and Revenue from Contracts with Customers (Topic 606), which amends the existing guidance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ASU is effective for fiscal years beginning after December 15, 2026. The Company is currently evaluating the impact of the guidance on the related disclosures.</w:t>
      </w:r>
    </w:p>
    <w:p>
      <w:pPr>
        <w:spacing w:after="0" w:line="317" w:lineRule="exact"/>
        <w:rPr>
          <w:sz w:val="20"/>
          <w:szCs w:val="20"/>
          <w:color w:val="auto"/>
        </w:rPr>
      </w:pPr>
    </w:p>
    <w:p>
      <w:pPr>
        <w:ind w:left="480" w:right="6940" w:hanging="480"/>
        <w:spacing w:after="0" w:line="366" w:lineRule="auto"/>
        <w:tabs>
          <w:tab w:leader="none" w:pos="480" w:val="left"/>
        </w:tabs>
        <w:numPr>
          <w:ilvl w:val="0"/>
          <w:numId w:val="6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BUSINESS COMBINATIONS Paige.AI, Inc.</w:t>
      </w:r>
    </w:p>
    <w:p>
      <w:pPr>
        <w:spacing w:after="0" w:line="1"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On August 22, 2025, (the "Paige Closing Date"), the Company completed its acquisition (the "Paige Acquisition") of Paige.AI, Inc. ("Paige"), a Delaware corporation, pursuant to an Agreement and Plan of Merger. Paige is an AI company specializing in digital pathology. The Paige Acquisition is expected to allow the Company to grow its dataset and establish a strong footprint in digital pathology with an industry leading technology portfolio.</w:t>
      </w:r>
    </w:p>
    <w:p>
      <w:pPr>
        <w:spacing w:after="0" w:line="19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acquired all of the issued and outstanding shares of Paige. The acquisition resulted in goodwill of $141.1 million. No goodwill is expected to be deductible for tax purposes. The aggregate acquisition date fair value of consideration for the Paige Acquisition totaled $101.5 million. Consideration consisted of $3.0 million of cash and the issuance of an aggregate of 1,256,977 shares of the Company's Class A common stock (the "Paige Stock Consideration"), which was valued at $80.52 per share, the closing price of the Company's Class A common stock on the Paige Closing Date.</w:t>
      </w:r>
    </w:p>
    <w:p>
      <w:pPr>
        <w:spacing w:after="0" w:line="19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A portion of the Paige Stock Consideration was paid to employees as consideration for transaction bonuses. Paige will pay approximately $3.2 million to fulfill employee tax obligations related to the issuance, of which $ 3.0 million has been paid as of December 31, 2025. The equivalent was withheld from those employees in the Company's Class A common stock and included in treasury stock. In accordance with the terms of the agreement, $6.9 million in equity consideration was held back and is payable within five business days of August 22, 2026. The net working capital adjustment resulted in a decrease to the acquisition price of $1.2 million which was recorded to goodwill. The $6.9 million holdback liability is recognized within Other long-term liabilities. The holdback liability is remeasured at fair value in each period following the closing with changes in fair value recorded within Selling, general and administrative expense.</w:t>
      </w:r>
    </w:p>
    <w:p>
      <w:pPr>
        <w:spacing w:after="0" w:line="202" w:lineRule="exact"/>
        <w:rPr>
          <w:sz w:val="20"/>
          <w:szCs w:val="20"/>
          <w:color w:val="auto"/>
        </w:rPr>
      </w:pPr>
    </w:p>
    <w:p>
      <w:pPr>
        <w:jc w:val="both"/>
        <w:ind w:right="660" w:firstLine="490"/>
        <w:spacing w:after="0" w:line="258" w:lineRule="auto"/>
        <w:rPr>
          <w:sz w:val="20"/>
          <w:szCs w:val="20"/>
          <w:color w:val="auto"/>
        </w:rPr>
      </w:pPr>
      <w:r>
        <w:rPr>
          <w:rFonts w:ascii="Times New Roman" w:cs="Times New Roman" w:eastAsia="Times New Roman" w:hAnsi="Times New Roman"/>
          <w:sz w:val="20"/>
          <w:szCs w:val="20"/>
          <w:color w:val="231F20"/>
        </w:rPr>
        <w:t>The Company incurred $0.9 million of transaction costs related to the Paige Acquisition during the year ended December 31, 2025, respectively, all of which was recorded within Selling, general and administrative expense in the consolidated statement of operations.</w:t>
      </w:r>
    </w:p>
    <w:p>
      <w:pPr>
        <w:sectPr>
          <w:pgSz w:w="11880" w:h="15480" w:orient="portrait"/>
          <w:cols w:equalWidth="0" w:num="1">
            <w:col w:w="10060"/>
          </w:cols>
          <w:pgMar w:left="900" w:top="7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157</w:t>
      </w:r>
    </w:p>
    <w:p>
      <w:pPr>
        <w:sectPr>
          <w:pgSz w:w="11880" w:h="15480" w:orient="portrait"/>
          <w:cols w:equalWidth="0" w:num="1">
            <w:col w:w="10060"/>
          </w:cols>
          <w:pgMar w:left="900" w:top="731" w:right="920" w:bottom="0" w:gutter="0" w:footer="0" w:header="0"/>
          <w:type w:val="continuous"/>
        </w:sectPr>
      </w:pPr>
    </w:p>
    <w:bookmarkStart w:id="165" w:name="page166"/>
    <w:bookmarkEnd w:id="165"/>
    <w:p>
      <w:pPr>
        <w:ind w:left="480"/>
        <w:spacing w:after="0"/>
        <w:rPr>
          <w:sz w:val="20"/>
          <w:szCs w:val="20"/>
          <w:color w:val="auto"/>
        </w:rPr>
      </w:pPr>
      <w:r>
        <w:rPr>
          <w:rFonts w:ascii="Times New Roman" w:cs="Times New Roman" w:eastAsia="Times New Roman" w:hAnsi="Times New Roman"/>
          <w:sz w:val="20"/>
          <w:szCs w:val="20"/>
          <w:color w:val="231F20"/>
        </w:rPr>
        <w:t>The following table summarizes the allocation of the aggregate purchase price of the Paige Acquisition (in thousands):</w:t>
      </w: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14142"/>
        </w:rPr>
        <w:t>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255905</wp:posOffset>
                </wp:positionH>
                <wp:positionV relativeFrom="paragraph">
                  <wp:posOffset>-141605</wp:posOffset>
                </wp:positionV>
                <wp:extent cx="5888990" cy="15430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8990" cy="154305"/>
                        </a:xfrm>
                        <a:prstGeom prst="rect">
                          <a:avLst/>
                        </a:prstGeom>
                        <a:solidFill>
                          <a:srgbClr val="E5E6E7"/>
                        </a:solidFill>
                      </wps:spPr>
                      <wps:bodyPr/>
                    </wps:wsp>
                  </a:graphicData>
                </a:graphic>
              </wp:anchor>
            </w:drawing>
          </mc:Choice>
          <mc:Fallback>
            <w:pict>
              <v:rect id="Shape 111" o:spid="_x0000_s1136" style="position:absolute;margin-left:20.15pt;margin-top:-11.1499pt;width:463.7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Cash</w:t>
            </w:r>
          </w:p>
        </w:tc>
        <w:tc>
          <w:tcPr>
            <w:tcW w:w="94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Accounts receivable</w:t>
            </w:r>
          </w:p>
        </w:tc>
        <w:tc>
          <w:tcPr>
            <w:tcW w:w="94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761</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Prepaid expenses and other current assets</w:t>
            </w:r>
          </w:p>
        </w:tc>
        <w:tc>
          <w:tcPr>
            <w:tcW w:w="940" w:type="dxa"/>
            <w:vAlign w:val="bottom"/>
            <w:tcBorders>
              <w:bottom w:val="single" w:sz="8" w:color="231F20"/>
            </w:tcBorders>
          </w:tcPr>
          <w:p>
            <w:pPr>
              <w:spacing w:after="0"/>
              <w:rPr>
                <w:sz w:val="21"/>
                <w:szCs w:val="21"/>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5,011</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Total current assets</w:t>
            </w:r>
          </w:p>
        </w:tc>
        <w:tc>
          <w:tcPr>
            <w:tcW w:w="940" w:type="dxa"/>
            <w:vAlign w:val="bottom"/>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8,623</w:t>
            </w: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9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Operating lease right-of-use assets</w:t>
            </w:r>
          </w:p>
        </w:tc>
        <w:tc>
          <w:tcPr>
            <w:tcW w:w="94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7,968</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Investments and other assets</w:t>
            </w:r>
          </w:p>
        </w:tc>
        <w:tc>
          <w:tcPr>
            <w:tcW w:w="9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Restricted cash</w:t>
            </w:r>
          </w:p>
        </w:tc>
        <w:tc>
          <w:tcPr>
            <w:tcW w:w="940" w:type="dxa"/>
            <w:vAlign w:val="bottom"/>
            <w:tcBorders>
              <w:bottom w:val="single" w:sz="8" w:color="231F20"/>
            </w:tcBorders>
            <w:shd w:val="clear" w:color="auto" w:fill="E5E6E7"/>
          </w:tcPr>
          <w:p>
            <w:pPr>
              <w:spacing w:after="0"/>
              <w:rPr>
                <w:sz w:val="21"/>
                <w:szCs w:val="21"/>
                <w:color w:val="auto"/>
              </w:rPr>
            </w:pP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2,870</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Total assets acquired</w:t>
            </w:r>
          </w:p>
        </w:tc>
        <w:tc>
          <w:tcPr>
            <w:tcW w:w="94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152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Accounts payable</w:t>
            </w:r>
          </w:p>
        </w:tc>
        <w:tc>
          <w:tcPr>
            <w:tcW w:w="940" w:type="dxa"/>
            <w:vAlign w:val="bottom"/>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538</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Accrued expenses</w:t>
            </w:r>
          </w:p>
        </w:tc>
        <w:tc>
          <w:tcPr>
            <w:tcW w:w="9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Operating lease liabilities</w:t>
            </w:r>
          </w:p>
        </w:tc>
        <w:tc>
          <w:tcPr>
            <w:tcW w:w="94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1,887</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Deferred revenue</w:t>
            </w:r>
          </w:p>
        </w:tc>
        <w:tc>
          <w:tcPr>
            <w:tcW w:w="940" w:type="dxa"/>
            <w:vAlign w:val="bottom"/>
            <w:tcBorders>
              <w:bottom w:val="single" w:sz="8" w:color="231F20"/>
            </w:tcBorders>
          </w:tcPr>
          <w:p>
            <w:pPr>
              <w:spacing w:after="0"/>
              <w:rPr>
                <w:sz w:val="21"/>
                <w:szCs w:val="21"/>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Total current liabilities</w:t>
            </w:r>
          </w:p>
        </w:tc>
        <w:tc>
          <w:tcPr>
            <w:tcW w:w="940" w:type="dxa"/>
            <w:vAlign w:val="bottom"/>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6,513</w:t>
            </w: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Deferred revenue, less current portion</w:t>
            </w:r>
          </w:p>
        </w:tc>
        <w:tc>
          <w:tcPr>
            <w:tcW w:w="9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Operating lease liabilities, less current portion</w:t>
            </w:r>
          </w:p>
        </w:tc>
        <w:tc>
          <w:tcPr>
            <w:tcW w:w="94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13,058</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Other long-term liabilities</w:t>
            </w:r>
          </w:p>
        </w:tc>
        <w:tc>
          <w:tcPr>
            <w:tcW w:w="940" w:type="dxa"/>
            <w:vAlign w:val="bottom"/>
            <w:tcBorders>
              <w:bottom w:val="single" w:sz="8" w:color="231F20"/>
            </w:tcBorders>
          </w:tcPr>
          <w:p>
            <w:pPr>
              <w:spacing w:after="0"/>
              <w:rPr>
                <w:sz w:val="21"/>
                <w:szCs w:val="21"/>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39,951</w:t>
            </w:r>
          </w:p>
        </w:tc>
        <w:tc>
          <w:tcPr>
            <w:tcW w:w="8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liabilities assumed</w:t>
            </w:r>
          </w:p>
        </w:tc>
        <w:tc>
          <w:tcPr>
            <w:tcW w:w="940" w:type="dxa"/>
            <w:vAlign w:val="bottom"/>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60,430</w:t>
            </w:r>
          </w:p>
        </w:tc>
        <w:tc>
          <w:tcPr>
            <w:tcW w:w="8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Net assets acquired and liabilities assumed</w:t>
            </w:r>
          </w:p>
        </w:tc>
        <w:tc>
          <w:tcPr>
            <w:tcW w:w="940" w:type="dxa"/>
            <w:vAlign w:val="bottom"/>
            <w:tcBorders>
              <w:top w:val="single" w:sz="8" w:color="231F20"/>
              <w:bottom w:val="single" w:sz="8" w:color="231F20"/>
            </w:tcBorders>
            <w:shd w:val="clear" w:color="auto" w:fill="E5E6E7"/>
          </w:tcPr>
          <w:p>
            <w:pPr>
              <w:jc w:val="right"/>
              <w:ind w:right="74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(39,613)</w:t>
            </w:r>
          </w:p>
        </w:tc>
        <w:tc>
          <w:tcPr>
            <w:tcW w:w="8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Goodwill</w:t>
            </w:r>
          </w:p>
        </w:tc>
        <w:tc>
          <w:tcPr>
            <w:tcW w:w="94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740" w:type="dxa"/>
            <w:vAlign w:val="bottom"/>
            <w:tcBorders>
              <w:bottom w:val="single" w:sz="8" w:color="E5E6E7"/>
            </w:tcBorders>
            <w:vMerge w:val="continue"/>
          </w:tcPr>
          <w:p>
            <w:pPr>
              <w:spacing w:after="0"/>
              <w:rPr>
                <w:sz w:val="23"/>
                <w:szCs w:val="23"/>
                <w:color w:val="auto"/>
              </w:rPr>
            </w:pPr>
          </w:p>
        </w:tc>
        <w:tc>
          <w:tcPr>
            <w:tcW w:w="940" w:type="dxa"/>
            <w:vAlign w:val="bottom"/>
            <w:tcBorders>
              <w:bottom w:val="single" w:sz="8" w:color="231F20"/>
            </w:tcBorders>
          </w:tcPr>
          <w:p>
            <w:pPr>
              <w:jc w:val="right"/>
              <w:ind w:right="74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141,130</w:t>
            </w:r>
          </w:p>
        </w:tc>
        <w:tc>
          <w:tcPr>
            <w:tcW w:w="80" w:type="dxa"/>
            <w:vAlign w:val="bottom"/>
            <w:tcBorders>
              <w:bottom w:val="single" w:sz="8" w:color="E5E6E7"/>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E5E6E7"/>
          </w:tcPr>
          <w:p>
            <w:pPr>
              <w:spacing w:after="0"/>
              <w:rPr>
                <w:sz w:val="19"/>
                <w:szCs w:val="19"/>
                <w:color w:val="auto"/>
              </w:rPr>
            </w:pPr>
          </w:p>
        </w:tc>
        <w:tc>
          <w:tcPr>
            <w:tcW w:w="940" w:type="dxa"/>
            <w:vAlign w:val="bottom"/>
            <w:shd w:val="clear" w:color="auto" w:fill="E5E6E7"/>
          </w:tcPr>
          <w:p>
            <w:pPr>
              <w:spacing w:after="0"/>
              <w:rPr>
                <w:sz w:val="19"/>
                <w:szCs w:val="19"/>
                <w:color w:val="auto"/>
              </w:rPr>
            </w:pPr>
          </w:p>
        </w:tc>
        <w:tc>
          <w:tcPr>
            <w:tcW w:w="152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Cash consideration</w:t>
            </w:r>
          </w:p>
        </w:tc>
        <w:tc>
          <w:tcPr>
            <w:tcW w:w="94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Stock consideration</w:t>
            </w:r>
          </w:p>
        </w:tc>
        <w:tc>
          <w:tcPr>
            <w:tcW w:w="940" w:type="dxa"/>
            <w:vAlign w:val="bottom"/>
            <w:tcBorders>
              <w:bottom w:val="single" w:sz="8" w:color="231F20"/>
            </w:tcBorders>
            <w:shd w:val="clear" w:color="auto" w:fill="E5E6E7"/>
          </w:tcPr>
          <w:p>
            <w:pPr>
              <w:spacing w:after="0"/>
              <w:rPr>
                <w:sz w:val="21"/>
                <w:szCs w:val="21"/>
                <w:color w:val="auto"/>
              </w:rPr>
            </w:pP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98,534</w:t>
            </w:r>
          </w:p>
        </w:tc>
        <w:tc>
          <w:tcPr>
            <w:tcW w:w="8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Total acquisition price</w:t>
            </w:r>
          </w:p>
        </w:tc>
        <w:tc>
          <w:tcPr>
            <w:tcW w:w="940" w:type="dxa"/>
            <w:vAlign w:val="bottom"/>
            <w:tcBorders>
              <w:bottom w:val="single" w:sz="8" w:color="231F20"/>
            </w:tcBorders>
          </w:tcPr>
          <w:p>
            <w:pPr>
              <w:jc w:val="right"/>
              <w:ind w:right="74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101,517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excess of purchase consideration over the fair value of the net assets acquired was recorded as goodwill, which is primarily attributed to the assembled workforce of the acquired company and expected growth in the Company's dataset. The Company also assumed $39.5 million of remaining purchase commitments under Paige's Microsoft Azure cloud services agreement in excess of forecasted usage, which is recorded in Other long-term liabilities.</w:t>
      </w:r>
    </w:p>
    <w:p>
      <w:pPr>
        <w:spacing w:after="0" w:line="194"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231F20"/>
        </w:rPr>
        <w:t>The following unaudited pro forma information shows the results of the Company's operations as though the acquisition had occurred as of the beginning of the comparable period, January 1, 2024 (in thousands):</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240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3040" w:type="dxa"/>
            <w:vAlign w:val="bottom"/>
            <w:tcBorders>
              <w:bottom w:val="single" w:sz="8" w:color="E5E6E7"/>
            </w:tcBorders>
          </w:tcPr>
          <w:p>
            <w:pPr>
              <w:spacing w:after="0"/>
              <w:rPr>
                <w:sz w:val="20"/>
                <w:szCs w:val="20"/>
                <w:color w:val="auto"/>
              </w:rPr>
            </w:pPr>
          </w:p>
        </w:tc>
        <w:tc>
          <w:tcPr>
            <w:tcW w:w="2280" w:type="dxa"/>
            <w:vAlign w:val="bottom"/>
            <w:tcBorders>
              <w:bottom w:val="single" w:sz="8" w:color="E5E6E7"/>
            </w:tcBorders>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5E6E7"/>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60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Borders>
              <w:bottom w:val="single" w:sz="8" w:color="E5E6E7"/>
            </w:tcBorders>
          </w:tcPr>
          <w:p>
            <w:pPr>
              <w:spacing w:after="0"/>
              <w:rPr>
                <w:sz w:val="20"/>
                <w:szCs w:val="20"/>
                <w:color w:val="auto"/>
              </w:rPr>
            </w:pPr>
          </w:p>
        </w:tc>
      </w:tr>
      <w:tr>
        <w:trPr>
          <w:trHeight w:val="239"/>
        </w:trPr>
        <w:tc>
          <w:tcPr>
            <w:tcW w:w="30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Revenues</w:t>
            </w:r>
          </w:p>
        </w:tc>
        <w:tc>
          <w:tcPr>
            <w:tcW w:w="2280" w:type="dxa"/>
            <w:vAlign w:val="bottom"/>
            <w:shd w:val="clear" w:color="auto" w:fill="E5E6E7"/>
          </w:tcPr>
          <w:p>
            <w:pPr>
              <w:spacing w:after="0"/>
              <w:rPr>
                <w:sz w:val="20"/>
                <w:szCs w:val="20"/>
                <w:color w:val="auto"/>
              </w:rPr>
            </w:pPr>
          </w:p>
        </w:tc>
        <w:tc>
          <w:tcPr>
            <w:tcW w:w="440" w:type="dxa"/>
            <w:vAlign w:val="bottom"/>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w w:val="79"/>
              </w:rPr>
              <w:t>$</w:t>
            </w:r>
          </w:p>
        </w:tc>
        <w:tc>
          <w:tcPr>
            <w:tcW w:w="14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1,272,648</w:t>
            </w:r>
          </w:p>
        </w:tc>
        <w:tc>
          <w:tcPr>
            <w:tcW w:w="100" w:type="dxa"/>
            <w:vAlign w:val="bottom"/>
            <w:shd w:val="clear" w:color="auto" w:fill="E5E6E7"/>
          </w:tcPr>
          <w:p>
            <w:pPr>
              <w:spacing w:after="0"/>
              <w:rPr>
                <w:sz w:val="20"/>
                <w:szCs w:val="20"/>
                <w:color w:val="auto"/>
              </w:rPr>
            </w:pPr>
          </w:p>
        </w:tc>
        <w:tc>
          <w:tcPr>
            <w:tcW w:w="820" w:type="dxa"/>
            <w:vAlign w:val="bottom"/>
            <w:shd w:val="clear" w:color="auto" w:fill="E5E6E7"/>
          </w:tcPr>
          <w:p>
            <w:pPr>
              <w:jc w:val="right"/>
              <w:ind w:right="460"/>
              <w:spacing w:after="0"/>
              <w:rPr>
                <w:sz w:val="20"/>
                <w:szCs w:val="20"/>
                <w:color w:val="auto"/>
              </w:rPr>
            </w:pPr>
            <w:r>
              <w:rPr>
                <w:rFonts w:ascii="Times New Roman" w:cs="Times New Roman" w:eastAsia="Times New Roman" w:hAnsi="Times New Roman"/>
                <w:sz w:val="20"/>
                <w:szCs w:val="20"/>
                <w:color w:val="414142"/>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698,213</w:t>
            </w:r>
          </w:p>
        </w:tc>
        <w:tc>
          <w:tcPr>
            <w:tcW w:w="80" w:type="dxa"/>
            <w:vAlign w:val="bottom"/>
            <w:shd w:val="clear" w:color="auto" w:fill="E5E6E7"/>
          </w:tcPr>
          <w:p>
            <w:pPr>
              <w:spacing w:after="0"/>
              <w:rPr>
                <w:sz w:val="20"/>
                <w:szCs w:val="20"/>
                <w:color w:val="auto"/>
              </w:rPr>
            </w:pPr>
          </w:p>
        </w:tc>
      </w:tr>
      <w:tr>
        <w:trPr>
          <w:trHeight w:val="268"/>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231F20"/>
              </w:rPr>
              <w:t>Net loss</w:t>
            </w:r>
          </w:p>
        </w:tc>
        <w:tc>
          <w:tcPr>
            <w:tcW w:w="2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(262,288)</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(747,605)</w:t>
            </w:r>
          </w:p>
        </w:tc>
        <w:tc>
          <w:tcPr>
            <w:tcW w:w="80" w:type="dxa"/>
            <w:vAlign w:val="bottom"/>
          </w:tcPr>
          <w:p>
            <w:pPr>
              <w:spacing w:after="0"/>
              <w:rPr>
                <w:sz w:val="23"/>
                <w:szCs w:val="23"/>
                <w:color w:val="auto"/>
              </w:rPr>
            </w:pPr>
          </w:p>
        </w:tc>
      </w:tr>
    </w:tbl>
    <w:p>
      <w:pPr>
        <w:spacing w:after="0" w:line="22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pro forma amounts have been calculated after applying the Company's accounting policies and adjusting the results of Paige to reflect acquisition-related transaction costs and the additional depreciation that would have been charged assuming the fair value adjustments to property and equipment, net had been applied from January 1, 2024. The unaudited pro forma financial information for the years ended December 31, 2025 and 2024 combines the Company's financial results and the historical results of Paige for the years ended December 31, 2025 and 2024.The pro forma results have been prepared for comparative purposes only and are not necessarily indicative of the actual results of operations had the acquisition taken place as of the beginning of the period presented, or the results that may occur in the future.</w:t>
      </w:r>
    </w:p>
    <w:p>
      <w:pPr>
        <w:spacing w:after="0" w:line="20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For the year ended December 31, 2025, Paige contributed $4.6 million of net revenue within Data and applications revenue and $2.2 million of net loss to the consolidated Tempus results.</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158</w:t>
      </w:r>
    </w:p>
    <w:p>
      <w:pPr>
        <w:sectPr>
          <w:pgSz w:w="11880" w:h="15480" w:orient="portrait"/>
          <w:cols w:equalWidth="0" w:num="1">
            <w:col w:w="10080"/>
          </w:cols>
          <w:pgMar w:left="900" w:top="739" w:right="900" w:bottom="0" w:gutter="0" w:footer="0" w:header="0"/>
          <w:type w:val="continuous"/>
        </w:sectPr>
      </w:pPr>
    </w:p>
    <w:bookmarkStart w:id="166" w:name="page167"/>
    <w:bookmarkEnd w:id="166"/>
    <w:p>
      <w:pPr>
        <w:ind w:right="380" w:firstLine="490"/>
        <w:spacing w:after="0" w:line="249" w:lineRule="auto"/>
        <w:rPr>
          <w:sz w:val="20"/>
          <w:szCs w:val="20"/>
          <w:color w:val="auto"/>
        </w:rPr>
      </w:pPr>
      <w:r>
        <w:rPr>
          <w:rFonts w:ascii="Times New Roman" w:cs="Times New Roman" w:eastAsia="Times New Roman" w:hAnsi="Times New Roman"/>
          <w:sz w:val="20"/>
          <w:szCs w:val="20"/>
          <w:color w:val="231F20"/>
        </w:rPr>
        <w:t>Pursuant to ASC 805, Business Combinations, the Company accounted for the Paige Acquisition as a business combination under the acquisition method of accounting. The valuation of assets acquired and liabilities assumed has not been finalized as of December 31, 2025. While all amounts remain subject to adjustments, the areas subject to the most significant potential adjustments are the assumed remaining purchase commitments. As a result, the Company recorded preliminary estimates for the fair value of assets acquired and liabilities assumed as of the Paige Closing Date.</w:t>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Deep 6</w:t>
      </w:r>
    </w:p>
    <w:p>
      <w:pPr>
        <w:spacing w:after="0" w:line="124"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231F20"/>
        </w:rPr>
        <w:t>On March 11, 2025, the Company acquired all of the issued and outstanding interests of Deep 6 AI, Inc. ("Deep 6"), a Delaware corporation (the "Deep 6 Acquisition"),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w:t>
      </w:r>
    </w:p>
    <w:p>
      <w:pPr>
        <w:spacing w:after="0" w:line="17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acquisition resulted in goodwill of $21.0 million. The aggregate acquisition date fair value of consideration for the Deep 6 Acquisition totaled $17.4 million. Consideration consisted of $4.3 million of cash and $13.1 million of the Company's Class A common stock. In accordance with the terms of the agreement, $0.8 million in equity consideration was held back and is payable within five business days of March 11, 2026. The net working capital adjustment resulted in a decrease to the acquisition price of $0.2 million which was recorded to goodwill. The $0.8 million holdback liability is recognized within Other long-term liabilities. The holdback liability is remeasured at fair value in each period following the closing within selling, general and administrative expense.</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Ambry Genetics Corporation</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w:t>
      </w:r>
    </w:p>
    <w:p>
      <w:pPr>
        <w:spacing w:after="0" w:line="7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 xml:space="preserve">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 The net working capital adjustment was finalized in September 2025, resulting in a decrease </w:t>
      </w:r>
      <w:r>
        <w:rPr>
          <w:rFonts w:ascii="Times New Roman" w:cs="Times New Roman" w:eastAsia="Times New Roman" w:hAnsi="Times New Roman"/>
          <w:sz w:val="19"/>
          <w:szCs w:val="19"/>
          <w:color w:val="231F20"/>
        </w:rPr>
        <w:t>to the acquisition price of $3.0 million which was recorded to goodwill.</w:t>
      </w:r>
    </w:p>
    <w:p>
      <w:pPr>
        <w:spacing w:after="0" w:line="20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spacing w:after="0" w:line="19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Company incurred $7.4 million of transaction costs related to the Ambry Acquisition, of which $4.7 million were recorded within Selling, general and administrative expense in the consolidated statement of operations during the year ended December 31, 2025.</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159</w:t>
      </w:r>
    </w:p>
    <w:p>
      <w:pPr>
        <w:sectPr>
          <w:pgSz w:w="11880" w:h="15480" w:orient="portrait"/>
          <w:cols w:equalWidth="0" w:num="1">
            <w:col w:w="10080"/>
          </w:cols>
          <w:pgMar w:left="900" w:top="739" w:right="900" w:bottom="0" w:gutter="0" w:footer="0" w:header="0"/>
          <w:type w:val="continuous"/>
        </w:sectPr>
      </w:pPr>
    </w:p>
    <w:bookmarkStart w:id="167" w:name="page168"/>
    <w:bookmarkEnd w:id="167"/>
    <w:p>
      <w:pPr>
        <w:ind w:right="94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allocation of the aggregate purchase price of the Ambry Acquisition (in thousands):</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414142"/>
        </w:rPr>
        <w:t>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255905</wp:posOffset>
                </wp:positionH>
                <wp:positionV relativeFrom="paragraph">
                  <wp:posOffset>-141605</wp:posOffset>
                </wp:positionV>
                <wp:extent cx="5888990" cy="15430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8990" cy="154305"/>
                        </a:xfrm>
                        <a:prstGeom prst="rect">
                          <a:avLst/>
                        </a:prstGeom>
                        <a:solidFill>
                          <a:srgbClr val="E5E6E7"/>
                        </a:solidFill>
                      </wps:spPr>
                      <wps:bodyPr/>
                    </wps:wsp>
                  </a:graphicData>
                </a:graphic>
              </wp:anchor>
            </w:drawing>
          </mc:Choice>
          <mc:Fallback>
            <w:pict>
              <v:rect id="Shape 112" o:spid="_x0000_s1137" style="position:absolute;margin-left:20.15pt;margin-top:-11.1499pt;width:463.7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Cash</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20,555</w:t>
            </w:r>
          </w:p>
        </w:tc>
        <w:tc>
          <w:tcPr>
            <w:tcW w:w="60" w:type="dxa"/>
            <w:vAlign w:val="bottom"/>
          </w:tcPr>
          <w:p>
            <w:pPr>
              <w:spacing w:after="0"/>
              <w:rPr>
                <w:sz w:val="19"/>
                <w:szCs w:val="19"/>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Accounts receivable</w:t>
            </w: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62,853</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Inventory</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11,188</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Prepaid expenses and other current assets</w:t>
            </w:r>
          </w:p>
        </w:tc>
        <w:tc>
          <w:tcPr>
            <w:tcW w:w="960" w:type="dxa"/>
            <w:vAlign w:val="bottom"/>
            <w:tcBorders>
              <w:bottom w:val="single" w:sz="8" w:color="231F20"/>
            </w:tcBorders>
            <w:shd w:val="clear" w:color="auto" w:fill="E5E6E7"/>
          </w:tcPr>
          <w:p>
            <w:pPr>
              <w:spacing w:after="0"/>
              <w:rPr>
                <w:sz w:val="21"/>
                <w:szCs w:val="21"/>
                <w:color w:val="auto"/>
              </w:rPr>
            </w:pP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10,153</w:t>
            </w:r>
          </w:p>
        </w:tc>
        <w:tc>
          <w:tcPr>
            <w:tcW w:w="60" w:type="dxa"/>
            <w:vAlign w:val="bottom"/>
            <w:shd w:val="clear" w:color="auto" w:fill="E5E6E7"/>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current assets</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104,749</w:t>
            </w:r>
          </w:p>
        </w:tc>
        <w:tc>
          <w:tcPr>
            <w:tcW w:w="60" w:type="dxa"/>
            <w:vAlign w:val="bottom"/>
          </w:tcPr>
          <w:p>
            <w:pPr>
              <w:spacing w:after="0"/>
              <w:rPr>
                <w:sz w:val="20"/>
                <w:szCs w:val="20"/>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Property and equipment, net</w:t>
            </w: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38,560</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26,198</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Investments and other assets</w:t>
            </w: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268</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Customer relationships</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234,000</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Trade names</w:t>
            </w: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33,000</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Developed technology - software</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18,000</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Developed technology - biotech</w:t>
            </w:r>
          </w:p>
        </w:tc>
        <w:tc>
          <w:tcPr>
            <w:tcW w:w="960" w:type="dxa"/>
            <w:vAlign w:val="bottom"/>
            <w:tcBorders>
              <w:bottom w:val="single" w:sz="8" w:color="231F20"/>
            </w:tcBorders>
            <w:shd w:val="clear" w:color="auto" w:fill="E5E6E7"/>
          </w:tcPr>
          <w:p>
            <w:pPr>
              <w:spacing w:after="0"/>
              <w:rPr>
                <w:sz w:val="21"/>
                <w:szCs w:val="21"/>
                <w:color w:val="auto"/>
              </w:rPr>
            </w:pP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114,000</w:t>
            </w:r>
          </w:p>
        </w:tc>
        <w:tc>
          <w:tcPr>
            <w:tcW w:w="60" w:type="dxa"/>
            <w:vAlign w:val="bottom"/>
            <w:shd w:val="clear" w:color="auto" w:fill="E5E6E7"/>
          </w:tcPr>
          <w:p>
            <w:pPr>
              <w:spacing w:after="0"/>
              <w:rPr>
                <w:sz w:val="21"/>
                <w:szCs w:val="21"/>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Total assets acquired</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568,775</w:t>
            </w:r>
          </w:p>
        </w:tc>
        <w:tc>
          <w:tcPr>
            <w:tcW w:w="60" w:type="dxa"/>
            <w:vAlign w:val="bottom"/>
          </w:tcPr>
          <w:p>
            <w:pPr>
              <w:spacing w:after="0"/>
              <w:rPr>
                <w:sz w:val="20"/>
                <w:szCs w:val="20"/>
                <w:color w:val="auto"/>
              </w:rPr>
            </w:pPr>
          </w:p>
        </w:tc>
      </w:tr>
      <w:tr>
        <w:trPr>
          <w:trHeight w:val="244"/>
        </w:trPr>
        <w:tc>
          <w:tcPr>
            <w:tcW w:w="6740" w:type="dxa"/>
            <w:vAlign w:val="bottom"/>
            <w:shd w:val="clear" w:color="auto" w:fill="E5E6E7"/>
          </w:tcPr>
          <w:p>
            <w:pPr>
              <w:spacing w:after="0"/>
              <w:rPr>
                <w:sz w:val="21"/>
                <w:szCs w:val="21"/>
                <w:color w:val="auto"/>
              </w:rPr>
            </w:pP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9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Accounts payable</w:t>
            </w:r>
          </w:p>
        </w:tc>
        <w:tc>
          <w:tcPr>
            <w:tcW w:w="960" w:type="dxa"/>
            <w:vAlign w:val="bottom"/>
            <w:shd w:val="clear" w:color="auto" w:fill="E5E6E7"/>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199</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Accrued expenses</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28,870</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Operating lease liabilities</w:t>
            </w: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3,008</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Deferred revenue</w:t>
            </w:r>
          </w:p>
        </w:tc>
        <w:tc>
          <w:tcPr>
            <w:tcW w:w="960" w:type="dxa"/>
            <w:vAlign w:val="bottom"/>
            <w:tcBorders>
              <w:bottom w:val="single" w:sz="8" w:color="231F20"/>
            </w:tcBorders>
          </w:tcPr>
          <w:p>
            <w:pPr>
              <w:spacing w:after="0"/>
              <w:rPr>
                <w:sz w:val="21"/>
                <w:szCs w:val="21"/>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1,347</w:t>
            </w:r>
          </w:p>
        </w:tc>
        <w:tc>
          <w:tcPr>
            <w:tcW w:w="60" w:type="dxa"/>
            <w:vAlign w:val="bottom"/>
            <w:tcBorders>
              <w:bottom w:val="single" w:sz="8" w:color="E5E6E7"/>
            </w:tcBorders>
          </w:tcPr>
          <w:p>
            <w:pPr>
              <w:spacing w:after="0"/>
              <w:rPr>
                <w:sz w:val="21"/>
                <w:szCs w:val="21"/>
                <w:color w:val="auto"/>
              </w:rPr>
            </w:pPr>
          </w:p>
        </w:tc>
      </w:tr>
      <w:tr>
        <w:trPr>
          <w:trHeight w:val="239"/>
        </w:trPr>
        <w:tc>
          <w:tcPr>
            <w:tcW w:w="67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Total current liabilities</w:t>
            </w:r>
          </w:p>
        </w:tc>
        <w:tc>
          <w:tcPr>
            <w:tcW w:w="960" w:type="dxa"/>
            <w:vAlign w:val="bottom"/>
            <w:shd w:val="clear" w:color="auto" w:fill="E5E6E7"/>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33,424</w:t>
            </w:r>
          </w:p>
        </w:tc>
        <w:tc>
          <w:tcPr>
            <w:tcW w:w="60" w:type="dxa"/>
            <w:vAlign w:val="bottom"/>
            <w:shd w:val="clear" w:color="auto" w:fill="E5E6E7"/>
          </w:tcPr>
          <w:p>
            <w:pPr>
              <w:spacing w:after="0"/>
              <w:rPr>
                <w:sz w:val="20"/>
                <w:szCs w:val="20"/>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Deferred revenue, less current portion</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1,099</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Operating lease liabilities, less current portion</w:t>
            </w:r>
          </w:p>
        </w:tc>
        <w:tc>
          <w:tcPr>
            <w:tcW w:w="960" w:type="dxa"/>
            <w:vAlign w:val="bottom"/>
            <w:shd w:val="clear" w:color="auto" w:fill="E5E6E7"/>
          </w:tcPr>
          <w:p>
            <w:pPr>
              <w:spacing w:after="0"/>
              <w:rPr>
                <w:sz w:val="21"/>
                <w:szCs w:val="21"/>
                <w:color w:val="auto"/>
              </w:rPr>
            </w:pP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23,259</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9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52,917</w:t>
            </w:r>
          </w:p>
        </w:tc>
        <w:tc>
          <w:tcPr>
            <w:tcW w:w="60" w:type="dxa"/>
            <w:vAlign w:val="bottom"/>
          </w:tcPr>
          <w:p>
            <w:pPr>
              <w:spacing w:after="0"/>
              <w:rPr>
                <w:sz w:val="21"/>
                <w:szCs w:val="21"/>
                <w:color w:val="auto"/>
              </w:rPr>
            </w:pPr>
          </w:p>
        </w:tc>
      </w:tr>
      <w:tr>
        <w:trPr>
          <w:trHeight w:val="244"/>
        </w:trPr>
        <w:tc>
          <w:tcPr>
            <w:tcW w:w="67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Other long-term liabilities</w:t>
            </w:r>
          </w:p>
        </w:tc>
        <w:tc>
          <w:tcPr>
            <w:tcW w:w="960" w:type="dxa"/>
            <w:vAlign w:val="bottom"/>
            <w:tcBorders>
              <w:bottom w:val="single" w:sz="8" w:color="231F20"/>
            </w:tcBorders>
            <w:shd w:val="clear" w:color="auto" w:fill="E5E6E7"/>
          </w:tcPr>
          <w:p>
            <w:pPr>
              <w:spacing w:after="0"/>
              <w:rPr>
                <w:sz w:val="21"/>
                <w:szCs w:val="21"/>
                <w:color w:val="auto"/>
              </w:rPr>
            </w:pP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368</w:t>
            </w:r>
          </w:p>
        </w:tc>
        <w:tc>
          <w:tcPr>
            <w:tcW w:w="60" w:type="dxa"/>
            <w:vAlign w:val="bottom"/>
            <w:shd w:val="clear" w:color="auto" w:fill="E5E6E7"/>
          </w:tcPr>
          <w:p>
            <w:pPr>
              <w:spacing w:after="0"/>
              <w:rPr>
                <w:sz w:val="21"/>
                <w:szCs w:val="21"/>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231F20"/>
              </w:rPr>
              <w:t>Total liabilities assumed</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111,067</w:t>
            </w:r>
          </w:p>
        </w:tc>
        <w:tc>
          <w:tcPr>
            <w:tcW w:w="60" w:type="dxa"/>
            <w:vAlign w:val="bottom"/>
          </w:tcPr>
          <w:p>
            <w:pPr>
              <w:spacing w:after="0"/>
              <w:rPr>
                <w:sz w:val="20"/>
                <w:szCs w:val="20"/>
                <w:color w:val="auto"/>
              </w:rPr>
            </w:pPr>
          </w:p>
        </w:tc>
      </w:tr>
      <w:tr>
        <w:trPr>
          <w:trHeight w:val="244"/>
        </w:trPr>
        <w:tc>
          <w:tcPr>
            <w:tcW w:w="6740" w:type="dxa"/>
            <w:vAlign w:val="bottom"/>
            <w:shd w:val="clear" w:color="auto" w:fill="E5E6E7"/>
          </w:tcPr>
          <w:p>
            <w:pPr>
              <w:spacing w:after="0"/>
              <w:rPr>
                <w:sz w:val="21"/>
                <w:szCs w:val="21"/>
                <w:color w:val="auto"/>
              </w:rPr>
            </w:pPr>
          </w:p>
        </w:tc>
        <w:tc>
          <w:tcPr>
            <w:tcW w:w="960" w:type="dxa"/>
            <w:vAlign w:val="bottom"/>
            <w:tcBorders>
              <w:bottom w:val="single" w:sz="8" w:color="231F20"/>
            </w:tcBorders>
            <w:shd w:val="clear" w:color="auto" w:fill="E5E6E7"/>
          </w:tcPr>
          <w:p>
            <w:pPr>
              <w:spacing w:after="0"/>
              <w:rPr>
                <w:sz w:val="21"/>
                <w:szCs w:val="21"/>
                <w:color w:val="auto"/>
              </w:rPr>
            </w:pPr>
          </w:p>
        </w:tc>
        <w:tc>
          <w:tcPr>
            <w:tcW w:w="1520" w:type="dxa"/>
            <w:vAlign w:val="bottom"/>
            <w:tcBorders>
              <w:bottom w:val="single" w:sz="8" w:color="231F20"/>
            </w:tcBorders>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79"/>
        </w:trPr>
        <w:tc>
          <w:tcPr>
            <w:tcW w:w="67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Net assets acquired and liabilities assumed</w:t>
            </w:r>
          </w:p>
        </w:tc>
        <w:tc>
          <w:tcPr>
            <w:tcW w:w="960" w:type="dxa"/>
            <w:vAlign w:val="bottom"/>
            <w:tcBorders>
              <w:bottom w:val="single" w:sz="8" w:color="231F20"/>
            </w:tcBorders>
          </w:tcPr>
          <w:p>
            <w:pPr>
              <w:jc w:val="right"/>
              <w:ind w:right="760"/>
              <w:spacing w:after="0"/>
              <w:rPr>
                <w:sz w:val="20"/>
                <w:szCs w:val="20"/>
                <w:color w:val="auto"/>
              </w:rPr>
            </w:pPr>
            <w:r>
              <w:rPr>
                <w:rFonts w:ascii="Times New Roman" w:cs="Times New Roman" w:eastAsia="Times New Roman" w:hAnsi="Times New Roman"/>
                <w:sz w:val="20"/>
                <w:szCs w:val="20"/>
                <w:color w:val="231F20"/>
                <w:w w:val="79"/>
              </w:rPr>
              <w:t>$</w:t>
            </w: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457,708</w:t>
            </w:r>
          </w:p>
        </w:tc>
        <w:tc>
          <w:tcPr>
            <w:tcW w:w="60" w:type="dxa"/>
            <w:vAlign w:val="bottom"/>
            <w:tcBorders>
              <w:bottom w:val="single" w:sz="8" w:color="E5E6E7"/>
            </w:tcBorders>
          </w:tcPr>
          <w:p>
            <w:pPr>
              <w:spacing w:after="0"/>
              <w:rPr>
                <w:sz w:val="24"/>
                <w:szCs w:val="24"/>
                <w:color w:val="auto"/>
              </w:rPr>
            </w:pPr>
          </w:p>
        </w:tc>
      </w:tr>
      <w:tr>
        <w:trPr>
          <w:trHeight w:val="229"/>
        </w:trPr>
        <w:tc>
          <w:tcPr>
            <w:tcW w:w="6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Goodwill</w:t>
            </w:r>
          </w:p>
        </w:tc>
        <w:tc>
          <w:tcPr>
            <w:tcW w:w="960" w:type="dxa"/>
            <w:vAlign w:val="bottom"/>
            <w:tcBorders>
              <w:bottom w:val="single" w:sz="8" w:color="231F20"/>
            </w:tcBorders>
            <w:shd w:val="clear" w:color="auto" w:fill="E5E6E7"/>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234,635</w:t>
            </w:r>
          </w:p>
        </w:tc>
        <w:tc>
          <w:tcPr>
            <w:tcW w:w="60" w:type="dxa"/>
            <w:vAlign w:val="bottom"/>
            <w:shd w:val="clear" w:color="auto" w:fill="E5E6E7"/>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6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Cash consideration</w:t>
            </w:r>
          </w:p>
        </w:tc>
        <w:tc>
          <w:tcPr>
            <w:tcW w:w="960" w:type="dxa"/>
            <w:vAlign w:val="bottom"/>
            <w:shd w:val="clear" w:color="auto" w:fill="E5E6E7"/>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394,296</w:t>
            </w:r>
          </w:p>
        </w:tc>
        <w:tc>
          <w:tcPr>
            <w:tcW w:w="60" w:type="dxa"/>
            <w:vAlign w:val="bottom"/>
            <w:shd w:val="clear" w:color="auto" w:fill="E5E6E7"/>
          </w:tcPr>
          <w:p>
            <w:pPr>
              <w:spacing w:after="0"/>
              <w:rPr>
                <w:sz w:val="21"/>
                <w:szCs w:val="21"/>
                <w:color w:val="auto"/>
              </w:rPr>
            </w:pPr>
          </w:p>
        </w:tc>
      </w:tr>
      <w:tr>
        <w:trPr>
          <w:trHeight w:val="244"/>
        </w:trPr>
        <w:tc>
          <w:tcPr>
            <w:tcW w:w="67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Stock consideration</w:t>
            </w:r>
          </w:p>
        </w:tc>
        <w:tc>
          <w:tcPr>
            <w:tcW w:w="960" w:type="dxa"/>
            <w:vAlign w:val="bottom"/>
            <w:tcBorders>
              <w:bottom w:val="single" w:sz="8" w:color="231F20"/>
            </w:tcBorders>
          </w:tcPr>
          <w:p>
            <w:pPr>
              <w:spacing w:after="0"/>
              <w:rPr>
                <w:sz w:val="21"/>
                <w:szCs w:val="21"/>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298,047</w:t>
            </w:r>
          </w:p>
        </w:tc>
        <w:tc>
          <w:tcPr>
            <w:tcW w:w="60" w:type="dxa"/>
            <w:vAlign w:val="bottom"/>
            <w:tcBorders>
              <w:bottom w:val="single" w:sz="8" w:color="E5E6E7"/>
            </w:tcBorders>
          </w:tcPr>
          <w:p>
            <w:pPr>
              <w:spacing w:after="0"/>
              <w:rPr>
                <w:sz w:val="21"/>
                <w:szCs w:val="21"/>
                <w:color w:val="auto"/>
              </w:rPr>
            </w:pPr>
          </w:p>
        </w:tc>
      </w:tr>
      <w:tr>
        <w:trPr>
          <w:trHeight w:val="239"/>
        </w:trPr>
        <w:tc>
          <w:tcPr>
            <w:tcW w:w="6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acquisition price</w:t>
            </w:r>
          </w:p>
        </w:tc>
        <w:tc>
          <w:tcPr>
            <w:tcW w:w="960" w:type="dxa"/>
            <w:vAlign w:val="bottom"/>
            <w:tcBorders>
              <w:bottom w:val="single" w:sz="8" w:color="231F20"/>
            </w:tcBorders>
            <w:shd w:val="clear" w:color="auto" w:fill="E5E6E7"/>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15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692,343</w:t>
            </w:r>
          </w:p>
        </w:tc>
        <w:tc>
          <w:tcPr>
            <w:tcW w:w="60" w:type="dxa"/>
            <w:vAlign w:val="bottom"/>
            <w:shd w:val="clear" w:color="auto" w:fill="E5E6E7"/>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w:t>
      </w:r>
    </w:p>
    <w:p>
      <w:pPr>
        <w:spacing w:after="0" w:line="197"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contributory asset charges and discount rate.</w:t>
      </w:r>
    </w:p>
    <w:p>
      <w:pPr>
        <w:spacing w:after="0" w:line="18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royalty rate, and discount rate. In addition, the valuation of developed technology assets included assumed obsolescence rates.</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160</w:t>
      </w:r>
    </w:p>
    <w:p>
      <w:pPr>
        <w:sectPr>
          <w:pgSz w:w="11880" w:h="15480" w:orient="portrait"/>
          <w:cols w:equalWidth="0" w:num="1">
            <w:col w:w="10080"/>
          </w:cols>
          <w:pgMar w:left="900" w:top="739" w:right="900" w:bottom="0" w:gutter="0" w:footer="0" w:header="0"/>
          <w:type w:val="continuous"/>
        </w:sectPr>
      </w:pPr>
    </w:p>
    <w:bookmarkStart w:id="168" w:name="page169"/>
    <w:bookmarkEnd w:id="168"/>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As described, the valuation of identifiable intangible assets acquired required various estimates and assumptions. The Company's management believes the fair values recognized for the assets acquired and liabilities assumed are based on reasonable estimates and assumptions.</w:t>
      </w:r>
    </w:p>
    <w:p>
      <w:pPr>
        <w:spacing w:after="0" w:line="188" w:lineRule="exact"/>
        <w:rPr>
          <w:sz w:val="20"/>
          <w:szCs w:val="20"/>
          <w:color w:val="auto"/>
        </w:rPr>
      </w:pPr>
    </w:p>
    <w:tbl>
      <w:tblPr>
        <w:tblLayout w:type="fixed"/>
        <w:tblInd w:w="400" w:type="dxa"/>
        <w:tblCellMar>
          <w:top w:w="0" w:type="dxa"/>
          <w:left w:w="0" w:type="dxa"/>
          <w:bottom w:w="0" w:type="dxa"/>
          <w:right w:w="0" w:type="dxa"/>
        </w:tblCellMar>
      </w:tblPr>
      <w:tr>
        <w:trPr>
          <w:trHeight w:val="266"/>
        </w:trPr>
        <w:tc>
          <w:tcPr>
            <w:tcW w:w="67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Estimated useful lives of the identifiable intangible assets acquired are as follows:</w:t>
            </w:r>
          </w:p>
        </w:tc>
        <w:tc>
          <w:tcPr>
            <w:tcW w:w="2520" w:type="dxa"/>
            <w:vAlign w:val="bottom"/>
          </w:tcPr>
          <w:p>
            <w:pPr>
              <w:spacing w:after="0"/>
              <w:rPr>
                <w:sz w:val="23"/>
                <w:szCs w:val="23"/>
                <w:color w:val="auto"/>
              </w:rPr>
            </w:pPr>
          </w:p>
        </w:tc>
      </w:tr>
      <w:tr>
        <w:trPr>
          <w:trHeight w:val="503"/>
        </w:trPr>
        <w:tc>
          <w:tcPr>
            <w:tcW w:w="6760" w:type="dxa"/>
            <w:vAlign w:val="bottom"/>
            <w:tcBorders>
              <w:bottom w:val="single" w:sz="8" w:color="E5E6E7"/>
            </w:tcBorders>
          </w:tcPr>
          <w:p>
            <w:pPr>
              <w:spacing w:after="0"/>
              <w:rPr>
                <w:sz w:val="24"/>
                <w:szCs w:val="24"/>
                <w:color w:val="auto"/>
              </w:rPr>
            </w:pPr>
          </w:p>
        </w:tc>
        <w:tc>
          <w:tcPr>
            <w:tcW w:w="25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Useful Life</w:t>
            </w:r>
          </w:p>
        </w:tc>
      </w:tr>
      <w:tr>
        <w:trPr>
          <w:trHeight w:val="239"/>
        </w:trPr>
        <w:tc>
          <w:tcPr>
            <w:tcW w:w="67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Customer relationships</w:t>
            </w:r>
          </w:p>
        </w:tc>
        <w:tc>
          <w:tcPr>
            <w:tcW w:w="25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14142"/>
                <w:w w:val="97"/>
              </w:rPr>
              <w:t>7 years</w:t>
            </w: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Trade names</w:t>
            </w: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7 years</w:t>
            </w:r>
          </w:p>
        </w:tc>
      </w:tr>
      <w:tr>
        <w:trPr>
          <w:trHeight w:val="244"/>
        </w:trPr>
        <w:tc>
          <w:tcPr>
            <w:tcW w:w="67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Developed technology - software</w:t>
            </w:r>
          </w:p>
        </w:tc>
        <w:tc>
          <w:tcPr>
            <w:tcW w:w="25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20"/>
                <w:szCs w:val="20"/>
                <w:color w:val="414142"/>
                <w:w w:val="97"/>
              </w:rPr>
              <w:t>3 years</w:t>
            </w:r>
          </w:p>
        </w:tc>
      </w:tr>
      <w:tr>
        <w:trPr>
          <w:trHeight w:val="266"/>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231F20"/>
              </w:rPr>
              <w:t>Developed technology - biotech</w:t>
            </w: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5 years</w:t>
            </w:r>
          </w:p>
        </w:tc>
      </w:tr>
    </w:tbl>
    <w:p>
      <w:pPr>
        <w:spacing w:after="0" w:line="223" w:lineRule="exact"/>
        <w:rPr>
          <w:sz w:val="20"/>
          <w:szCs w:val="20"/>
          <w:color w:val="auto"/>
        </w:rPr>
      </w:pPr>
    </w:p>
    <w:p>
      <w:pPr>
        <w:ind w:right="900" w:firstLine="490"/>
        <w:spacing w:after="0" w:line="277" w:lineRule="auto"/>
        <w:rPr>
          <w:sz w:val="20"/>
          <w:szCs w:val="20"/>
          <w:color w:val="auto"/>
        </w:rPr>
      </w:pPr>
      <w:r>
        <w:rPr>
          <w:rFonts w:ascii="Times New Roman" w:cs="Times New Roman" w:eastAsia="Times New Roman" w:hAnsi="Times New Roman"/>
          <w:sz w:val="20"/>
          <w:szCs w:val="20"/>
          <w:color w:val="231F20"/>
        </w:rPr>
        <w:t>The following unaudited pro forma information shows the results of the Company's operations as though the acquisition had occurred as of the beginning of the comparable period, January 1, 2024 (in thousands):</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240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5320" w:type="dxa"/>
            <w:vAlign w:val="bottom"/>
            <w:tcBorders>
              <w:bottom w:val="single" w:sz="8" w:color="E5E6E7"/>
            </w:tcBorders>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ind w:right="71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5E6E7"/>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60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Borders>
              <w:bottom w:val="single" w:sz="8" w:color="E5E6E7"/>
            </w:tcBorders>
          </w:tcPr>
          <w:p>
            <w:pPr>
              <w:spacing w:after="0"/>
              <w:rPr>
                <w:sz w:val="20"/>
                <w:szCs w:val="20"/>
                <w:color w:val="auto"/>
              </w:rPr>
            </w:pPr>
          </w:p>
        </w:tc>
      </w:tr>
      <w:tr>
        <w:trPr>
          <w:trHeight w:val="239"/>
        </w:trPr>
        <w:tc>
          <w:tcPr>
            <w:tcW w:w="5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Revenues</w:t>
            </w:r>
          </w:p>
        </w:tc>
        <w:tc>
          <w:tcPr>
            <w:tcW w:w="440" w:type="dxa"/>
            <w:vAlign w:val="bottom"/>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w w:val="79"/>
              </w:rPr>
              <w:t>$</w:t>
            </w:r>
          </w:p>
        </w:tc>
        <w:tc>
          <w:tcPr>
            <w:tcW w:w="14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1,304,712</w:t>
            </w:r>
          </w:p>
        </w:tc>
        <w:tc>
          <w:tcPr>
            <w:tcW w:w="100" w:type="dxa"/>
            <w:vAlign w:val="bottom"/>
            <w:shd w:val="clear" w:color="auto" w:fill="E5E6E7"/>
          </w:tcPr>
          <w:p>
            <w:pPr>
              <w:spacing w:after="0"/>
              <w:rPr>
                <w:sz w:val="20"/>
                <w:szCs w:val="20"/>
                <w:color w:val="auto"/>
              </w:rPr>
            </w:pPr>
          </w:p>
        </w:tc>
        <w:tc>
          <w:tcPr>
            <w:tcW w:w="820" w:type="dxa"/>
            <w:vAlign w:val="bottom"/>
            <w:shd w:val="clear" w:color="auto" w:fill="E5E6E7"/>
          </w:tcPr>
          <w:p>
            <w:pPr>
              <w:jc w:val="right"/>
              <w:ind w:right="460"/>
              <w:spacing w:after="0"/>
              <w:rPr>
                <w:sz w:val="20"/>
                <w:szCs w:val="20"/>
                <w:color w:val="auto"/>
              </w:rPr>
            </w:pPr>
            <w:r>
              <w:rPr>
                <w:rFonts w:ascii="Times New Roman" w:cs="Times New Roman" w:eastAsia="Times New Roman" w:hAnsi="Times New Roman"/>
                <w:sz w:val="20"/>
                <w:szCs w:val="20"/>
                <w:color w:val="414142"/>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986,031</w:t>
            </w:r>
          </w:p>
        </w:tc>
        <w:tc>
          <w:tcPr>
            <w:tcW w:w="80" w:type="dxa"/>
            <w:vAlign w:val="bottom"/>
            <w:shd w:val="clear" w:color="auto" w:fill="E5E6E7"/>
          </w:tcPr>
          <w:p>
            <w:pPr>
              <w:spacing w:after="0"/>
              <w:rPr>
                <w:sz w:val="20"/>
                <w:szCs w:val="20"/>
                <w:color w:val="auto"/>
              </w:rPr>
            </w:pPr>
          </w:p>
        </w:tc>
      </w:tr>
      <w:tr>
        <w:trPr>
          <w:trHeight w:val="268"/>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Net loss</w:t>
            </w: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(290,113)</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(663,437)</w:t>
            </w:r>
          </w:p>
        </w:tc>
        <w:tc>
          <w:tcPr>
            <w:tcW w:w="80" w:type="dxa"/>
            <w:vAlign w:val="bottom"/>
          </w:tcPr>
          <w:p>
            <w:pPr>
              <w:spacing w:after="0"/>
              <w:rPr>
                <w:sz w:val="23"/>
                <w:szCs w:val="23"/>
                <w:color w:val="auto"/>
              </w:rPr>
            </w:pPr>
          </w:p>
        </w:tc>
      </w:tr>
    </w:tbl>
    <w:p>
      <w:pPr>
        <w:spacing w:after="0" w:line="23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unaudited pro forma financial information for the year ended December 31, 2024 combines the Company's financial results and the historical results of Ambry for the years ended December 31, 2025 and 2024. Included in the adjustment is a $52.7 million tax benefit for the year ended December 31, 2025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w:t>
      </w:r>
    </w:p>
    <w:p>
      <w:pPr>
        <w:spacing w:after="0" w:line="206"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For the year ended December 31, 2025, Ambry contributed $362.7 million in net revenue within Diagnostics revenue and $1.8 million of net income to the consolidated Tempus results.</w:t>
      </w:r>
    </w:p>
    <w:p>
      <w:pPr>
        <w:spacing w:after="0" w:line="16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Pursuant to ASC 805, Business Combinations, the Company accounted for the Ambry Acquisition as a business combination under the acquisition method of accounting. During the year ended December 31, 2025, the Company recorded a measurement period adjustment to increase Deferred tax liabilities on the opening balance sheet by $6.4 million.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SEngine</w:t>
      </w:r>
    </w:p>
    <w:p>
      <w:pPr>
        <w:spacing w:after="0" w:line="115"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w:t>
      </w:r>
    </w:p>
    <w:p>
      <w:pPr>
        <w:spacing w:after="0" w:line="187"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231F20"/>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 In December 2024, the Company issued 19,620 shares of Class A common stock as payment of the contingent consideration. As of December 2024, no other amounts are due under the contingent consideration or holdback agreements.</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161</w:t>
      </w:r>
    </w:p>
    <w:p>
      <w:pPr>
        <w:sectPr>
          <w:pgSz w:w="11880" w:h="15480" w:orient="portrait"/>
          <w:cols w:equalWidth="0" w:num="1">
            <w:col w:w="10080"/>
          </w:cols>
          <w:pgMar w:left="900" w:top="739" w:right="900" w:bottom="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color w:val="231F20"/>
        </w:rPr>
        <w:t>Mpirik</w:t>
      </w:r>
    </w:p>
    <w:p>
      <w:pPr>
        <w:spacing w:after="0" w:line="115" w:lineRule="exact"/>
        <w:rPr>
          <w:sz w:val="20"/>
          <w:szCs w:val="20"/>
          <w:color w:val="auto"/>
        </w:rPr>
      </w:pPr>
    </w:p>
    <w:p>
      <w:pPr>
        <w:ind w:right="20" w:firstLine="490"/>
        <w:spacing w:after="0" w:line="235" w:lineRule="auto"/>
        <w:rPr>
          <w:sz w:val="20"/>
          <w:szCs w:val="20"/>
          <w:color w:val="auto"/>
        </w:rPr>
      </w:pPr>
      <w:r>
        <w:rPr>
          <w:rFonts w:ascii="Times New Roman" w:cs="Times New Roman" w:eastAsia="Times New Roman" w:hAnsi="Times New Roman"/>
          <w:sz w:val="20"/>
          <w:szCs w:val="20"/>
          <w:color w:val="231F20"/>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20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accordance with the terms of the agreement, the securityholders of the acquired business were entitled to receive contingent consideration from the Company payable in an aggregate value of $1.0 million in cash, contingent upon the acquired business reaching a revenue target of $ 1.5 million for the twelve-month period ended December 31, 2023. The contingent consideration had an acquisition fair value date of $0.4 million. The contingent consideration was remeasured at fair value in each period following the closing within selling, general and administrative expense. Mpirik did not achieve the revenue target for the twelve-month period ended December 31, 2023. As such, the contingent consideration liability was written down to $0.</w:t>
      </w:r>
    </w:p>
    <w:p>
      <w:pPr>
        <w:spacing w:after="0" w:line="316" w:lineRule="exact"/>
        <w:rPr>
          <w:sz w:val="20"/>
          <w:szCs w:val="20"/>
          <w:color w:val="auto"/>
        </w:rPr>
      </w:pPr>
    </w:p>
    <w:p>
      <w:pPr>
        <w:ind w:right="6320"/>
        <w:spacing w:after="0" w:line="386" w:lineRule="auto"/>
        <w:tabs>
          <w:tab w:leader="none" w:pos="490" w:val="left"/>
        </w:tabs>
        <w:numPr>
          <w:ilvl w:val="0"/>
          <w:numId w:val="67"/>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BALANCE SHEET COMPONENTS Property and Equipment, Net</w:t>
      </w:r>
    </w:p>
    <w:p>
      <w:pPr>
        <w:spacing w:after="0" w:line="1" w:lineRule="exact"/>
        <w:rPr>
          <w:rFonts w:ascii="Times New Roman" w:cs="Times New Roman" w:eastAsia="Times New Roman" w:hAnsi="Times New Roman"/>
          <w:sz w:val="19"/>
          <w:szCs w:val="19"/>
          <w:b w:val="1"/>
          <w:bCs w:val="1"/>
          <w:color w:val="231F20"/>
        </w:rPr>
      </w:pPr>
    </w:p>
    <w:p>
      <w:pPr>
        <w:ind w:left="480"/>
        <w:spacing w:after="0"/>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20"/>
          <w:szCs w:val="20"/>
          <w:color w:val="231F20"/>
        </w:rPr>
        <w:t>The following summarizes property and equipment, net as of December 31, 2025 and 2024 (in thousands):</w:t>
      </w:r>
    </w:p>
    <w:p>
      <w:pPr>
        <w:spacing w:after="0" w:line="33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80" w:type="dxa"/>
            <w:vAlign w:val="bottom"/>
          </w:tcPr>
          <w:p>
            <w:pPr>
              <w:spacing w:after="0"/>
              <w:rPr>
                <w:sz w:val="17"/>
                <w:szCs w:val="17"/>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39"/>
        </w:trPr>
        <w:tc>
          <w:tcPr>
            <w:tcW w:w="542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Equipment</w:t>
            </w:r>
          </w:p>
        </w:tc>
        <w:tc>
          <w:tcPr>
            <w:tcW w:w="1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6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143,651</w:t>
            </w:r>
          </w:p>
        </w:tc>
        <w:tc>
          <w:tcPr>
            <w:tcW w:w="240" w:type="dxa"/>
            <w:vAlign w:val="bottom"/>
            <w:tcBorders>
              <w:top w:val="single" w:sz="8" w:color="E5E6E7"/>
            </w:tcBorders>
            <w:shd w:val="clear" w:color="auto" w:fill="E5E6E7"/>
          </w:tcPr>
          <w:p>
            <w:pPr>
              <w:spacing w:after="0"/>
              <w:rPr>
                <w:sz w:val="20"/>
                <w:szCs w:val="20"/>
                <w:color w:val="auto"/>
              </w:rPr>
            </w:pPr>
          </w:p>
        </w:tc>
        <w:tc>
          <w:tcPr>
            <w:tcW w:w="1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6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110,011</w:t>
            </w:r>
          </w:p>
        </w:tc>
        <w:tc>
          <w:tcPr>
            <w:tcW w:w="80" w:type="dxa"/>
            <w:vAlign w:val="bottom"/>
            <w:tcBorders>
              <w:top w:val="single" w:sz="8" w:color="E5E6E7"/>
            </w:tcBorders>
            <w:shd w:val="clear" w:color="auto" w:fill="E5E6E7"/>
          </w:tcPr>
          <w:p>
            <w:pPr>
              <w:spacing w:after="0"/>
              <w:rPr>
                <w:sz w:val="20"/>
                <w:szCs w:val="20"/>
                <w:color w:val="auto"/>
              </w:rPr>
            </w:pPr>
          </w:p>
        </w:tc>
      </w:tr>
      <w:tr>
        <w:trPr>
          <w:trHeight w:val="244"/>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64,791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46,809</w:t>
            </w:r>
          </w:p>
        </w:tc>
        <w:tc>
          <w:tcPr>
            <w:tcW w:w="80" w:type="dxa"/>
            <w:vAlign w:val="bottom"/>
          </w:tcPr>
          <w:p>
            <w:pPr>
              <w:spacing w:after="0"/>
              <w:rPr>
                <w:sz w:val="21"/>
                <w:szCs w:val="21"/>
                <w:color w:val="auto"/>
              </w:rPr>
            </w:pPr>
          </w:p>
        </w:tc>
      </w:tr>
      <w:tr>
        <w:trPr>
          <w:trHeight w:val="244"/>
        </w:trPr>
        <w:tc>
          <w:tcPr>
            <w:tcW w:w="5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Furniture and fixtures</w:t>
            </w:r>
          </w:p>
        </w:tc>
        <w:tc>
          <w:tcPr>
            <w:tcW w:w="160" w:type="dxa"/>
            <w:vAlign w:val="bottom"/>
            <w:shd w:val="clear" w:color="auto" w:fill="E5E6E7"/>
          </w:tcPr>
          <w:p>
            <w:pPr>
              <w:spacing w:after="0"/>
              <w:rPr>
                <w:sz w:val="21"/>
                <w:szCs w:val="21"/>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6,976</w:t>
            </w:r>
          </w:p>
        </w:tc>
        <w:tc>
          <w:tcPr>
            <w:tcW w:w="24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6,633</w:t>
            </w:r>
          </w:p>
        </w:tc>
        <w:tc>
          <w:tcPr>
            <w:tcW w:w="80" w:type="dxa"/>
            <w:vAlign w:val="bottom"/>
            <w:shd w:val="clear" w:color="auto" w:fill="E5E6E7"/>
          </w:tcPr>
          <w:p>
            <w:pPr>
              <w:spacing w:after="0"/>
              <w:rPr>
                <w:sz w:val="21"/>
                <w:szCs w:val="21"/>
                <w:color w:val="auto"/>
              </w:rPr>
            </w:pPr>
          </w:p>
        </w:tc>
      </w:tr>
      <w:tr>
        <w:trPr>
          <w:trHeight w:val="244"/>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Building</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Land</w:t>
            </w:r>
          </w:p>
        </w:tc>
        <w:tc>
          <w:tcPr>
            <w:tcW w:w="160" w:type="dxa"/>
            <w:vAlign w:val="bottom"/>
            <w:shd w:val="clear" w:color="auto" w:fill="E5E6E7"/>
          </w:tcPr>
          <w:p>
            <w:pPr>
              <w:spacing w:after="0"/>
              <w:rPr>
                <w:sz w:val="21"/>
                <w:szCs w:val="21"/>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9,850</w:t>
            </w:r>
          </w:p>
        </w:tc>
        <w:tc>
          <w:tcPr>
            <w:tcW w:w="24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6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property and equipment, gross</w:t>
            </w:r>
          </w:p>
        </w:tc>
        <w:tc>
          <w:tcPr>
            <w:tcW w:w="160" w:type="dxa"/>
            <w:vAlign w:val="bottom"/>
            <w:tcBorders>
              <w:top w:val="single" w:sz="8" w:color="231F20"/>
            </w:tcBorders>
          </w:tcPr>
          <w:p>
            <w:pPr>
              <w:spacing w:after="0"/>
              <w:rPr>
                <w:sz w:val="20"/>
                <w:szCs w:val="20"/>
                <w:color w:val="auto"/>
              </w:rPr>
            </w:pPr>
          </w:p>
        </w:tc>
        <w:tc>
          <w:tcPr>
            <w:tcW w:w="1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226,502</w:t>
            </w:r>
          </w:p>
        </w:tc>
        <w:tc>
          <w:tcPr>
            <w:tcW w:w="240" w:type="dxa"/>
            <w:vAlign w:val="bottom"/>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16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163,453</w:t>
            </w:r>
          </w:p>
        </w:tc>
        <w:tc>
          <w:tcPr>
            <w:tcW w:w="80" w:type="dxa"/>
            <w:vAlign w:val="bottom"/>
          </w:tcPr>
          <w:p>
            <w:pPr>
              <w:spacing w:after="0"/>
              <w:rPr>
                <w:sz w:val="20"/>
                <w:szCs w:val="20"/>
                <w:color w:val="auto"/>
              </w:rPr>
            </w:pPr>
          </w:p>
        </w:tc>
      </w:tr>
      <w:tr>
        <w:trPr>
          <w:trHeight w:val="244"/>
        </w:trPr>
        <w:tc>
          <w:tcPr>
            <w:tcW w:w="54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Less: accumulated depreciation</w:t>
            </w:r>
          </w:p>
        </w:tc>
        <w:tc>
          <w:tcPr>
            <w:tcW w:w="160" w:type="dxa"/>
            <w:vAlign w:val="bottom"/>
            <w:shd w:val="clear" w:color="auto" w:fill="E5E6E7"/>
          </w:tcPr>
          <w:p>
            <w:pPr>
              <w:spacing w:after="0"/>
              <w:rPr>
                <w:sz w:val="21"/>
                <w:szCs w:val="21"/>
                <w:color w:val="auto"/>
              </w:rPr>
            </w:pPr>
          </w:p>
        </w:tc>
        <w:tc>
          <w:tcPr>
            <w:tcW w:w="184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(137,346)</w:t>
            </w:r>
          </w:p>
        </w:tc>
        <w:tc>
          <w:tcPr>
            <w:tcW w:w="180" w:type="dxa"/>
            <w:vAlign w:val="bottom"/>
            <w:shd w:val="clear" w:color="auto" w:fill="E5E6E7"/>
          </w:tcPr>
          <w:p>
            <w:pPr>
              <w:spacing w:after="0"/>
              <w:rPr>
                <w:sz w:val="21"/>
                <w:szCs w:val="21"/>
                <w:color w:val="auto"/>
              </w:rPr>
            </w:pPr>
          </w:p>
        </w:tc>
        <w:tc>
          <w:tcPr>
            <w:tcW w:w="16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(105,397)</w:t>
            </w: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89,156</w:t>
            </w:r>
          </w:p>
        </w:tc>
        <w:tc>
          <w:tcPr>
            <w:tcW w:w="24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58,056</w:t>
            </w:r>
          </w:p>
        </w:tc>
        <w:tc>
          <w:tcPr>
            <w:tcW w:w="8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Depreciation expense on property and equipment is classified as follows in the accompanying consolidated statements of operations for the years ended December 31, 2025, 2024 and 2023 (in thousands):</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1900" w:type="dxa"/>
            <w:vAlign w:val="bottom"/>
            <w:tcBorders>
              <w:bottom w:val="single" w:sz="8" w:color="231F20"/>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4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38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8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20"/>
                <w:szCs w:val="20"/>
                <w:color w:val="auto"/>
              </w:rPr>
            </w:pPr>
          </w:p>
        </w:tc>
      </w:tr>
      <w:tr>
        <w:trPr>
          <w:trHeight w:val="239"/>
        </w:trPr>
        <w:tc>
          <w:tcPr>
            <w:tcW w:w="38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Cost of revenue, diagnostics</w:t>
            </w:r>
          </w:p>
        </w:tc>
        <w:tc>
          <w:tcPr>
            <w:tcW w:w="580" w:type="dxa"/>
            <w:vAlign w:val="bottom"/>
            <w:tcBorders>
              <w:top w:val="single" w:sz="8" w:color="E5E6E7"/>
            </w:tcBorders>
            <w:shd w:val="clear" w:color="auto" w:fill="E5E6E7"/>
          </w:tcPr>
          <w:p>
            <w:pPr>
              <w:spacing w:after="0"/>
              <w:rPr>
                <w:sz w:val="20"/>
                <w:szCs w:val="20"/>
                <w:color w:val="auto"/>
              </w:rPr>
            </w:pPr>
          </w:p>
        </w:tc>
        <w:tc>
          <w:tcPr>
            <w:tcW w:w="880" w:type="dxa"/>
            <w:vAlign w:val="bottom"/>
            <w:tcBorders>
              <w:top w:val="single" w:sz="8" w:color="231F20"/>
            </w:tcBorders>
            <w:shd w:val="clear" w:color="auto" w:fill="E5E6E7"/>
          </w:tcPr>
          <w:p>
            <w:pPr>
              <w:jc w:val="right"/>
              <w:ind w:right="680"/>
              <w:spacing w:after="0"/>
              <w:rPr>
                <w:sz w:val="20"/>
                <w:szCs w:val="20"/>
                <w:color w:val="auto"/>
              </w:rPr>
            </w:pPr>
            <w:r>
              <w:rPr>
                <w:rFonts w:ascii="Times New Roman" w:cs="Times New Roman" w:eastAsia="Times New Roman" w:hAnsi="Times New Roman"/>
                <w:sz w:val="20"/>
                <w:szCs w:val="20"/>
                <w:color w:val="414142"/>
                <w:w w:val="79"/>
              </w:rPr>
              <w:t>$</w:t>
            </w:r>
          </w:p>
        </w:tc>
        <w:tc>
          <w:tcPr>
            <w:tcW w:w="5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98"/>
              </w:rPr>
              <w:t>15,148</w:t>
            </w:r>
          </w:p>
        </w:tc>
        <w:tc>
          <w:tcPr>
            <w:tcW w:w="240" w:type="dxa"/>
            <w:vAlign w:val="bottom"/>
            <w:tcBorders>
              <w:top w:val="single" w:sz="8" w:color="E5E6E7"/>
            </w:tcBorders>
            <w:shd w:val="clear" w:color="auto" w:fill="E5E6E7"/>
          </w:tcPr>
          <w:p>
            <w:pPr>
              <w:spacing w:after="0"/>
              <w:rPr>
                <w:sz w:val="20"/>
                <w:szCs w:val="20"/>
                <w:color w:val="auto"/>
              </w:rPr>
            </w:pPr>
          </w:p>
        </w:tc>
        <w:tc>
          <w:tcPr>
            <w:tcW w:w="320" w:type="dxa"/>
            <w:vAlign w:val="bottom"/>
            <w:tcBorders>
              <w:top w:val="single" w:sz="8" w:color="231F20"/>
            </w:tcBorders>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1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13,966</w:t>
            </w:r>
          </w:p>
        </w:tc>
        <w:tc>
          <w:tcPr>
            <w:tcW w:w="220" w:type="dxa"/>
            <w:vAlign w:val="bottom"/>
            <w:tcBorders>
              <w:top w:val="single" w:sz="8" w:color="E5E6E7"/>
            </w:tcBorders>
            <w:shd w:val="clear" w:color="auto" w:fill="E5E6E7"/>
          </w:tcPr>
          <w:p>
            <w:pPr>
              <w:spacing w:after="0"/>
              <w:rPr>
                <w:sz w:val="20"/>
                <w:szCs w:val="20"/>
                <w:color w:val="auto"/>
              </w:rPr>
            </w:pPr>
          </w:p>
        </w:tc>
        <w:tc>
          <w:tcPr>
            <w:tcW w:w="340" w:type="dxa"/>
            <w:vAlign w:val="bottom"/>
            <w:tcBorders>
              <w:top w:val="single" w:sz="8" w:color="231F20"/>
            </w:tcBorders>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11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12,961</w:t>
            </w:r>
          </w:p>
        </w:tc>
        <w:tc>
          <w:tcPr>
            <w:tcW w:w="60" w:type="dxa"/>
            <w:vAlign w:val="bottom"/>
            <w:tcBorders>
              <w:top w:val="single" w:sz="8" w:color="E5E6E7"/>
            </w:tcBorders>
            <w:shd w:val="clear" w:color="auto" w:fill="E5E6E7"/>
          </w:tcPr>
          <w:p>
            <w:pPr>
              <w:spacing w:after="0"/>
              <w:rPr>
                <w:sz w:val="20"/>
                <w:szCs w:val="20"/>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231F20"/>
              </w:rPr>
              <w:t>Cost of revenue, data and applications</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38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Selling, general and administrative costs</w:t>
            </w:r>
          </w:p>
        </w:tc>
        <w:tc>
          <w:tcPr>
            <w:tcW w:w="580" w:type="dxa"/>
            <w:vAlign w:val="bottom"/>
            <w:shd w:val="clear" w:color="auto" w:fill="E5E6E7"/>
          </w:tcPr>
          <w:p>
            <w:pPr>
              <w:spacing w:after="0"/>
              <w:rPr>
                <w:sz w:val="21"/>
                <w:szCs w:val="21"/>
                <w:color w:val="auto"/>
              </w:rPr>
            </w:pPr>
          </w:p>
        </w:tc>
        <w:tc>
          <w:tcPr>
            <w:tcW w:w="880" w:type="dxa"/>
            <w:vAlign w:val="bottom"/>
            <w:tcBorders>
              <w:bottom w:val="single" w:sz="8" w:color="231F20"/>
            </w:tcBorders>
            <w:shd w:val="clear" w:color="auto" w:fill="E5E6E7"/>
          </w:tcPr>
          <w:p>
            <w:pPr>
              <w:spacing w:after="0"/>
              <w:rPr>
                <w:sz w:val="21"/>
                <w:szCs w:val="21"/>
                <w:color w:val="auto"/>
              </w:rPr>
            </w:pPr>
          </w:p>
        </w:tc>
        <w:tc>
          <w:tcPr>
            <w:tcW w:w="5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98"/>
              </w:rPr>
              <w:t>16,307</w:t>
            </w:r>
          </w:p>
        </w:tc>
        <w:tc>
          <w:tcPr>
            <w:tcW w:w="240" w:type="dxa"/>
            <w:vAlign w:val="bottom"/>
            <w:shd w:val="clear" w:color="auto" w:fill="E5E6E7"/>
          </w:tcPr>
          <w:p>
            <w:pPr>
              <w:spacing w:after="0"/>
              <w:rPr>
                <w:sz w:val="21"/>
                <w:szCs w:val="21"/>
                <w:color w:val="auto"/>
              </w:rPr>
            </w:pPr>
          </w:p>
        </w:tc>
        <w:tc>
          <w:tcPr>
            <w:tcW w:w="320" w:type="dxa"/>
            <w:vAlign w:val="bottom"/>
            <w:tcBorders>
              <w:bottom w:val="single" w:sz="8" w:color="231F20"/>
            </w:tcBorders>
            <w:shd w:val="clear" w:color="auto" w:fill="E5E6E7"/>
          </w:tcPr>
          <w:p>
            <w:pPr>
              <w:spacing w:after="0"/>
              <w:rPr>
                <w:sz w:val="21"/>
                <w:szCs w:val="21"/>
                <w:color w:val="auto"/>
              </w:rPr>
            </w:pPr>
          </w:p>
        </w:tc>
        <w:tc>
          <w:tcPr>
            <w:tcW w:w="11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12,218</w:t>
            </w:r>
          </w:p>
        </w:tc>
        <w:tc>
          <w:tcPr>
            <w:tcW w:w="220" w:type="dxa"/>
            <w:vAlign w:val="bottom"/>
            <w:shd w:val="clear" w:color="auto" w:fill="E5E6E7"/>
          </w:tcPr>
          <w:p>
            <w:pPr>
              <w:spacing w:after="0"/>
              <w:rPr>
                <w:sz w:val="21"/>
                <w:szCs w:val="21"/>
                <w:color w:val="auto"/>
              </w:rPr>
            </w:pPr>
          </w:p>
        </w:tc>
        <w:tc>
          <w:tcPr>
            <w:tcW w:w="340" w:type="dxa"/>
            <w:vAlign w:val="bottom"/>
            <w:tcBorders>
              <w:bottom w:val="single" w:sz="8" w:color="231F20"/>
            </w:tcBorders>
            <w:shd w:val="clear" w:color="auto" w:fill="E5E6E7"/>
          </w:tcPr>
          <w:p>
            <w:pPr>
              <w:spacing w:after="0"/>
              <w:rPr>
                <w:sz w:val="21"/>
                <w:szCs w:val="21"/>
                <w:color w:val="auto"/>
              </w:rPr>
            </w:pPr>
          </w:p>
        </w:tc>
        <w:tc>
          <w:tcPr>
            <w:tcW w:w="11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8,318</w:t>
            </w:r>
          </w:p>
        </w:tc>
        <w:tc>
          <w:tcPr>
            <w:tcW w:w="60" w:type="dxa"/>
            <w:vAlign w:val="bottom"/>
            <w:shd w:val="clear" w:color="auto" w:fill="E5E6E7"/>
          </w:tcPr>
          <w:p>
            <w:pPr>
              <w:spacing w:after="0"/>
              <w:rPr>
                <w:sz w:val="21"/>
                <w:szCs w:val="21"/>
                <w:color w:val="auto"/>
              </w:rPr>
            </w:pPr>
          </w:p>
        </w:tc>
      </w:tr>
      <w:tr>
        <w:trPr>
          <w:trHeight w:val="239"/>
        </w:trPr>
        <w:tc>
          <w:tcPr>
            <w:tcW w:w="3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depreciation</w:t>
            </w:r>
          </w:p>
        </w:tc>
        <w:tc>
          <w:tcPr>
            <w:tcW w:w="580" w:type="dxa"/>
            <w:vAlign w:val="bottom"/>
          </w:tcPr>
          <w:p>
            <w:pPr>
              <w:spacing w:after="0"/>
              <w:rPr>
                <w:sz w:val="20"/>
                <w:szCs w:val="20"/>
                <w:color w:val="auto"/>
              </w:rPr>
            </w:pPr>
          </w:p>
        </w:tc>
        <w:tc>
          <w:tcPr>
            <w:tcW w:w="880" w:type="dxa"/>
            <w:vAlign w:val="bottom"/>
            <w:tcBorders>
              <w:bottom w:val="single" w:sz="8" w:color="231F20"/>
            </w:tcBorders>
          </w:tcPr>
          <w:p>
            <w:pPr>
              <w:jc w:val="right"/>
              <w:ind w:right="680"/>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32,054</w:t>
            </w:r>
          </w:p>
        </w:tc>
        <w:tc>
          <w:tcPr>
            <w:tcW w:w="240" w:type="dxa"/>
            <w:vAlign w:val="bottom"/>
          </w:tcPr>
          <w:p>
            <w:pPr>
              <w:spacing w:after="0"/>
              <w:rPr>
                <w:sz w:val="20"/>
                <w:szCs w:val="20"/>
                <w:color w:val="auto"/>
              </w:rPr>
            </w:pPr>
          </w:p>
        </w:tc>
        <w:tc>
          <w:tcPr>
            <w:tcW w:w="32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26,356</w:t>
            </w:r>
          </w:p>
        </w:tc>
        <w:tc>
          <w:tcPr>
            <w:tcW w:w="220" w:type="dxa"/>
            <w:vAlign w:val="bottom"/>
          </w:tcPr>
          <w:p>
            <w:pPr>
              <w:spacing w:after="0"/>
              <w:rPr>
                <w:sz w:val="20"/>
                <w:szCs w:val="20"/>
                <w:color w:val="auto"/>
              </w:rPr>
            </w:pPr>
          </w:p>
        </w:tc>
        <w:tc>
          <w:tcPr>
            <w:tcW w:w="34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21,279</w:t>
            </w:r>
          </w:p>
        </w:tc>
        <w:tc>
          <w:tcPr>
            <w:tcW w:w="60" w:type="dxa"/>
            <w:vAlign w:val="bottom"/>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80"/>
          </w:cols>
          <w:pgMar w:left="900" w:top="72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162</w:t>
      </w:r>
    </w:p>
    <w:p>
      <w:pPr>
        <w:sectPr>
          <w:pgSz w:w="11880" w:h="15480" w:orient="portrait"/>
          <w:cols w:equalWidth="0" w:num="1">
            <w:col w:w="9980"/>
          </w:cols>
          <w:pgMar w:left="900" w:top="727" w:right="1000"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b w:val="1"/>
          <w:bCs w:val="1"/>
          <w:color w:val="231F20"/>
        </w:rPr>
        <w:t>Accrued Expenses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Accrued expenses as of December 31, 2025 and 2024, consist of the following (in thousands):</w:t>
      </w:r>
    </w:p>
    <w:p>
      <w:pPr>
        <w:spacing w:after="0" w:line="33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618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32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300" w:type="dxa"/>
            <w:vAlign w:val="bottom"/>
            <w:tcBorders>
              <w:bottom w:val="single" w:sz="8" w:color="E5E6E7"/>
            </w:tcBorders>
          </w:tcPr>
          <w:p>
            <w:pPr>
              <w:spacing w:after="0"/>
              <w:rPr>
                <w:sz w:val="17"/>
                <w:szCs w:val="17"/>
                <w:color w:val="auto"/>
              </w:rPr>
            </w:pPr>
          </w:p>
        </w:tc>
        <w:tc>
          <w:tcPr>
            <w:tcW w:w="20" w:type="dxa"/>
            <w:vAlign w:val="bottom"/>
            <w:tcBorders>
              <w:bottom w:val="single" w:sz="8" w:color="E5E6E7"/>
            </w:tcBorders>
          </w:tcPr>
          <w:p>
            <w:pPr>
              <w:spacing w:after="0"/>
              <w:rPr>
                <w:sz w:val="17"/>
                <w:szCs w:val="17"/>
                <w:color w:val="auto"/>
              </w:rPr>
            </w:pPr>
          </w:p>
        </w:tc>
        <w:tc>
          <w:tcPr>
            <w:tcW w:w="13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80" w:type="dxa"/>
            <w:vAlign w:val="bottom"/>
            <w:tcBorders>
              <w:bottom w:val="single" w:sz="8" w:color="E5E6E7"/>
            </w:tcBorders>
          </w:tcPr>
          <w:p>
            <w:pPr>
              <w:spacing w:after="0"/>
              <w:rPr>
                <w:sz w:val="17"/>
                <w:szCs w:val="17"/>
                <w:color w:val="auto"/>
              </w:rPr>
            </w:pPr>
          </w:p>
        </w:tc>
      </w:tr>
      <w:tr>
        <w:trPr>
          <w:trHeight w:val="239"/>
        </w:trPr>
        <w:tc>
          <w:tcPr>
            <w:tcW w:w="6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Accrued compensation and employee benefits</w:t>
            </w:r>
          </w:p>
        </w:tc>
        <w:tc>
          <w:tcPr>
            <w:tcW w:w="20" w:type="dxa"/>
            <w:vAlign w:val="bottom"/>
            <w:shd w:val="clear" w:color="auto" w:fill="E5E6E7"/>
          </w:tcPr>
          <w:p>
            <w:pPr>
              <w:spacing w:after="0"/>
              <w:rPr>
                <w:sz w:val="20"/>
                <w:szCs w:val="20"/>
                <w:color w:val="auto"/>
              </w:rPr>
            </w:pPr>
          </w:p>
        </w:tc>
        <w:tc>
          <w:tcPr>
            <w:tcW w:w="3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37,780</w:t>
            </w:r>
          </w:p>
        </w:tc>
        <w:tc>
          <w:tcPr>
            <w:tcW w:w="300" w:type="dxa"/>
            <w:vAlign w:val="bottom"/>
            <w:shd w:val="clear" w:color="auto" w:fill="E5E6E7"/>
          </w:tcPr>
          <w:p>
            <w:pPr>
              <w:spacing w:after="0"/>
              <w:rPr>
                <w:sz w:val="20"/>
                <w:szCs w:val="20"/>
                <w:color w:val="auto"/>
              </w:rPr>
            </w:pPr>
          </w:p>
        </w:tc>
        <w:tc>
          <w:tcPr>
            <w:tcW w:w="20" w:type="dxa"/>
            <w:vAlign w:val="bottom"/>
            <w:shd w:val="clear" w:color="auto" w:fill="E5E6E7"/>
          </w:tcPr>
          <w:p>
            <w:pPr>
              <w:spacing w:after="0"/>
              <w:rPr>
                <w:sz w:val="20"/>
                <w:szCs w:val="20"/>
                <w:color w:val="auto"/>
              </w:rPr>
            </w:pPr>
          </w:p>
        </w:tc>
        <w:tc>
          <w:tcPr>
            <w:tcW w:w="400" w:type="dxa"/>
            <w:vAlign w:val="bottom"/>
            <w:shd w:val="clear" w:color="auto" w:fill="E5E6E7"/>
          </w:tcPr>
          <w:p>
            <w:pPr>
              <w:jc w:val="right"/>
              <w:ind w:right="237"/>
              <w:spacing w:after="0"/>
              <w:rPr>
                <w:sz w:val="20"/>
                <w:szCs w:val="20"/>
                <w:color w:val="auto"/>
              </w:rPr>
            </w:pPr>
            <w:r>
              <w:rPr>
                <w:rFonts w:ascii="Times New Roman" w:cs="Times New Roman" w:eastAsia="Times New Roman" w:hAnsi="Times New Roman"/>
                <w:sz w:val="17"/>
                <w:szCs w:val="17"/>
                <w:color w:val="414142"/>
                <w:w w:val="70"/>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24,767</w:t>
            </w:r>
          </w:p>
        </w:tc>
        <w:tc>
          <w:tcPr>
            <w:tcW w:w="80" w:type="dxa"/>
            <w:vAlign w:val="bottom"/>
            <w:shd w:val="clear" w:color="auto" w:fill="E5E6E7"/>
          </w:tcPr>
          <w:p>
            <w:pPr>
              <w:spacing w:after="0"/>
              <w:rPr>
                <w:sz w:val="20"/>
                <w:szCs w:val="20"/>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231F20"/>
              </w:rPr>
              <w:t>Accrued expenses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72,553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51,147</w:t>
            </w:r>
          </w:p>
        </w:tc>
        <w:tc>
          <w:tcPr>
            <w:tcW w:w="80" w:type="dxa"/>
            <w:vAlign w:val="bottom"/>
          </w:tcPr>
          <w:p>
            <w:pPr>
              <w:spacing w:after="0"/>
              <w:rPr>
                <w:sz w:val="21"/>
                <w:szCs w:val="21"/>
                <w:color w:val="auto"/>
              </w:rPr>
            </w:pPr>
          </w:p>
        </w:tc>
      </w:tr>
      <w:tr>
        <w:trPr>
          <w:trHeight w:val="244"/>
        </w:trPr>
        <w:tc>
          <w:tcPr>
            <w:tcW w:w="6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Accrued employer payroll tax related to stock-based compensation</w:t>
            </w:r>
          </w:p>
        </w:tc>
        <w:tc>
          <w:tcPr>
            <w:tcW w:w="20" w:type="dxa"/>
            <w:vAlign w:val="bottom"/>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339</w:t>
            </w:r>
          </w:p>
        </w:tc>
        <w:tc>
          <w:tcPr>
            <w:tcW w:w="3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24,439</w:t>
            </w:r>
          </w:p>
        </w:tc>
        <w:tc>
          <w:tcPr>
            <w:tcW w:w="80" w:type="dxa"/>
            <w:vAlign w:val="bottom"/>
            <w:shd w:val="clear" w:color="auto" w:fill="E5E6E7"/>
          </w:tcPr>
          <w:p>
            <w:pPr>
              <w:spacing w:after="0"/>
              <w:rPr>
                <w:sz w:val="21"/>
                <w:szCs w:val="21"/>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231F20"/>
              </w:rPr>
              <w:t>Accrued cloud storage costs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41,870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21,394</w:t>
            </w:r>
          </w:p>
        </w:tc>
        <w:tc>
          <w:tcPr>
            <w:tcW w:w="80" w:type="dxa"/>
            <w:vAlign w:val="bottom"/>
          </w:tcPr>
          <w:p>
            <w:pPr>
              <w:spacing w:after="0"/>
              <w:rPr>
                <w:sz w:val="21"/>
                <w:szCs w:val="21"/>
                <w:color w:val="auto"/>
              </w:rPr>
            </w:pPr>
          </w:p>
        </w:tc>
      </w:tr>
      <w:tr>
        <w:trPr>
          <w:trHeight w:val="244"/>
        </w:trPr>
        <w:tc>
          <w:tcPr>
            <w:tcW w:w="6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Interest payable</w:t>
            </w:r>
          </w:p>
        </w:tc>
        <w:tc>
          <w:tcPr>
            <w:tcW w:w="20" w:type="dxa"/>
            <w:vAlign w:val="bottom"/>
            <w:shd w:val="clear" w:color="auto" w:fill="E5E6E7"/>
          </w:tcPr>
          <w:p>
            <w:pPr>
              <w:spacing w:after="0"/>
              <w:rPr>
                <w:sz w:val="21"/>
                <w:szCs w:val="21"/>
                <w:color w:val="auto"/>
              </w:rPr>
            </w:pPr>
          </w:p>
        </w:tc>
        <w:tc>
          <w:tcPr>
            <w:tcW w:w="360" w:type="dxa"/>
            <w:vAlign w:val="bottom"/>
            <w:tcBorders>
              <w:bottom w:val="single" w:sz="8" w:color="231F20"/>
            </w:tcBorders>
            <w:shd w:val="clear" w:color="auto" w:fill="E5E6E7"/>
          </w:tcPr>
          <w:p>
            <w:pPr>
              <w:spacing w:after="0"/>
              <w:rPr>
                <w:sz w:val="21"/>
                <w:szCs w:val="21"/>
                <w:color w:val="auto"/>
              </w:rPr>
            </w:pPr>
          </w:p>
        </w:tc>
        <w:tc>
          <w:tcPr>
            <w:tcW w:w="9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2,828</w:t>
            </w:r>
          </w:p>
        </w:tc>
        <w:tc>
          <w:tcPr>
            <w:tcW w:w="3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400" w:type="dxa"/>
            <w:vAlign w:val="bottom"/>
            <w:tcBorders>
              <w:bottom w:val="single" w:sz="8" w:color="231F20"/>
            </w:tcBorders>
            <w:shd w:val="clear" w:color="auto" w:fill="E5E6E7"/>
          </w:tcPr>
          <w:p>
            <w:pPr>
              <w:spacing w:after="0"/>
              <w:rPr>
                <w:sz w:val="21"/>
                <w:szCs w:val="21"/>
                <w:color w:val="auto"/>
              </w:rPr>
            </w:pPr>
          </w:p>
        </w:tc>
        <w:tc>
          <w:tcPr>
            <w:tcW w:w="9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8,660</w:t>
            </w:r>
          </w:p>
        </w:tc>
        <w:tc>
          <w:tcPr>
            <w:tcW w:w="80" w:type="dxa"/>
            <w:vAlign w:val="bottom"/>
            <w:shd w:val="clear" w:color="auto" w:fill="E5E6E7"/>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accrued expenses</w:t>
            </w:r>
          </w:p>
        </w:tc>
        <w:tc>
          <w:tcPr>
            <w:tcW w:w="20" w:type="dxa"/>
            <w:vAlign w:val="bottom"/>
            <w:tcBorders>
              <w:bottom w:val="single" w:sz="8" w:color="231F20"/>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155,370</w:t>
            </w:r>
          </w:p>
        </w:tc>
        <w:tc>
          <w:tcPr>
            <w:tcW w:w="3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tcBorders>
          </w:tcPr>
          <w:p>
            <w:pPr>
              <w:jc w:val="right"/>
              <w:ind w:right="237"/>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130,407</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2" w:lineRule="exact"/>
        <w:rPr>
          <w:sz w:val="20"/>
          <w:szCs w:val="20"/>
          <w:color w:val="auto"/>
        </w:rPr>
      </w:pPr>
    </w:p>
    <w:p>
      <w:pPr>
        <w:ind w:left="480" w:hanging="480"/>
        <w:spacing w:after="0"/>
        <w:tabs>
          <w:tab w:leader="none" w:pos="480" w:val="left"/>
        </w:tabs>
        <w:numPr>
          <w:ilvl w:val="0"/>
          <w:numId w:val="6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GOODWILL AND INTANGIBLES</w:t>
      </w:r>
    </w:p>
    <w:p>
      <w:pPr>
        <w:spacing w:after="0" w:line="124" w:lineRule="exact"/>
        <w:rPr>
          <w:sz w:val="20"/>
          <w:szCs w:val="20"/>
          <w:color w:val="auto"/>
        </w:rPr>
      </w:pPr>
    </w:p>
    <w:p>
      <w:pPr>
        <w:ind w:right="60" w:firstLine="490"/>
        <w:spacing w:after="0"/>
        <w:rPr>
          <w:sz w:val="20"/>
          <w:szCs w:val="20"/>
          <w:color w:val="auto"/>
        </w:rPr>
      </w:pPr>
      <w:r>
        <w:rPr>
          <w:rFonts w:ascii="Times New Roman" w:cs="Times New Roman" w:eastAsia="Times New Roman" w:hAnsi="Times New Roman"/>
          <w:sz w:val="19"/>
          <w:szCs w:val="19"/>
          <w:color w:val="231F20"/>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5"/>
          <w:szCs w:val="25"/>
          <w:color w:val="231F20"/>
          <w:vertAlign w:val="superscript"/>
        </w:rPr>
        <w:t>st</w:t>
      </w:r>
      <w:r>
        <w:rPr>
          <w:rFonts w:ascii="Times New Roman" w:cs="Times New Roman" w:eastAsia="Times New Roman" w:hAnsi="Times New Roman"/>
          <w:sz w:val="19"/>
          <w:szCs w:val="19"/>
          <w:color w:val="231F20"/>
        </w:rPr>
        <w:t>. The changes in the carrying amount of goodwill for the years ended December 31, 2025 and 2024 were as follows (in thousands):</w:t>
      </w:r>
    </w:p>
    <w:p>
      <w:pPr>
        <w:spacing w:after="0" w:line="241" w:lineRule="exact"/>
        <w:rPr>
          <w:sz w:val="20"/>
          <w:szCs w:val="20"/>
          <w:color w:val="auto"/>
        </w:rPr>
      </w:pPr>
    </w:p>
    <w:tbl>
      <w:tblPr>
        <w:tblLayout w:type="fixed"/>
        <w:tblInd w:w="400" w:type="dxa"/>
        <w:tblCellMar>
          <w:top w:w="0" w:type="dxa"/>
          <w:left w:w="0" w:type="dxa"/>
          <w:bottom w:w="0" w:type="dxa"/>
          <w:right w:w="0" w:type="dxa"/>
        </w:tblCellMar>
      </w:tblPr>
      <w:tr>
        <w:trPr>
          <w:trHeight w:val="259"/>
        </w:trPr>
        <w:tc>
          <w:tcPr>
            <w:tcW w:w="5060" w:type="dxa"/>
            <w:vAlign w:val="bottom"/>
            <w:tcBorders>
              <w:top w:val="single" w:sz="8" w:color="231F20"/>
              <w:bottom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Balance as of December 31, 2023</w:t>
            </w:r>
          </w:p>
        </w:tc>
        <w:tc>
          <w:tcPr>
            <w:tcW w:w="2560" w:type="dxa"/>
            <w:vAlign w:val="bottom"/>
            <w:tcBorders>
              <w:top w:val="single" w:sz="8" w:color="231F20"/>
              <w:bottom w:val="single" w:sz="8" w:color="231F20"/>
            </w:tcBorders>
            <w:shd w:val="clear" w:color="auto" w:fill="E5E6E7"/>
          </w:tcPr>
          <w:p>
            <w:pPr>
              <w:spacing w:after="0"/>
              <w:rPr>
                <w:sz w:val="22"/>
                <w:szCs w:val="22"/>
                <w:color w:val="auto"/>
              </w:rPr>
            </w:pPr>
          </w:p>
        </w:tc>
        <w:tc>
          <w:tcPr>
            <w:tcW w:w="15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73,354</w:t>
            </w:r>
          </w:p>
        </w:tc>
        <w:tc>
          <w:tcPr>
            <w:tcW w:w="20" w:type="dxa"/>
            <w:vAlign w:val="bottom"/>
            <w:tcBorders>
              <w:top w:val="single" w:sz="8" w:color="231F20"/>
            </w:tcBorders>
            <w:shd w:val="clear" w:color="auto" w:fill="E5E6E7"/>
          </w:tcPr>
          <w:p>
            <w:pPr>
              <w:spacing w:after="0"/>
              <w:rPr>
                <w:sz w:val="22"/>
                <w:szCs w:val="22"/>
                <w:color w:val="auto"/>
              </w:rPr>
            </w:pPr>
          </w:p>
        </w:tc>
        <w:tc>
          <w:tcPr>
            <w:tcW w:w="60" w:type="dxa"/>
            <w:vAlign w:val="bottom"/>
            <w:tcBorders>
              <w:top w:val="single" w:sz="8" w:color="E5E6E7"/>
            </w:tcBorders>
            <w:shd w:val="clear" w:color="auto" w:fill="E5E6E7"/>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229"/>
        </w:trPr>
        <w:tc>
          <w:tcPr>
            <w:tcW w:w="5060" w:type="dxa"/>
            <w:vAlign w:val="bottom"/>
            <w:tcBorders>
              <w:top w:val="single" w:sz="8" w:color="231F20"/>
            </w:tcBorders>
          </w:tcPr>
          <w:p>
            <w:pPr>
              <w:ind w:left="100"/>
              <w:spacing w:after="0"/>
              <w:rPr>
                <w:sz w:val="20"/>
                <w:szCs w:val="20"/>
                <w:color w:val="auto"/>
              </w:rPr>
            </w:pPr>
            <w:r>
              <w:rPr>
                <w:rFonts w:ascii="Times New Roman" w:cs="Times New Roman" w:eastAsia="Times New Roman" w:hAnsi="Times New Roman"/>
                <w:sz w:val="20"/>
                <w:szCs w:val="20"/>
                <w:color w:val="231F20"/>
              </w:rPr>
              <w:t>Foreign exchange rate adjustment</w:t>
            </w:r>
          </w:p>
        </w:tc>
        <w:tc>
          <w:tcPr>
            <w:tcW w:w="2560" w:type="dxa"/>
            <w:vAlign w:val="bottom"/>
            <w:tcBorders>
              <w:top w:val="single" w:sz="8" w:color="231F20"/>
            </w:tcBorders>
          </w:tcPr>
          <w:p>
            <w:pPr>
              <w:spacing w:after="0"/>
              <w:rPr>
                <w:sz w:val="19"/>
                <w:szCs w:val="19"/>
                <w:color w:val="auto"/>
              </w:rPr>
            </w:pPr>
          </w:p>
        </w:tc>
        <w:tc>
          <w:tcPr>
            <w:tcW w:w="15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80" w:type="dxa"/>
            <w:vAlign w:val="bottom"/>
            <w:gridSpan w:val="2"/>
          </w:tcPr>
          <w:p>
            <w:pPr>
              <w:spacing w:after="0"/>
              <w:rPr>
                <w:sz w:val="19"/>
                <w:szCs w:val="19"/>
                <w:color w:val="auto"/>
              </w:rPr>
            </w:pPr>
          </w:p>
        </w:tc>
      </w:tr>
      <w:tr>
        <w:trPr>
          <w:trHeight w:val="239"/>
        </w:trPr>
        <w:tc>
          <w:tcPr>
            <w:tcW w:w="5060" w:type="dxa"/>
            <w:vAlign w:val="bottom"/>
            <w:tcBorders>
              <w:top w:val="single" w:sz="8" w:color="231F20"/>
              <w:bottom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Balance as of December 31, 2024</w:t>
            </w:r>
          </w:p>
        </w:tc>
        <w:tc>
          <w:tcPr>
            <w:tcW w:w="2560" w:type="dxa"/>
            <w:vAlign w:val="bottom"/>
            <w:tcBorders>
              <w:top w:val="single" w:sz="8" w:color="231F20"/>
              <w:bottom w:val="single" w:sz="8" w:color="231F20"/>
            </w:tcBorders>
            <w:shd w:val="clear" w:color="auto" w:fill="E5E6E7"/>
          </w:tcPr>
          <w:p>
            <w:pPr>
              <w:jc w:val="right"/>
              <w:ind w:right="800"/>
              <w:spacing w:after="0"/>
              <w:rPr>
                <w:sz w:val="20"/>
                <w:szCs w:val="20"/>
                <w:color w:val="auto"/>
              </w:rPr>
            </w:pPr>
            <w:r>
              <w:rPr>
                <w:rFonts w:ascii="Times New Roman" w:cs="Times New Roman" w:eastAsia="Times New Roman" w:hAnsi="Times New Roman"/>
                <w:sz w:val="20"/>
                <w:szCs w:val="20"/>
                <w:color w:val="414142"/>
              </w:rPr>
              <w:t>$</w:t>
            </w:r>
          </w:p>
        </w:tc>
        <w:tc>
          <w:tcPr>
            <w:tcW w:w="15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73,343</w:t>
            </w:r>
          </w:p>
        </w:tc>
        <w:tc>
          <w:tcPr>
            <w:tcW w:w="20" w:type="dxa"/>
            <w:vAlign w:val="bottom"/>
            <w:tcBorders>
              <w:top w:val="single" w:sz="8" w:color="231F20"/>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r>
      <w:tr>
        <w:trPr>
          <w:trHeight w:val="20"/>
        </w:trPr>
        <w:tc>
          <w:tcPr>
            <w:tcW w:w="5060" w:type="dxa"/>
            <w:vAlign w:val="bottom"/>
            <w:tcBorders>
              <w:bottom w:val="single" w:sz="8" w:color="231F20"/>
            </w:tcBorders>
          </w:tcPr>
          <w:p>
            <w:pPr>
              <w:spacing w:after="0" w:line="20" w:lineRule="exact"/>
              <w:rPr>
                <w:sz w:val="1"/>
                <w:szCs w:val="1"/>
                <w:color w:val="auto"/>
              </w:rPr>
            </w:pPr>
          </w:p>
        </w:tc>
        <w:tc>
          <w:tcPr>
            <w:tcW w:w="256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0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Goodwill related to business combinations</w:t>
            </w:r>
          </w:p>
        </w:tc>
        <w:tc>
          <w:tcPr>
            <w:tcW w:w="2560" w:type="dxa"/>
            <w:vAlign w:val="bottom"/>
          </w:tcPr>
          <w:p>
            <w:pPr>
              <w:jc w:val="right"/>
              <w:ind w:right="80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396,731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5060" w:type="dxa"/>
            <w:vAlign w:val="bottom"/>
            <w:tcBorders>
              <w:bottom w:val="single" w:sz="8" w:color="231F20"/>
            </w:tcBorders>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Foreign exchange rate adjustment</w:t>
            </w:r>
          </w:p>
        </w:tc>
        <w:tc>
          <w:tcPr>
            <w:tcW w:w="2560" w:type="dxa"/>
            <w:vAlign w:val="bottom"/>
            <w:tcBorders>
              <w:bottom w:val="single" w:sz="8" w:color="231F20"/>
            </w:tcBorders>
            <w:shd w:val="clear" w:color="auto" w:fill="E5E6E7"/>
          </w:tcPr>
          <w:p>
            <w:pPr>
              <w:spacing w:after="0"/>
              <w:rPr>
                <w:sz w:val="21"/>
                <w:szCs w:val="21"/>
                <w:color w:val="auto"/>
              </w:rPr>
            </w:pPr>
          </w:p>
        </w:tc>
        <w:tc>
          <w:tcPr>
            <w:tcW w:w="15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137</w:t>
            </w:r>
          </w:p>
        </w:tc>
        <w:tc>
          <w:tcPr>
            <w:tcW w:w="20" w:type="dxa"/>
            <w:vAlign w:val="bottom"/>
            <w:tcBorders>
              <w:bottom w:val="single" w:sz="8" w:color="231F20"/>
            </w:tcBorders>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39"/>
        </w:trPr>
        <w:tc>
          <w:tcPr>
            <w:tcW w:w="50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Balance as of December 31, 2025</w:t>
            </w:r>
          </w:p>
        </w:tc>
        <w:tc>
          <w:tcPr>
            <w:tcW w:w="2560" w:type="dxa"/>
            <w:vAlign w:val="bottom"/>
            <w:tcBorders>
              <w:bottom w:val="single" w:sz="8" w:color="231F20"/>
            </w:tcBorders>
          </w:tcPr>
          <w:p>
            <w:pPr>
              <w:jc w:val="right"/>
              <w:ind w:right="80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470,211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060" w:type="dxa"/>
            <w:vAlign w:val="bottom"/>
            <w:tcBorders>
              <w:bottom w:val="single" w:sz="8" w:color="231F20"/>
            </w:tcBorders>
          </w:tcPr>
          <w:p>
            <w:pPr>
              <w:spacing w:after="0" w:line="20" w:lineRule="exact"/>
              <w:rPr>
                <w:sz w:val="1"/>
                <w:szCs w:val="1"/>
                <w:color w:val="auto"/>
              </w:rPr>
            </w:pPr>
          </w:p>
        </w:tc>
        <w:tc>
          <w:tcPr>
            <w:tcW w:w="256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There was no goodwill impairment for the years ended December 31, 2025, 2024 and 2023.</w:t>
      </w:r>
    </w:p>
    <w:p>
      <w:pPr>
        <w:spacing w:after="0" w:line="24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Intangible assets are initially recorded at their acquisition cost, or fair value if acquired as part of a business combination and amortized over their estimated useful lives. Intangible assets consist of a website domain, customer relationships, trade names, capitalized software and developed technology acquired as part of a business combination, and licensed data acquired by entering into research collaboration agreements. In each license arrangement, the other party provides the Company with specified data, which is used for research and development purposes and may also be licensed to third parties. The asset represents the Company’s right to use these datasets. The Company also recognizes a liability for the associated minimum payments that are presented within Accrued data licensing fees on the consolidated balance sheets.</w:t>
      </w:r>
    </w:p>
    <w:p>
      <w:pPr>
        <w:spacing w:after="0" w:line="20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There were no impairment charges recognized related to intangible assets during the years ended December 31, 2025 and 2024, respectively.</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intangible assets as of December 31, 2025 and 2024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Gross</w:t>
            </w:r>
          </w:p>
        </w:tc>
        <w:tc>
          <w:tcPr>
            <w:tcW w:w="22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Gross</w:t>
            </w:r>
          </w:p>
        </w:tc>
        <w:tc>
          <w:tcPr>
            <w:tcW w:w="20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2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2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00" w:type="dxa"/>
            <w:vAlign w:val="bottom"/>
          </w:tcPr>
          <w:p>
            <w:pPr>
              <w:spacing w:after="0"/>
              <w:rPr>
                <w:sz w:val="17"/>
                <w:szCs w:val="17"/>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22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Net</w:t>
            </w:r>
          </w:p>
        </w:tc>
        <w:tc>
          <w:tcPr>
            <w:tcW w:w="40" w:type="dxa"/>
            <w:vAlign w:val="bottom"/>
          </w:tcPr>
          <w:p>
            <w:pPr>
              <w:spacing w:after="0"/>
              <w:rPr>
                <w:sz w:val="17"/>
                <w:szCs w:val="17"/>
                <w:color w:val="auto"/>
              </w:rPr>
            </w:pPr>
          </w:p>
        </w:tc>
      </w:tr>
      <w:tr>
        <w:trPr>
          <w:trHeight w:val="239"/>
        </w:trPr>
        <w:tc>
          <w:tcPr>
            <w:tcW w:w="300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Customer relationships</w:t>
            </w:r>
          </w:p>
        </w:tc>
        <w:tc>
          <w:tcPr>
            <w:tcW w:w="2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17"/>
                <w:szCs w:val="17"/>
                <w:color w:val="414142"/>
                <w:w w:val="70"/>
                <w:shd w:val="clear" w:color="auto" w:fill="E5E6E7"/>
              </w:rPr>
              <w:t>$</w:t>
            </w:r>
          </w:p>
        </w:tc>
        <w:tc>
          <w:tcPr>
            <w:tcW w:w="7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254,550</w:t>
            </w:r>
          </w:p>
        </w:tc>
        <w:tc>
          <w:tcPr>
            <w:tcW w:w="220" w:type="dxa"/>
            <w:vAlign w:val="bottom"/>
            <w:tcBorders>
              <w:top w:val="single" w:sz="8" w:color="E5E6E7"/>
            </w:tcBorders>
            <w:shd w:val="clear" w:color="auto" w:fill="E5E6E7"/>
          </w:tcPr>
          <w:p>
            <w:pPr>
              <w:spacing w:after="0"/>
              <w:rPr>
                <w:sz w:val="20"/>
                <w:szCs w:val="20"/>
                <w:color w:val="auto"/>
              </w:rPr>
            </w:pPr>
          </w:p>
        </w:tc>
        <w:tc>
          <w:tcPr>
            <w:tcW w:w="26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w:t>
            </w:r>
          </w:p>
        </w:tc>
        <w:tc>
          <w:tcPr>
            <w:tcW w:w="8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48,722</w:t>
            </w:r>
          </w:p>
        </w:tc>
        <w:tc>
          <w:tcPr>
            <w:tcW w:w="200" w:type="dxa"/>
            <w:vAlign w:val="bottom"/>
            <w:tcBorders>
              <w:top w:val="single" w:sz="8" w:color="E5E6E7"/>
            </w:tcBorders>
            <w:shd w:val="clear" w:color="auto" w:fill="E5E6E7"/>
          </w:tcPr>
          <w:p>
            <w:pPr>
              <w:spacing w:after="0"/>
              <w:rPr>
                <w:sz w:val="20"/>
                <w:szCs w:val="20"/>
                <w:color w:val="auto"/>
              </w:rPr>
            </w:pPr>
          </w:p>
        </w:tc>
        <w:tc>
          <w:tcPr>
            <w:tcW w:w="260" w:type="dxa"/>
            <w:vAlign w:val="bottom"/>
            <w:tcBorders>
              <w:top w:val="single" w:sz="8" w:color="231F20"/>
            </w:tcBorders>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205,828</w:t>
            </w:r>
          </w:p>
        </w:tc>
        <w:tc>
          <w:tcPr>
            <w:tcW w:w="2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E5E6E7"/>
            </w:tcBorders>
            <w:shd w:val="clear" w:color="auto" w:fill="E5E6E7"/>
          </w:tcPr>
          <w:p>
            <w:pPr>
              <w:spacing w:after="0"/>
              <w:rPr>
                <w:sz w:val="20"/>
                <w:szCs w:val="20"/>
                <w:color w:val="auto"/>
              </w:rPr>
            </w:pPr>
          </w:p>
        </w:tc>
        <w:tc>
          <w:tcPr>
            <w:tcW w:w="1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20,550</w:t>
            </w:r>
          </w:p>
        </w:tc>
        <w:tc>
          <w:tcPr>
            <w:tcW w:w="2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E5E6E7"/>
            </w:tcBorders>
            <w:shd w:val="clear" w:color="auto" w:fill="E5E6E7"/>
          </w:tcPr>
          <w:p>
            <w:pPr>
              <w:spacing w:after="0"/>
              <w:rPr>
                <w:sz w:val="20"/>
                <w:szCs w:val="20"/>
                <w:color w:val="auto"/>
              </w:rPr>
            </w:pPr>
          </w:p>
        </w:tc>
        <w:tc>
          <w:tcPr>
            <w:tcW w:w="260" w:type="dxa"/>
            <w:vAlign w:val="bottom"/>
            <w:tcBorders>
              <w:top w:val="single" w:sz="8" w:color="231F20"/>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shd w:val="clear" w:color="auto" w:fill="E5E6E7"/>
              </w:rPr>
              <w:t>$</w:t>
            </w:r>
          </w:p>
        </w:tc>
        <w:tc>
          <w:tcPr>
            <w:tcW w:w="7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15,606</w:t>
            </w:r>
          </w:p>
        </w:tc>
        <w:tc>
          <w:tcPr>
            <w:tcW w:w="2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E5E6E7"/>
            </w:tcBorders>
            <w:shd w:val="clear" w:color="auto" w:fill="E5E6E7"/>
          </w:tcPr>
          <w:p>
            <w:pPr>
              <w:spacing w:after="0"/>
              <w:rPr>
                <w:sz w:val="20"/>
                <w:szCs w:val="20"/>
                <w:color w:val="auto"/>
              </w:rPr>
            </w:pPr>
          </w:p>
        </w:tc>
        <w:tc>
          <w:tcPr>
            <w:tcW w:w="220" w:type="dxa"/>
            <w:vAlign w:val="bottom"/>
            <w:tcBorders>
              <w:top w:val="single" w:sz="8" w:color="231F20"/>
            </w:tcBorders>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rPr>
              <w:t>$</w:t>
            </w:r>
          </w:p>
        </w:tc>
        <w:tc>
          <w:tcPr>
            <w:tcW w:w="7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4,944</w:t>
            </w:r>
          </w:p>
        </w:tc>
        <w:tc>
          <w:tcPr>
            <w:tcW w:w="20" w:type="dxa"/>
            <w:vAlign w:val="bottom"/>
            <w:tcBorders>
              <w:top w:val="single" w:sz="8" w:color="231F20"/>
            </w:tcBorders>
            <w:shd w:val="clear" w:color="auto" w:fill="E5E6E7"/>
          </w:tcPr>
          <w:p>
            <w:pPr>
              <w:spacing w:after="0"/>
              <w:rPr>
                <w:sz w:val="20"/>
                <w:szCs w:val="20"/>
                <w:color w:val="auto"/>
              </w:rPr>
            </w:pPr>
          </w:p>
        </w:tc>
        <w:tc>
          <w:tcPr>
            <w:tcW w:w="40" w:type="dxa"/>
            <w:vAlign w:val="bottom"/>
            <w:tcBorders>
              <w:top w:val="single" w:sz="8" w:color="E5E6E7"/>
            </w:tcBorders>
            <w:shd w:val="clear" w:color="auto" w:fill="E5E6E7"/>
          </w:tcPr>
          <w:p>
            <w:pPr>
              <w:spacing w:after="0"/>
              <w:rPr>
                <w:sz w:val="20"/>
                <w:szCs w:val="20"/>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231F20"/>
              </w:rPr>
              <w:t>Licensed data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22,954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5,647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17,828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30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Website domain</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w:t>
            </w:r>
          </w:p>
        </w:tc>
        <w:tc>
          <w:tcPr>
            <w:tcW w:w="22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104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92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w:t>
            </w:r>
          </w:p>
        </w:tc>
        <w:tc>
          <w:tcPr>
            <w:tcW w:w="20" w:type="dxa"/>
            <w:vAlign w:val="bottom"/>
            <w:shd w:val="clear" w:color="auto" w:fill="E5E6E7"/>
          </w:tcPr>
          <w:p>
            <w:pPr>
              <w:spacing w:after="0"/>
              <w:rPr>
                <w:sz w:val="21"/>
                <w:szCs w:val="21"/>
                <w:color w:val="auto"/>
              </w:rPr>
            </w:pPr>
          </w:p>
        </w:tc>
        <w:tc>
          <w:tcPr>
            <w:tcW w:w="40" w:type="dxa"/>
            <w:vAlign w:val="bottom"/>
            <w:shd w:val="clear" w:color="auto" w:fill="E5E6E7"/>
          </w:tcPr>
          <w:p>
            <w:pPr>
              <w:spacing w:after="0"/>
              <w:rPr>
                <w:sz w:val="21"/>
                <w:szCs w:val="2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231F20"/>
              </w:rPr>
              <w:t>Trade names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8,892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32,108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4"/>
        </w:trPr>
        <w:tc>
          <w:tcPr>
            <w:tcW w:w="30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Capitalized software</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6,216</w:t>
            </w:r>
          </w:p>
        </w:tc>
        <w:tc>
          <w:tcPr>
            <w:tcW w:w="22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165</w:t>
            </w:r>
          </w:p>
        </w:tc>
        <w:tc>
          <w:tcPr>
            <w:tcW w:w="2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6,051</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2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92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76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rPr>
              <w:t>—</w:t>
            </w:r>
          </w:p>
        </w:tc>
        <w:tc>
          <w:tcPr>
            <w:tcW w:w="40" w:type="dxa"/>
            <w:vAlign w:val="bottom"/>
            <w:shd w:val="clear" w:color="auto" w:fill="E5E6E7"/>
          </w:tcPr>
          <w:p>
            <w:pPr>
              <w:spacing w:after="0"/>
              <w:rPr>
                <w:sz w:val="21"/>
                <w:szCs w:val="21"/>
                <w:color w:val="auto"/>
              </w:rPr>
            </w:pPr>
          </w:p>
        </w:tc>
      </w:tr>
      <w:tr>
        <w:trPr>
          <w:trHeight w:val="244"/>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231F20"/>
              </w:rPr>
              <w:t>Developed technology - biotech</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20,900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93,100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1"/>
                <w:szCs w:val="21"/>
                <w:color w:val="auto"/>
              </w:rPr>
            </w:pPr>
          </w:p>
        </w:tc>
      </w:tr>
      <w:tr>
        <w:trPr>
          <w:trHeight w:val="244"/>
        </w:trPr>
        <w:tc>
          <w:tcPr>
            <w:tcW w:w="30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Developed technology - software</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7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18,000</w:t>
            </w:r>
          </w:p>
        </w:tc>
        <w:tc>
          <w:tcPr>
            <w:tcW w:w="22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5,500</w:t>
            </w:r>
          </w:p>
        </w:tc>
        <w:tc>
          <w:tcPr>
            <w:tcW w:w="2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12,500</w:t>
            </w:r>
          </w:p>
        </w:tc>
        <w:tc>
          <w:tcPr>
            <w:tcW w:w="2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20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92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76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rPr>
              <w:t>—</w:t>
            </w:r>
          </w:p>
        </w:tc>
        <w:tc>
          <w:tcPr>
            <w:tcW w:w="40" w:type="dxa"/>
            <w:vAlign w:val="bottom"/>
            <w:shd w:val="clear" w:color="auto" w:fill="E5E6E7"/>
          </w:tcPr>
          <w:p>
            <w:pPr>
              <w:spacing w:after="0"/>
              <w:rPr>
                <w:sz w:val="21"/>
                <w:szCs w:val="21"/>
                <w:color w:val="auto"/>
              </w:rPr>
            </w:pPr>
          </w:p>
        </w:tc>
      </w:tr>
      <w:tr>
        <w:trPr>
          <w:trHeight w:val="239"/>
        </w:trPr>
        <w:tc>
          <w:tcPr>
            <w:tcW w:w="3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462,386</w:t>
            </w:r>
          </w:p>
        </w:tc>
        <w:tc>
          <w:tcPr>
            <w:tcW w:w="22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107,133</w:t>
            </w:r>
          </w:p>
        </w:tc>
        <w:tc>
          <w:tcPr>
            <w:tcW w:w="20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355,253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48,579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36,863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231F20"/>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11,716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-1552575</wp:posOffset>
            </wp:positionV>
            <wp:extent cx="448627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0">
                      <a:extLst>
                        <a:ext uri="{28A0092B-C50C-407E-A947-70E740481C1C}"/>
                      </a:extLst>
                    </a:blip>
                    <a:srcRect/>
                    <a:stretch>
                      <a:fillRect/>
                    </a:stretch>
                  </pic:blipFill>
                  <pic:spPr bwMode="auto">
                    <a:xfrm>
                      <a:off x="0" y="0"/>
                      <a:ext cx="4486275" cy="38100"/>
                    </a:xfrm>
                    <a:prstGeom prst="rect">
                      <a:avLst/>
                    </a:prstGeom>
                    <a:noFill/>
                  </pic:spPr>
                </pic:pic>
              </a:graphicData>
            </a:graphic>
          </wp:anchor>
        </w:drawing>
      </w:r>
    </w:p>
    <w:p>
      <w:pPr>
        <w:sectPr>
          <w:pgSz w:w="11880" w:h="15480" w:orient="portrait"/>
          <w:cols w:equalWidth="0" w:num="1">
            <w:col w:w="10080"/>
          </w:cols>
          <w:pgMar w:left="900" w:top="735" w:right="900"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163</w:t>
      </w:r>
    </w:p>
    <w:p>
      <w:pPr>
        <w:sectPr>
          <w:pgSz w:w="11880" w:h="15480" w:orient="portrait"/>
          <w:cols w:equalWidth="0" w:num="1">
            <w:col w:w="10080"/>
          </w:cols>
          <w:pgMar w:left="900" w:top="735" w:right="900" w:bottom="0" w:gutter="0" w:footer="0" w:header="0"/>
          <w:type w:val="continuous"/>
        </w:sectPr>
      </w:pPr>
    </w:p>
    <w:bookmarkStart w:id="171" w:name="page172"/>
    <w:bookmarkEnd w:id="171"/>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Amortization of intangible assets is recognized using the straight-line method over their estimated useful lives, which range from three to seven years. Amortization expense was $ 70.3 million, $10.9 million and $11.9 million for the years ended December 31, 2025, 2024 and 2023, respectively, and is recorded in cost of revenues, research and development, or selling, general and administrative expense, depending on use of the asset. The weighted average life of the Company’s intangibles is approximately six years.</w:t>
      </w:r>
    </w:p>
    <w:p>
      <w:pPr>
        <w:spacing w:after="0" w:line="197"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the estimated future amortization expense related to intangible assets is as follows (in thousands):</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66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2026</w:t>
            </w:r>
          </w:p>
        </w:tc>
        <w:tc>
          <w:tcPr>
            <w:tcW w:w="1020" w:type="dxa"/>
            <w:vAlign w:val="bottom"/>
            <w:shd w:val="clear" w:color="auto" w:fill="E5E6E7"/>
          </w:tcPr>
          <w:p>
            <w:pPr>
              <w:spacing w:after="0"/>
              <w:rPr>
                <w:sz w:val="21"/>
                <w:szCs w:val="21"/>
                <w:color w:val="auto"/>
              </w:rPr>
            </w:pP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75,126</w:t>
            </w:r>
          </w:p>
        </w:tc>
        <w:tc>
          <w:tcPr>
            <w:tcW w:w="60" w:type="dxa"/>
            <w:vAlign w:val="bottom"/>
            <w:shd w:val="clear" w:color="auto" w:fill="E5E6E7"/>
          </w:tcPr>
          <w:p>
            <w:pPr>
              <w:spacing w:after="0"/>
              <w:rPr>
                <w:sz w:val="21"/>
                <w:szCs w:val="21"/>
                <w:color w:val="auto"/>
              </w:rPr>
            </w:pP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0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70,460</w:t>
            </w:r>
          </w:p>
        </w:tc>
        <w:tc>
          <w:tcPr>
            <w:tcW w:w="60" w:type="dxa"/>
            <w:vAlign w:val="bottom"/>
          </w:tcPr>
          <w:p>
            <w:pPr>
              <w:spacing w:after="0"/>
              <w:rPr>
                <w:sz w:val="21"/>
                <w:szCs w:val="21"/>
                <w:color w:val="auto"/>
              </w:rPr>
            </w:pPr>
          </w:p>
        </w:tc>
      </w:tr>
      <w:tr>
        <w:trPr>
          <w:trHeight w:val="244"/>
        </w:trPr>
        <w:tc>
          <w:tcPr>
            <w:tcW w:w="66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2028</w:t>
            </w:r>
          </w:p>
        </w:tc>
        <w:tc>
          <w:tcPr>
            <w:tcW w:w="1020" w:type="dxa"/>
            <w:vAlign w:val="bottom"/>
            <w:shd w:val="clear" w:color="auto" w:fill="E5E6E7"/>
          </w:tcPr>
          <w:p>
            <w:pPr>
              <w:spacing w:after="0"/>
              <w:rPr>
                <w:sz w:val="21"/>
                <w:szCs w:val="21"/>
                <w:color w:val="auto"/>
              </w:rPr>
            </w:pP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64,117</w:t>
            </w:r>
          </w:p>
        </w:tc>
        <w:tc>
          <w:tcPr>
            <w:tcW w:w="60" w:type="dxa"/>
            <w:vAlign w:val="bottom"/>
            <w:shd w:val="clear" w:color="auto" w:fill="E5E6E7"/>
          </w:tcPr>
          <w:p>
            <w:pPr>
              <w:spacing w:after="0"/>
              <w:rPr>
                <w:sz w:val="21"/>
                <w:szCs w:val="21"/>
                <w:color w:val="auto"/>
              </w:rPr>
            </w:pPr>
          </w:p>
        </w:tc>
      </w:tr>
      <w:tr>
        <w:trPr>
          <w:trHeight w:val="244"/>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0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62,475</w:t>
            </w:r>
          </w:p>
        </w:tc>
        <w:tc>
          <w:tcPr>
            <w:tcW w:w="60" w:type="dxa"/>
            <w:vAlign w:val="bottom"/>
          </w:tcPr>
          <w:p>
            <w:pPr>
              <w:spacing w:after="0"/>
              <w:rPr>
                <w:sz w:val="21"/>
                <w:szCs w:val="21"/>
                <w:color w:val="auto"/>
              </w:rPr>
            </w:pPr>
          </w:p>
        </w:tc>
      </w:tr>
      <w:tr>
        <w:trPr>
          <w:trHeight w:val="244"/>
        </w:trPr>
        <w:tc>
          <w:tcPr>
            <w:tcW w:w="66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2030</w:t>
            </w:r>
          </w:p>
        </w:tc>
        <w:tc>
          <w:tcPr>
            <w:tcW w:w="1020" w:type="dxa"/>
            <w:vAlign w:val="bottom"/>
            <w:shd w:val="clear" w:color="auto" w:fill="E5E6E7"/>
          </w:tcPr>
          <w:p>
            <w:pPr>
              <w:spacing w:after="0"/>
              <w:rPr>
                <w:sz w:val="21"/>
                <w:szCs w:val="21"/>
                <w:color w:val="auto"/>
              </w:rPr>
            </w:pPr>
          </w:p>
        </w:tc>
        <w:tc>
          <w:tcPr>
            <w:tcW w:w="15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41,306</w:t>
            </w:r>
          </w:p>
        </w:tc>
        <w:tc>
          <w:tcPr>
            <w:tcW w:w="60" w:type="dxa"/>
            <w:vAlign w:val="bottom"/>
            <w:shd w:val="clear" w:color="auto" w:fill="E5E6E7"/>
          </w:tcPr>
          <w:p>
            <w:pPr>
              <w:spacing w:after="0"/>
              <w:rPr>
                <w:sz w:val="21"/>
                <w:szCs w:val="21"/>
                <w:color w:val="auto"/>
              </w:rPr>
            </w:pPr>
          </w:p>
        </w:tc>
      </w:tr>
      <w:tr>
        <w:trPr>
          <w:trHeight w:val="244"/>
        </w:trPr>
        <w:tc>
          <w:tcPr>
            <w:tcW w:w="66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020" w:type="dxa"/>
            <w:vAlign w:val="bottom"/>
            <w:tcBorders>
              <w:bottom w:val="single" w:sz="8" w:color="231F20"/>
            </w:tcBorders>
          </w:tcPr>
          <w:p>
            <w:pPr>
              <w:spacing w:after="0"/>
              <w:rPr>
                <w:sz w:val="21"/>
                <w:szCs w:val="21"/>
                <w:color w:val="auto"/>
              </w:rPr>
            </w:pPr>
          </w:p>
        </w:tc>
        <w:tc>
          <w:tcPr>
            <w:tcW w:w="1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41,750</w:t>
            </w:r>
          </w:p>
        </w:tc>
        <w:tc>
          <w:tcPr>
            <w:tcW w:w="60" w:type="dxa"/>
            <w:vAlign w:val="bottom"/>
            <w:tcBorders>
              <w:bottom w:val="single" w:sz="8" w:color="E5E6E7"/>
            </w:tcBorders>
          </w:tcPr>
          <w:p>
            <w:pPr>
              <w:spacing w:after="0"/>
              <w:rPr>
                <w:sz w:val="21"/>
                <w:szCs w:val="21"/>
                <w:color w:val="auto"/>
              </w:rPr>
            </w:pPr>
          </w:p>
        </w:tc>
      </w:tr>
      <w:tr>
        <w:trPr>
          <w:trHeight w:val="239"/>
        </w:trPr>
        <w:tc>
          <w:tcPr>
            <w:tcW w:w="66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w:t>
            </w:r>
          </w:p>
        </w:tc>
        <w:tc>
          <w:tcPr>
            <w:tcW w:w="1020" w:type="dxa"/>
            <w:vAlign w:val="bottom"/>
            <w:tcBorders>
              <w:bottom w:val="single" w:sz="8" w:color="231F20"/>
            </w:tcBorders>
            <w:shd w:val="clear" w:color="auto" w:fill="E5E6E7"/>
          </w:tcPr>
          <w:p>
            <w:pPr>
              <w:jc w:val="right"/>
              <w:ind w:right="820"/>
              <w:spacing w:after="0"/>
              <w:rPr>
                <w:sz w:val="20"/>
                <w:szCs w:val="20"/>
                <w:color w:val="auto"/>
              </w:rPr>
            </w:pPr>
            <w:r>
              <w:rPr>
                <w:rFonts w:ascii="Times New Roman" w:cs="Times New Roman" w:eastAsia="Times New Roman" w:hAnsi="Times New Roman"/>
                <w:sz w:val="20"/>
                <w:szCs w:val="20"/>
                <w:color w:val="414142"/>
                <w:w w:val="79"/>
              </w:rPr>
              <w:t>$</w:t>
            </w:r>
          </w:p>
        </w:tc>
        <w:tc>
          <w:tcPr>
            <w:tcW w:w="15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355,234</w:t>
            </w:r>
          </w:p>
        </w:tc>
        <w:tc>
          <w:tcPr>
            <w:tcW w:w="60" w:type="dxa"/>
            <w:vAlign w:val="bottom"/>
            <w:shd w:val="clear" w:color="auto" w:fill="E5E6E7"/>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7" w:lineRule="exact"/>
        <w:rPr>
          <w:sz w:val="20"/>
          <w:szCs w:val="20"/>
          <w:color w:val="auto"/>
        </w:rPr>
      </w:pPr>
    </w:p>
    <w:p>
      <w:pPr>
        <w:ind w:right="7940"/>
        <w:spacing w:after="0" w:line="367" w:lineRule="auto"/>
        <w:tabs>
          <w:tab w:leader="none" w:pos="490" w:val="left"/>
        </w:tabs>
        <w:numPr>
          <w:ilvl w:val="0"/>
          <w:numId w:val="6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JOINT VENTURE SB Tempus</w:t>
      </w:r>
    </w:p>
    <w:p>
      <w:pPr>
        <w:spacing w:after="0" w:line="1"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231F20"/>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spacing w:after="0" w:line="20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spacing w:after="0" w:line="19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Company's maximum exposure to loss from SB Tempus is equal to the carrying value of the Company's investment. As of December 31, 2025, the carrying value of the investment in SB Tempus was $86.6 million. The Company's share of losses from SB Tempus are recorded in Losses from equity method investments.</w:t>
      </w:r>
    </w:p>
    <w:p>
      <w:pPr>
        <w:spacing w:after="0" w:line="18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applications revenue over the term of the license subscription which ends on March 31, 2026. For the years ended December 31, 2025, 2024 and 2023, the Company recognized $25.0 million, $16.6 million and $0, respectively, in Data and applications revenue related to the Data License Agreement.</w:t>
      </w:r>
    </w:p>
    <w:p>
      <w:pPr>
        <w:spacing w:after="0" w:line="20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income, net over three years, based on the estimated time for SB Tempus' systems and technologies to diverge from the Company's. For the years ended December 31, 2025, 2024 and 2023, the Company recognized $16.0 million, $8.0 million and $0, respectively, related to the IP License Agreement.</w:t>
      </w:r>
    </w:p>
    <w:p>
      <w:pPr>
        <w:sectPr>
          <w:pgSz w:w="11880" w:h="15480" w:orient="portrait"/>
          <w:cols w:equalWidth="0" w:num="1">
            <w:col w:w="10060"/>
          </w:cols>
          <w:pgMar w:left="900" w:top="101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164</w:t>
      </w:r>
    </w:p>
    <w:p>
      <w:pPr>
        <w:sectPr>
          <w:pgSz w:w="11880" w:h="15480" w:orient="portrait"/>
          <w:cols w:equalWidth="0" w:num="1">
            <w:col w:w="10060"/>
          </w:cols>
          <w:pgMar w:left="900" w:top="1015" w:right="920" w:bottom="0" w:gutter="0" w:footer="0" w:header="0"/>
          <w:type w:val="continuous"/>
        </w:sectPr>
      </w:pPr>
    </w:p>
    <w:bookmarkStart w:id="172" w:name="page173"/>
    <w:bookmarkEnd w:id="172"/>
    <w:p>
      <w:pPr>
        <w:ind w:left="480" w:right="5760" w:hanging="480"/>
        <w:spacing w:after="0" w:line="367" w:lineRule="auto"/>
        <w:tabs>
          <w:tab w:leader="none" w:pos="480" w:val="left"/>
        </w:tabs>
        <w:numPr>
          <w:ilvl w:val="0"/>
          <w:numId w:val="7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COMMITMENTS AND CONTINGENCIES Purchase Obligations</w:t>
      </w:r>
    </w:p>
    <w:p>
      <w:pPr>
        <w:spacing w:after="0" w:line="1"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2025, 2024 and 2023, the Company recognized data licensing and cloud computing expenses of $50.3 million, $40.6 million and $33.7 million, respectively, related to non-cancelable arrangements.</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As of December 31, 2025, future payments under these contractual obligations were as follows (in thousands):</w:t>
      </w:r>
    </w:p>
    <w:p>
      <w:pPr>
        <w:spacing w:after="0" w:line="296"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68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2026</w:t>
            </w:r>
          </w:p>
        </w:tc>
        <w:tc>
          <w:tcPr>
            <w:tcW w:w="920" w:type="dxa"/>
            <w:vAlign w:val="bottom"/>
            <w:shd w:val="clear" w:color="auto" w:fill="E5E6E7"/>
          </w:tcPr>
          <w:p>
            <w:pPr>
              <w:spacing w:after="0"/>
              <w:rPr>
                <w:sz w:val="21"/>
                <w:szCs w:val="21"/>
                <w:color w:val="auto"/>
              </w:rPr>
            </w:pPr>
          </w:p>
        </w:tc>
        <w:tc>
          <w:tcPr>
            <w:tcW w:w="14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48,661</w:t>
            </w:r>
          </w:p>
        </w:tc>
        <w:tc>
          <w:tcPr>
            <w:tcW w:w="60" w:type="dxa"/>
            <w:vAlign w:val="bottom"/>
            <w:shd w:val="clear" w:color="auto" w:fill="E5E6E7"/>
          </w:tcPr>
          <w:p>
            <w:pPr>
              <w:spacing w:after="0"/>
              <w:rPr>
                <w:sz w:val="21"/>
                <w:szCs w:val="21"/>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9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77,524</w:t>
            </w:r>
          </w:p>
        </w:tc>
        <w:tc>
          <w:tcPr>
            <w:tcW w:w="60" w:type="dxa"/>
            <w:vAlign w:val="bottom"/>
          </w:tcPr>
          <w:p>
            <w:pPr>
              <w:spacing w:after="0"/>
              <w:rPr>
                <w:sz w:val="21"/>
                <w:szCs w:val="21"/>
                <w:color w:val="auto"/>
              </w:rPr>
            </w:pPr>
          </w:p>
        </w:tc>
      </w:tr>
      <w:tr>
        <w:trPr>
          <w:trHeight w:val="244"/>
        </w:trPr>
        <w:tc>
          <w:tcPr>
            <w:tcW w:w="68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2028</w:t>
            </w:r>
          </w:p>
        </w:tc>
        <w:tc>
          <w:tcPr>
            <w:tcW w:w="920" w:type="dxa"/>
            <w:vAlign w:val="bottom"/>
            <w:shd w:val="clear" w:color="auto" w:fill="E5E6E7"/>
          </w:tcPr>
          <w:p>
            <w:pPr>
              <w:spacing w:after="0"/>
              <w:rPr>
                <w:sz w:val="21"/>
                <w:szCs w:val="21"/>
                <w:color w:val="auto"/>
              </w:rPr>
            </w:pPr>
          </w:p>
        </w:tc>
        <w:tc>
          <w:tcPr>
            <w:tcW w:w="14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29,517</w:t>
            </w:r>
          </w:p>
        </w:tc>
        <w:tc>
          <w:tcPr>
            <w:tcW w:w="60" w:type="dxa"/>
            <w:vAlign w:val="bottom"/>
            <w:shd w:val="clear" w:color="auto" w:fill="E5E6E7"/>
          </w:tcPr>
          <w:p>
            <w:pPr>
              <w:spacing w:after="0"/>
              <w:rPr>
                <w:sz w:val="21"/>
                <w:szCs w:val="21"/>
                <w:color w:val="auto"/>
              </w:rPr>
            </w:pPr>
          </w:p>
        </w:tc>
      </w:tr>
      <w:tr>
        <w:trPr>
          <w:trHeight w:val="244"/>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9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24,225</w:t>
            </w:r>
          </w:p>
        </w:tc>
        <w:tc>
          <w:tcPr>
            <w:tcW w:w="60" w:type="dxa"/>
            <w:vAlign w:val="bottom"/>
          </w:tcPr>
          <w:p>
            <w:pPr>
              <w:spacing w:after="0"/>
              <w:rPr>
                <w:sz w:val="21"/>
                <w:szCs w:val="21"/>
                <w:color w:val="auto"/>
              </w:rPr>
            </w:pPr>
          </w:p>
        </w:tc>
      </w:tr>
      <w:tr>
        <w:trPr>
          <w:trHeight w:val="244"/>
        </w:trPr>
        <w:tc>
          <w:tcPr>
            <w:tcW w:w="68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2030 and thereafter</w:t>
            </w:r>
          </w:p>
        </w:tc>
        <w:tc>
          <w:tcPr>
            <w:tcW w:w="920" w:type="dxa"/>
            <w:vAlign w:val="bottom"/>
            <w:tcBorders>
              <w:bottom w:val="single" w:sz="8" w:color="231F20"/>
            </w:tcBorders>
            <w:shd w:val="clear" w:color="auto" w:fill="E5E6E7"/>
          </w:tcPr>
          <w:p>
            <w:pPr>
              <w:spacing w:after="0"/>
              <w:rPr>
                <w:sz w:val="21"/>
                <w:szCs w:val="21"/>
                <w:color w:val="auto"/>
              </w:rPr>
            </w:pPr>
          </w:p>
        </w:tc>
        <w:tc>
          <w:tcPr>
            <w:tcW w:w="14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2,667</w:t>
            </w:r>
          </w:p>
        </w:tc>
        <w:tc>
          <w:tcPr>
            <w:tcW w:w="60" w:type="dxa"/>
            <w:vAlign w:val="bottom"/>
            <w:shd w:val="clear" w:color="auto" w:fill="E5E6E7"/>
          </w:tcPr>
          <w:p>
            <w:pPr>
              <w:spacing w:after="0"/>
              <w:rPr>
                <w:sz w:val="21"/>
                <w:szCs w:val="21"/>
                <w:color w:val="auto"/>
              </w:rPr>
            </w:pPr>
          </w:p>
        </w:tc>
      </w:tr>
      <w:tr>
        <w:trPr>
          <w:trHeight w:val="239"/>
        </w:trPr>
        <w:tc>
          <w:tcPr>
            <w:tcW w:w="682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Total purchase obligations</w:t>
            </w:r>
          </w:p>
        </w:tc>
        <w:tc>
          <w:tcPr>
            <w:tcW w:w="920" w:type="dxa"/>
            <w:vAlign w:val="bottom"/>
            <w:tcBorders>
              <w:bottom w:val="single" w:sz="8" w:color="231F20"/>
            </w:tcBorders>
          </w:tcPr>
          <w:p>
            <w:pPr>
              <w:spacing w:after="0"/>
              <w:rPr>
                <w:sz w:val="20"/>
                <w:szCs w:val="20"/>
                <w:color w:val="auto"/>
              </w:rPr>
            </w:pPr>
          </w:p>
        </w:tc>
        <w:tc>
          <w:tcPr>
            <w:tcW w:w="14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182,594</w:t>
            </w:r>
          </w:p>
        </w:tc>
        <w:tc>
          <w:tcPr>
            <w:tcW w:w="60" w:type="dxa"/>
            <w:vAlign w:val="bottom"/>
            <w:tcBorders>
              <w:bottom w:val="single" w:sz="8" w:color="E5E6E7"/>
            </w:tcBorders>
          </w:tcPr>
          <w:p>
            <w:pPr>
              <w:spacing w:after="0"/>
              <w:rPr>
                <w:sz w:val="20"/>
                <w:szCs w:val="20"/>
                <w:color w:val="auto"/>
              </w:rPr>
            </w:pPr>
          </w:p>
        </w:tc>
      </w:tr>
      <w:tr>
        <w:trPr>
          <w:trHeight w:val="259"/>
        </w:trPr>
        <w:tc>
          <w:tcPr>
            <w:tcW w:w="6820" w:type="dxa"/>
            <w:vAlign w:val="bottom"/>
            <w:tcBorders>
              <w:bottom w:val="single" w:sz="8" w:color="E5E6E7"/>
            </w:tcBorders>
            <w:shd w:val="clear" w:color="auto" w:fill="E5E6E7"/>
          </w:tcPr>
          <w:p>
            <w:pPr>
              <w:ind w:left="260"/>
              <w:spacing w:after="0"/>
              <w:rPr>
                <w:sz w:val="20"/>
                <w:szCs w:val="20"/>
                <w:color w:val="auto"/>
              </w:rPr>
            </w:pPr>
            <w:r>
              <w:rPr>
                <w:rFonts w:ascii="Times New Roman" w:cs="Times New Roman" w:eastAsia="Times New Roman" w:hAnsi="Times New Roman"/>
                <w:sz w:val="20"/>
                <w:szCs w:val="20"/>
                <w:color w:val="414142"/>
              </w:rPr>
              <w:t>Less: Current portion of purchase obligations</w:t>
            </w:r>
          </w:p>
        </w:tc>
        <w:tc>
          <w:tcPr>
            <w:tcW w:w="920" w:type="dxa"/>
            <w:vAlign w:val="bottom"/>
            <w:tcBorders>
              <w:bottom w:val="single" w:sz="8" w:color="231F20"/>
            </w:tcBorders>
            <w:shd w:val="clear" w:color="auto" w:fill="E5E6E7"/>
          </w:tcPr>
          <w:p>
            <w:pPr>
              <w:spacing w:after="0"/>
              <w:rPr>
                <w:sz w:val="22"/>
                <w:szCs w:val="22"/>
                <w:color w:val="auto"/>
              </w:rPr>
            </w:pPr>
          </w:p>
        </w:tc>
        <w:tc>
          <w:tcPr>
            <w:tcW w:w="14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48,661</w:t>
            </w:r>
          </w:p>
        </w:tc>
        <w:tc>
          <w:tcPr>
            <w:tcW w:w="60" w:type="dxa"/>
            <w:vAlign w:val="bottom"/>
            <w:tcBorders>
              <w:bottom w:val="single" w:sz="8" w:color="E5E6E7"/>
            </w:tcBorders>
            <w:shd w:val="clear" w:color="auto" w:fill="E5E6E7"/>
          </w:tcPr>
          <w:p>
            <w:pPr>
              <w:spacing w:after="0"/>
              <w:rPr>
                <w:sz w:val="22"/>
                <w:szCs w:val="22"/>
                <w:color w:val="auto"/>
              </w:rPr>
            </w:pPr>
          </w:p>
        </w:tc>
      </w:tr>
      <w:tr>
        <w:trPr>
          <w:trHeight w:val="219"/>
        </w:trPr>
        <w:tc>
          <w:tcPr>
            <w:tcW w:w="68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long-term purchase obligations</w:t>
            </w:r>
          </w:p>
        </w:tc>
        <w:tc>
          <w:tcPr>
            <w:tcW w:w="920" w:type="dxa"/>
            <w:vAlign w:val="bottom"/>
            <w:tcBorders>
              <w:bottom w:val="single" w:sz="8" w:color="231F20"/>
            </w:tcBorders>
          </w:tcPr>
          <w:p>
            <w:pPr>
              <w:jc w:val="right"/>
              <w:ind w:right="7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4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133,933</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Legal Matters</w:t>
      </w:r>
    </w:p>
    <w:p>
      <w:pPr>
        <w:spacing w:after="0" w:line="124" w:lineRule="exact"/>
        <w:rPr>
          <w:sz w:val="20"/>
          <w:szCs w:val="20"/>
          <w:color w:val="auto"/>
        </w:rPr>
      </w:pPr>
    </w:p>
    <w:p>
      <w:pPr>
        <w:ind w:right="520" w:firstLine="490"/>
        <w:spacing w:after="0" w:line="258" w:lineRule="auto"/>
        <w:rPr>
          <w:sz w:val="20"/>
          <w:szCs w:val="20"/>
          <w:color w:val="auto"/>
        </w:rPr>
      </w:pPr>
      <w:r>
        <w:rPr>
          <w:rFonts w:ascii="Times New Roman" w:cs="Times New Roman" w:eastAsia="Times New Roman" w:hAnsi="Times New Roman"/>
          <w:sz w:val="20"/>
          <w:szCs w:val="20"/>
          <w:color w:val="231F20"/>
        </w:rPr>
        <w:t>From time to time in the normal course of business, the Company may be subject to various legal matters such as threatened or pending claims or proceedings. There were no material such matters as of and for the years ended December 31, 2025, 2024 and 2023.</w:t>
      </w:r>
    </w:p>
    <w:p>
      <w:pPr>
        <w:spacing w:after="0" w:line="340" w:lineRule="exact"/>
        <w:rPr>
          <w:sz w:val="20"/>
          <w:szCs w:val="20"/>
          <w:color w:val="auto"/>
        </w:rPr>
      </w:pPr>
    </w:p>
    <w:p>
      <w:pPr>
        <w:ind w:left="980" w:hanging="490"/>
        <w:spacing w:after="0"/>
        <w:tabs>
          <w:tab w:leader="none" w:pos="980" w:val="left"/>
        </w:tabs>
        <w:numPr>
          <w:ilvl w:val="0"/>
          <w:numId w:val="7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LEASES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 has entered into various non-cancelable operating lease agreements, primarily for the rent of office and lab space, with expirations at various dates through 2036.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200" w:lineRule="exact"/>
        <w:rPr>
          <w:sz w:val="20"/>
          <w:szCs w:val="20"/>
          <w:color w:val="auto"/>
        </w:rPr>
      </w:pPr>
    </w:p>
    <w:p>
      <w:pPr>
        <w:spacing w:after="0" w:line="224" w:lineRule="exact"/>
        <w:rPr>
          <w:sz w:val="20"/>
          <w:szCs w:val="20"/>
          <w:color w:val="auto"/>
        </w:rPr>
      </w:pPr>
    </w:p>
    <w:p>
      <w:pPr>
        <w:ind w:right="820" w:firstLine="490"/>
        <w:spacing w:after="0" w:line="277" w:lineRule="auto"/>
        <w:rPr>
          <w:sz w:val="20"/>
          <w:szCs w:val="20"/>
          <w:color w:val="auto"/>
        </w:rPr>
      </w:pPr>
      <w:r>
        <w:rPr>
          <w:rFonts w:ascii="Times New Roman" w:cs="Times New Roman" w:eastAsia="Times New Roman" w:hAnsi="Times New Roman"/>
          <w:sz w:val="20"/>
          <w:szCs w:val="20"/>
          <w:color w:val="231F20"/>
        </w:rPr>
        <w:t>The components of total lease costs for the years ended December 31, 2025, 2024 and 2023 are as follows (in thousands):</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3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364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21"/>
                <w:szCs w:val="21"/>
                <w:color w:val="auto"/>
              </w:rPr>
            </w:pPr>
          </w:p>
        </w:tc>
      </w:tr>
      <w:tr>
        <w:trPr>
          <w:trHeight w:val="239"/>
        </w:trPr>
        <w:tc>
          <w:tcPr>
            <w:tcW w:w="36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Operating lease cost</w:t>
            </w:r>
          </w:p>
        </w:tc>
        <w:tc>
          <w:tcPr>
            <w:tcW w:w="760" w:type="dxa"/>
            <w:vAlign w:val="bottom"/>
            <w:tcBorders>
              <w:top w:val="single" w:sz="8" w:color="E5E6E7"/>
            </w:tcBorders>
            <w:shd w:val="clear" w:color="auto" w:fill="E5E6E7"/>
          </w:tcPr>
          <w:p>
            <w:pPr>
              <w:spacing w:after="0"/>
              <w:rPr>
                <w:sz w:val="20"/>
                <w:szCs w:val="20"/>
                <w:color w:val="auto"/>
              </w:rPr>
            </w:pPr>
          </w:p>
        </w:tc>
        <w:tc>
          <w:tcPr>
            <w:tcW w:w="1020" w:type="dxa"/>
            <w:vAlign w:val="bottom"/>
            <w:tcBorders>
              <w:top w:val="single" w:sz="8" w:color="414142"/>
            </w:tcBorders>
            <w:shd w:val="clear" w:color="auto" w:fill="E5E6E7"/>
          </w:tcPr>
          <w:p>
            <w:pPr>
              <w:jc w:val="right"/>
              <w:ind w:right="820"/>
              <w:spacing w:after="0"/>
              <w:rPr>
                <w:sz w:val="20"/>
                <w:szCs w:val="20"/>
                <w:color w:val="auto"/>
              </w:rPr>
            </w:pPr>
            <w:r>
              <w:rPr>
                <w:rFonts w:ascii="Times New Roman" w:cs="Times New Roman" w:eastAsia="Times New Roman" w:hAnsi="Times New Roman"/>
                <w:sz w:val="20"/>
                <w:szCs w:val="20"/>
                <w:color w:val="414142"/>
                <w:w w:val="79"/>
              </w:rPr>
              <w:t>$</w:t>
            </w:r>
          </w:p>
        </w:tc>
        <w:tc>
          <w:tcPr>
            <w:tcW w:w="60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11,554</w:t>
            </w:r>
          </w:p>
        </w:tc>
        <w:tc>
          <w:tcPr>
            <w:tcW w:w="140" w:type="dxa"/>
            <w:vAlign w:val="bottom"/>
            <w:tcBorders>
              <w:top w:val="single" w:sz="8" w:color="E5E6E7"/>
            </w:tcBorders>
            <w:shd w:val="clear" w:color="auto" w:fill="E5E6E7"/>
          </w:tcPr>
          <w:p>
            <w:pPr>
              <w:spacing w:after="0"/>
              <w:rPr>
                <w:sz w:val="20"/>
                <w:szCs w:val="20"/>
                <w:color w:val="auto"/>
              </w:rPr>
            </w:pPr>
          </w:p>
        </w:tc>
        <w:tc>
          <w:tcPr>
            <w:tcW w:w="80" w:type="dxa"/>
            <w:vAlign w:val="bottom"/>
            <w:tcBorders>
              <w:top w:val="single" w:sz="8" w:color="E5E6E7"/>
            </w:tcBorders>
            <w:shd w:val="clear" w:color="auto" w:fill="E5E6E7"/>
          </w:tcPr>
          <w:p>
            <w:pPr>
              <w:spacing w:after="0"/>
              <w:rPr>
                <w:sz w:val="20"/>
                <w:szCs w:val="20"/>
                <w:color w:val="auto"/>
              </w:rPr>
            </w:pPr>
          </w:p>
        </w:tc>
        <w:tc>
          <w:tcPr>
            <w:tcW w:w="340" w:type="dxa"/>
            <w:vAlign w:val="bottom"/>
            <w:tcBorders>
              <w:top w:val="single" w:sz="8" w:color="414142"/>
            </w:tcBorders>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112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6,047</w:t>
            </w:r>
          </w:p>
        </w:tc>
        <w:tc>
          <w:tcPr>
            <w:tcW w:w="18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E5E6E7"/>
            </w:tcBorders>
            <w:shd w:val="clear" w:color="auto" w:fill="E5E6E7"/>
          </w:tcPr>
          <w:p>
            <w:pPr>
              <w:spacing w:after="0"/>
              <w:rPr>
                <w:sz w:val="20"/>
                <w:szCs w:val="20"/>
                <w:color w:val="auto"/>
              </w:rPr>
            </w:pPr>
          </w:p>
        </w:tc>
        <w:tc>
          <w:tcPr>
            <w:tcW w:w="280" w:type="dxa"/>
            <w:vAlign w:val="bottom"/>
            <w:tcBorders>
              <w:top w:val="single" w:sz="8" w:color="414142"/>
            </w:tcBorders>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w w:val="79"/>
              </w:rPr>
              <w:t>$</w:t>
            </w:r>
          </w:p>
        </w:tc>
        <w:tc>
          <w:tcPr>
            <w:tcW w:w="94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6,760</w:t>
            </w:r>
          </w:p>
        </w:tc>
        <w:tc>
          <w:tcPr>
            <w:tcW w:w="80" w:type="dxa"/>
            <w:vAlign w:val="bottom"/>
            <w:tcBorders>
              <w:top w:val="single" w:sz="8" w:color="E5E6E7"/>
            </w:tcBorders>
            <w:shd w:val="clear" w:color="auto" w:fill="E5E6E7"/>
          </w:tcPr>
          <w:p>
            <w:pPr>
              <w:spacing w:after="0"/>
              <w:rPr>
                <w:sz w:val="20"/>
                <w:szCs w:val="20"/>
                <w:color w:val="auto"/>
              </w:rPr>
            </w:pPr>
          </w:p>
        </w:tc>
      </w:tr>
      <w:tr>
        <w:trPr>
          <w:trHeight w:val="244"/>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231F20"/>
              </w:rPr>
              <w:t>Variable lease cost</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4,641</w:t>
            </w:r>
          </w:p>
        </w:tc>
        <w:tc>
          <w:tcPr>
            <w:tcW w:w="80" w:type="dxa"/>
            <w:vAlign w:val="bottom"/>
          </w:tcPr>
          <w:p>
            <w:pPr>
              <w:spacing w:after="0"/>
              <w:rPr>
                <w:sz w:val="21"/>
                <w:szCs w:val="21"/>
                <w:color w:val="auto"/>
              </w:rPr>
            </w:pPr>
          </w:p>
        </w:tc>
      </w:tr>
      <w:tr>
        <w:trPr>
          <w:trHeight w:val="244"/>
        </w:trPr>
        <w:tc>
          <w:tcPr>
            <w:tcW w:w="36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Short-term lease costs</w:t>
            </w:r>
          </w:p>
        </w:tc>
        <w:tc>
          <w:tcPr>
            <w:tcW w:w="76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1,148</w:t>
            </w: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688</w:t>
            </w: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441</w:t>
            </w:r>
          </w:p>
        </w:tc>
        <w:tc>
          <w:tcPr>
            <w:tcW w:w="80" w:type="dxa"/>
            <w:vAlign w:val="bottom"/>
            <w:shd w:val="clear" w:color="auto" w:fill="E5E6E7"/>
          </w:tcPr>
          <w:p>
            <w:pPr>
              <w:spacing w:after="0"/>
              <w:rPr>
                <w:sz w:val="21"/>
                <w:szCs w:val="21"/>
                <w:color w:val="auto"/>
              </w:rPr>
            </w:pPr>
          </w:p>
        </w:tc>
      </w:tr>
      <w:tr>
        <w:trPr>
          <w:trHeight w:val="244"/>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231F20"/>
              </w:rPr>
              <w:t>Sublease income</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(630)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(52)</w:t>
            </w:r>
          </w:p>
        </w:tc>
      </w:tr>
      <w:tr>
        <w:trPr>
          <w:trHeight w:val="244"/>
        </w:trPr>
        <w:tc>
          <w:tcPr>
            <w:tcW w:w="36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Finance lease cost</w:t>
            </w:r>
          </w:p>
        </w:tc>
        <w:tc>
          <w:tcPr>
            <w:tcW w:w="76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60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12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36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Amortization of right-of-use assets</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283</w:t>
            </w:r>
          </w:p>
        </w:tc>
        <w:tc>
          <w:tcPr>
            <w:tcW w:w="80" w:type="dxa"/>
            <w:vAlign w:val="bottom"/>
          </w:tcPr>
          <w:p>
            <w:pPr>
              <w:spacing w:after="0"/>
              <w:rPr>
                <w:sz w:val="21"/>
                <w:szCs w:val="21"/>
                <w:color w:val="auto"/>
              </w:rPr>
            </w:pPr>
          </w:p>
        </w:tc>
      </w:tr>
      <w:tr>
        <w:trPr>
          <w:trHeight w:val="244"/>
        </w:trPr>
        <w:tc>
          <w:tcPr>
            <w:tcW w:w="36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Interest on lease liabilities</w:t>
            </w:r>
          </w:p>
        </w:tc>
        <w:tc>
          <w:tcPr>
            <w:tcW w:w="76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74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w:t>
            </w:r>
          </w:p>
        </w:tc>
        <w:tc>
          <w:tcPr>
            <w:tcW w:w="8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30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rPr>
              <w:t>—</w:t>
            </w:r>
          </w:p>
        </w:tc>
        <w:tc>
          <w:tcPr>
            <w:tcW w:w="10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w:t>
            </w:r>
          </w:p>
        </w:tc>
        <w:tc>
          <w:tcPr>
            <w:tcW w:w="80" w:type="dxa"/>
            <w:vAlign w:val="bottom"/>
            <w:shd w:val="clear" w:color="auto" w:fill="E5E6E7"/>
          </w:tcPr>
          <w:p>
            <w:pPr>
              <w:spacing w:after="0"/>
              <w:rPr>
                <w:sz w:val="21"/>
                <w:szCs w:val="2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231F20"/>
              </w:rPr>
              <w:t>Total lease costs</w:t>
            </w:r>
          </w:p>
        </w:tc>
        <w:tc>
          <w:tcPr>
            <w:tcW w:w="760" w:type="dxa"/>
            <w:vAlign w:val="bottom"/>
          </w:tcPr>
          <w:p>
            <w:pPr>
              <w:spacing w:after="0"/>
              <w:rPr>
                <w:sz w:val="20"/>
                <w:szCs w:val="20"/>
                <w:color w:val="auto"/>
              </w:rPr>
            </w:pPr>
          </w:p>
        </w:tc>
        <w:tc>
          <w:tcPr>
            <w:tcW w:w="1020" w:type="dxa"/>
            <w:vAlign w:val="bottom"/>
            <w:tcBorders>
              <w:top w:val="single" w:sz="8" w:color="231F20"/>
              <w:bottom w:val="single" w:sz="8" w:color="231F20"/>
            </w:tcBorders>
          </w:tcPr>
          <w:p>
            <w:pPr>
              <w:jc w:val="right"/>
              <w:ind w:right="820"/>
              <w:spacing w:after="0"/>
              <w:rPr>
                <w:sz w:val="20"/>
                <w:szCs w:val="20"/>
                <w:color w:val="auto"/>
              </w:rPr>
            </w:pPr>
            <w:r>
              <w:rPr>
                <w:rFonts w:ascii="Times New Roman" w:cs="Times New Roman" w:eastAsia="Times New Roman" w:hAnsi="Times New Roman"/>
                <w:sz w:val="20"/>
                <w:szCs w:val="20"/>
                <w:color w:val="231F20"/>
                <w:w w:val="79"/>
              </w:rPr>
              <w:t>$</w:t>
            </w:r>
          </w:p>
        </w:tc>
        <w:tc>
          <w:tcPr>
            <w:tcW w:w="6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20,126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231F20"/>
              <w:bottom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12,712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231F20"/>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12,078</w:t>
            </w:r>
          </w:p>
        </w:tc>
        <w:tc>
          <w:tcPr>
            <w:tcW w:w="80" w:type="dxa"/>
            <w:vAlign w:val="bottom"/>
          </w:tcPr>
          <w:p>
            <w:pPr>
              <w:spacing w:after="0"/>
              <w:rPr>
                <w:sz w:val="20"/>
                <w:szCs w:val="20"/>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-1465580</wp:posOffset>
            </wp:positionV>
            <wp:extent cx="30873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1">
                      <a:extLst>
                        <a:ext uri="{28A0092B-C50C-407E-A947-70E740481C1C}"/>
                      </a:extLst>
                    </a:blip>
                    <a:srcRect/>
                    <a:stretch>
                      <a:fillRect/>
                    </a:stretch>
                  </pic:blipFill>
                  <pic:spPr bwMode="auto">
                    <a:xfrm>
                      <a:off x="0" y="0"/>
                      <a:ext cx="3087370" cy="38100"/>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Lease term and discount rate as of December 31, 2025 and 2024 are as follows:</w:t>
      </w:r>
    </w:p>
    <w:p>
      <w:pPr>
        <w:spacing w:after="0" w:line="33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39"/>
        </w:trPr>
        <w:tc>
          <w:tcPr>
            <w:tcW w:w="520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Weighted-average remaining lease term (in years)</w:t>
            </w:r>
          </w:p>
        </w:tc>
        <w:tc>
          <w:tcPr>
            <w:tcW w:w="1580" w:type="dxa"/>
            <w:vAlign w:val="bottom"/>
            <w:tcBorders>
              <w:top w:val="single" w:sz="8" w:color="231F20"/>
            </w:tcBorders>
            <w:shd w:val="clear" w:color="auto" w:fill="E5E6E7"/>
          </w:tcPr>
          <w:p>
            <w:pPr>
              <w:spacing w:after="0"/>
              <w:rPr>
                <w:sz w:val="20"/>
                <w:szCs w:val="20"/>
                <w:color w:val="auto"/>
              </w:rPr>
            </w:pPr>
          </w:p>
        </w:tc>
        <w:tc>
          <w:tcPr>
            <w:tcW w:w="280" w:type="dxa"/>
            <w:vAlign w:val="bottom"/>
            <w:tcBorders>
              <w:top w:val="single" w:sz="8" w:color="231F20"/>
            </w:tcBorders>
            <w:shd w:val="clear" w:color="auto" w:fill="E5E6E7"/>
          </w:tcPr>
          <w:p>
            <w:pPr>
              <w:spacing w:after="0"/>
              <w:rPr>
                <w:sz w:val="20"/>
                <w:szCs w:val="20"/>
                <w:color w:val="auto"/>
              </w:rPr>
            </w:pPr>
          </w:p>
        </w:tc>
        <w:tc>
          <w:tcPr>
            <w:tcW w:w="360" w:type="dxa"/>
            <w:vAlign w:val="bottom"/>
            <w:tcBorders>
              <w:top w:val="single" w:sz="8" w:color="E5E6E7"/>
            </w:tcBorders>
            <w:shd w:val="clear" w:color="auto" w:fill="E5E6E7"/>
          </w:tcPr>
          <w:p>
            <w:pPr>
              <w:spacing w:after="0"/>
              <w:rPr>
                <w:sz w:val="20"/>
                <w:szCs w:val="20"/>
                <w:color w:val="auto"/>
              </w:rPr>
            </w:pPr>
          </w:p>
        </w:tc>
        <w:tc>
          <w:tcPr>
            <w:tcW w:w="164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r>
      <w:tr>
        <w:trPr>
          <w:trHeight w:val="244"/>
        </w:trPr>
        <w:tc>
          <w:tcPr>
            <w:tcW w:w="52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Operating leases</w:t>
            </w:r>
          </w:p>
        </w:tc>
        <w:tc>
          <w:tcPr>
            <w:tcW w:w="158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231F20"/>
                <w:w w:val="95"/>
              </w:rPr>
              <w:t>7.0</w:t>
            </w:r>
          </w:p>
        </w:tc>
        <w:tc>
          <w:tcPr>
            <w:tcW w:w="360" w:type="dxa"/>
            <w:vAlign w:val="bottom"/>
          </w:tcPr>
          <w:p>
            <w:pPr>
              <w:spacing w:after="0"/>
              <w:rPr>
                <w:sz w:val="21"/>
                <w:szCs w:val="21"/>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20"/>
                <w:szCs w:val="20"/>
                <w:color w:val="231F20"/>
                <w:w w:val="95"/>
              </w:rPr>
              <w:t>5.1</w:t>
            </w:r>
          </w:p>
        </w:tc>
        <w:tc>
          <w:tcPr>
            <w:tcW w:w="220" w:type="dxa"/>
            <w:vAlign w:val="bottom"/>
          </w:tcPr>
          <w:p>
            <w:pPr>
              <w:spacing w:after="0"/>
              <w:rPr>
                <w:sz w:val="21"/>
                <w:szCs w:val="21"/>
                <w:color w:val="auto"/>
              </w:rPr>
            </w:pPr>
          </w:p>
        </w:tc>
      </w:tr>
      <w:tr>
        <w:trPr>
          <w:trHeight w:val="244"/>
        </w:trPr>
        <w:tc>
          <w:tcPr>
            <w:tcW w:w="67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14142"/>
              </w:rPr>
              <w:t>Weighted-average discount rate</w:t>
            </w:r>
          </w:p>
        </w:tc>
        <w:tc>
          <w:tcPr>
            <w:tcW w:w="280" w:type="dxa"/>
            <w:vAlign w:val="bottom"/>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164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r>
      <w:tr>
        <w:trPr>
          <w:trHeight w:val="266"/>
        </w:trPr>
        <w:tc>
          <w:tcPr>
            <w:tcW w:w="67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Operating leases</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6.1%</w:t>
            </w:r>
          </w:p>
        </w:tc>
        <w:tc>
          <w:tcPr>
            <w:tcW w:w="1860" w:type="dxa"/>
            <w:vAlign w:val="bottom"/>
            <w:gridSpan w:val="2"/>
          </w:tcPr>
          <w:p>
            <w:pPr>
              <w:ind w:left="1380"/>
              <w:spacing w:after="0"/>
              <w:rPr>
                <w:sz w:val="20"/>
                <w:szCs w:val="20"/>
                <w:color w:val="auto"/>
              </w:rPr>
            </w:pPr>
            <w:r>
              <w:rPr>
                <w:rFonts w:ascii="Times New Roman" w:cs="Times New Roman" w:eastAsia="Times New Roman" w:hAnsi="Times New Roman"/>
                <w:sz w:val="20"/>
                <w:szCs w:val="20"/>
                <w:color w:val="231F20"/>
              </w:rPr>
              <w:t>6.8%</w:t>
            </w:r>
          </w:p>
        </w:tc>
      </w:tr>
    </w:tbl>
    <w:p>
      <w:pPr>
        <w:spacing w:after="0" w:line="200" w:lineRule="exact"/>
        <w:rPr>
          <w:sz w:val="20"/>
          <w:szCs w:val="20"/>
          <w:color w:val="auto"/>
        </w:rPr>
      </w:pPr>
    </w:p>
    <w:p>
      <w:pPr>
        <w:sectPr>
          <w:pgSz w:w="11880" w:h="15480" w:orient="portrait"/>
          <w:cols w:equalWidth="0" w:num="1">
            <w:col w:w="10080"/>
          </w:cols>
          <w:pgMar w:left="900" w:top="735" w:right="900" w:bottom="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165</w:t>
      </w:r>
    </w:p>
    <w:p>
      <w:pPr>
        <w:sectPr>
          <w:pgSz w:w="11880" w:h="15480" w:orient="portrait"/>
          <w:cols w:equalWidth="0" w:num="1">
            <w:col w:w="10080"/>
          </w:cols>
          <w:pgMar w:left="900" w:top="735" w:right="900" w:bottom="0" w:gutter="0" w:footer="0" w:header="0"/>
          <w:type w:val="continuous"/>
        </w:sectPr>
      </w:pPr>
    </w:p>
    <w:bookmarkStart w:id="173" w:name="page174"/>
    <w:bookmarkEnd w:id="173"/>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the future payments under operating leases for each of the next five years and thereafter are as follows (in thousands):</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6680" w:type="dxa"/>
            <w:vAlign w:val="bottom"/>
            <w:tcBorders>
              <w:bottom w:val="single" w:sz="8" w:color="E5E6E7"/>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216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231F20"/>
              </w:rPr>
              <w:t>Operating Leases</w:t>
            </w:r>
          </w:p>
        </w:tc>
        <w:tc>
          <w:tcPr>
            <w:tcW w:w="60" w:type="dxa"/>
            <w:vAlign w:val="bottom"/>
            <w:tcBorders>
              <w:bottom w:val="single" w:sz="8" w:color="E5E6E7"/>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2026</w:t>
            </w:r>
          </w:p>
        </w:tc>
        <w:tc>
          <w:tcPr>
            <w:tcW w:w="380" w:type="dxa"/>
            <w:vAlign w:val="bottom"/>
            <w:shd w:val="clear" w:color="auto" w:fill="E5E6E7"/>
          </w:tcPr>
          <w:p>
            <w:pPr>
              <w:spacing w:after="0"/>
              <w:rPr>
                <w:sz w:val="20"/>
                <w:szCs w:val="20"/>
                <w:color w:val="auto"/>
              </w:rPr>
            </w:pPr>
          </w:p>
        </w:tc>
        <w:tc>
          <w:tcPr>
            <w:tcW w:w="2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13,328</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3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2028</w:t>
            </w:r>
          </w:p>
        </w:tc>
        <w:tc>
          <w:tcPr>
            <w:tcW w:w="380" w:type="dxa"/>
            <w:vAlign w:val="bottom"/>
            <w:shd w:val="clear" w:color="auto" w:fill="E5E6E7"/>
          </w:tcPr>
          <w:p>
            <w:pPr>
              <w:spacing w:after="0"/>
              <w:rPr>
                <w:sz w:val="21"/>
                <w:szCs w:val="21"/>
                <w:color w:val="auto"/>
              </w:rPr>
            </w:pPr>
          </w:p>
        </w:tc>
        <w:tc>
          <w:tcPr>
            <w:tcW w:w="2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16,570</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3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2030</w:t>
            </w:r>
          </w:p>
        </w:tc>
        <w:tc>
          <w:tcPr>
            <w:tcW w:w="380" w:type="dxa"/>
            <w:vAlign w:val="bottom"/>
            <w:shd w:val="clear" w:color="auto" w:fill="E5E6E7"/>
          </w:tcPr>
          <w:p>
            <w:pPr>
              <w:spacing w:after="0"/>
              <w:rPr>
                <w:sz w:val="21"/>
                <w:szCs w:val="21"/>
                <w:color w:val="auto"/>
              </w:rPr>
            </w:pPr>
          </w:p>
        </w:tc>
        <w:tc>
          <w:tcPr>
            <w:tcW w:w="2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12,504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380" w:type="dxa"/>
            <w:vAlign w:val="bottom"/>
            <w:tcBorders>
              <w:bottom w:val="single" w:sz="8" w:color="231F20"/>
            </w:tcBorders>
          </w:tcPr>
          <w:p>
            <w:pPr>
              <w:spacing w:after="0"/>
              <w:rPr>
                <w:sz w:val="21"/>
                <w:szCs w:val="21"/>
                <w:color w:val="auto"/>
              </w:rPr>
            </w:pPr>
          </w:p>
        </w:tc>
        <w:tc>
          <w:tcPr>
            <w:tcW w:w="2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34,890</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minimum lease payments</w:t>
            </w:r>
          </w:p>
        </w:tc>
        <w:tc>
          <w:tcPr>
            <w:tcW w:w="380" w:type="dxa"/>
            <w:vAlign w:val="bottom"/>
            <w:tcBorders>
              <w:bottom w:val="single" w:sz="8" w:color="231F20"/>
            </w:tcBorders>
            <w:shd w:val="clear" w:color="auto" w:fill="E5E6E7"/>
          </w:tcPr>
          <w:p>
            <w:pPr>
              <w:spacing w:after="0"/>
              <w:rPr>
                <w:sz w:val="20"/>
                <w:szCs w:val="20"/>
                <w:color w:val="auto"/>
              </w:rPr>
            </w:pPr>
          </w:p>
        </w:tc>
        <w:tc>
          <w:tcPr>
            <w:tcW w:w="21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110,085</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31F20"/>
              </w:rPr>
              <w:t>Less: Amount representing interest</w:t>
            </w:r>
          </w:p>
        </w:tc>
        <w:tc>
          <w:tcPr>
            <w:tcW w:w="380" w:type="dxa"/>
            <w:vAlign w:val="bottom"/>
            <w:tcBorders>
              <w:bottom w:val="single" w:sz="8" w:color="231F20"/>
            </w:tcBorders>
          </w:tcPr>
          <w:p>
            <w:pPr>
              <w:spacing w:after="0" w:line="20" w:lineRule="exact"/>
              <w:rPr>
                <w:sz w:val="1"/>
                <w:szCs w:val="1"/>
                <w:color w:val="auto"/>
              </w:rPr>
            </w:pPr>
          </w:p>
        </w:tc>
        <w:tc>
          <w:tcPr>
            <w:tcW w:w="2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tcBorders>
              <w:bottom w:val="single" w:sz="8" w:color="E5E6E7"/>
            </w:tcBorders>
            <w:vMerge w:val="continue"/>
          </w:tcPr>
          <w:p>
            <w:pPr>
              <w:spacing w:after="0"/>
              <w:rPr>
                <w:sz w:val="19"/>
                <w:szCs w:val="19"/>
                <w:color w:val="auto"/>
              </w:rPr>
            </w:pPr>
          </w:p>
        </w:tc>
        <w:tc>
          <w:tcPr>
            <w:tcW w:w="380" w:type="dxa"/>
            <w:vAlign w:val="bottom"/>
            <w:tcBorders>
              <w:bottom w:val="single" w:sz="8" w:color="231F20"/>
            </w:tcBorders>
          </w:tcPr>
          <w:p>
            <w:pPr>
              <w:spacing w:after="0"/>
              <w:rPr>
                <w:sz w:val="19"/>
                <w:szCs w:val="19"/>
                <w:color w:val="auto"/>
              </w:rPr>
            </w:pPr>
          </w:p>
        </w:tc>
        <w:tc>
          <w:tcPr>
            <w:tcW w:w="2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22,458</w:t>
            </w:r>
          </w:p>
        </w:tc>
        <w:tc>
          <w:tcPr>
            <w:tcW w:w="60" w:type="dxa"/>
            <w:vAlign w:val="bottom"/>
            <w:tcBorders>
              <w:bottom w:val="single" w:sz="8" w:color="E5E6E7"/>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Present value of net minimum lease payments</w:t>
            </w:r>
          </w:p>
        </w:tc>
        <w:tc>
          <w:tcPr>
            <w:tcW w:w="380" w:type="dxa"/>
            <w:vAlign w:val="bottom"/>
            <w:shd w:val="clear" w:color="auto" w:fill="E5E6E7"/>
          </w:tcPr>
          <w:p>
            <w:pPr>
              <w:spacing w:after="0"/>
              <w:rPr>
                <w:sz w:val="20"/>
                <w:szCs w:val="20"/>
                <w:color w:val="auto"/>
              </w:rPr>
            </w:pPr>
          </w:p>
        </w:tc>
        <w:tc>
          <w:tcPr>
            <w:tcW w:w="2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87,627</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Less: Current portion of lease liabilities</w:t>
            </w:r>
          </w:p>
        </w:tc>
        <w:tc>
          <w:tcPr>
            <w:tcW w:w="380" w:type="dxa"/>
            <w:vAlign w:val="bottom"/>
            <w:tcBorders>
              <w:bottom w:val="single" w:sz="8" w:color="231F20"/>
            </w:tcBorders>
          </w:tcPr>
          <w:p>
            <w:pPr>
              <w:spacing w:after="0"/>
              <w:rPr>
                <w:sz w:val="21"/>
                <w:szCs w:val="21"/>
                <w:color w:val="auto"/>
              </w:rPr>
            </w:pPr>
          </w:p>
        </w:tc>
        <w:tc>
          <w:tcPr>
            <w:tcW w:w="2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13,355</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long-term lease liabilities</w:t>
            </w:r>
          </w:p>
        </w:tc>
        <w:tc>
          <w:tcPr>
            <w:tcW w:w="380" w:type="dxa"/>
            <w:vAlign w:val="bottom"/>
            <w:tcBorders>
              <w:bottom w:val="single" w:sz="8" w:color="231F20"/>
            </w:tcBorders>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w w:val="79"/>
              </w:rPr>
              <w:t>$</w:t>
            </w:r>
          </w:p>
        </w:tc>
        <w:tc>
          <w:tcPr>
            <w:tcW w:w="21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74,272</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ind w:right="7000"/>
        <w:spacing w:after="0" w:line="367" w:lineRule="auto"/>
        <w:tabs>
          <w:tab w:leader="none" w:pos="490" w:val="left"/>
        </w:tabs>
        <w:numPr>
          <w:ilvl w:val="0"/>
          <w:numId w:val="7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STOCKHOLDERS’ EQUITY Common Stock</w:t>
      </w:r>
    </w:p>
    <w:p>
      <w:pPr>
        <w:spacing w:after="0" w:line="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Prior to the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 common stock. In April 2024, the Company increased the number of authorized shares of Class A common stock to 204,590,500 in conjunction with the Series G-5 Preferred stock financing (see Note 10, Redeemable Convertible Preferred Stock). In connection with the IPO, a further amendment to the Company's certificate of incorporation became effective, which authorized 1,000,000,000 shares of Class A common stock, 5,500,000 shares of Class B common stock, and 20,000,000 shares of preferred stock. In connection with the Company's reincorporation from Delaware to Nevada, the Company adopted amended and restated articles of incorporation under Nevada law (the "Articles of Incorporation"), pursuant to which the Company's authorized capital stock remained unchanged.</w:t>
      </w:r>
    </w:p>
    <w:p>
      <w:pPr>
        <w:spacing w:after="0" w:line="209"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Class A common stock and Class B common stock are collectively referred to as “Common Stock” throughout the notes to these consolidated financial statements unless otherwise noted.</w:t>
      </w:r>
    </w:p>
    <w:p>
      <w:pPr>
        <w:spacing w:after="0" w:line="169"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w:t>
      </w:r>
    </w:p>
    <w:p>
      <w:pPr>
        <w:spacing w:after="0" w:line="197"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Each share of Class B common stock is convertible at any time at the option of the holder into one share of Class A common stock.</w:t>
      </w:r>
    </w:p>
    <w:p>
      <w:pPr>
        <w:spacing w:after="0" w:line="16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Under the Articles of Incorporation,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Once transferred and converted into Class A common stock, the Class B common stock may not be reissued.</w:t>
      </w:r>
    </w:p>
    <w:p>
      <w:pPr>
        <w:sectPr>
          <w:pgSz w:w="11880" w:h="15480" w:orient="portrait"/>
          <w:cols w:equalWidth="0" w:num="1">
            <w:col w:w="10080"/>
          </w:cols>
          <w:pgMar w:left="900" w:top="101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166</w:t>
      </w:r>
    </w:p>
    <w:p>
      <w:pPr>
        <w:sectPr>
          <w:pgSz w:w="11880" w:h="15480" w:orient="portrait"/>
          <w:cols w:equalWidth="0" w:num="1">
            <w:col w:w="10080"/>
          </w:cols>
          <w:pgMar w:left="900" w:top="1015" w:right="900" w:bottom="0" w:gutter="0" w:footer="0" w:header="0"/>
          <w:type w:val="continuous"/>
        </w:sectPr>
      </w:pPr>
    </w:p>
    <w:bookmarkStart w:id="174" w:name="page175"/>
    <w:bookmarkEnd w:id="174"/>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The Company issues stock-based awards to its employees in the form of stock options, restricted stock units, performance stock units and restricted stock, all of which have the potential to increase the outstanding shares of common stock in the future (see Note 11, Stock-Based Compensation).</w:t>
      </w:r>
    </w:p>
    <w:p>
      <w:pPr>
        <w:spacing w:after="0" w:line="1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Common Stock Warrant</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w:t>
      </w:r>
    </w:p>
    <w:p>
      <w:pPr>
        <w:spacing w:after="0" w:line="194"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The warrant was automatically cancelled and terminated for no consideration as AstraZeneca declined to extend its financial commitment before December 31, 2024. See Note 15 for further information.</w:t>
      </w:r>
    </w:p>
    <w:p>
      <w:pPr>
        <w:spacing w:after="0" w:line="169"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On December 8, 2023, the Company issued Allen &amp; Company LLC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Treasury Stock</w:t>
      </w:r>
    </w:p>
    <w:p>
      <w:pPr>
        <w:spacing w:after="0" w:line="12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As discussed in Note 3, Paige will pay approximately $3.2 million to fulfill employee tax obligations related to the issuance, of which $3.0 million has been paid as of December 31, 2025. The equivalent was withheld from those employees in the Company's Class A common stock. These shares were accounted for as treasury stock. The Company records treasury stock at cost.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At the Market Sales Agreement</w:t>
      </w:r>
    </w:p>
    <w:p>
      <w:pPr>
        <w:spacing w:after="0" w:line="108" w:lineRule="exact"/>
        <w:rPr>
          <w:sz w:val="20"/>
          <w:szCs w:val="20"/>
          <w:color w:val="auto"/>
        </w:rPr>
      </w:pPr>
    </w:p>
    <w:p>
      <w:pPr>
        <w:ind w:firstLine="490"/>
        <w:spacing w:after="0" w:line="224" w:lineRule="auto"/>
        <w:rPr>
          <w:sz w:val="20"/>
          <w:szCs w:val="20"/>
          <w:color w:val="auto"/>
        </w:rPr>
      </w:pPr>
      <w:r>
        <w:rPr>
          <w:rFonts w:ascii="Times New Roman" w:cs="Times New Roman" w:eastAsia="Times New Roman" w:hAnsi="Times New Roman"/>
          <w:sz w:val="20"/>
          <w:szCs w:val="20"/>
          <w:color w:val="231F20"/>
        </w:rPr>
        <w:t>On August 8, 2025, the Company entered into a Controlled Equity Offering</w:t>
      </w:r>
      <w:r>
        <w:rPr>
          <w:rFonts w:ascii="Times New Roman" w:cs="Times New Roman" w:eastAsia="Times New Roman" w:hAnsi="Times New Roman"/>
          <w:sz w:val="32"/>
          <w:szCs w:val="32"/>
          <w:color w:val="231F20"/>
          <w:vertAlign w:val="superscript"/>
        </w:rPr>
        <w:t>SM</w:t>
      </w:r>
      <w:r>
        <w:rPr>
          <w:rFonts w:ascii="Times New Roman" w:cs="Times New Roman" w:eastAsia="Times New Roman" w:hAnsi="Times New Roman"/>
          <w:sz w:val="20"/>
          <w:szCs w:val="20"/>
          <w:color w:val="231F20"/>
        </w:rPr>
        <w:t xml:space="preserve"> Sales Agreement (the “Sales Agreement”) with Morgan Stanley &amp; Co., LLC, Cantor Fitzgerald &amp; Co., TD Securities (USA), LLC and Allen &amp; Company LLC, as sales agents (collectively, the “Sales Agents”), pursuant to which the Company may offer and sell from time to time, at its option, shares of Class A common stock through the Sales Agents (the "ATM"). The issuance and sale, if any, of shares of Class A Common Stock under the Sales Agreement will be made pursuant to an automatically effective registration statement on Form S-3 and the related prospectus included therein (the “ATM Prospectus”), which was filed with the SEC on August 8, 2025. In accordance with the terms of the Sales Agreement, under the ATM Prospectus, the Company may offer and sell shares of Class A common stock having an aggregate offering price of up to $500.0 million from time to time through the Sales Agents.</w:t>
      </w:r>
    </w:p>
    <w:p>
      <w:pPr>
        <w:spacing w:after="0" w:line="196" w:lineRule="exact"/>
        <w:rPr>
          <w:sz w:val="20"/>
          <w:szCs w:val="20"/>
          <w:color w:val="auto"/>
        </w:rPr>
      </w:pPr>
    </w:p>
    <w:p>
      <w:pPr>
        <w:ind w:right="260" w:firstLine="490"/>
        <w:spacing w:after="0" w:line="235" w:lineRule="auto"/>
        <w:rPr>
          <w:sz w:val="20"/>
          <w:szCs w:val="20"/>
          <w:color w:val="auto"/>
        </w:rPr>
      </w:pPr>
      <w:r>
        <w:rPr>
          <w:rFonts w:ascii="Times New Roman" w:cs="Times New Roman" w:eastAsia="Times New Roman" w:hAnsi="Times New Roman"/>
          <w:sz w:val="20"/>
          <w:szCs w:val="20"/>
          <w:color w:val="231F20"/>
        </w:rPr>
        <w:t xml:space="preserve">For the year ended December 31, 2025, the Company sold 2,381,895 shares under the ATM </w:t>
      </w:r>
      <w:r>
        <w:rPr>
          <w:rFonts w:ascii="Times New Roman" w:cs="Times New Roman" w:eastAsia="Times New Roman" w:hAnsi="Times New Roman"/>
          <w:sz w:val="19"/>
          <w:szCs w:val="19"/>
          <w:color w:val="231F20"/>
        </w:rPr>
        <w:t>at a weighted average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price of $83.97 per share </w:t>
      </w:r>
      <w:r>
        <w:rPr>
          <w:rFonts w:ascii="Times New Roman" w:cs="Times New Roman" w:eastAsia="Times New Roman" w:hAnsi="Times New Roman"/>
          <w:sz w:val="20"/>
          <w:szCs w:val="20"/>
          <w:color w:val="231F20"/>
        </w:rPr>
        <w:t>for total proceeds of $195.5 million, net of $4.5 million in commissions. In connection with the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20"/>
          <w:szCs w:val="20"/>
          <w:color w:val="231F20"/>
        </w:rPr>
        <w:t>entry of the Sales Agreement and filing of the ATM Prospectus, the Company incurred $0.9 million of deferred offering costs, of which $0.8 million was reclassified as a reduction of paid-in-capital upon completion of the sales that occurred in 2025. The remaining deferred offering costs, which were incurred in anticipation of future ATM sales, are recorded in Prepaid and other assets on the consolidated balance sheet. As of December 31, 2025, approximately $300.0 million remained available for sale pursuant to the Sales Agreement and ATM Prospectus.</w:t>
      </w:r>
    </w:p>
    <w:p>
      <w:pPr>
        <w:sectPr>
          <w:pgSz w:w="11880" w:h="15480" w:orient="portrait"/>
          <w:cols w:equalWidth="0" w:num="1">
            <w:col w:w="10060"/>
          </w:cols>
          <w:pgMar w:left="900" w:top="73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167</w:t>
      </w:r>
    </w:p>
    <w:p>
      <w:pPr>
        <w:sectPr>
          <w:pgSz w:w="11880" w:h="15480" w:orient="portrait"/>
          <w:cols w:equalWidth="0" w:num="1">
            <w:col w:w="10060"/>
          </w:cols>
          <w:pgMar w:left="900" w:top="739" w:right="920" w:bottom="0" w:gutter="0" w:footer="0" w:header="0"/>
          <w:type w:val="continuous"/>
        </w:sectPr>
      </w:pPr>
    </w:p>
    <w:bookmarkStart w:id="175" w:name="page176"/>
    <w:bookmarkEnd w:id="175"/>
    <w:p>
      <w:pPr>
        <w:ind w:left="480" w:hanging="480"/>
        <w:spacing w:after="0"/>
        <w:tabs>
          <w:tab w:leader="none" w:pos="480" w:val="left"/>
        </w:tabs>
        <w:numPr>
          <w:ilvl w:val="0"/>
          <w:numId w:val="7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REDEEMABLE CONVERTIBLE PREFERRED STOCK</w:t>
      </w:r>
    </w:p>
    <w:p>
      <w:pPr>
        <w:spacing w:after="0" w:line="24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In January 2023, the Company issued 47,781 shares of Series G-3 convertible preferred stock as payment of paid-in-kind dividends.</w:t>
      </w:r>
    </w:p>
    <w:p>
      <w:pPr>
        <w:spacing w:after="0" w:line="169"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spacing w:after="0" w:line="202"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In January 2024, the Company issued 66,465 shares of Series G-3 convertible preferred stock and 10,666 shares of Series G-4 convertible preferred stock as payment of paid-in-kind dividends.</w:t>
      </w:r>
    </w:p>
    <w:p>
      <w:pPr>
        <w:spacing w:after="0" w:line="169"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In April 2024, the Company issued 3,489,981 shares of Series G-5 convertible preferred stock (“Series G-5 Preferred”) for aggregate proceeds of $200.0 million. Each share has a par value of $0.0001. The Company will use the proceeds for working capital and general corporate purposes.</w:t>
      </w:r>
    </w:p>
    <w:p>
      <w:pPr>
        <w:spacing w:after="0" w:line="18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In connection with the IPO, all of the Company’s then-outstanding shares of redeemable convertible preferred stock and accrued but unpaid dividends were automatically converted into 71,976,178 shares of Class A voting common stock and 5,043,789 shares of Class B voting common stock.</w:t>
      </w:r>
    </w:p>
    <w:p>
      <w:pPr>
        <w:spacing w:after="0" w:line="304" w:lineRule="exact"/>
        <w:rPr>
          <w:sz w:val="20"/>
          <w:szCs w:val="20"/>
          <w:color w:val="auto"/>
        </w:rPr>
      </w:pPr>
    </w:p>
    <w:p>
      <w:pPr>
        <w:ind w:left="480" w:hanging="480"/>
        <w:spacing w:after="0"/>
        <w:tabs>
          <w:tab w:leader="none" w:pos="480" w:val="left"/>
        </w:tabs>
        <w:numPr>
          <w:ilvl w:val="0"/>
          <w:numId w:val="7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STOCK-BASED COMPENSATION</w:t>
      </w:r>
    </w:p>
    <w:p>
      <w:pPr>
        <w:spacing w:after="0" w:line="120" w:lineRule="exact"/>
        <w:rPr>
          <w:rFonts w:ascii="Times New Roman" w:cs="Times New Roman" w:eastAsia="Times New Roman" w:hAnsi="Times New Roman"/>
          <w:sz w:val="20"/>
          <w:szCs w:val="20"/>
          <w:b w:val="1"/>
          <w:bCs w:val="1"/>
          <w:color w:val="231F20"/>
        </w:rPr>
      </w:pPr>
    </w:p>
    <w:p>
      <w:pPr>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2015 Stock Plan</w:t>
      </w:r>
    </w:p>
    <w:p>
      <w:pPr>
        <w:spacing w:after="0" w:line="12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In 2015, the Company adopted the 2015 Plan, which has been amended and restated numerous times to increase the aggregate shares authorized to be issued to employees, consultants, and directors of the Company. As of December 31, 2023, there were 28,115,750 shares authorized under the 2015 Plan.</w:t>
      </w:r>
    </w:p>
    <w:p>
      <w:pPr>
        <w:spacing w:after="0" w:line="18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w:t>
      </w:r>
    </w:p>
    <w:p>
      <w:pPr>
        <w:spacing w:after="0" w:line="20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After the IPO, no further grants will be made under the 2015 Stock Plan.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2024 Equity Incentive Plan</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awards (“PSUs”) and other awards. The maximum number of shares of Class A common stock that may be issued under the 2024 Plan is 7,430,000 shares of the Company’s Class A common stock and will automatically increase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w:t>
      </w:r>
    </w:p>
    <w:p>
      <w:pPr>
        <w:sectPr>
          <w:pgSz w:w="11880" w:h="15480" w:orient="portrait"/>
          <w:cols w:equalWidth="0" w:num="1">
            <w:col w:w="10060"/>
          </w:cols>
          <w:pgMar w:left="900" w:top="735" w:right="920" w:bottom="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168</w:t>
      </w:r>
    </w:p>
    <w:p>
      <w:pPr>
        <w:sectPr>
          <w:pgSz w:w="11880" w:h="15480" w:orient="portrait"/>
          <w:cols w:equalWidth="0" w:num="1">
            <w:col w:w="10060"/>
          </w:cols>
          <w:pgMar w:left="900" w:top="735" w:right="920" w:bottom="0" w:gutter="0" w:footer="0" w:header="0"/>
          <w:type w:val="continuous"/>
        </w:sectPr>
      </w:pPr>
    </w:p>
    <w:bookmarkStart w:id="176" w:name="page177"/>
    <w:bookmarkEnd w:id="176"/>
    <w:p>
      <w:pPr>
        <w:ind w:right="80"/>
        <w:spacing w:after="0" w:line="258" w:lineRule="auto"/>
        <w:rPr>
          <w:sz w:val="20"/>
          <w:szCs w:val="20"/>
          <w:color w:val="auto"/>
        </w:rPr>
      </w:pPr>
      <w:r>
        <w:rPr>
          <w:rFonts w:ascii="Times New Roman" w:cs="Times New Roman" w:eastAsia="Times New Roman" w:hAnsi="Times New Roman"/>
          <w:sz w:val="20"/>
          <w:szCs w:val="20"/>
          <w:color w:val="231F20"/>
        </w:rPr>
        <w:t>Company’s board of directors prior to the applicable January 1. The maximum number of shares that may be issued upon the exercise of ISOs under the 2024 Plan is 22,290,000 shares. As of December 31, 2025, there were 2,920,167 shares of the Company's Class A common stock that may be issued under the 2024 Plan.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Restricted Stock Units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majority of RSUs vest over a period of three to five years, with a cliff vest after one year and ratable quarterly vesting thereafter. RSUs granted prior to the IPO were also subject to liquidity event vesting condition, as defined in the grant agreement, which was satisfied in connection with the IPO.</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table below summarizes restricted stock unit activity for the year ended December 31, 2025:</w:t>
      </w:r>
    </w:p>
    <w:p>
      <w:pPr>
        <w:spacing w:after="0" w:line="29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rPr>
              <w:t>Weighted -</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Weighted -</w:t>
            </w:r>
          </w:p>
        </w:tc>
      </w:tr>
      <w:tr>
        <w:trPr>
          <w:trHeight w:val="184"/>
        </w:trPr>
        <w:tc>
          <w:tcPr>
            <w:tcW w:w="3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rPr>
              <w:t>Average Grant</w:t>
            </w:r>
          </w:p>
        </w:tc>
        <w:tc>
          <w:tcPr>
            <w:tcW w:w="200" w:type="dxa"/>
            <w:vAlign w:val="bottom"/>
          </w:tcPr>
          <w:p>
            <w:pPr>
              <w:spacing w:after="0"/>
              <w:rPr>
                <w:sz w:val="16"/>
                <w:szCs w:val="16"/>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Unvested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Average Grant</w:t>
            </w:r>
          </w:p>
        </w:tc>
      </w:tr>
      <w:tr>
        <w:trPr>
          <w:trHeight w:val="184"/>
        </w:trPr>
        <w:tc>
          <w:tcPr>
            <w:tcW w:w="322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231F20"/>
              </w:rPr>
              <w:t>Vested Restricted</w:t>
            </w:r>
          </w:p>
        </w:tc>
        <w:tc>
          <w:tcPr>
            <w:tcW w:w="12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200" w:type="dxa"/>
            <w:vAlign w:val="bottom"/>
          </w:tcPr>
          <w:p>
            <w:pPr>
              <w:spacing w:after="0"/>
              <w:rPr>
                <w:sz w:val="16"/>
                <w:szCs w:val="16"/>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Restricted Stock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Date</w:t>
            </w:r>
          </w:p>
        </w:tc>
      </w:tr>
      <w:tr>
        <w:trPr>
          <w:trHeight w:val="203"/>
        </w:trPr>
        <w:tc>
          <w:tcPr>
            <w:tcW w:w="3220" w:type="dxa"/>
            <w:vAlign w:val="bottom"/>
          </w:tcPr>
          <w:p>
            <w:pPr>
              <w:spacing w:after="0"/>
              <w:rPr>
                <w:sz w:val="17"/>
                <w:szCs w:val="17"/>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Stock Units</w:t>
            </w:r>
          </w:p>
        </w:tc>
        <w:tc>
          <w:tcPr>
            <w:tcW w:w="120" w:type="dxa"/>
            <w:vAlign w:val="bottom"/>
          </w:tcPr>
          <w:p>
            <w:pPr>
              <w:spacing w:after="0"/>
              <w:rPr>
                <w:sz w:val="17"/>
                <w:szCs w:val="17"/>
                <w:color w:val="auto"/>
              </w:rPr>
            </w:pP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231F20"/>
                <w:w w:val="98"/>
              </w:rPr>
              <w:t>Fair Value</w:t>
            </w:r>
          </w:p>
        </w:tc>
        <w:tc>
          <w:tcPr>
            <w:tcW w:w="200" w:type="dxa"/>
            <w:vAlign w:val="bottom"/>
          </w:tcPr>
          <w:p>
            <w:pPr>
              <w:spacing w:after="0"/>
              <w:rPr>
                <w:sz w:val="17"/>
                <w:szCs w:val="17"/>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8"/>
              </w:rPr>
              <w:t>Units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Fair Value</w:t>
            </w:r>
          </w:p>
        </w:tc>
      </w:tr>
      <w:tr>
        <w:trPr>
          <w:trHeight w:val="239"/>
        </w:trPr>
        <w:tc>
          <w:tcPr>
            <w:tcW w:w="322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Outstanding at December 31, 2024</w:t>
            </w:r>
          </w:p>
        </w:tc>
        <w:tc>
          <w:tcPr>
            <w:tcW w:w="130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4,772,362</w:t>
            </w:r>
          </w:p>
        </w:tc>
        <w:tc>
          <w:tcPr>
            <w:tcW w:w="20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22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37.87</w:t>
            </w:r>
          </w:p>
        </w:tc>
        <w:tc>
          <w:tcPr>
            <w:tcW w:w="200" w:type="dxa"/>
            <w:vAlign w:val="bottom"/>
            <w:tcBorders>
              <w:top w:val="single" w:sz="8" w:color="E5E6E7"/>
            </w:tcBorders>
            <w:shd w:val="clear" w:color="auto" w:fill="E5E6E7"/>
          </w:tcPr>
          <w:p>
            <w:pPr>
              <w:spacing w:after="0"/>
              <w:rPr>
                <w:sz w:val="20"/>
                <w:szCs w:val="20"/>
                <w:color w:val="auto"/>
              </w:rPr>
            </w:pPr>
          </w:p>
        </w:tc>
        <w:tc>
          <w:tcPr>
            <w:tcW w:w="130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6,873,974</w:t>
            </w:r>
          </w:p>
        </w:tc>
        <w:tc>
          <w:tcPr>
            <w:tcW w:w="20" w:type="dxa"/>
            <w:vAlign w:val="bottom"/>
            <w:tcBorders>
              <w:top w:val="single" w:sz="8" w:color="414142"/>
            </w:tcBorders>
            <w:shd w:val="clear" w:color="auto" w:fill="E5E6E7"/>
          </w:tcPr>
          <w:p>
            <w:pPr>
              <w:spacing w:after="0"/>
              <w:rPr>
                <w:sz w:val="20"/>
                <w:szCs w:val="20"/>
                <w:color w:val="auto"/>
              </w:rPr>
            </w:pPr>
          </w:p>
        </w:tc>
        <w:tc>
          <w:tcPr>
            <w:tcW w:w="160" w:type="dxa"/>
            <w:vAlign w:val="bottom"/>
            <w:tcBorders>
              <w:top w:val="single" w:sz="8" w:color="E5E6E7"/>
            </w:tcBorders>
            <w:shd w:val="clear" w:color="auto" w:fill="E5E6E7"/>
          </w:tcPr>
          <w:p>
            <w:pPr>
              <w:spacing w:after="0"/>
              <w:rPr>
                <w:sz w:val="20"/>
                <w:szCs w:val="20"/>
                <w:color w:val="auto"/>
              </w:rPr>
            </w:pPr>
          </w:p>
        </w:tc>
        <w:tc>
          <w:tcPr>
            <w:tcW w:w="10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17"/>
                <w:szCs w:val="17"/>
                <w:color w:val="414142"/>
                <w:w w:val="70"/>
              </w:rPr>
              <w:t>$</w:t>
            </w:r>
          </w:p>
        </w:tc>
        <w:tc>
          <w:tcPr>
            <w:tcW w:w="1220" w:type="dxa"/>
            <w:vAlign w:val="bottom"/>
            <w:tcBorders>
              <w:top w:val="single" w:sz="8" w:color="414142"/>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38.23</w:t>
            </w:r>
          </w:p>
        </w:tc>
        <w:tc>
          <w:tcPr>
            <w:tcW w:w="20" w:type="dxa"/>
            <w:vAlign w:val="bottom"/>
            <w:tcBorders>
              <w:top w:val="single" w:sz="8" w:color="414142"/>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r>
      <w:tr>
        <w:trPr>
          <w:trHeight w:val="244"/>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2,819,039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61.08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Vested</w:t>
            </w:r>
          </w:p>
        </w:tc>
        <w:tc>
          <w:tcPr>
            <w:tcW w:w="13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2,835,184</w:t>
            </w:r>
          </w:p>
        </w:tc>
        <w:tc>
          <w:tcPr>
            <w:tcW w:w="200" w:type="dxa"/>
            <w:vAlign w:val="bottom"/>
            <w:shd w:val="clear" w:color="auto" w:fill="E5E6E7"/>
          </w:tcPr>
          <w:p>
            <w:pPr>
              <w:spacing w:after="0"/>
              <w:rPr>
                <w:sz w:val="21"/>
                <w:szCs w:val="21"/>
                <w:color w:val="auto"/>
              </w:rPr>
            </w:pP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38.78</w:t>
            </w:r>
          </w:p>
        </w:tc>
        <w:tc>
          <w:tcPr>
            <w:tcW w:w="1680" w:type="dxa"/>
            <w:vAlign w:val="bottom"/>
            <w:gridSpan w:val="4"/>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(2,835,184)</w:t>
            </w:r>
          </w:p>
        </w:tc>
        <w:tc>
          <w:tcPr>
            <w:tcW w:w="24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38.78</w:t>
            </w:r>
          </w:p>
        </w:tc>
        <w:tc>
          <w:tcPr>
            <w:tcW w:w="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44"/>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231F20"/>
              </w:rPr>
              <w:t>Settled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(7,489,122)</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38.24</w:t>
            </w:r>
          </w:p>
        </w:tc>
        <w:tc>
          <w:tcPr>
            <w:tcW w:w="200" w:type="dxa"/>
            <w:vAlign w:val="bottom"/>
          </w:tcPr>
          <w:p>
            <w:pPr>
              <w:spacing w:after="0"/>
              <w:rPr>
                <w:sz w:val="21"/>
                <w:szCs w:val="21"/>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3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Forfeited</w:t>
            </w:r>
          </w:p>
        </w:tc>
        <w:tc>
          <w:tcPr>
            <w:tcW w:w="150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680" w:type="dxa"/>
            <w:vAlign w:val="bottom"/>
            <w:gridSpan w:val="4"/>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(572,225)</w:t>
            </w:r>
          </w:p>
        </w:tc>
        <w:tc>
          <w:tcPr>
            <w:tcW w:w="240" w:type="dxa"/>
            <w:vAlign w:val="bottom"/>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41.77</w:t>
            </w:r>
          </w:p>
        </w:tc>
        <w:tc>
          <w:tcPr>
            <w:tcW w:w="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39"/>
        </w:trPr>
        <w:tc>
          <w:tcPr>
            <w:tcW w:w="3220" w:type="dxa"/>
            <w:vAlign w:val="bottom"/>
          </w:tcPr>
          <w:p>
            <w:pPr>
              <w:spacing w:after="0"/>
              <w:rPr>
                <w:sz w:val="20"/>
                <w:szCs w:val="20"/>
                <w:color w:val="auto"/>
              </w:rPr>
            </w:pPr>
            <w:r>
              <w:rPr>
                <w:rFonts w:ascii="Times New Roman" w:cs="Times New Roman" w:eastAsia="Times New Roman" w:hAnsi="Times New Roman"/>
                <w:sz w:val="20"/>
                <w:szCs w:val="20"/>
                <w:color w:val="231F20"/>
              </w:rPr>
              <w:t>Outstanding at December 31, 2025</w:t>
            </w:r>
          </w:p>
        </w:tc>
        <w:tc>
          <w:tcPr>
            <w:tcW w:w="13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118,424</w:t>
            </w:r>
          </w:p>
        </w:tc>
        <w:tc>
          <w:tcPr>
            <w:tcW w:w="20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36.46</w:t>
            </w:r>
          </w:p>
        </w:tc>
        <w:tc>
          <w:tcPr>
            <w:tcW w:w="200" w:type="dxa"/>
            <w:vAlign w:val="bottom"/>
          </w:tcPr>
          <w:p>
            <w:pPr>
              <w:spacing w:after="0"/>
              <w:rPr>
                <w:sz w:val="20"/>
                <w:szCs w:val="20"/>
                <w:color w:val="auto"/>
              </w:rPr>
            </w:pPr>
          </w:p>
        </w:tc>
        <w:tc>
          <w:tcPr>
            <w:tcW w:w="13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6,285,604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322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Stock Units</w:t>
      </w:r>
    </w:p>
    <w:p>
      <w:pPr>
        <w:spacing w:after="0" w:line="111" w:lineRule="exact"/>
        <w:rPr>
          <w:sz w:val="20"/>
          <w:szCs w:val="20"/>
          <w:color w:val="auto"/>
        </w:rPr>
      </w:pPr>
    </w:p>
    <w:p>
      <w:pPr>
        <w:ind w:right="140" w:firstLine="490"/>
        <w:spacing w:after="0" w:line="261" w:lineRule="auto"/>
        <w:rPr>
          <w:sz w:val="20"/>
          <w:szCs w:val="20"/>
          <w:color w:val="auto"/>
        </w:rPr>
      </w:pPr>
      <w:r>
        <w:rPr>
          <w:rFonts w:ascii="Times New Roman" w:cs="Times New Roman" w:eastAsia="Times New Roman" w:hAnsi="Times New Roman"/>
          <w:sz w:val="20"/>
          <w:szCs w:val="20"/>
          <w:color w:val="231F20"/>
        </w:rPr>
        <w:t>The Company granted 2,569,600 PSUs during the year ended December 31, 2025, with a weighted-average grant date fair value of $53.32.</w:t>
      </w:r>
    </w:p>
    <w:p>
      <w:pPr>
        <w:spacing w:after="0" w:line="168" w:lineRule="exact"/>
        <w:rPr>
          <w:sz w:val="20"/>
          <w:szCs w:val="20"/>
          <w:color w:val="auto"/>
        </w:rPr>
      </w:pPr>
    </w:p>
    <w:p>
      <w:pPr>
        <w:ind w:right="100" w:firstLine="490"/>
        <w:spacing w:after="0" w:line="232" w:lineRule="auto"/>
        <w:rPr>
          <w:sz w:val="20"/>
          <w:szCs w:val="20"/>
          <w:color w:val="auto"/>
        </w:rPr>
      </w:pPr>
      <w:r>
        <w:rPr>
          <w:rFonts w:ascii="Times New Roman" w:cs="Times New Roman" w:eastAsia="Times New Roman" w:hAnsi="Times New Roman"/>
          <w:sz w:val="20"/>
          <w:szCs w:val="20"/>
          <w:color w:val="231F20"/>
        </w:rPr>
        <w:t>50% of the PSUs are subject to a performance condition, which is based on the Company’s compound revenue growth ("CRG") during three overlapping performance periods (the "Performance Periods")—calendar year 2025 ("First Performance Period"), calendar years 2025 and 2026 ("Second Performance Period"), and calendar years 2025, 2026 and 2027 ("Third Performance Period" and, together with the First Performance Period and the Second Performance Period, the "Performance Periods") and subject to a service condition of a required period of continued employment from the vesting start date.</w:t>
      </w:r>
    </w:p>
    <w:p>
      <w:pPr>
        <w:spacing w:after="0" w:line="19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50% of the PSUs are subject to a market condition, which is based on a comparison of the Company’s total shareholder return ("TSR") to the return of the Nasdaq Composite Index during each Performance Period and subject to a service condition of a required period of continued employment from the vesting start date.</w:t>
      </w:r>
    </w:p>
    <w:p>
      <w:pPr>
        <w:spacing w:after="0" w:line="186" w:lineRule="exact"/>
        <w:rPr>
          <w:sz w:val="20"/>
          <w:szCs w:val="20"/>
          <w:color w:val="auto"/>
        </w:rPr>
      </w:pPr>
    </w:p>
    <w:p>
      <w:pPr>
        <w:ind w:right="160" w:firstLine="490"/>
        <w:spacing w:after="0" w:line="232" w:lineRule="auto"/>
        <w:rPr>
          <w:sz w:val="20"/>
          <w:szCs w:val="20"/>
          <w:color w:val="auto"/>
        </w:rPr>
      </w:pPr>
      <w:r>
        <w:rPr>
          <w:rFonts w:ascii="Times New Roman" w:cs="Times New Roman" w:eastAsia="Times New Roman" w:hAnsi="Times New Roman"/>
          <w:sz w:val="20"/>
          <w:szCs w:val="20"/>
          <w:color w:val="231F20"/>
        </w:rPr>
        <w:t>If either the performance condition or market condition is not achieved during one of the first two Performance Periods, but is achieved during the Third Performance Period, any PSUs with respect to such performance condition or market condition that had not previously been earned will vest on the final vesting date, subject to the employee's continued service through such date. As both the CRG and TSR PSUs have a performance or market condition that include graded vesting features, the Company recognizes stock-based compensation expense using the graded vesting method over the requisite service period for each separately vesting tranche of the award.</w:t>
      </w:r>
    </w:p>
    <w:p>
      <w:pPr>
        <w:spacing w:after="0" w:line="190"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20"/>
          <w:szCs w:val="20"/>
          <w:color w:val="231F20"/>
        </w:rPr>
        <w:t>On February 20, 2026, the Company's board of directors certified the achievement of the performance condition related to the CRG PSUs and the market condition related to the TSR PSUs for the First Performance Period.</w:t>
      </w:r>
    </w:p>
    <w:p>
      <w:pPr>
        <w:spacing w:after="0" w:line="168" w:lineRule="exact"/>
        <w:rPr>
          <w:sz w:val="20"/>
          <w:szCs w:val="20"/>
          <w:color w:val="auto"/>
        </w:rPr>
      </w:pPr>
    </w:p>
    <w:p>
      <w:pPr>
        <w:ind w:right="140" w:firstLine="490"/>
        <w:spacing w:after="0" w:line="236" w:lineRule="auto"/>
        <w:rPr>
          <w:sz w:val="20"/>
          <w:szCs w:val="20"/>
          <w:color w:val="auto"/>
        </w:rPr>
      </w:pPr>
      <w:r>
        <w:rPr>
          <w:rFonts w:ascii="Times New Roman" w:cs="Times New Roman" w:eastAsia="Times New Roman" w:hAnsi="Times New Roman"/>
          <w:sz w:val="20"/>
          <w:szCs w:val="20"/>
          <w:color w:val="231F20"/>
        </w:rPr>
        <w:t xml:space="preserve">The fair value of the CRG PSUs is equal to the stock price on the date of grant. The requisite service period for the CRG PSUs is 18 months, 27 months, and 36 months for the First, Second, and Third Performance Period, respectively. The fair value of the TSR PSUs is established using a Monte Carlo simulation model for each tranche. </w:t>
      </w:r>
      <w:r>
        <w:rPr>
          <w:rFonts w:ascii="Times New Roman" w:cs="Times New Roman" w:eastAsia="Times New Roman" w:hAnsi="Times New Roman"/>
          <w:sz w:val="19"/>
          <w:szCs w:val="19"/>
          <w:color w:val="231F20"/>
        </w:rPr>
        <w:t>The requisite service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period for the TSR PSUs is 12 months, 24 months, and 36 months for the First, Second, and Third Performance Period, respectively. The following assumptions were used in the Monte Carlo simulation model in determining the fair value of TSR PSUs granted:</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169</w:t>
      </w:r>
    </w:p>
    <w:p>
      <w:pPr>
        <w:sectPr>
          <w:pgSz w:w="11880" w:h="15480" w:orient="portrait"/>
          <w:cols w:equalWidth="0" w:num="1">
            <w:col w:w="10080"/>
          </w:cols>
          <w:pgMar w:left="900" w:top="739" w:right="900" w:bottom="0" w:gutter="0" w:footer="0" w:header="0"/>
          <w:type w:val="continuous"/>
        </w:sectPr>
      </w:pPr>
    </w:p>
    <w:bookmarkStart w:id="177" w:name="page178"/>
    <w:bookmarkEnd w:id="177"/>
    <w:tbl>
      <w:tblPr>
        <w:tblLayout w:type="fixed"/>
        <w:tblInd w:w="40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720" w:type="dxa"/>
            <w:vAlign w:val="bottom"/>
          </w:tcPr>
          <w:p>
            <w:pPr>
              <w:jc w:val="right"/>
              <w:ind w:right="146"/>
              <w:spacing w:after="0"/>
              <w:rPr>
                <w:sz w:val="20"/>
                <w:szCs w:val="20"/>
                <w:color w:val="auto"/>
              </w:rPr>
            </w:pPr>
            <w:r>
              <w:rPr>
                <w:rFonts w:ascii="Times New Roman" w:cs="Times New Roman" w:eastAsia="Times New Roman" w:hAnsi="Times New Roman"/>
                <w:sz w:val="16"/>
                <w:szCs w:val="16"/>
                <w:b w:val="1"/>
                <w:bCs w:val="1"/>
                <w:color w:val="231F20"/>
              </w:rPr>
              <w:t>First Performance</w:t>
            </w:r>
          </w:p>
        </w:tc>
        <w:tc>
          <w:tcPr>
            <w:tcW w:w="180" w:type="dxa"/>
            <w:vAlign w:val="bottom"/>
          </w:tcPr>
          <w:p>
            <w:pPr>
              <w:spacing w:after="0"/>
              <w:rPr>
                <w:sz w:val="16"/>
                <w:szCs w:val="16"/>
                <w:color w:val="auto"/>
              </w:rPr>
            </w:pP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231F20"/>
              </w:rPr>
              <w:t>Second Performance</w:t>
            </w:r>
          </w:p>
        </w:tc>
        <w:tc>
          <w:tcPr>
            <w:tcW w:w="180" w:type="dxa"/>
            <w:vAlign w:val="bottom"/>
          </w:tcPr>
          <w:p>
            <w:pPr>
              <w:spacing w:after="0"/>
              <w:rPr>
                <w:sz w:val="16"/>
                <w:szCs w:val="16"/>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231F20"/>
              </w:rPr>
              <w:t>Third Performance</w:t>
            </w:r>
          </w:p>
        </w:tc>
      </w:tr>
      <w:tr>
        <w:trPr>
          <w:trHeight w:val="203"/>
        </w:trPr>
        <w:tc>
          <w:tcPr>
            <w:tcW w:w="3880" w:type="dxa"/>
            <w:vAlign w:val="bottom"/>
            <w:tcBorders>
              <w:bottom w:val="single" w:sz="8" w:color="E5E6E7"/>
            </w:tcBorders>
          </w:tcPr>
          <w:p>
            <w:pPr>
              <w:spacing w:after="0"/>
              <w:rPr>
                <w:sz w:val="17"/>
                <w:szCs w:val="17"/>
                <w:color w:val="auto"/>
              </w:rPr>
            </w:pPr>
          </w:p>
        </w:tc>
        <w:tc>
          <w:tcPr>
            <w:tcW w:w="1720" w:type="dxa"/>
            <w:vAlign w:val="bottom"/>
            <w:tcBorders>
              <w:bottom w:val="single" w:sz="8" w:color="414142"/>
            </w:tcBorders>
          </w:tcPr>
          <w:p>
            <w:pPr>
              <w:jc w:val="right"/>
              <w:ind w:right="546"/>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80" w:type="dxa"/>
            <w:vAlign w:val="bottom"/>
            <w:tcBorders>
              <w:bottom w:val="single" w:sz="8" w:color="E5E6E7"/>
            </w:tcBorders>
          </w:tcPr>
          <w:p>
            <w:pPr>
              <w:spacing w:after="0"/>
              <w:rPr>
                <w:sz w:val="17"/>
                <w:szCs w:val="17"/>
                <w:color w:val="auto"/>
              </w:rPr>
            </w:pPr>
          </w:p>
        </w:tc>
        <w:tc>
          <w:tcPr>
            <w:tcW w:w="1720" w:type="dxa"/>
            <w:vAlign w:val="bottom"/>
            <w:tcBorders>
              <w:bottom w:val="single" w:sz="8" w:color="414142"/>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80" w:type="dxa"/>
            <w:vAlign w:val="bottom"/>
            <w:tcBorders>
              <w:bottom w:val="single" w:sz="8" w:color="E5E6E7"/>
            </w:tcBorders>
          </w:tcPr>
          <w:p>
            <w:pPr>
              <w:spacing w:after="0"/>
              <w:rPr>
                <w:sz w:val="17"/>
                <w:szCs w:val="17"/>
                <w:color w:val="auto"/>
              </w:rPr>
            </w:pPr>
          </w:p>
        </w:tc>
        <w:tc>
          <w:tcPr>
            <w:tcW w:w="1600" w:type="dxa"/>
            <w:vAlign w:val="bottom"/>
            <w:tcBorders>
              <w:bottom w:val="single" w:sz="8" w:color="414142"/>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231F20"/>
              </w:rPr>
              <w:t>Period</w:t>
            </w:r>
          </w:p>
        </w:tc>
      </w:tr>
      <w:tr>
        <w:trPr>
          <w:trHeight w:val="239"/>
        </w:trPr>
        <w:tc>
          <w:tcPr>
            <w:tcW w:w="3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Expected term (in years)</w:t>
            </w:r>
          </w:p>
        </w:tc>
        <w:tc>
          <w:tcPr>
            <w:tcW w:w="1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1.02 or 3.02</w:t>
            </w:r>
          </w:p>
        </w:tc>
        <w:tc>
          <w:tcPr>
            <w:tcW w:w="180" w:type="dxa"/>
            <w:vAlign w:val="bottom"/>
            <w:shd w:val="clear" w:color="auto" w:fill="E5E6E7"/>
          </w:tcPr>
          <w:p>
            <w:pPr>
              <w:spacing w:after="0"/>
              <w:rPr>
                <w:sz w:val="20"/>
                <w:szCs w:val="20"/>
                <w:color w:val="auto"/>
              </w:rPr>
            </w:pPr>
          </w:p>
        </w:tc>
        <w:tc>
          <w:tcPr>
            <w:tcW w:w="1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2.02 or 3.02</w:t>
            </w:r>
          </w:p>
        </w:tc>
        <w:tc>
          <w:tcPr>
            <w:tcW w:w="180" w:type="dxa"/>
            <w:vAlign w:val="bottom"/>
            <w:shd w:val="clear" w:color="auto" w:fill="E5E6E7"/>
          </w:tcPr>
          <w:p>
            <w:pPr>
              <w:spacing w:after="0"/>
              <w:rPr>
                <w:sz w:val="20"/>
                <w:szCs w:val="20"/>
                <w:color w:val="auto"/>
              </w:rPr>
            </w:pPr>
          </w:p>
        </w:tc>
        <w:tc>
          <w:tcPr>
            <w:tcW w:w="16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3.02</w:t>
            </w:r>
          </w:p>
        </w:tc>
      </w:tr>
      <w:tr>
        <w:trPr>
          <w:trHeight w:val="244"/>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231F20"/>
              </w:rPr>
              <w:t>Risk-free interest rate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 - 3.88%</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 - 3.68%</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3.63%</w:t>
            </w:r>
          </w:p>
        </w:tc>
      </w:tr>
      <w:tr>
        <w:trPr>
          <w:trHeight w:val="244"/>
        </w:trPr>
        <w:tc>
          <w:tcPr>
            <w:tcW w:w="3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Expected volatility</w:t>
            </w:r>
          </w:p>
        </w:tc>
        <w:tc>
          <w:tcPr>
            <w:tcW w:w="1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75.00%</w:t>
            </w:r>
          </w:p>
        </w:tc>
        <w:tc>
          <w:tcPr>
            <w:tcW w:w="19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75.00%</w:t>
            </w:r>
          </w:p>
        </w:tc>
        <w:tc>
          <w:tcPr>
            <w:tcW w:w="1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75.00%</w:t>
            </w:r>
          </w:p>
        </w:tc>
      </w:tr>
      <w:tr>
        <w:trPr>
          <w:trHeight w:val="244"/>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231F20"/>
              </w:rPr>
              <w:t>NASDAQ volatility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20.00%</w:t>
            </w:r>
          </w:p>
        </w:tc>
      </w:tr>
      <w:tr>
        <w:trPr>
          <w:trHeight w:val="244"/>
        </w:trPr>
        <w:tc>
          <w:tcPr>
            <w:tcW w:w="3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Expected dividend yield</w:t>
            </w:r>
          </w:p>
        </w:tc>
        <w:tc>
          <w:tcPr>
            <w:tcW w:w="17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0.00%</w:t>
            </w:r>
          </w:p>
        </w:tc>
        <w:tc>
          <w:tcPr>
            <w:tcW w:w="190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0.00%</w:t>
            </w:r>
          </w:p>
        </w:tc>
        <w:tc>
          <w:tcPr>
            <w:tcW w:w="178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0.00%</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Restricted Stock Award</w:t>
      </w:r>
    </w:p>
    <w:p>
      <w:pPr>
        <w:spacing w:after="0" w:line="12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Stock-based compensation on these awards is recognized on a straight-line basis over the requisite service periods of the awards.The table below summarizes restricted stock award activity for the year ended December 31, 2025:</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Unvested Restricted Stock</w:t>
            </w:r>
          </w:p>
        </w:tc>
        <w:tc>
          <w:tcPr>
            <w:tcW w:w="120" w:type="dxa"/>
            <w:vAlign w:val="bottom"/>
          </w:tcPr>
          <w:p>
            <w:pPr>
              <w:spacing w:after="0"/>
              <w:rPr>
                <w:sz w:val="16"/>
                <w:szCs w:val="16"/>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Weighted - Average Grant</w:t>
            </w:r>
          </w:p>
        </w:tc>
      </w:tr>
      <w:tr>
        <w:trPr>
          <w:trHeight w:val="203"/>
        </w:trPr>
        <w:tc>
          <w:tcPr>
            <w:tcW w:w="4740" w:type="dxa"/>
            <w:vAlign w:val="bottom"/>
          </w:tcPr>
          <w:p>
            <w:pPr>
              <w:spacing w:after="0"/>
              <w:rPr>
                <w:sz w:val="17"/>
                <w:szCs w:val="17"/>
                <w:color w:val="auto"/>
              </w:rPr>
            </w:pPr>
          </w:p>
        </w:tc>
        <w:tc>
          <w:tcPr>
            <w:tcW w:w="2380" w:type="dxa"/>
            <w:vAlign w:val="bottom"/>
            <w:gridSpan w:val="2"/>
          </w:tcPr>
          <w:p>
            <w:pPr>
              <w:jc w:val="right"/>
              <w:ind w:right="1080"/>
              <w:spacing w:after="0"/>
              <w:rPr>
                <w:sz w:val="20"/>
                <w:szCs w:val="20"/>
                <w:color w:val="auto"/>
              </w:rPr>
            </w:pPr>
            <w:r>
              <w:rPr>
                <w:rFonts w:ascii="Times New Roman" w:cs="Times New Roman" w:eastAsia="Times New Roman" w:hAnsi="Times New Roman"/>
                <w:sz w:val="16"/>
                <w:szCs w:val="16"/>
                <w:b w:val="1"/>
                <w:bCs w:val="1"/>
                <w:color w:val="231F20"/>
              </w:rPr>
              <w:t>Awards</w:t>
            </w:r>
          </w:p>
        </w:tc>
        <w:tc>
          <w:tcPr>
            <w:tcW w:w="120" w:type="dxa"/>
            <w:vAlign w:val="bottom"/>
          </w:tcPr>
          <w:p>
            <w:pPr>
              <w:spacing w:after="0"/>
              <w:rPr>
                <w:sz w:val="17"/>
                <w:szCs w:val="17"/>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8"/>
              </w:rPr>
              <w:t>Date Fair Value</w:t>
            </w:r>
          </w:p>
        </w:tc>
      </w:tr>
      <w:tr>
        <w:trPr>
          <w:trHeight w:val="244"/>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Outstanding at December 31, 2024</w:t>
            </w:r>
          </w:p>
        </w:tc>
        <w:tc>
          <w:tcPr>
            <w:tcW w:w="2380" w:type="dxa"/>
            <w:vAlign w:val="bottom"/>
            <w:gridSpan w:val="2"/>
            <w:shd w:val="clear" w:color="auto" w:fill="E5E6E7"/>
          </w:tcPr>
          <w:p>
            <w:pPr>
              <w:jc w:val="right"/>
              <w:ind w:right="320"/>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2040" w:type="dxa"/>
            <w:vAlign w:val="bottom"/>
            <w:gridSpan w:val="2"/>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26,059</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45.58</w:t>
            </w:r>
          </w:p>
        </w:tc>
        <w:tc>
          <w:tcPr>
            <w:tcW w:w="60" w:type="dxa"/>
            <w:vAlign w:val="bottom"/>
          </w:tcPr>
          <w:p>
            <w:pPr>
              <w:spacing w:after="0"/>
              <w:rPr>
                <w:sz w:val="21"/>
                <w:szCs w:val="21"/>
                <w:color w:val="auto"/>
              </w:rPr>
            </w:pPr>
          </w:p>
        </w:tc>
      </w:tr>
      <w:tr>
        <w:trPr>
          <w:trHeight w:val="244"/>
        </w:trPr>
        <w:tc>
          <w:tcPr>
            <w:tcW w:w="47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Vested</w:t>
            </w:r>
          </w:p>
        </w:tc>
        <w:tc>
          <w:tcPr>
            <w:tcW w:w="2380" w:type="dxa"/>
            <w:vAlign w:val="bottom"/>
            <w:gridSpan w:val="2"/>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(8,686)</w:t>
            </w:r>
          </w:p>
        </w:tc>
        <w:tc>
          <w:tcPr>
            <w:tcW w:w="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45.58</w:t>
            </w:r>
          </w:p>
        </w:tc>
        <w:tc>
          <w:tcPr>
            <w:tcW w:w="60" w:type="dxa"/>
            <w:vAlign w:val="bottom"/>
            <w:shd w:val="clear" w:color="auto" w:fill="E5E6E7"/>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31F20"/>
              </w:rPr>
              <w:t>Outstanding at December 31, 2025</w:t>
            </w:r>
          </w:p>
        </w:tc>
        <w:tc>
          <w:tcPr>
            <w:tcW w:w="2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17,373</w:t>
            </w:r>
          </w:p>
        </w:tc>
        <w:tc>
          <w:tcPr>
            <w:tcW w:w="300" w:type="dxa"/>
            <w:vAlign w:val="bottom"/>
          </w:tcPr>
          <w:p>
            <w:pPr>
              <w:spacing w:after="0"/>
              <w:rPr>
                <w:sz w:val="20"/>
                <w:szCs w:val="20"/>
                <w:color w:val="auto"/>
              </w:rPr>
            </w:pPr>
          </w:p>
        </w:tc>
        <w:tc>
          <w:tcPr>
            <w:tcW w:w="120" w:type="dxa"/>
            <w:vAlign w:val="bottom"/>
            <w:tcBorders>
              <w:top w:val="single" w:sz="8" w:color="231F20"/>
              <w:bottom w:val="single" w:sz="8" w:color="231F20"/>
            </w:tcBorders>
          </w:tcPr>
          <w:p>
            <w:pPr>
              <w:spacing w:after="0"/>
              <w:rPr>
                <w:sz w:val="20"/>
                <w:szCs w:val="20"/>
                <w:color w:val="auto"/>
              </w:rPr>
            </w:pPr>
          </w:p>
        </w:tc>
        <w:tc>
          <w:tcPr>
            <w:tcW w:w="19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45.58</w:t>
            </w:r>
          </w:p>
        </w:tc>
        <w:tc>
          <w:tcPr>
            <w:tcW w:w="6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08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Stock-based compensation is classified as follows in the accompanying consolidated statements of operations for the years ended December 31, 2025, 2024 and 2023 (in thousands):</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800" w:type="dxa"/>
            <w:vAlign w:val="bottom"/>
            <w:tcBorders>
              <w:bottom w:val="single" w:sz="8" w:color="E5E6E7"/>
            </w:tcBorders>
          </w:tcPr>
          <w:p>
            <w:pPr>
              <w:spacing w:after="0"/>
              <w:rPr>
                <w:sz w:val="17"/>
                <w:szCs w:val="17"/>
                <w:color w:val="auto"/>
              </w:rPr>
            </w:pPr>
          </w:p>
        </w:tc>
        <w:tc>
          <w:tcPr>
            <w:tcW w:w="1000" w:type="dxa"/>
            <w:vAlign w:val="bottom"/>
            <w:tcBorders>
              <w:bottom w:val="single" w:sz="8" w:color="414142"/>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80" w:type="dxa"/>
            <w:vAlign w:val="bottom"/>
            <w:tcBorders>
              <w:bottom w:val="single" w:sz="8" w:color="414142"/>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E5E6E7"/>
            </w:tcBorders>
          </w:tcPr>
          <w:p>
            <w:pPr>
              <w:spacing w:after="0"/>
              <w:rPr>
                <w:sz w:val="17"/>
                <w:szCs w:val="17"/>
                <w:color w:val="auto"/>
              </w:rPr>
            </w:pPr>
          </w:p>
        </w:tc>
        <w:tc>
          <w:tcPr>
            <w:tcW w:w="380" w:type="dxa"/>
            <w:vAlign w:val="bottom"/>
            <w:tcBorders>
              <w:bottom w:val="single" w:sz="8" w:color="414142"/>
            </w:tcBorders>
          </w:tcPr>
          <w:p>
            <w:pPr>
              <w:spacing w:after="0"/>
              <w:rPr>
                <w:sz w:val="17"/>
                <w:szCs w:val="17"/>
                <w:color w:val="auto"/>
              </w:rPr>
            </w:pPr>
          </w:p>
        </w:tc>
        <w:tc>
          <w:tcPr>
            <w:tcW w:w="1280" w:type="dxa"/>
            <w:vAlign w:val="bottom"/>
            <w:tcBorders>
              <w:bottom w:val="single" w:sz="8" w:color="414142"/>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60" w:type="dxa"/>
            <w:vAlign w:val="bottom"/>
            <w:tcBorders>
              <w:bottom w:val="single" w:sz="8" w:color="E5E6E7"/>
            </w:tcBorders>
          </w:tcPr>
          <w:p>
            <w:pPr>
              <w:spacing w:after="0"/>
              <w:rPr>
                <w:sz w:val="17"/>
                <w:szCs w:val="17"/>
                <w:color w:val="auto"/>
              </w:rPr>
            </w:pPr>
          </w:p>
        </w:tc>
        <w:tc>
          <w:tcPr>
            <w:tcW w:w="360" w:type="dxa"/>
            <w:vAlign w:val="bottom"/>
            <w:tcBorders>
              <w:bottom w:val="single" w:sz="8" w:color="414142"/>
            </w:tcBorders>
          </w:tcPr>
          <w:p>
            <w:pPr>
              <w:spacing w:after="0"/>
              <w:rPr>
                <w:sz w:val="17"/>
                <w:szCs w:val="17"/>
                <w:color w:val="auto"/>
              </w:rPr>
            </w:pPr>
          </w:p>
        </w:tc>
        <w:tc>
          <w:tcPr>
            <w:tcW w:w="1200" w:type="dxa"/>
            <w:vAlign w:val="bottom"/>
            <w:tcBorders>
              <w:bottom w:val="single" w:sz="8" w:color="414142"/>
            </w:tcBorders>
          </w:tcPr>
          <w:p>
            <w:pPr>
              <w:ind w:left="2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Borders>
              <w:bottom w:val="single" w:sz="8" w:color="414142"/>
            </w:tcBorders>
          </w:tcPr>
          <w:p>
            <w:pPr>
              <w:spacing w:after="0"/>
              <w:rPr>
                <w:sz w:val="17"/>
                <w:szCs w:val="17"/>
                <w:color w:val="auto"/>
              </w:rPr>
            </w:pPr>
          </w:p>
        </w:tc>
        <w:tc>
          <w:tcPr>
            <w:tcW w:w="40" w:type="dxa"/>
            <w:vAlign w:val="bottom"/>
            <w:tcBorders>
              <w:bottom w:val="single" w:sz="8" w:color="E5E6E7"/>
            </w:tcBorders>
          </w:tcPr>
          <w:p>
            <w:pPr>
              <w:spacing w:after="0"/>
              <w:rPr>
                <w:sz w:val="17"/>
                <w:szCs w:val="17"/>
                <w:color w:val="auto"/>
              </w:rPr>
            </w:pPr>
          </w:p>
        </w:tc>
      </w:tr>
      <w:tr>
        <w:trPr>
          <w:trHeight w:val="239"/>
        </w:trPr>
        <w:tc>
          <w:tcPr>
            <w:tcW w:w="3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Cost of revenues, diagnostics</w:t>
            </w:r>
          </w:p>
        </w:tc>
        <w:tc>
          <w:tcPr>
            <w:tcW w:w="1000" w:type="dxa"/>
            <w:vAlign w:val="bottom"/>
            <w:shd w:val="clear" w:color="auto" w:fill="E5E6E7"/>
          </w:tcPr>
          <w:p>
            <w:pPr>
              <w:jc w:val="right"/>
              <w:ind w:right="807"/>
              <w:spacing w:after="0"/>
              <w:rPr>
                <w:sz w:val="20"/>
                <w:szCs w:val="20"/>
                <w:color w:val="auto"/>
              </w:rPr>
            </w:pPr>
            <w:r>
              <w:rPr>
                <w:rFonts w:ascii="Times New Roman" w:cs="Times New Roman" w:eastAsia="Times New Roman" w:hAnsi="Times New Roman"/>
                <w:sz w:val="20"/>
                <w:szCs w:val="20"/>
                <w:color w:val="414142"/>
                <w:w w:val="79"/>
              </w:rPr>
              <w:t>$</w:t>
            </w: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6,224</w:t>
            </w:r>
          </w:p>
        </w:tc>
        <w:tc>
          <w:tcPr>
            <w:tcW w:w="20" w:type="dxa"/>
            <w:vAlign w:val="bottom"/>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380" w:type="dxa"/>
            <w:vAlign w:val="bottom"/>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w w:val="79"/>
              </w:rPr>
              <w:t>$</w:t>
            </w: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13,625</w:t>
            </w:r>
          </w:p>
        </w:tc>
        <w:tc>
          <w:tcPr>
            <w:tcW w:w="260" w:type="dxa"/>
            <w:vAlign w:val="bottom"/>
            <w:shd w:val="clear" w:color="auto" w:fill="E5E6E7"/>
          </w:tcPr>
          <w:p>
            <w:pPr>
              <w:spacing w:after="0"/>
              <w:rPr>
                <w:sz w:val="20"/>
                <w:szCs w:val="20"/>
                <w:color w:val="auto"/>
              </w:rPr>
            </w:pPr>
          </w:p>
        </w:tc>
        <w:tc>
          <w:tcPr>
            <w:tcW w:w="360" w:type="dxa"/>
            <w:vAlign w:val="bottom"/>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14142"/>
                <w:w w:val="79"/>
              </w:rPr>
              <w:t>$</w:t>
            </w:r>
          </w:p>
        </w:tc>
        <w:tc>
          <w:tcPr>
            <w:tcW w:w="1220" w:type="dxa"/>
            <w:vAlign w:val="bottom"/>
            <w:gridSpan w:val="2"/>
            <w:shd w:val="clear" w:color="auto" w:fill="E5E6E7"/>
          </w:tcPr>
          <w:p>
            <w:pPr>
              <w:ind w:left="980"/>
              <w:spacing w:after="0"/>
              <w:rPr>
                <w:sz w:val="20"/>
                <w:szCs w:val="20"/>
                <w:color w:val="auto"/>
              </w:rPr>
            </w:pPr>
            <w:r>
              <w:rPr>
                <w:rFonts w:ascii="Times New Roman" w:cs="Times New Roman" w:eastAsia="Times New Roman" w:hAnsi="Times New Roman"/>
                <w:sz w:val="20"/>
                <w:szCs w:val="20"/>
                <w:color w:val="414142"/>
              </w:rPr>
              <w:t>—</w:t>
            </w:r>
          </w:p>
        </w:tc>
        <w:tc>
          <w:tcPr>
            <w:tcW w:w="40" w:type="dxa"/>
            <w:vAlign w:val="bottom"/>
            <w:shd w:val="clear" w:color="auto" w:fill="E5E6E7"/>
          </w:tcPr>
          <w:p>
            <w:pPr>
              <w:spacing w:after="0"/>
              <w:rPr>
                <w:sz w:val="20"/>
                <w:szCs w:val="20"/>
                <w:color w:val="auto"/>
              </w:rPr>
            </w:pP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231F20"/>
              </w:rPr>
              <w:t>Cost of revenues, data and applications</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3,091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8,530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1"/>
                <w:szCs w:val="21"/>
                <w:color w:val="auto"/>
              </w:rPr>
            </w:pPr>
          </w:p>
        </w:tc>
      </w:tr>
      <w:tr>
        <w:trPr>
          <w:trHeight w:val="244"/>
        </w:trPr>
        <w:tc>
          <w:tcPr>
            <w:tcW w:w="3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Technology research and development</w:t>
            </w:r>
          </w:p>
        </w:tc>
        <w:tc>
          <w:tcPr>
            <w:tcW w:w="1000" w:type="dxa"/>
            <w:vAlign w:val="bottom"/>
            <w:shd w:val="clear" w:color="auto" w:fill="E5E6E7"/>
          </w:tcPr>
          <w:p>
            <w:pPr>
              <w:spacing w:after="0"/>
              <w:rPr>
                <w:sz w:val="21"/>
                <w:szCs w:val="21"/>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19,062</w:t>
            </w:r>
          </w:p>
        </w:tc>
        <w:tc>
          <w:tcPr>
            <w:tcW w:w="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58,473</w:t>
            </w:r>
          </w:p>
        </w:tc>
        <w:tc>
          <w:tcPr>
            <w:tcW w:w="260" w:type="dxa"/>
            <w:vAlign w:val="bottom"/>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ind w:left="980"/>
              <w:spacing w:after="0"/>
              <w:rPr>
                <w:sz w:val="20"/>
                <w:szCs w:val="20"/>
                <w:color w:val="auto"/>
              </w:rPr>
            </w:pPr>
            <w:r>
              <w:rPr>
                <w:rFonts w:ascii="Times New Roman" w:cs="Times New Roman" w:eastAsia="Times New Roman" w:hAnsi="Times New Roman"/>
                <w:sz w:val="20"/>
                <w:szCs w:val="20"/>
                <w:color w:val="414142"/>
              </w:rPr>
              <w:t>—</w:t>
            </w:r>
          </w:p>
        </w:tc>
        <w:tc>
          <w:tcPr>
            <w:tcW w:w="40" w:type="dxa"/>
            <w:vAlign w:val="bottom"/>
            <w:shd w:val="clear" w:color="auto" w:fill="E5E6E7"/>
          </w:tcPr>
          <w:p>
            <w:pPr>
              <w:spacing w:after="0"/>
              <w:rPr>
                <w:sz w:val="21"/>
                <w:szCs w:val="21"/>
                <w:color w:val="auto"/>
              </w:rPr>
            </w:pPr>
          </w:p>
        </w:tc>
      </w:tr>
      <w:tr>
        <w:trPr>
          <w:trHeight w:val="244"/>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12,688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47,638</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1"/>
                <w:szCs w:val="21"/>
                <w:color w:val="auto"/>
              </w:rPr>
            </w:pPr>
          </w:p>
        </w:tc>
      </w:tr>
      <w:tr>
        <w:trPr>
          <w:trHeight w:val="244"/>
        </w:trPr>
        <w:tc>
          <w:tcPr>
            <w:tcW w:w="38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Selling, general and administrative</w:t>
            </w:r>
          </w:p>
        </w:tc>
        <w:tc>
          <w:tcPr>
            <w:tcW w:w="1000" w:type="dxa"/>
            <w:vAlign w:val="bottom"/>
            <w:shd w:val="clear" w:color="auto" w:fill="E5E6E7"/>
          </w:tcPr>
          <w:p>
            <w:pPr>
              <w:spacing w:after="0"/>
              <w:rPr>
                <w:sz w:val="21"/>
                <w:szCs w:val="21"/>
                <w:color w:val="auto"/>
              </w:rPr>
            </w:pPr>
          </w:p>
        </w:tc>
        <w:tc>
          <w:tcPr>
            <w:tcW w:w="6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83,682</w:t>
            </w:r>
          </w:p>
        </w:tc>
        <w:tc>
          <w:tcPr>
            <w:tcW w:w="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405,872</w:t>
            </w:r>
          </w:p>
        </w:tc>
        <w:tc>
          <w:tcPr>
            <w:tcW w:w="260" w:type="dxa"/>
            <w:vAlign w:val="bottom"/>
            <w:shd w:val="clear" w:color="auto" w:fill="E5E6E7"/>
          </w:tcPr>
          <w:p>
            <w:pPr>
              <w:spacing w:after="0"/>
              <w:rPr>
                <w:sz w:val="21"/>
                <w:szCs w:val="21"/>
                <w:color w:val="auto"/>
              </w:rPr>
            </w:pPr>
          </w:p>
        </w:tc>
        <w:tc>
          <w:tcPr>
            <w:tcW w:w="360" w:type="dxa"/>
            <w:vAlign w:val="bottom"/>
            <w:shd w:val="clear" w:color="auto" w:fill="E5E6E7"/>
          </w:tcPr>
          <w:p>
            <w:pPr>
              <w:spacing w:after="0"/>
              <w:rPr>
                <w:sz w:val="21"/>
                <w:szCs w:val="21"/>
                <w:color w:val="auto"/>
              </w:rPr>
            </w:pPr>
          </w:p>
        </w:tc>
        <w:tc>
          <w:tcPr>
            <w:tcW w:w="1220" w:type="dxa"/>
            <w:vAlign w:val="bottom"/>
            <w:gridSpan w:val="2"/>
            <w:shd w:val="clear" w:color="auto" w:fill="E5E6E7"/>
          </w:tcPr>
          <w:p>
            <w:pPr>
              <w:ind w:left="980"/>
              <w:spacing w:after="0"/>
              <w:rPr>
                <w:sz w:val="20"/>
                <w:szCs w:val="20"/>
                <w:color w:val="auto"/>
              </w:rPr>
            </w:pPr>
            <w:r>
              <w:rPr>
                <w:rFonts w:ascii="Times New Roman" w:cs="Times New Roman" w:eastAsia="Times New Roman" w:hAnsi="Times New Roman"/>
                <w:sz w:val="20"/>
                <w:szCs w:val="20"/>
                <w:color w:val="414142"/>
              </w:rPr>
              <w:t>—</w:t>
            </w:r>
          </w:p>
        </w:tc>
        <w:tc>
          <w:tcPr>
            <w:tcW w:w="40" w:type="dxa"/>
            <w:vAlign w:val="bottom"/>
            <w:shd w:val="clear" w:color="auto" w:fill="E5E6E7"/>
          </w:tcPr>
          <w:p>
            <w:pPr>
              <w:spacing w:after="0"/>
              <w:rPr>
                <w:sz w:val="21"/>
                <w:szCs w:val="2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231F20"/>
              </w:rPr>
              <w:t>Total stock-based compensation</w:t>
            </w:r>
          </w:p>
        </w:tc>
        <w:tc>
          <w:tcPr>
            <w:tcW w:w="1000" w:type="dxa"/>
            <w:vAlign w:val="bottom"/>
            <w:tcBorders>
              <w:top w:val="single" w:sz="8" w:color="231F20"/>
            </w:tcBorders>
          </w:tcPr>
          <w:p>
            <w:pPr>
              <w:jc w:val="right"/>
              <w:ind w:right="807"/>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8"/>
              </w:rPr>
              <w:t>124,747</w:t>
            </w:r>
          </w:p>
        </w:tc>
        <w:tc>
          <w:tcPr>
            <w:tcW w:w="260" w:type="dxa"/>
            <w:vAlign w:val="bottom"/>
            <w:gridSpan w:val="2"/>
          </w:tcPr>
          <w:p>
            <w:pPr>
              <w:spacing w:after="0"/>
              <w:rPr>
                <w:sz w:val="20"/>
                <w:szCs w:val="20"/>
                <w:color w:val="auto"/>
              </w:rPr>
            </w:pPr>
          </w:p>
        </w:tc>
        <w:tc>
          <w:tcPr>
            <w:tcW w:w="380" w:type="dxa"/>
            <w:vAlign w:val="bottom"/>
            <w:tcBorders>
              <w:top w:val="single" w:sz="8" w:color="231F20"/>
            </w:tcBorders>
          </w:tcPr>
          <w:p>
            <w:pPr>
              <w:jc w:val="right"/>
              <w:ind w:right="180"/>
              <w:spacing w:after="0"/>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534,138</w:t>
            </w:r>
          </w:p>
        </w:tc>
        <w:tc>
          <w:tcPr>
            <w:tcW w:w="260" w:type="dxa"/>
            <w:vAlign w:val="bottom"/>
          </w:tcPr>
          <w:p>
            <w:pPr>
              <w:spacing w:after="0"/>
              <w:rPr>
                <w:sz w:val="20"/>
                <w:szCs w:val="20"/>
                <w:color w:val="auto"/>
              </w:rPr>
            </w:pPr>
          </w:p>
        </w:tc>
        <w:tc>
          <w:tcPr>
            <w:tcW w:w="360" w:type="dxa"/>
            <w:vAlign w:val="bottom"/>
            <w:tcBorders>
              <w:top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tcBorders>
          </w:tcPr>
          <w:p>
            <w:pPr>
              <w:ind w:left="980"/>
              <w:spacing w:after="0"/>
              <w:rPr>
                <w:sz w:val="20"/>
                <w:szCs w:val="20"/>
                <w:color w:val="auto"/>
              </w:rPr>
            </w:pPr>
            <w:r>
              <w:rPr>
                <w:rFonts w:ascii="Times New Roman" w:cs="Times New Roman" w:eastAsia="Times New Roman" w:hAnsi="Times New Roman"/>
                <w:sz w:val="20"/>
                <w:szCs w:val="20"/>
                <w:color w:val="231F20"/>
                <w:w w:val="99"/>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380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2647950</wp:posOffset>
            </wp:positionH>
            <wp:positionV relativeFrom="paragraph">
              <wp:posOffset>-1126490</wp:posOffset>
            </wp:positionV>
            <wp:extent cx="347535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2">
                      <a:extLst>
                        <a:ext uri="{28A0092B-C50C-407E-A947-70E740481C1C}"/>
                      </a:extLst>
                    </a:blip>
                    <a:srcRect/>
                    <a:stretch>
                      <a:fillRect/>
                    </a:stretch>
                  </pic:blipFill>
                  <pic:spPr bwMode="auto">
                    <a:xfrm>
                      <a:off x="0" y="0"/>
                      <a:ext cx="3475355" cy="38100"/>
                    </a:xfrm>
                    <a:prstGeom prst="rect">
                      <a:avLst/>
                    </a:prstGeom>
                    <a:noFill/>
                  </pic:spPr>
                </pic:pic>
              </a:graphicData>
            </a:graphic>
          </wp:anchor>
        </w:drawing>
      </w:r>
    </w:p>
    <w:p>
      <w:pPr>
        <w:spacing w:after="0" w:line="187" w:lineRule="exact"/>
        <w:rPr>
          <w:sz w:val="20"/>
          <w:szCs w:val="20"/>
          <w:color w:val="auto"/>
        </w:rPr>
      </w:pPr>
    </w:p>
    <w:p>
      <w:pPr>
        <w:ind w:right="820" w:firstLine="490"/>
        <w:spacing w:after="0" w:line="261" w:lineRule="auto"/>
        <w:rPr>
          <w:sz w:val="20"/>
          <w:szCs w:val="20"/>
          <w:color w:val="auto"/>
        </w:rPr>
      </w:pPr>
      <w:r>
        <w:rPr>
          <w:rFonts w:ascii="Times New Roman" w:cs="Times New Roman" w:eastAsia="Times New Roman" w:hAnsi="Times New Roman"/>
          <w:sz w:val="20"/>
          <w:szCs w:val="20"/>
          <w:color w:val="231F20"/>
        </w:rPr>
        <w:t>As of December 31, 2025, unrecognized stock-based compensation was $288.2 million and is expected to be recognized over a weighted average period of 2.4 years.</w:t>
      </w:r>
    </w:p>
    <w:p>
      <w:pPr>
        <w:spacing w:after="0" w:line="327" w:lineRule="exact"/>
        <w:rPr>
          <w:sz w:val="20"/>
          <w:szCs w:val="20"/>
          <w:color w:val="auto"/>
        </w:rPr>
      </w:pPr>
    </w:p>
    <w:p>
      <w:pPr>
        <w:ind w:right="8000"/>
        <w:spacing w:after="0" w:line="386" w:lineRule="auto"/>
        <w:tabs>
          <w:tab w:leader="none" w:pos="490" w:val="left"/>
        </w:tabs>
        <w:numPr>
          <w:ilvl w:val="0"/>
          <w:numId w:val="75"/>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DEBT </w:t>
      </w:r>
      <w:r>
        <w:rPr>
          <w:rFonts w:ascii="Times New Roman" w:cs="Times New Roman" w:eastAsia="Times New Roman" w:hAnsi="Times New Roman"/>
          <w:sz w:val="19"/>
          <w:szCs w:val="19"/>
          <w:i w:val="1"/>
          <w:iCs w:val="1"/>
          <w:color w:val="231F20"/>
        </w:rPr>
        <w:t>Convertible Senior Notes</w:t>
      </w:r>
    </w:p>
    <w:p>
      <w:pPr>
        <w:spacing w:after="0" w:line="1"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On July 3, 2025, the Company completed a private offering (the "Offering") of $750.0 million aggregate principal amount of 0.75% Convertible Senior Notes due 2030 (the "Notes"). The Company's net proceeds from the Offering were $725.7 million, after deducting the initial purchasers' discount and commissions and offering expenses payable by the Company.</w:t>
      </w:r>
    </w:p>
    <w:p>
      <w:pPr>
        <w:spacing w:after="0" w:line="19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The Notes are general unsecured obligations of the Company and will mature on July 15, 2030. Interest on the Notes will accrue at a rate of 0.75% per year from July 3, 2025 and will be payable semiannually in arrears on January 15 and July 15 of each year, beginning on January 15, 2026. The Notes are convertible at the option of the noteholders prior to April 15, 2030, only upon satisfaction of one or more of the following conditions:</w:t>
      </w:r>
    </w:p>
    <w:p>
      <w:pPr>
        <w:spacing w:after="0" w:line="74" w:lineRule="exact"/>
        <w:rPr>
          <w:sz w:val="20"/>
          <w:szCs w:val="20"/>
          <w:color w:val="auto"/>
        </w:rPr>
      </w:pPr>
    </w:p>
    <w:p>
      <w:pPr>
        <w:ind w:left="980" w:right="280" w:hanging="490"/>
        <w:spacing w:after="0" w:line="249" w:lineRule="auto"/>
        <w:tabs>
          <w:tab w:leader="none" w:pos="980"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any calendar quarter, commencing after the fiscal quarter ending on September 30, 2025, if the last reported sale price of the Company’s Class A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w:t>
      </w:r>
    </w:p>
    <w:p>
      <w:pPr>
        <w:spacing w:after="0" w:line="76" w:lineRule="exact"/>
        <w:rPr>
          <w:rFonts w:ascii="Times New Roman" w:cs="Times New Roman" w:eastAsia="Times New Roman" w:hAnsi="Times New Roman"/>
          <w:sz w:val="20"/>
          <w:szCs w:val="20"/>
          <w:color w:val="231F20"/>
        </w:rPr>
      </w:pPr>
    </w:p>
    <w:p>
      <w:pPr>
        <w:ind w:left="980" w:hanging="490"/>
        <w:spacing w:after="0" w:line="252" w:lineRule="auto"/>
        <w:tabs>
          <w:tab w:leader="none" w:pos="980" w:val="left"/>
        </w:tabs>
        <w:numPr>
          <w:ilvl w:val="0"/>
          <w:numId w:val="7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During the five business day period after any ten consecutive trading day period (the “measurement period”) in which the trading price per $1,000 principal amount of the Notes for each trading day of the measurement period was less than 98% of the product of the last reported sale price of the Company's Class A common stock and the conversion rate for the Notes on each such trading day;</w:t>
      </w:r>
    </w:p>
    <w:p>
      <w:pPr>
        <w:sectPr>
          <w:pgSz w:w="11880" w:h="15480" w:orient="portrait"/>
          <w:cols w:equalWidth="0" w:num="1">
            <w:col w:w="10020"/>
          </w:cols>
          <w:pgMar w:left="900" w:top="753" w:right="960" w:bottom="0" w:gutter="0" w:footer="0" w:header="0"/>
        </w:sect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170</w:t>
      </w:r>
    </w:p>
    <w:p>
      <w:pPr>
        <w:sectPr>
          <w:pgSz w:w="11880" w:h="15480" w:orient="portrait"/>
          <w:cols w:equalWidth="0" w:num="1">
            <w:col w:w="10020"/>
          </w:cols>
          <w:pgMar w:left="900" w:top="753" w:right="960" w:bottom="0" w:gutter="0" w:footer="0" w:header="0"/>
          <w:type w:val="continuous"/>
        </w:sectPr>
      </w:pPr>
    </w:p>
    <w:bookmarkStart w:id="178" w:name="page179"/>
    <w:bookmarkEnd w:id="178"/>
    <w:p>
      <w:pPr>
        <w:ind w:left="980" w:right="20" w:hanging="490"/>
        <w:spacing w:after="0" w:line="277" w:lineRule="auto"/>
        <w:tabs>
          <w:tab w:leader="none" w:pos="980"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the Company calls the Notes for redemption, at any time prior to the close of business on the second scheduled trading day immediately preceding the redemption date; or</w:t>
      </w:r>
    </w:p>
    <w:p>
      <w:pPr>
        <w:spacing w:after="0" w:line="49" w:lineRule="exact"/>
        <w:rPr>
          <w:rFonts w:ascii="Times New Roman" w:cs="Times New Roman" w:eastAsia="Times New Roman" w:hAnsi="Times New Roman"/>
          <w:sz w:val="20"/>
          <w:szCs w:val="20"/>
          <w:color w:val="231F20"/>
        </w:rPr>
      </w:pPr>
    </w:p>
    <w:p>
      <w:pPr>
        <w:ind w:left="980" w:hanging="490"/>
        <w:spacing w:after="0"/>
        <w:tabs>
          <w:tab w:leader="none" w:pos="980" w:val="left"/>
        </w:tabs>
        <w:numPr>
          <w:ilvl w:val="0"/>
          <w:numId w:val="7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Upon the occurrence of specified corporate events.</w:t>
      </w:r>
    </w:p>
    <w:p>
      <w:pPr>
        <w:spacing w:after="0" w:line="24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On or after April 15, 2030, until the close of business on the second scheduled trading day immediately preceding the maturity date, holders may convert all or any portion of their Notes at their option at any time, regardless of the foregoing conditions. Upon conversion, the Company will pay or deliver cash, shares of the Company's Class A common stock or a combination of cash and shares of the Company's Class A common stock, at the Company’s election.</w:t>
      </w:r>
    </w:p>
    <w:p>
      <w:pPr>
        <w:spacing w:after="0" w:line="19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conversion rate for the Notes is 11.8778 shares of the Company's Class A common stock per $1,000 principal amount of Notes, which is equivalent to an initial conversion price of approximately $84.19 per share of the Company's Class A common stock. The conversion rate is subject to adjustment under certain circumstances.</w:t>
      </w:r>
    </w:p>
    <w:p>
      <w:pPr>
        <w:spacing w:after="0" w:line="18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On or after July 20, 2028, the Company may redeem for cash all or any portion of the Notes if the last reported sale price of the Company's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$100.0 million aggregate principal amount of Notes must be outstanding and not subject to redemption. No sinking fund is provided for the Notes.</w:t>
      </w:r>
    </w:p>
    <w:p>
      <w:pPr>
        <w:spacing w:after="0" w:line="202"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If the Company undergoes a fundamental change (as defined in the indenture governing the Notes), then, subject to certain conditions and exceptions, noteholders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spacing w:after="0" w:line="19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The initial purchasers' discount of $23.5 million and deferred financing fees of $0.8 million on the Notes are amortized over the term of the underlying debt and unamortized amounts have been offset against the Notes, net in the consolidated balance sheets. As of December 31, 2025, the unamortized initial purchasers' discount and deferred financing fees on the Notes was $21.2 million and $0.7 million, respectively. Amortization of the initial purchasers' discount and deferred financing fees are reflected in interest expense on the consolidated statements of operations. Amortization of the initial purchasers' discount totaled $2.3 million for the year ended December 31, 2025.</w:t>
      </w:r>
    </w:p>
    <w:p>
      <w:pPr>
        <w:spacing w:after="0" w:line="200" w:lineRule="exact"/>
        <w:rPr>
          <w:sz w:val="20"/>
          <w:szCs w:val="20"/>
          <w:color w:val="auto"/>
        </w:rPr>
      </w:pPr>
    </w:p>
    <w:p>
      <w:pPr>
        <w:ind w:right="460" w:firstLine="490"/>
        <w:spacing w:after="0" w:line="252" w:lineRule="auto"/>
        <w:rPr>
          <w:sz w:val="20"/>
          <w:szCs w:val="20"/>
          <w:color w:val="auto"/>
        </w:rPr>
      </w:pPr>
      <w:r>
        <w:rPr>
          <w:rFonts w:ascii="Times New Roman" w:cs="Times New Roman" w:eastAsia="Times New Roman" w:hAnsi="Times New Roman"/>
          <w:sz w:val="20"/>
          <w:szCs w:val="20"/>
          <w:color w:val="231F20"/>
        </w:rPr>
        <w:t>During the year ended December 31, 2025, the Company made no interest payments on the Notes. The Company recognized interest expense of $ 2.8 million related to the Notes, during the year ended December 31, 2025, which represented an effective interest rate of 0.8%. Accrued interest on the Notes is recorded within Accrued expenses on the consolidated balance sheet.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Capped Call Transactions</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In connection with the pricing of the Notes on June 30, 2025, and the exercise in full by the initial purchasers of their option to purchase additional Notes on July 1, 2025, the Company entered into capped call transactions (the "Capped Call"), effective as of July 3, 2025, with one of the initial purchasers and certain other financial institutions. The Capped Call is expected generally to reduce the potential dilution to the Company's Class A common stock upon any conversion of the Notes and/or offset any cash payments the Company is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the Company's Class A common stock.</w:t>
      </w:r>
    </w:p>
    <w:p>
      <w:pPr>
        <w:spacing w:after="0" w:line="20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Capped Call qualifies for a scope exception from derivative accounting for instruments that are both indexed to the issuer's own stock and classified in stockholders' equity. The $41.8 million incurred to purchase the Capped Call was recorded as a reduction to additional paid-in capital in the consolidated balance sheets, and will not be remeasured as long as they continue to meet the conditions for equity classification.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Credit Facilities</w:t>
      </w:r>
    </w:p>
    <w:p>
      <w:pPr>
        <w:sectPr>
          <w:pgSz w:w="11880" w:h="15480" w:orient="portrait"/>
          <w:cols w:equalWidth="0" w:num="1">
            <w:col w:w="10060"/>
          </w:cols>
          <w:pgMar w:left="900" w:top="739" w:right="920" w:bottom="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171</w:t>
      </w:r>
    </w:p>
    <w:p>
      <w:pPr>
        <w:sectPr>
          <w:pgSz w:w="11880" w:h="15480" w:orient="portrait"/>
          <w:cols w:equalWidth="0" w:num="1">
            <w:col w:w="10060"/>
          </w:cols>
          <w:pgMar w:left="900" w:top="739" w:right="920" w:bottom="0" w:gutter="0" w:footer="0" w:header="0"/>
          <w:type w:val="continuous"/>
        </w:sectPr>
      </w:pPr>
    </w:p>
    <w:bookmarkStart w:id="179" w:name="page180"/>
    <w:bookmarkEnd w:id="179"/>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On September 22, 2022, the Company entered into a Credit Agreement (the “Original Credit Agreement”) with Ares Capital Corporation (“Ares”) for a senior secured loan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On February 3, 2025, the Company entered into a Third Amendment Agreement (the "Third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w:t>
      </w:r>
    </w:p>
    <w:p>
      <w:pPr>
        <w:spacing w:after="0" w:line="202" w:lineRule="exact"/>
        <w:rPr>
          <w:sz w:val="20"/>
          <w:szCs w:val="20"/>
          <w:color w:val="auto"/>
        </w:rPr>
      </w:pPr>
    </w:p>
    <w:p>
      <w:pPr>
        <w:jc w:val="both"/>
        <w:ind w:right="360" w:firstLine="490"/>
        <w:spacing w:after="0" w:line="249" w:lineRule="auto"/>
        <w:rPr>
          <w:sz w:val="20"/>
          <w:szCs w:val="20"/>
          <w:color w:val="auto"/>
        </w:rPr>
      </w:pPr>
      <w:r>
        <w:rPr>
          <w:rFonts w:ascii="Times New Roman" w:cs="Times New Roman" w:eastAsia="Times New Roman" w:hAnsi="Times New Roman"/>
          <w:sz w:val="20"/>
          <w:szCs w:val="20"/>
          <w:color w:val="231F20"/>
        </w:rPr>
        <w:t>On June 30, 2025, in conjunction with the Offering, the Company entered into a Fourth Amendment to the Credit Agreement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spacing w:after="0" w:line="197"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231F20"/>
        </w:rPr>
        <w:t>The Term Loans and Revolving Credit Facility (together with the Term Loan Facilities, the “Credit Facilities”) are subject to quarterly interest payments for Base Rate loans and at the end of the applicable interest rate period for Term Secured Overnight Financing Rate (“SOFR”) loans.</w:t>
      </w:r>
    </w:p>
    <w:p>
      <w:pPr>
        <w:spacing w:after="0" w:line="18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Term Loans are subject to quarterly interest payments, which bears interest based on Term SOFR. Additionally, the Company may make either a paid-in-kind ("PIK") election or a Cash election. Pursuant to the Original Credit Agreement, as amended by the Fourth Amendment Agreement (the “Credit Agreement”), through December 31, 2025, interest on the Term Loans accrues at a per annum rate as follows: (i) for any interest period for which the Company elects to pay interest in cash, the cash interest rate for Term SOFR borrowings will be Term SOFR </w:t>
      </w:r>
      <w:r>
        <w:rPr>
          <w:rFonts w:ascii="Times New Roman" w:cs="Times New Roman" w:eastAsia="Times New Roman" w:hAnsi="Times New Roman"/>
          <w:sz w:val="20"/>
          <w:szCs w:val="20"/>
          <w:i w:val="1"/>
          <w:iCs w:val="1"/>
          <w:color w:val="231F20"/>
        </w:rPr>
        <w:t>plus</w:t>
      </w:r>
      <w:r>
        <w:rPr>
          <w:rFonts w:ascii="Times New Roman" w:cs="Times New Roman" w:eastAsia="Times New Roman" w:hAnsi="Times New Roman"/>
          <w:sz w:val="20"/>
          <w:szCs w:val="20"/>
          <w:color w:val="231F20"/>
        </w:rPr>
        <w:t xml:space="preserve"> 7.25%, respectively, and (ii) for any interest period for which the Company elects to pay interest in kind, the cash interest rate for Term SOFR borrowings will be Term SOFR </w:t>
      </w:r>
      <w:r>
        <w:rPr>
          <w:rFonts w:ascii="Times New Roman" w:cs="Times New Roman" w:eastAsia="Times New Roman" w:hAnsi="Times New Roman"/>
          <w:sz w:val="20"/>
          <w:szCs w:val="20"/>
          <w:i w:val="1"/>
          <w:iCs w:val="1"/>
          <w:color w:val="231F20"/>
        </w:rPr>
        <w:t>plus</w:t>
      </w:r>
      <w:r>
        <w:rPr>
          <w:rFonts w:ascii="Times New Roman" w:cs="Times New Roman" w:eastAsia="Times New Roman" w:hAnsi="Times New Roman"/>
          <w:sz w:val="20"/>
          <w:szCs w:val="20"/>
          <w:color w:val="231F20"/>
        </w:rPr>
        <w:t xml:space="preserve"> 5%, respectively, and the PIK interest rate will be 3.25%.</w:t>
      </w:r>
    </w:p>
    <w:p>
      <w:pPr>
        <w:spacing w:after="0" w:line="200" w:lineRule="exact"/>
        <w:rPr>
          <w:sz w:val="20"/>
          <w:szCs w:val="20"/>
          <w:color w:val="auto"/>
        </w:rPr>
      </w:pPr>
    </w:p>
    <w:p>
      <w:pPr>
        <w:ind w:right="140" w:firstLine="490"/>
        <w:spacing w:after="0" w:line="257" w:lineRule="auto"/>
        <w:rPr>
          <w:sz w:val="20"/>
          <w:szCs w:val="20"/>
          <w:color w:val="auto"/>
        </w:rPr>
      </w:pPr>
      <w:r>
        <w:rPr>
          <w:rFonts w:ascii="Times New Roman" w:cs="Times New Roman" w:eastAsia="Times New Roman" w:hAnsi="Times New Roman"/>
          <w:sz w:val="20"/>
          <w:szCs w:val="20"/>
          <w:color w:val="231F20"/>
        </w:rPr>
        <w:t xml:space="preserve">From and after January 1, 2026, interest on the Term Loans accrues at a per annum rate as follows: (i) for any interest period for which the Company elects to pay interest in cash, the cash interest rate for Term SOFR borrowings will be Term SOFR </w:t>
      </w:r>
      <w:r>
        <w:rPr>
          <w:rFonts w:ascii="Times New Roman" w:cs="Times New Roman" w:eastAsia="Times New Roman" w:hAnsi="Times New Roman"/>
          <w:sz w:val="20"/>
          <w:szCs w:val="20"/>
          <w:i w:val="1"/>
          <w:iCs w:val="1"/>
          <w:color w:val="231F20"/>
        </w:rPr>
        <w:t>plus</w:t>
      </w:r>
      <w:r>
        <w:rPr>
          <w:rFonts w:ascii="Times New Roman" w:cs="Times New Roman" w:eastAsia="Times New Roman" w:hAnsi="Times New Roman"/>
          <w:sz w:val="20"/>
          <w:szCs w:val="20"/>
          <w:color w:val="231F20"/>
        </w:rPr>
        <w:t xml:space="preserve"> a margin ranging from 6.75% to 7.75%, respectively, and (ii) for any interest period for which the Company elects to pay interest in kind, the cash interest rate for Term SOFR borrowings will be Term SOFR </w:t>
      </w:r>
      <w:r>
        <w:rPr>
          <w:rFonts w:ascii="Times New Roman" w:cs="Times New Roman" w:eastAsia="Times New Roman" w:hAnsi="Times New Roman"/>
          <w:sz w:val="20"/>
          <w:szCs w:val="20"/>
          <w:i w:val="1"/>
          <w:iCs w:val="1"/>
          <w:color w:val="231F20"/>
        </w:rPr>
        <w:t>plus</w:t>
      </w:r>
      <w:r>
        <w:rPr>
          <w:rFonts w:ascii="Times New Roman" w:cs="Times New Roman" w:eastAsia="Times New Roman" w:hAnsi="Times New Roman"/>
          <w:sz w:val="20"/>
          <w:szCs w:val="20"/>
          <w:color w:val="231F20"/>
        </w:rPr>
        <w:t xml:space="preserve"> a margin of 5%, respectively, and the PIK interest rate will be 3.25%. The applicable margin for any interest period for which the Company elects to pay interest in cash will be based on a consolidated first lien leverage ratio.</w:t>
      </w:r>
    </w:p>
    <w:p>
      <w:pPr>
        <w:sectPr>
          <w:pgSz w:w="11880" w:h="15480" w:orient="portrait"/>
          <w:cols w:equalWidth="0" w:num="1">
            <w:col w:w="10060"/>
          </w:cols>
          <w:pgMar w:left="900" w:top="73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172</w:t>
      </w:r>
    </w:p>
    <w:p>
      <w:pPr>
        <w:sectPr>
          <w:pgSz w:w="11880" w:h="15480" w:orient="portrait"/>
          <w:cols w:equalWidth="0" w:num="1">
            <w:col w:w="10060"/>
          </w:cols>
          <w:pgMar w:left="900" w:top="739" w:right="920" w:bottom="0" w:gutter="0" w:footer="0" w:header="0"/>
          <w:type w:val="continuous"/>
        </w:sectPr>
      </w:pPr>
    </w:p>
    <w:bookmarkStart w:id="180" w:name="page181"/>
    <w:bookmarkEnd w:id="180"/>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 xml:space="preserve">Interest on the Revolving Loans accrues interest at a per annum rate equal to Term SOFR </w:t>
      </w:r>
      <w:r>
        <w:rPr>
          <w:rFonts w:ascii="Times New Roman" w:cs="Times New Roman" w:eastAsia="Times New Roman" w:hAnsi="Times New Roman"/>
          <w:sz w:val="20"/>
          <w:szCs w:val="20"/>
          <w:i w:val="1"/>
          <w:iCs w:val="1"/>
          <w:color w:val="231F20"/>
        </w:rPr>
        <w:t>plus</w:t>
      </w:r>
      <w:r>
        <w:rPr>
          <w:rFonts w:ascii="Times New Roman" w:cs="Times New Roman" w:eastAsia="Times New Roman" w:hAnsi="Times New Roman"/>
          <w:sz w:val="20"/>
          <w:szCs w:val="20"/>
          <w:color w:val="231F20"/>
        </w:rPr>
        <w:t xml:space="preserve"> 3.75% At all times prior to the termination of the Revolving Credit Facility, to the extent that, on any date, the outstanding aggregate principal amount of Revolving Credit Facility is less than the greater of (x) 50.0% of the revolving commitments and (y) $ 50.0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spacing w:after="0" w:line="20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$ 1.0 billion on a pro forma basis and for the fiscal quarters ending March 31, 2025 through December 31, 2025, and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December 31, 2025.</w:t>
      </w:r>
    </w:p>
    <w:p>
      <w:pPr>
        <w:spacing w:after="0" w:line="202"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The Company’s obligations under the Credit Agreement are guaranteed by certain of its subsidiaries and secured by substantially all of the Company’s and such subsidiaries’ assets.</w:t>
      </w:r>
    </w:p>
    <w:p>
      <w:pPr>
        <w:spacing w:after="0" w:line="169"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The original issue discount of $10.5 million and deferred financing fees of $2.6 million on the Term Loans are amortized over the term of the underlying debt and unamortized amounts have been offset against long-term debt in the consolidated balance sheets. As of December 31, 2025 and 2024, the unamortized original issue discount was $3.3 million and $3.8 million, respectively, and the unamortized deferred financing fees were $0 and $1.4 million, respectively. The original issue discount of $ 2.0 million and deferred financing fees of $1.0 million on the Revolving Credit Facility are amortized over the term of the underlying debt and unamortized amounts are recorded in Investments and other assets in the consolidated balance sheets. As of December 31, 2025, the unamortized original issue discount and deferred financing fees on the Revolving Credit Facility was $1.6 million and $0.8 million, respectively.</w:t>
      </w:r>
    </w:p>
    <w:p>
      <w:pPr>
        <w:spacing w:after="0" w:line="20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In July 2025, the Company repaid in full the principal amount of the Term Loan Facility for $276.9 million, leaving only the Additional Term Loan Facility and Revolving Credit Facility as outstanding as of December 31, 2025. The Company recorded a loss on debt extinguishment of $12.0 million in the consolidated statements of operations and comprehensive loss, representing a prepayment premium of $7.8 million, unamortized original issue discount of $3.1 million, and unamortized deferred financing fees of $1.1 million.</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During the year ended December 31, 2025, the Company made $44.0 million in interest payments.</w:t>
      </w:r>
    </w:p>
    <w:p>
      <w:pPr>
        <w:spacing w:after="0" w:line="24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Interest expense and the effective interest rate for the years ended December 31, 2025, 2024 and 2023 are as follows (in thousands):</w:t>
      </w:r>
    </w:p>
    <w:p>
      <w:pPr>
        <w:spacing w:after="0" w:line="265" w:lineRule="exact"/>
        <w:rPr>
          <w:sz w:val="20"/>
          <w:szCs w:val="20"/>
          <w:color w:val="auto"/>
        </w:rPr>
      </w:pPr>
    </w:p>
    <w:tbl>
      <w:tblPr>
        <w:tblLayout w:type="fixed"/>
        <w:tblInd w:w="700" w:type="dxa"/>
        <w:tblCellMar>
          <w:top w:w="0" w:type="dxa"/>
          <w:left w:w="0" w:type="dxa"/>
          <w:bottom w:w="0" w:type="dxa"/>
          <w:right w:w="0" w:type="dxa"/>
        </w:tblCellMar>
      </w:tblPr>
      <w:tr>
        <w:trPr>
          <w:trHeight w:val="221"/>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80"/>
        </w:trPr>
        <w:tc>
          <w:tcPr>
            <w:tcW w:w="3440" w:type="dxa"/>
            <w:vAlign w:val="bottom"/>
            <w:tcBorders>
              <w:bottom w:val="single" w:sz="8" w:color="E5E6E7"/>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E5E6E7"/>
            </w:tcBorders>
          </w:tcPr>
          <w:p>
            <w:pPr>
              <w:spacing w:after="0"/>
              <w:rPr>
                <w:sz w:val="24"/>
                <w:szCs w:val="24"/>
                <w:color w:val="auto"/>
              </w:rPr>
            </w:pPr>
          </w:p>
        </w:tc>
        <w:tc>
          <w:tcPr>
            <w:tcW w:w="480" w:type="dxa"/>
            <w:vAlign w:val="bottom"/>
            <w:tcBorders>
              <w:bottom w:val="single" w:sz="8" w:color="E5E6E7"/>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40" w:type="dxa"/>
            <w:vAlign w:val="bottom"/>
            <w:tcBorders>
              <w:bottom w:val="single" w:sz="8" w:color="E5E6E7"/>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40" w:type="dxa"/>
            <w:vAlign w:val="bottom"/>
            <w:tcBorders>
              <w:bottom w:val="single" w:sz="8" w:color="E5E6E7"/>
            </w:tcBorders>
          </w:tcPr>
          <w:p>
            <w:pPr>
              <w:spacing w:after="0"/>
              <w:rPr>
                <w:sz w:val="24"/>
                <w:szCs w:val="24"/>
                <w:color w:val="auto"/>
              </w:rPr>
            </w:pPr>
          </w:p>
        </w:tc>
      </w:tr>
      <w:tr>
        <w:trPr>
          <w:trHeight w:val="239"/>
        </w:trPr>
        <w:tc>
          <w:tcPr>
            <w:tcW w:w="34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Interest expense</w:t>
            </w:r>
          </w:p>
        </w:tc>
        <w:tc>
          <w:tcPr>
            <w:tcW w:w="30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48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34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r>
      <w:tr>
        <w:trPr>
          <w:trHeight w:val="244"/>
        </w:trPr>
        <w:tc>
          <w:tcPr>
            <w:tcW w:w="34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Term Loans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40,858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36,631</w:t>
            </w:r>
          </w:p>
        </w:tc>
        <w:tc>
          <w:tcPr>
            <w:tcW w:w="3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28,895</w:t>
            </w:r>
          </w:p>
        </w:tc>
        <w:tc>
          <w:tcPr>
            <w:tcW w:w="240" w:type="dxa"/>
            <w:vAlign w:val="bottom"/>
          </w:tcPr>
          <w:p>
            <w:pPr>
              <w:spacing w:after="0"/>
              <w:rPr>
                <w:sz w:val="21"/>
                <w:szCs w:val="21"/>
                <w:color w:val="auto"/>
              </w:rPr>
            </w:pPr>
          </w:p>
        </w:tc>
      </w:tr>
      <w:tr>
        <w:trPr>
          <w:trHeight w:val="244"/>
        </w:trPr>
        <w:tc>
          <w:tcPr>
            <w:tcW w:w="34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Revolving Credit Facility</w:t>
            </w:r>
          </w:p>
        </w:tc>
        <w:tc>
          <w:tcPr>
            <w:tcW w:w="300" w:type="dxa"/>
            <w:vAlign w:val="bottom"/>
            <w:shd w:val="clear" w:color="auto" w:fill="E5E6E7"/>
          </w:tcPr>
          <w:p>
            <w:pPr>
              <w:spacing w:after="0"/>
              <w:rPr>
                <w:sz w:val="21"/>
                <w:szCs w:val="21"/>
                <w:color w:val="auto"/>
              </w:rPr>
            </w:pPr>
          </w:p>
        </w:tc>
        <w:tc>
          <w:tcPr>
            <w:tcW w:w="10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7,321</w:t>
            </w:r>
          </w:p>
        </w:tc>
        <w:tc>
          <w:tcPr>
            <w:tcW w:w="220" w:type="dxa"/>
            <w:vAlign w:val="bottom"/>
            <w:shd w:val="clear" w:color="auto" w:fill="E5E6E7"/>
          </w:tcPr>
          <w:p>
            <w:pPr>
              <w:spacing w:after="0"/>
              <w:rPr>
                <w:sz w:val="21"/>
                <w:szCs w:val="21"/>
                <w:color w:val="auto"/>
              </w:rPr>
            </w:pPr>
          </w:p>
        </w:tc>
        <w:tc>
          <w:tcPr>
            <w:tcW w:w="4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360" w:type="dxa"/>
            <w:vAlign w:val="bottom"/>
            <w:gridSpan w:val="2"/>
            <w:shd w:val="clear" w:color="auto" w:fill="E5E6E7"/>
          </w:tcPr>
          <w:p>
            <w:pPr>
              <w:jc w:val="right"/>
              <w:ind w:right="360"/>
              <w:spacing w:after="0"/>
              <w:rPr>
                <w:sz w:val="20"/>
                <w:szCs w:val="20"/>
                <w:color w:val="auto"/>
              </w:rPr>
            </w:pPr>
            <w:r>
              <w:rPr>
                <w:rFonts w:ascii="Times New Roman" w:cs="Times New Roman" w:eastAsia="Times New Roman" w:hAnsi="Times New Roman"/>
                <w:sz w:val="20"/>
                <w:szCs w:val="20"/>
                <w:color w:val="414142"/>
              </w:rPr>
              <w:t>—</w:t>
            </w:r>
          </w:p>
        </w:tc>
        <w:tc>
          <w:tcPr>
            <w:tcW w:w="30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r>
      <w:tr>
        <w:trPr>
          <w:trHeight w:val="244"/>
        </w:trPr>
        <w:tc>
          <w:tcPr>
            <w:tcW w:w="3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4"/>
        </w:trPr>
        <w:tc>
          <w:tcPr>
            <w:tcW w:w="34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Effective interest rate</w:t>
            </w:r>
          </w:p>
        </w:tc>
        <w:tc>
          <w:tcPr>
            <w:tcW w:w="30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4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02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r>
      <w:tr>
        <w:trPr>
          <w:trHeight w:val="244"/>
        </w:trPr>
        <w:tc>
          <w:tcPr>
            <w:tcW w:w="34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Term Loans</w:t>
            </w:r>
          </w:p>
        </w:tc>
        <w:tc>
          <w:tcPr>
            <w:tcW w:w="3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12.6%</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13.6%</w:t>
            </w:r>
          </w:p>
        </w:tc>
        <w:tc>
          <w:tcPr>
            <w:tcW w:w="3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13.2%</w:t>
            </w:r>
          </w:p>
        </w:tc>
      </w:tr>
      <w:tr>
        <w:trPr>
          <w:trHeight w:val="244"/>
        </w:trPr>
        <w:tc>
          <w:tcPr>
            <w:tcW w:w="344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Revolving Credit Facility</w:t>
            </w:r>
          </w:p>
        </w:tc>
        <w:tc>
          <w:tcPr>
            <w:tcW w:w="300" w:type="dxa"/>
            <w:vAlign w:val="bottom"/>
            <w:shd w:val="clear" w:color="auto" w:fill="E5E6E7"/>
          </w:tcPr>
          <w:p>
            <w:pPr>
              <w:spacing w:after="0"/>
              <w:rPr>
                <w:sz w:val="21"/>
                <w:szCs w:val="21"/>
                <w:color w:val="auto"/>
              </w:rPr>
            </w:pPr>
          </w:p>
        </w:tc>
        <w:tc>
          <w:tcPr>
            <w:tcW w:w="12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8.0%</w:t>
            </w:r>
          </w:p>
        </w:tc>
        <w:tc>
          <w:tcPr>
            <w:tcW w:w="4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360" w:type="dxa"/>
            <w:vAlign w:val="bottom"/>
            <w:gridSpan w:val="2"/>
            <w:shd w:val="clear" w:color="auto" w:fill="E5E6E7"/>
          </w:tcPr>
          <w:p>
            <w:pPr>
              <w:jc w:val="right"/>
              <w:ind w:right="360"/>
              <w:spacing w:after="0"/>
              <w:rPr>
                <w:sz w:val="20"/>
                <w:szCs w:val="20"/>
                <w:color w:val="auto"/>
              </w:rPr>
            </w:pPr>
            <w:r>
              <w:rPr>
                <w:rFonts w:ascii="Times New Roman" w:cs="Times New Roman" w:eastAsia="Times New Roman" w:hAnsi="Times New Roman"/>
                <w:sz w:val="20"/>
                <w:szCs w:val="20"/>
                <w:color w:val="414142"/>
              </w:rPr>
              <w:t>—</w:t>
            </w:r>
          </w:p>
        </w:tc>
        <w:tc>
          <w:tcPr>
            <w:tcW w:w="300" w:type="dxa"/>
            <w:vAlign w:val="bottom"/>
            <w:shd w:val="clear" w:color="auto" w:fill="E5E6E7"/>
          </w:tcPr>
          <w:p>
            <w:pPr>
              <w:spacing w:after="0"/>
              <w:rPr>
                <w:sz w:val="21"/>
                <w:szCs w:val="21"/>
                <w:color w:val="auto"/>
              </w:rPr>
            </w:pPr>
          </w:p>
        </w:tc>
        <w:tc>
          <w:tcPr>
            <w:tcW w:w="1260" w:type="dxa"/>
            <w:vAlign w:val="bottom"/>
            <w:gridSpan w:val="2"/>
            <w:shd w:val="clear" w:color="auto" w:fill="E5E6E7"/>
          </w:tcPr>
          <w:p>
            <w:pPr>
              <w:jc w:val="right"/>
              <w:ind w:right="260"/>
              <w:spacing w:after="0"/>
              <w:rPr>
                <w:sz w:val="20"/>
                <w:szCs w:val="20"/>
                <w:color w:val="auto"/>
              </w:rPr>
            </w:pPr>
            <w:r>
              <w:rPr>
                <w:rFonts w:ascii="Times New Roman" w:cs="Times New Roman" w:eastAsia="Times New Roman" w:hAnsi="Times New Roman"/>
                <w:sz w:val="20"/>
                <w:szCs w:val="20"/>
                <w:color w:val="41414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-1296670</wp:posOffset>
            </wp:positionV>
            <wp:extent cx="320992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3">
                      <a:extLst>
                        <a:ext uri="{28A0092B-C50C-407E-A947-70E740481C1C}"/>
                      </a:extLst>
                    </a:blip>
                    <a:srcRect/>
                    <a:stretch>
                      <a:fillRect/>
                    </a:stretch>
                  </pic:blipFill>
                  <pic:spPr bwMode="auto">
                    <a:xfrm>
                      <a:off x="0" y="0"/>
                      <a:ext cx="3209925" cy="3810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Convertible Promissory Note</w:t>
      </w:r>
    </w:p>
    <w:p>
      <w:pPr>
        <w:spacing w:after="0" w:line="117"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On February 22, 2025, the Company amended its convertible promissory note (the "Second Amended Note") with Google LLC ("Google"), originally entered into on June 22, 2020 (the "Initial Note"), and subsequently amended on November 19, 2020 (the "Amended Note"). The amendment extended the maturity date of the Second Amended Note from</w:t>
      </w:r>
    </w:p>
    <w:p>
      <w:pPr>
        <w:sectPr>
          <w:pgSz w:w="11880" w:h="15480" w:orient="portrait"/>
          <w:cols w:equalWidth="0" w:num="1">
            <w:col w:w="10080"/>
          </w:cols>
          <w:pgMar w:left="900" w:top="739" w:right="900" w:bottom="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173</w:t>
      </w:r>
    </w:p>
    <w:p>
      <w:pPr>
        <w:sectPr>
          <w:pgSz w:w="11880" w:h="15480" w:orient="portrait"/>
          <w:cols w:equalWidth="0" w:num="1">
            <w:col w:w="10080"/>
          </w:cols>
          <w:pgMar w:left="900" w:top="739" w:right="900" w:bottom="0" w:gutter="0" w:footer="0" w:header="0"/>
          <w:type w:val="continuous"/>
        </w:sectPr>
      </w:pPr>
    </w:p>
    <w:bookmarkStart w:id="181" w:name="page182"/>
    <w:bookmarkEnd w:id="181"/>
    <w:p>
      <w:pPr>
        <w:ind w:right="40"/>
        <w:spacing w:after="0" w:line="249" w:lineRule="auto"/>
        <w:rPr>
          <w:sz w:val="20"/>
          <w:szCs w:val="20"/>
          <w:color w:val="auto"/>
        </w:rPr>
      </w:pPr>
      <w:r>
        <w:rPr>
          <w:rFonts w:ascii="Times New Roman" w:cs="Times New Roman" w:eastAsia="Times New Roman" w:hAnsi="Times New Roman"/>
          <w:sz w:val="20"/>
          <w:szCs w:val="20"/>
          <w:color w:val="231F20"/>
        </w:rPr>
        <w:t>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7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31F20"/>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206"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The Company recognized interest expense of $14.4 million, $15.1 million and $15.8 million during the years ended December 31, 2025, 2024 and 2023, respectively. Accrued interest on the Second Amended Note is recorded as Interest Payable within Other long-term liabilities on the consolidated balance sheet.</w:t>
      </w:r>
    </w:p>
    <w:p>
      <w:pPr>
        <w:spacing w:after="0" w:line="304" w:lineRule="exact"/>
        <w:rPr>
          <w:sz w:val="20"/>
          <w:szCs w:val="20"/>
          <w:color w:val="auto"/>
        </w:rPr>
      </w:pPr>
    </w:p>
    <w:p>
      <w:pPr>
        <w:ind w:left="480" w:hanging="480"/>
        <w:spacing w:after="0"/>
        <w:tabs>
          <w:tab w:leader="none" w:pos="480" w:val="left"/>
        </w:tabs>
        <w:numPr>
          <w:ilvl w:val="0"/>
          <w:numId w:val="7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NET LOSS PER SHARE ATTRIBUTABLE TO COMMON STOCKHOLDERS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years ended December 31, 2025, 2024 and 2023, respectively, all potentially dilutive common stock equivalents have been excluded from the calculation of diluted net loss per share attributable to common stockholders as their effect is anti-dilutive.</w:t>
      </w:r>
    </w:p>
    <w:p>
      <w:pPr>
        <w:spacing w:after="0" w:line="206"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presents the calculation for basic and diluted net loss per share (in thousands, except share and per share data):</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500" w:type="dxa"/>
            <w:vAlign w:val="bottom"/>
            <w:tcBorders>
              <w:bottom w:val="single" w:sz="8" w:color="E5E6E7"/>
            </w:tcBorders>
          </w:tcPr>
          <w:p>
            <w:pPr>
              <w:spacing w:after="0"/>
              <w:rPr>
                <w:sz w:val="17"/>
                <w:szCs w:val="17"/>
                <w:color w:val="auto"/>
              </w:rPr>
            </w:pPr>
          </w:p>
        </w:tc>
        <w:tc>
          <w:tcPr>
            <w:tcW w:w="100" w:type="dxa"/>
            <w:vAlign w:val="bottom"/>
            <w:tcBorders>
              <w:bottom w:val="single" w:sz="8" w:color="E5E6E7"/>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5E6E7"/>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60" w:type="dxa"/>
            <w:vAlign w:val="bottom"/>
            <w:tcBorders>
              <w:bottom w:val="single" w:sz="8" w:color="E5E6E7"/>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5E6E7"/>
            </w:tcBorders>
          </w:tcPr>
          <w:p>
            <w:pPr>
              <w:spacing w:after="0"/>
              <w:rPr>
                <w:sz w:val="17"/>
                <w:szCs w:val="17"/>
                <w:color w:val="auto"/>
              </w:rPr>
            </w:pPr>
          </w:p>
        </w:tc>
      </w:tr>
      <w:tr>
        <w:trPr>
          <w:trHeight w:val="239"/>
        </w:trPr>
        <w:tc>
          <w:tcPr>
            <w:tcW w:w="5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Numerator:</w:t>
            </w:r>
          </w:p>
        </w:tc>
        <w:tc>
          <w:tcPr>
            <w:tcW w:w="10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84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r>
      <w:tr>
        <w:trPr>
          <w:trHeight w:val="244"/>
        </w:trPr>
        <w:tc>
          <w:tcPr>
            <w:tcW w:w="55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(245,028)</w:t>
            </w:r>
          </w:p>
        </w:tc>
        <w:tc>
          <w:tcPr>
            <w:tcW w:w="24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(705,809)</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(214,118)</w:t>
            </w:r>
          </w:p>
        </w:tc>
        <w:tc>
          <w:tcPr>
            <w:tcW w:w="100" w:type="dxa"/>
            <w:vAlign w:val="bottom"/>
          </w:tcPr>
          <w:p>
            <w:pPr>
              <w:spacing w:after="0"/>
              <w:rPr>
                <w:sz w:val="21"/>
                <w:szCs w:val="21"/>
                <w:color w:val="auto"/>
              </w:rPr>
            </w:pPr>
          </w:p>
        </w:tc>
      </w:tr>
      <w:tr>
        <w:trPr>
          <w:trHeight w:val="244"/>
        </w:trPr>
        <w:tc>
          <w:tcPr>
            <w:tcW w:w="55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Accretion of convertible preferred stock to redemption value</w:t>
            </w:r>
          </w:p>
        </w:tc>
        <w:tc>
          <w:tcPr>
            <w:tcW w:w="10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060" w:type="dxa"/>
            <w:vAlign w:val="bottom"/>
            <w:gridSpan w:val="2"/>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1100" w:type="dxa"/>
            <w:vAlign w:val="bottom"/>
            <w:gridSpan w:val="2"/>
            <w:shd w:val="clear" w:color="auto" w:fill="E5E6E7"/>
          </w:tcPr>
          <w:p>
            <w:pPr>
              <w:jc w:val="right"/>
              <w:ind w:right="280"/>
              <w:spacing w:after="0"/>
              <w:rPr>
                <w:sz w:val="20"/>
                <w:szCs w:val="20"/>
                <w:color w:val="auto"/>
              </w:rPr>
            </w:pPr>
            <w:r>
              <w:rPr>
                <w:rFonts w:ascii="Times New Roman" w:cs="Times New Roman" w:eastAsia="Times New Roman" w:hAnsi="Times New Roman"/>
                <w:sz w:val="20"/>
                <w:szCs w:val="20"/>
                <w:color w:val="414142"/>
              </w:rPr>
              <w:t>—</w:t>
            </w:r>
          </w:p>
        </w:tc>
        <w:tc>
          <w:tcPr>
            <w:tcW w:w="180" w:type="dxa"/>
            <w:vAlign w:val="bottom"/>
            <w:shd w:val="clear" w:color="auto" w:fill="E5E6E7"/>
          </w:tcPr>
          <w:p>
            <w:pPr>
              <w:spacing w:after="0"/>
              <w:rPr>
                <w:sz w:val="21"/>
                <w:szCs w:val="21"/>
                <w:color w:val="auto"/>
              </w:rPr>
            </w:pPr>
          </w:p>
        </w:tc>
        <w:tc>
          <w:tcPr>
            <w:tcW w:w="9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(4,338)</w:t>
            </w:r>
          </w:p>
        </w:tc>
      </w:tr>
      <w:tr>
        <w:trPr>
          <w:trHeight w:val="225"/>
        </w:trPr>
        <w:tc>
          <w:tcPr>
            <w:tcW w:w="55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Dividends on Series A, B, B-1, B-2, C, D, E, F, G, G-3, and G-4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5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preferred shares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(39,347)</w:t>
            </w: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(44,497)</w:t>
            </w:r>
          </w:p>
        </w:tc>
      </w:tr>
      <w:tr>
        <w:trPr>
          <w:trHeight w:val="244"/>
        </w:trPr>
        <w:tc>
          <w:tcPr>
            <w:tcW w:w="550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Cumulative undeclared dividends on Series C preferred shares</w:t>
            </w:r>
          </w:p>
        </w:tc>
        <w:tc>
          <w:tcPr>
            <w:tcW w:w="10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1060" w:type="dxa"/>
            <w:vAlign w:val="bottom"/>
            <w:gridSpan w:val="2"/>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110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rPr>
              <w:t>(1,174)</w:t>
            </w:r>
          </w:p>
        </w:tc>
        <w:tc>
          <w:tcPr>
            <w:tcW w:w="180" w:type="dxa"/>
            <w:vAlign w:val="bottom"/>
            <w:shd w:val="clear" w:color="auto" w:fill="E5E6E7"/>
          </w:tcPr>
          <w:p>
            <w:pPr>
              <w:spacing w:after="0"/>
              <w:rPr>
                <w:sz w:val="21"/>
                <w:szCs w:val="21"/>
                <w:color w:val="auto"/>
              </w:rPr>
            </w:pPr>
          </w:p>
        </w:tc>
        <w:tc>
          <w:tcPr>
            <w:tcW w:w="9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(3,011)</w:t>
            </w:r>
          </w:p>
        </w:tc>
      </w:tr>
      <w:tr>
        <w:trPr>
          <w:trHeight w:val="239"/>
        </w:trPr>
        <w:tc>
          <w:tcPr>
            <w:tcW w:w="5500" w:type="dxa"/>
            <w:vAlign w:val="bottom"/>
            <w:tcBorders>
              <w:bottom w:val="single" w:sz="8" w:color="E5E6E7"/>
            </w:tcBorders>
          </w:tcPr>
          <w:p>
            <w:pPr>
              <w:ind w:left="400"/>
              <w:spacing w:after="0"/>
              <w:rPr>
                <w:sz w:val="20"/>
                <w:szCs w:val="20"/>
                <w:color w:val="auto"/>
              </w:rPr>
            </w:pPr>
            <w:r>
              <w:rPr>
                <w:rFonts w:ascii="Times New Roman" w:cs="Times New Roman" w:eastAsia="Times New Roman" w:hAnsi="Times New Roman"/>
                <w:sz w:val="20"/>
                <w:szCs w:val="20"/>
                <w:color w:val="231F20"/>
              </w:rPr>
              <w:t>Net loss attributable to common stockholders</w:t>
            </w:r>
          </w:p>
        </w:tc>
        <w:tc>
          <w:tcPr>
            <w:tcW w:w="100" w:type="dxa"/>
            <w:vAlign w:val="bottom"/>
            <w:tcBorders>
              <w:bottom w:val="single" w:sz="8" w:color="E5E6E7"/>
            </w:tcBorders>
          </w:tcPr>
          <w:p>
            <w:pPr>
              <w:spacing w:after="0"/>
              <w:rPr>
                <w:sz w:val="20"/>
                <w:szCs w:val="20"/>
                <w:color w:val="auto"/>
              </w:rPr>
            </w:pPr>
          </w:p>
        </w:tc>
        <w:tc>
          <w:tcPr>
            <w:tcW w:w="200" w:type="dxa"/>
            <w:vAlign w:val="bottom"/>
            <w:tcBorders>
              <w:top w:val="single" w:sz="8" w:color="231F20"/>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top w:val="single" w:sz="8" w:color="231F20"/>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rPr>
              <w:t>(245,028)</w:t>
            </w:r>
          </w:p>
        </w:tc>
        <w:tc>
          <w:tcPr>
            <w:tcW w:w="240" w:type="dxa"/>
            <w:vAlign w:val="bottom"/>
            <w:tcBorders>
              <w:bottom w:val="single" w:sz="8" w:color="E5E6E7"/>
            </w:tcBorders>
          </w:tcPr>
          <w:p>
            <w:pPr>
              <w:spacing w:after="0"/>
              <w:rPr>
                <w:sz w:val="20"/>
                <w:szCs w:val="20"/>
                <w:color w:val="auto"/>
              </w:rPr>
            </w:pPr>
          </w:p>
        </w:tc>
        <w:tc>
          <w:tcPr>
            <w:tcW w:w="220" w:type="dxa"/>
            <w:vAlign w:val="bottom"/>
            <w:tcBorders>
              <w:top w:val="single" w:sz="8" w:color="231F20"/>
              <w:bottom w:val="single" w:sz="8" w:color="414142"/>
            </w:tcBorders>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top w:val="single" w:sz="8" w:color="231F20"/>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rPr>
              <w:t>(746,330)</w:t>
            </w:r>
          </w:p>
        </w:tc>
        <w:tc>
          <w:tcPr>
            <w:tcW w:w="260" w:type="dxa"/>
            <w:vAlign w:val="bottom"/>
            <w:tcBorders>
              <w:bottom w:val="single" w:sz="8" w:color="E5E6E7"/>
            </w:tcBorders>
          </w:tcPr>
          <w:p>
            <w:pPr>
              <w:spacing w:after="0"/>
              <w:rPr>
                <w:sz w:val="20"/>
                <w:szCs w:val="20"/>
                <w:color w:val="auto"/>
              </w:rPr>
            </w:pPr>
          </w:p>
        </w:tc>
        <w:tc>
          <w:tcPr>
            <w:tcW w:w="180" w:type="dxa"/>
            <w:vAlign w:val="bottom"/>
            <w:tcBorders>
              <w:top w:val="single" w:sz="8" w:color="231F20"/>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top w:val="single" w:sz="8" w:color="231F20"/>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rPr>
              <w:t>(265,964)</w:t>
            </w:r>
          </w:p>
        </w:tc>
        <w:tc>
          <w:tcPr>
            <w:tcW w:w="100" w:type="dxa"/>
            <w:vAlign w:val="bottom"/>
            <w:tcBorders>
              <w:bottom w:val="single" w:sz="8" w:color="E5E6E7"/>
            </w:tcBorders>
          </w:tcPr>
          <w:p>
            <w:pPr>
              <w:spacing w:after="0"/>
              <w:rPr>
                <w:sz w:val="20"/>
                <w:szCs w:val="20"/>
                <w:color w:val="auto"/>
              </w:rPr>
            </w:pPr>
          </w:p>
        </w:tc>
      </w:tr>
      <w:tr>
        <w:trPr>
          <w:trHeight w:val="239"/>
        </w:trPr>
        <w:tc>
          <w:tcPr>
            <w:tcW w:w="5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Denominator:</w:t>
            </w:r>
          </w:p>
        </w:tc>
        <w:tc>
          <w:tcPr>
            <w:tcW w:w="100" w:type="dxa"/>
            <w:vAlign w:val="bottom"/>
            <w:shd w:val="clear" w:color="auto" w:fill="E5E6E7"/>
          </w:tcPr>
          <w:p>
            <w:pPr>
              <w:spacing w:after="0"/>
              <w:rPr>
                <w:sz w:val="20"/>
                <w:szCs w:val="20"/>
                <w:color w:val="auto"/>
              </w:rPr>
            </w:pPr>
          </w:p>
        </w:tc>
        <w:tc>
          <w:tcPr>
            <w:tcW w:w="20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84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r>
      <w:tr>
        <w:trPr>
          <w:trHeight w:val="244"/>
        </w:trPr>
        <w:tc>
          <w:tcPr>
            <w:tcW w:w="550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Weighted-average common shares outstanding, basic and diluted</w:t>
            </w:r>
          </w:p>
        </w:tc>
        <w:tc>
          <w:tcPr>
            <w:tcW w:w="100" w:type="dxa"/>
            <w:vAlign w:val="bottom"/>
            <w:tcBorders>
              <w:bottom w:val="single" w:sz="8" w:color="E5E6E7"/>
            </w:tcBorders>
          </w:tcPr>
          <w:p>
            <w:pPr>
              <w:spacing w:after="0"/>
              <w:rPr>
                <w:sz w:val="21"/>
                <w:szCs w:val="21"/>
                <w:color w:val="auto"/>
              </w:rPr>
            </w:pPr>
          </w:p>
        </w:tc>
        <w:tc>
          <w:tcPr>
            <w:tcW w:w="200" w:type="dxa"/>
            <w:vAlign w:val="bottom"/>
            <w:tcBorders>
              <w:bottom w:val="single" w:sz="8" w:color="414142"/>
            </w:tcBorders>
          </w:tcPr>
          <w:p>
            <w:pPr>
              <w:spacing w:after="0"/>
              <w:rPr>
                <w:sz w:val="21"/>
                <w:szCs w:val="21"/>
                <w:color w:val="auto"/>
              </w:rPr>
            </w:pPr>
          </w:p>
        </w:tc>
        <w:tc>
          <w:tcPr>
            <w:tcW w:w="820" w:type="dxa"/>
            <w:vAlign w:val="bottom"/>
            <w:tcBorders>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rPr>
              <w:t>174,264</w:t>
            </w:r>
          </w:p>
        </w:tc>
        <w:tc>
          <w:tcPr>
            <w:tcW w:w="240" w:type="dxa"/>
            <w:vAlign w:val="bottom"/>
            <w:tcBorders>
              <w:bottom w:val="single" w:sz="8" w:color="E5E6E7"/>
            </w:tcBorders>
          </w:tcPr>
          <w:p>
            <w:pPr>
              <w:spacing w:after="0"/>
              <w:rPr>
                <w:sz w:val="21"/>
                <w:szCs w:val="21"/>
                <w:color w:val="auto"/>
              </w:rPr>
            </w:pPr>
          </w:p>
        </w:tc>
        <w:tc>
          <w:tcPr>
            <w:tcW w:w="220" w:type="dxa"/>
            <w:vAlign w:val="bottom"/>
            <w:tcBorders>
              <w:bottom w:val="single" w:sz="8" w:color="414142"/>
            </w:tcBorders>
          </w:tcPr>
          <w:p>
            <w:pPr>
              <w:spacing w:after="0"/>
              <w:rPr>
                <w:sz w:val="21"/>
                <w:szCs w:val="21"/>
                <w:color w:val="auto"/>
              </w:rPr>
            </w:pPr>
          </w:p>
        </w:tc>
        <w:tc>
          <w:tcPr>
            <w:tcW w:w="840" w:type="dxa"/>
            <w:vAlign w:val="bottom"/>
            <w:tcBorders>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rPr>
              <w:t>119,849</w:t>
            </w:r>
          </w:p>
        </w:tc>
        <w:tc>
          <w:tcPr>
            <w:tcW w:w="260" w:type="dxa"/>
            <w:vAlign w:val="bottom"/>
            <w:tcBorders>
              <w:bottom w:val="single" w:sz="8" w:color="E5E6E7"/>
            </w:tcBorders>
          </w:tcPr>
          <w:p>
            <w:pPr>
              <w:spacing w:after="0"/>
              <w:rPr>
                <w:sz w:val="21"/>
                <w:szCs w:val="21"/>
                <w:color w:val="auto"/>
              </w:rPr>
            </w:pPr>
          </w:p>
        </w:tc>
        <w:tc>
          <w:tcPr>
            <w:tcW w:w="180" w:type="dxa"/>
            <w:vAlign w:val="bottom"/>
            <w:tcBorders>
              <w:bottom w:val="single" w:sz="8" w:color="414142"/>
            </w:tcBorders>
          </w:tcPr>
          <w:p>
            <w:pPr>
              <w:spacing w:after="0"/>
              <w:rPr>
                <w:sz w:val="21"/>
                <w:szCs w:val="21"/>
                <w:color w:val="auto"/>
              </w:rPr>
            </w:pPr>
          </w:p>
        </w:tc>
        <w:tc>
          <w:tcPr>
            <w:tcW w:w="820" w:type="dxa"/>
            <w:vAlign w:val="bottom"/>
            <w:tcBorders>
              <w:bottom w:val="single" w:sz="8" w:color="414142"/>
            </w:tcBorders>
          </w:tcPr>
          <w:p>
            <w:pPr>
              <w:jc w:val="right"/>
              <w:spacing w:after="0"/>
              <w:rPr>
                <w:sz w:val="20"/>
                <w:szCs w:val="20"/>
                <w:color w:val="auto"/>
              </w:rPr>
            </w:pPr>
            <w:r>
              <w:rPr>
                <w:rFonts w:ascii="Times New Roman" w:cs="Times New Roman" w:eastAsia="Times New Roman" w:hAnsi="Times New Roman"/>
                <w:sz w:val="20"/>
                <w:szCs w:val="20"/>
                <w:color w:val="231F20"/>
              </w:rPr>
              <w:t>63,306</w:t>
            </w:r>
          </w:p>
        </w:tc>
        <w:tc>
          <w:tcPr>
            <w:tcW w:w="100" w:type="dxa"/>
            <w:vAlign w:val="bottom"/>
            <w:tcBorders>
              <w:bottom w:val="single" w:sz="8" w:color="E5E6E7"/>
            </w:tcBorders>
          </w:tcPr>
          <w:p>
            <w:pPr>
              <w:spacing w:after="0"/>
              <w:rPr>
                <w:sz w:val="21"/>
                <w:szCs w:val="21"/>
                <w:color w:val="auto"/>
              </w:rPr>
            </w:pPr>
          </w:p>
        </w:tc>
      </w:tr>
      <w:tr>
        <w:trPr>
          <w:trHeight w:val="215"/>
        </w:trPr>
        <w:tc>
          <w:tcPr>
            <w:tcW w:w="5500" w:type="dxa"/>
            <w:vAlign w:val="bottom"/>
            <w:shd w:val="clear" w:color="auto" w:fill="E5E6E7"/>
          </w:tcPr>
          <w:p>
            <w:pPr>
              <w:spacing w:after="0" w:line="215" w:lineRule="exact"/>
              <w:rPr>
                <w:sz w:val="20"/>
                <w:szCs w:val="20"/>
                <w:color w:val="auto"/>
              </w:rPr>
            </w:pPr>
            <w:r>
              <w:rPr>
                <w:rFonts w:ascii="Times New Roman" w:cs="Times New Roman" w:eastAsia="Times New Roman" w:hAnsi="Times New Roman"/>
                <w:sz w:val="20"/>
                <w:szCs w:val="20"/>
                <w:b w:val="1"/>
                <w:bCs w:val="1"/>
                <w:color w:val="414142"/>
              </w:rPr>
              <w:t>Net loss per share attributable to common stockholders, basic</w:t>
            </w:r>
          </w:p>
        </w:tc>
        <w:tc>
          <w:tcPr>
            <w:tcW w:w="100" w:type="dxa"/>
            <w:vAlign w:val="bottom"/>
            <w:shd w:val="clear" w:color="auto" w:fill="E5E6E7"/>
          </w:tcPr>
          <w:p>
            <w:pPr>
              <w:spacing w:after="0"/>
              <w:rPr>
                <w:sz w:val="18"/>
                <w:szCs w:val="18"/>
                <w:color w:val="auto"/>
              </w:rPr>
            </w:pPr>
          </w:p>
        </w:tc>
        <w:tc>
          <w:tcPr>
            <w:tcW w:w="20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240" w:type="dxa"/>
            <w:vAlign w:val="bottom"/>
            <w:shd w:val="clear" w:color="auto" w:fill="E5E6E7"/>
          </w:tcPr>
          <w:p>
            <w:pPr>
              <w:spacing w:after="0"/>
              <w:rPr>
                <w:sz w:val="18"/>
                <w:szCs w:val="18"/>
                <w:color w:val="auto"/>
              </w:rPr>
            </w:pPr>
          </w:p>
        </w:tc>
        <w:tc>
          <w:tcPr>
            <w:tcW w:w="220" w:type="dxa"/>
            <w:vAlign w:val="bottom"/>
            <w:shd w:val="clear" w:color="auto" w:fill="E5E6E7"/>
          </w:tcPr>
          <w:p>
            <w:pPr>
              <w:spacing w:after="0"/>
              <w:rPr>
                <w:sz w:val="18"/>
                <w:szCs w:val="18"/>
                <w:color w:val="auto"/>
              </w:rPr>
            </w:pPr>
          </w:p>
        </w:tc>
        <w:tc>
          <w:tcPr>
            <w:tcW w:w="840" w:type="dxa"/>
            <w:vAlign w:val="bottom"/>
            <w:shd w:val="clear" w:color="auto" w:fill="E5E6E7"/>
          </w:tcPr>
          <w:p>
            <w:pPr>
              <w:spacing w:after="0"/>
              <w:rPr>
                <w:sz w:val="18"/>
                <w:szCs w:val="18"/>
                <w:color w:val="auto"/>
              </w:rPr>
            </w:pPr>
          </w:p>
        </w:tc>
        <w:tc>
          <w:tcPr>
            <w:tcW w:w="260" w:type="dxa"/>
            <w:vAlign w:val="bottom"/>
            <w:shd w:val="clear" w:color="auto" w:fill="E5E6E7"/>
          </w:tcPr>
          <w:p>
            <w:pPr>
              <w:spacing w:after="0"/>
              <w:rPr>
                <w:sz w:val="18"/>
                <w:szCs w:val="18"/>
                <w:color w:val="auto"/>
              </w:rPr>
            </w:pPr>
          </w:p>
        </w:tc>
        <w:tc>
          <w:tcPr>
            <w:tcW w:w="180" w:type="dxa"/>
            <w:vAlign w:val="bottom"/>
            <w:shd w:val="clear" w:color="auto" w:fill="E5E6E7"/>
          </w:tcPr>
          <w:p>
            <w:pPr>
              <w:spacing w:after="0"/>
              <w:rPr>
                <w:sz w:val="18"/>
                <w:szCs w:val="18"/>
                <w:color w:val="auto"/>
              </w:rPr>
            </w:pPr>
          </w:p>
        </w:tc>
        <w:tc>
          <w:tcPr>
            <w:tcW w:w="820" w:type="dxa"/>
            <w:vAlign w:val="bottom"/>
            <w:shd w:val="clear" w:color="auto" w:fill="E5E6E7"/>
          </w:tcPr>
          <w:p>
            <w:pPr>
              <w:spacing w:after="0"/>
              <w:rPr>
                <w:sz w:val="18"/>
                <w:szCs w:val="18"/>
                <w:color w:val="auto"/>
              </w:rPr>
            </w:pPr>
          </w:p>
        </w:tc>
        <w:tc>
          <w:tcPr>
            <w:tcW w:w="100" w:type="dxa"/>
            <w:vAlign w:val="bottom"/>
            <w:shd w:val="clear" w:color="auto" w:fill="E5E6E7"/>
          </w:tcPr>
          <w:p>
            <w:pPr>
              <w:spacing w:after="0"/>
              <w:rPr>
                <w:sz w:val="18"/>
                <w:szCs w:val="18"/>
                <w:color w:val="auto"/>
              </w:rPr>
            </w:pPr>
          </w:p>
        </w:tc>
      </w:tr>
      <w:tr>
        <w:trPr>
          <w:trHeight w:val="254"/>
        </w:trPr>
        <w:tc>
          <w:tcPr>
            <w:tcW w:w="55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and diluted</w:t>
            </w:r>
          </w:p>
        </w:tc>
        <w:tc>
          <w:tcPr>
            <w:tcW w:w="100" w:type="dxa"/>
            <w:vAlign w:val="bottom"/>
            <w:shd w:val="clear" w:color="auto" w:fill="E5E6E7"/>
          </w:tcPr>
          <w:p>
            <w:pPr>
              <w:spacing w:after="0"/>
              <w:rPr>
                <w:sz w:val="22"/>
                <w:szCs w:val="22"/>
                <w:color w:val="auto"/>
              </w:rPr>
            </w:pPr>
          </w:p>
        </w:tc>
        <w:tc>
          <w:tcPr>
            <w:tcW w:w="2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(1.41)</w:t>
            </w:r>
          </w:p>
        </w:tc>
        <w:tc>
          <w:tcPr>
            <w:tcW w:w="240" w:type="dxa"/>
            <w:vAlign w:val="bottom"/>
            <w:shd w:val="clear" w:color="auto" w:fill="E5E6E7"/>
          </w:tcPr>
          <w:p>
            <w:pPr>
              <w:spacing w:after="0"/>
              <w:rPr>
                <w:sz w:val="22"/>
                <w:szCs w:val="22"/>
                <w:color w:val="auto"/>
              </w:rPr>
            </w:pPr>
          </w:p>
        </w:tc>
        <w:tc>
          <w:tcPr>
            <w:tcW w:w="220" w:type="dxa"/>
            <w:vAlign w:val="bottom"/>
            <w:tcBorders>
              <w:bottom w:val="single" w:sz="8" w:color="231F20"/>
            </w:tcBorders>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rPr>
              <w:t>$</w:t>
            </w:r>
          </w:p>
        </w:tc>
        <w:tc>
          <w:tcPr>
            <w:tcW w:w="8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(6.23)</w:t>
            </w:r>
          </w:p>
        </w:tc>
        <w:tc>
          <w:tcPr>
            <w:tcW w:w="260" w:type="dxa"/>
            <w:vAlign w:val="bottom"/>
            <w:shd w:val="clear" w:color="auto" w:fill="E5E6E7"/>
          </w:tcPr>
          <w:p>
            <w:pPr>
              <w:spacing w:after="0"/>
              <w:rPr>
                <w:sz w:val="22"/>
                <w:szCs w:val="22"/>
                <w:color w:val="auto"/>
              </w:rPr>
            </w:pPr>
          </w:p>
        </w:tc>
        <w:tc>
          <w:tcPr>
            <w:tcW w:w="1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(4.20)</w:t>
            </w:r>
          </w:p>
        </w:tc>
        <w:tc>
          <w:tcPr>
            <w:tcW w:w="100" w:type="dxa"/>
            <w:vAlign w:val="bottom"/>
            <w:shd w:val="clear" w:color="auto" w:fill="E5E6E7"/>
          </w:tcPr>
          <w:p>
            <w:pPr>
              <w:spacing w:after="0"/>
              <w:rPr>
                <w:sz w:val="22"/>
                <w:szCs w:val="22"/>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-1901825</wp:posOffset>
            </wp:positionV>
            <wp:extent cx="231965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4">
                      <a:extLst>
                        <a:ext uri="{28A0092B-C50C-407E-A947-70E740481C1C}"/>
                      </a:extLst>
                    </a:blip>
                    <a:srcRect/>
                    <a:stretch>
                      <a:fillRect/>
                    </a:stretch>
                  </pic:blipFill>
                  <pic:spPr bwMode="auto">
                    <a:xfrm>
                      <a:off x="0" y="0"/>
                      <a:ext cx="2319655" cy="38100"/>
                    </a:xfrm>
                    <a:prstGeom prst="rect">
                      <a:avLst/>
                    </a:prstGeom>
                    <a:noFill/>
                  </pic:spPr>
                </pic:pic>
              </a:graphicData>
            </a:graphic>
          </wp:anchor>
        </w:drawing>
      </w:r>
    </w:p>
    <w:p>
      <w:pPr>
        <w:sectPr>
          <w:pgSz w:w="11880" w:h="15480" w:orient="portrait"/>
          <w:cols w:equalWidth="0" w:num="1">
            <w:col w:w="10040"/>
          </w:cols>
          <w:pgMar w:left="900" w:top="73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174</w:t>
      </w:r>
    </w:p>
    <w:p>
      <w:pPr>
        <w:sectPr>
          <w:pgSz w:w="11880" w:h="15480" w:orient="portrait"/>
          <w:cols w:equalWidth="0" w:num="1">
            <w:col w:w="10040"/>
          </w:cols>
          <w:pgMar w:left="900" w:top="739" w:right="940" w:bottom="0" w:gutter="0" w:footer="0" w:header="0"/>
          <w:type w:val="continuous"/>
        </w:sectPr>
      </w:pPr>
    </w:p>
    <w:bookmarkStart w:id="182" w:name="page183"/>
    <w:bookmarkEnd w:id="182"/>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The following outstanding shares of common stock equivalents were excluded from the calculation of diluted net loss per share for each period, as the impact of including them would have been anti- dilutive. As disclosed in Note 9,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spacing w:after="0" w:line="247"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280" w:type="dxa"/>
            <w:vAlign w:val="bottom"/>
          </w:tcPr>
          <w:p>
            <w:pPr>
              <w:spacing w:after="0"/>
              <w:rPr>
                <w:sz w:val="17"/>
                <w:szCs w:val="17"/>
                <w:color w:val="auto"/>
              </w:rPr>
            </w:pP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8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7"/>
                <w:szCs w:val="17"/>
                <w:color w:val="auto"/>
              </w:rPr>
            </w:pPr>
          </w:p>
        </w:tc>
      </w:tr>
      <w:tr>
        <w:trPr>
          <w:trHeight w:val="239"/>
        </w:trPr>
        <w:tc>
          <w:tcPr>
            <w:tcW w:w="528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Stock options outstanding</w:t>
            </w:r>
          </w:p>
        </w:tc>
        <w:tc>
          <w:tcPr>
            <w:tcW w:w="11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tcBorders>
              <w:top w:val="single" w:sz="8" w:color="E5E6E7"/>
            </w:tcBorders>
            <w:shd w:val="clear" w:color="auto" w:fill="E5E6E7"/>
          </w:tcPr>
          <w:p>
            <w:pPr>
              <w:spacing w:after="0"/>
              <w:rPr>
                <w:sz w:val="20"/>
                <w:szCs w:val="20"/>
                <w:color w:val="auto"/>
              </w:rPr>
            </w:pPr>
          </w:p>
        </w:tc>
        <w:tc>
          <w:tcPr>
            <w:tcW w:w="114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80" w:type="dxa"/>
            <w:vAlign w:val="bottom"/>
            <w:tcBorders>
              <w:top w:val="single" w:sz="8" w:color="E5E6E7"/>
            </w:tcBorders>
            <w:shd w:val="clear" w:color="auto" w:fill="E5E6E7"/>
          </w:tcPr>
          <w:p>
            <w:pPr>
              <w:spacing w:after="0"/>
              <w:rPr>
                <w:sz w:val="20"/>
                <w:szCs w:val="20"/>
                <w:color w:val="auto"/>
              </w:rPr>
            </w:pPr>
          </w:p>
        </w:tc>
        <w:tc>
          <w:tcPr>
            <w:tcW w:w="11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210,000</w:t>
            </w:r>
          </w:p>
        </w:tc>
        <w:tc>
          <w:tcPr>
            <w:tcW w:w="60" w:type="dxa"/>
            <w:vAlign w:val="bottom"/>
            <w:tcBorders>
              <w:top w:val="single" w:sz="8" w:color="E5E6E7"/>
            </w:tcBorders>
            <w:shd w:val="clear" w:color="auto" w:fill="E5E6E7"/>
          </w:tcPr>
          <w:p>
            <w:pPr>
              <w:spacing w:after="0"/>
              <w:rPr>
                <w:sz w:val="20"/>
                <w:szCs w:val="20"/>
                <w:color w:val="auto"/>
              </w:rPr>
            </w:pPr>
          </w:p>
        </w:tc>
      </w:t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Convertible preferred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63,525,953</w:t>
            </w:r>
          </w:p>
        </w:tc>
        <w:tc>
          <w:tcPr>
            <w:tcW w:w="60" w:type="dxa"/>
            <w:vAlign w:val="bottom"/>
          </w:tcPr>
          <w:p>
            <w:pPr>
              <w:spacing w:after="0"/>
              <w:rPr>
                <w:sz w:val="21"/>
                <w:szCs w:val="21"/>
                <w:color w:val="auto"/>
              </w:rPr>
            </w:pPr>
          </w:p>
        </w:tc>
      </w:tr>
      <w:tr>
        <w:trPr>
          <w:trHeight w:val="244"/>
        </w:trPr>
        <w:tc>
          <w:tcPr>
            <w:tcW w:w="5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AstraZeneca warrant</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1420" w:type="dxa"/>
            <w:vAlign w:val="bottom"/>
            <w:gridSpan w:val="2"/>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414142"/>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1,744,991</w:t>
            </w:r>
          </w:p>
        </w:tc>
        <w:tc>
          <w:tcPr>
            <w:tcW w:w="60" w:type="dxa"/>
            <w:vAlign w:val="bottom"/>
            <w:shd w:val="clear" w:color="auto" w:fill="E5E6E7"/>
          </w:tcPr>
          <w:p>
            <w:pPr>
              <w:spacing w:after="0"/>
              <w:rPr>
                <w:sz w:val="21"/>
                <w:szCs w:val="21"/>
                <w:color w:val="auto"/>
              </w:rPr>
            </w:pPr>
          </w:p>
        </w:tc>
      </w:t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Mpirik holdback liability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8,724</w:t>
            </w:r>
          </w:p>
        </w:tc>
        <w:tc>
          <w:tcPr>
            <w:tcW w:w="60" w:type="dxa"/>
            <w:vAlign w:val="bottom"/>
          </w:tcPr>
          <w:p>
            <w:pPr>
              <w:spacing w:after="0"/>
              <w:rPr>
                <w:sz w:val="21"/>
                <w:szCs w:val="21"/>
                <w:color w:val="auto"/>
              </w:rPr>
            </w:pPr>
          </w:p>
        </w:tc>
      </w:tr>
      <w:tr>
        <w:trPr>
          <w:trHeight w:val="244"/>
        </w:trPr>
        <w:tc>
          <w:tcPr>
            <w:tcW w:w="5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Deep 6 holdback liability</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13,614</w:t>
            </w:r>
          </w:p>
        </w:tc>
        <w:tc>
          <w:tcPr>
            <w:tcW w:w="220" w:type="dxa"/>
            <w:vAlign w:val="bottom"/>
            <w:shd w:val="clear" w:color="auto" w:fill="E5E6E7"/>
          </w:tcPr>
          <w:p>
            <w:pPr>
              <w:spacing w:after="0"/>
              <w:rPr>
                <w:sz w:val="21"/>
                <w:szCs w:val="21"/>
                <w:color w:val="auto"/>
              </w:rPr>
            </w:pPr>
          </w:p>
        </w:tc>
        <w:tc>
          <w:tcPr>
            <w:tcW w:w="1420" w:type="dxa"/>
            <w:vAlign w:val="bottom"/>
            <w:gridSpan w:val="2"/>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414142"/>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SEngine holdback liability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41,436</w:t>
            </w:r>
          </w:p>
        </w:tc>
        <w:tc>
          <w:tcPr>
            <w:tcW w:w="60" w:type="dxa"/>
            <w:vAlign w:val="bottom"/>
          </w:tcPr>
          <w:p>
            <w:pPr>
              <w:spacing w:after="0"/>
              <w:rPr>
                <w:sz w:val="21"/>
                <w:szCs w:val="21"/>
                <w:color w:val="auto"/>
              </w:rPr>
            </w:pPr>
          </w:p>
        </w:tc>
      </w:tr>
      <w:tr>
        <w:trPr>
          <w:trHeight w:val="244"/>
        </w:trPr>
        <w:tc>
          <w:tcPr>
            <w:tcW w:w="5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Allen &amp; Company warrant</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20" w:type="dxa"/>
            <w:vAlign w:val="bottom"/>
            <w:shd w:val="clear" w:color="auto" w:fill="E5E6E7"/>
          </w:tcPr>
          <w:p>
            <w:pPr>
              <w:spacing w:after="0"/>
              <w:rPr>
                <w:sz w:val="21"/>
                <w:szCs w:val="21"/>
                <w:color w:val="auto"/>
              </w:rPr>
            </w:pPr>
          </w:p>
        </w:tc>
        <w:tc>
          <w:tcPr>
            <w:tcW w:w="1420" w:type="dxa"/>
            <w:vAlign w:val="bottom"/>
            <w:gridSpan w:val="2"/>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414142"/>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150,000</w:t>
            </w:r>
          </w:p>
        </w:tc>
        <w:tc>
          <w:tcPr>
            <w:tcW w:w="60" w:type="dxa"/>
            <w:vAlign w:val="bottom"/>
            <w:shd w:val="clear" w:color="auto" w:fill="E5E6E7"/>
          </w:tcPr>
          <w:p>
            <w:pPr>
              <w:spacing w:after="0"/>
              <w:rPr>
                <w:sz w:val="21"/>
                <w:szCs w:val="21"/>
                <w:color w:val="auto"/>
              </w:rPr>
            </w:pPr>
          </w:p>
        </w:tc>
      </w:t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Paige holdback liability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70,792</w:t>
            </w:r>
          </w:p>
        </w:tc>
        <w:tc>
          <w:tcPr>
            <w:tcW w:w="2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5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Unvested RSUs</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6,285,604</w:t>
            </w:r>
          </w:p>
        </w:tc>
        <w:tc>
          <w:tcPr>
            <w:tcW w:w="13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6,873,974</w:t>
            </w:r>
          </w:p>
        </w:tc>
        <w:tc>
          <w:tcPr>
            <w:tcW w:w="280" w:type="dxa"/>
            <w:vAlign w:val="bottom"/>
            <w:shd w:val="clear" w:color="auto" w:fill="E5E6E7"/>
          </w:tcPr>
          <w:p>
            <w:pPr>
              <w:spacing w:after="0"/>
              <w:rPr>
                <w:sz w:val="21"/>
                <w:szCs w:val="21"/>
                <w:color w:val="auto"/>
              </w:rPr>
            </w:pP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Unvested RSAs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17,373</w:t>
            </w:r>
          </w:p>
        </w:tc>
        <w:tc>
          <w:tcPr>
            <w:tcW w:w="2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52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Unvested PSUs</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2,569,600</w:t>
            </w:r>
          </w:p>
        </w:tc>
        <w:tc>
          <w:tcPr>
            <w:tcW w:w="220" w:type="dxa"/>
            <w:vAlign w:val="bottom"/>
            <w:shd w:val="clear" w:color="auto" w:fill="E5E6E7"/>
          </w:tcPr>
          <w:p>
            <w:pPr>
              <w:spacing w:after="0"/>
              <w:rPr>
                <w:sz w:val="21"/>
                <w:szCs w:val="21"/>
                <w:color w:val="auto"/>
              </w:rPr>
            </w:pPr>
          </w:p>
        </w:tc>
        <w:tc>
          <w:tcPr>
            <w:tcW w:w="1420" w:type="dxa"/>
            <w:vAlign w:val="bottom"/>
            <w:gridSpan w:val="2"/>
            <w:shd w:val="clear" w:color="auto" w:fill="E5E6E7"/>
          </w:tcPr>
          <w:p>
            <w:pPr>
              <w:jc w:val="right"/>
              <w:ind w:right="300"/>
              <w:spacing w:after="0"/>
              <w:rPr>
                <w:sz w:val="20"/>
                <w:szCs w:val="20"/>
                <w:color w:val="auto"/>
              </w:rPr>
            </w:pPr>
            <w:r>
              <w:rPr>
                <w:rFonts w:ascii="Times New Roman" w:cs="Times New Roman" w:eastAsia="Times New Roman" w:hAnsi="Times New Roman"/>
                <w:sz w:val="20"/>
                <w:szCs w:val="20"/>
                <w:color w:val="414142"/>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44"/>
        </w:trPr>
        <w:tc>
          <w:tcPr>
            <w:tcW w:w="528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Shares issuable upon conversion of Notes</w:t>
            </w:r>
            <w:r>
              <w:rPr>
                <w:rFonts w:ascii="Times New Roman" w:cs="Times New Roman" w:eastAsia="Times New Roman" w:hAnsi="Times New Roman"/>
                <w:sz w:val="26"/>
                <w:szCs w:val="26"/>
                <w:color w:val="231F20"/>
                <w:vertAlign w:val="superscript"/>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8,908,350</w:t>
            </w:r>
          </w:p>
        </w:tc>
        <w:tc>
          <w:tcPr>
            <w:tcW w:w="2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39"/>
        </w:trPr>
        <w:tc>
          <w:tcPr>
            <w:tcW w:w="528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potentially dilutive shares</w:t>
            </w:r>
          </w:p>
        </w:tc>
        <w:tc>
          <w:tcPr>
            <w:tcW w:w="11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17,865,333</w:t>
            </w:r>
          </w:p>
        </w:tc>
        <w:tc>
          <w:tcPr>
            <w:tcW w:w="220" w:type="dxa"/>
            <w:vAlign w:val="bottom"/>
            <w:tcBorders>
              <w:top w:val="single" w:sz="8" w:color="E5E6E7"/>
            </w:tcBorders>
            <w:shd w:val="clear" w:color="auto" w:fill="E5E6E7"/>
          </w:tcPr>
          <w:p>
            <w:pPr>
              <w:spacing w:after="0"/>
              <w:rPr>
                <w:sz w:val="20"/>
                <w:szCs w:val="20"/>
                <w:color w:val="auto"/>
              </w:rPr>
            </w:pPr>
          </w:p>
        </w:tc>
        <w:tc>
          <w:tcPr>
            <w:tcW w:w="114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6,873,974</w:t>
            </w:r>
          </w:p>
        </w:tc>
        <w:tc>
          <w:tcPr>
            <w:tcW w:w="280" w:type="dxa"/>
            <w:vAlign w:val="bottom"/>
            <w:tcBorders>
              <w:top w:val="single" w:sz="8" w:color="E5E6E7"/>
            </w:tcBorders>
            <w:shd w:val="clear" w:color="auto" w:fill="E5E6E7"/>
          </w:tcPr>
          <w:p>
            <w:pPr>
              <w:spacing w:after="0"/>
              <w:rPr>
                <w:sz w:val="20"/>
                <w:szCs w:val="20"/>
                <w:color w:val="auto"/>
              </w:rPr>
            </w:pPr>
          </w:p>
        </w:tc>
        <w:tc>
          <w:tcPr>
            <w:tcW w:w="11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65,681,104</w:t>
            </w:r>
          </w:p>
        </w:tc>
        <w:tc>
          <w:tcPr>
            <w:tcW w:w="60" w:type="dxa"/>
            <w:vAlign w:val="bottom"/>
            <w:tcBorders>
              <w:top w:val="single" w:sz="8" w:color="E5E6E7"/>
            </w:tcBorders>
            <w:shd w:val="clear" w:color="auto" w:fill="E5E6E7"/>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-2211070</wp:posOffset>
            </wp:positionV>
            <wp:extent cx="25406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5">
                      <a:extLst>
                        <a:ext uri="{28A0092B-C50C-407E-A947-70E740481C1C}"/>
                      </a:extLst>
                    </a:blip>
                    <a:srcRect/>
                    <a:stretch>
                      <a:fillRect/>
                    </a:stretch>
                  </pic:blipFill>
                  <pic:spPr bwMode="auto">
                    <a:xfrm>
                      <a:off x="0" y="0"/>
                      <a:ext cx="254063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3601085</wp:posOffset>
                </wp:positionH>
                <wp:positionV relativeFrom="paragraph">
                  <wp:posOffset>-2061845</wp:posOffset>
                </wp:positionV>
                <wp:extent cx="0" cy="952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55pt,-162.3499pt" to="283.55pt,-161.5999pt" o:allowincell="f" strokecolor="#414142" strokeweight="0pt"/>
            </w:pict>
          </mc:Fallback>
        </mc:AlternateContent>
        <w:drawing>
          <wp:anchor simplePos="0" relativeHeight="251657728" behindDoc="1" locked="0" layoutInCell="0" allowOverlap="1">
            <wp:simplePos x="0" y="0"/>
            <wp:positionH relativeFrom="column">
              <wp:posOffset>3582035</wp:posOffset>
            </wp:positionH>
            <wp:positionV relativeFrom="paragraph">
              <wp:posOffset>-2070735</wp:posOffset>
            </wp:positionV>
            <wp:extent cx="9525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6">
                      <a:extLst>
                        <a:ext uri="{28A0092B-C50C-407E-A947-70E740481C1C}"/>
                      </a:extLst>
                    </a:blip>
                    <a:srcRect/>
                    <a:stretch>
                      <a:fillRect/>
                    </a:stretch>
                  </pic:blipFill>
                  <pic:spPr bwMode="auto">
                    <a:xfrm>
                      <a:off x="0" y="0"/>
                      <a:ext cx="95250"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4469765</wp:posOffset>
                </wp:positionH>
                <wp:positionV relativeFrom="paragraph">
                  <wp:posOffset>-2061845</wp:posOffset>
                </wp:positionV>
                <wp:extent cx="0" cy="952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95pt,-162.3499pt" to="351.95pt,-161.5999pt" o:allowincell="f" strokecolor="#414142" strokeweight="0pt"/>
            </w:pict>
          </mc:Fallback>
        </mc:AlternateContent>
        <w:drawing>
          <wp:anchor simplePos="0" relativeHeight="251657728" behindDoc="1" locked="0" layoutInCell="0" allowOverlap="1">
            <wp:simplePos x="0" y="0"/>
            <wp:positionH relativeFrom="column">
              <wp:posOffset>4450715</wp:posOffset>
            </wp:positionH>
            <wp:positionV relativeFrom="paragraph">
              <wp:posOffset>-2070735</wp:posOffset>
            </wp:positionV>
            <wp:extent cx="9525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7">
                      <a:extLst>
                        <a:ext uri="{28A0092B-C50C-407E-A947-70E740481C1C}"/>
                      </a:extLst>
                    </a:blip>
                    <a:srcRect/>
                    <a:stretch>
                      <a:fillRect/>
                    </a:stretch>
                  </pic:blipFill>
                  <pic:spPr bwMode="auto">
                    <a:xfrm>
                      <a:off x="0" y="0"/>
                      <a:ext cx="95250" cy="38100"/>
                    </a:xfrm>
                    <a:prstGeom prst="rect">
                      <a:avLst/>
                    </a:prstGeom>
                    <a:noFill/>
                  </pic:spPr>
                </pic:pic>
              </a:graphicData>
            </a:graphic>
          </wp:anchor>
        </w:drawing>
      </w:r>
    </w:p>
    <w:p>
      <w:pPr>
        <w:spacing w:after="0" w:line="190" w:lineRule="exact"/>
        <w:rPr>
          <w:sz w:val="20"/>
          <w:szCs w:val="20"/>
          <w:color w:val="auto"/>
        </w:rPr>
      </w:pPr>
    </w:p>
    <w:p>
      <w:pPr>
        <w:ind w:left="440" w:right="100" w:hanging="8"/>
        <w:spacing w:after="0" w:line="232" w:lineRule="auto"/>
        <w:tabs>
          <w:tab w:leader="none" w:pos="642" w:val="left"/>
        </w:tabs>
        <w:numPr>
          <w:ilvl w:val="0"/>
          <w:numId w:val="79"/>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As disclosed in Note 12, the Company entered into the Capped Call in connection with the pricing of the Notes. The Capped Call is generally expected to reduce the potential dilution to the Company’s Class A common stock upon conversion of the Notes. As such, the impact of the Capped Calls was excluded from the calculation as the effect of the Capped Calls if issued upon conversion of the Notes, would have been anti-dilutive.</w:t>
      </w:r>
    </w:p>
    <w:p>
      <w:pPr>
        <w:spacing w:after="0" w:line="20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As disclosed in Note 11, the RSUs issued prior to the IPO include a liquidity event performance condition prior to vesting. As the liquidity event performance condition was satisfied upon completion of the IPO, as of December 31, 2025 and 2024 , these shares are included in potentially dilutive shares.</w:t>
      </w:r>
    </w:p>
    <w:p>
      <w:pPr>
        <w:spacing w:after="0" w:line="18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As disclosed in Note 12,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As disclosed in Note 10, the Company’s Series G-3 Preferred, Series G-4 Preferred and Series G-5 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 issuable shares. Subsequent to the completion of the IPO in June 2024, the additional shares of Class A common stock are included in the weighted-average common shares outstanding.</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175</w:t>
      </w:r>
    </w:p>
    <w:p>
      <w:pPr>
        <w:sectPr>
          <w:pgSz w:w="11880" w:h="15480" w:orient="portrait"/>
          <w:cols w:equalWidth="0" w:num="1">
            <w:col w:w="10080"/>
          </w:cols>
          <w:pgMar w:left="900" w:top="739" w:right="900" w:bottom="0" w:gutter="0" w:footer="0" w:header="0"/>
          <w:type w:val="continuous"/>
        </w:sectPr>
      </w:pPr>
    </w:p>
    <w:bookmarkStart w:id="183" w:name="page184"/>
    <w:bookmarkEnd w:id="183"/>
    <w:p>
      <w:pPr>
        <w:ind w:left="480" w:hanging="480"/>
        <w:spacing w:after="0"/>
        <w:tabs>
          <w:tab w:leader="none" w:pos="480" w:val="left"/>
        </w:tabs>
        <w:numPr>
          <w:ilvl w:val="0"/>
          <w:numId w:val="8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INCOME TAXES</w:t>
      </w:r>
    </w:p>
    <w:p>
      <w:pPr>
        <w:spacing w:after="0" w:line="124" w:lineRule="exact"/>
        <w:rPr>
          <w:rFonts w:ascii="Times New Roman" w:cs="Times New Roman" w:eastAsia="Times New Roman" w:hAnsi="Times New Roman"/>
          <w:sz w:val="20"/>
          <w:szCs w:val="20"/>
          <w:b w:val="1"/>
          <w:bCs w:val="1"/>
          <w:color w:val="231F20"/>
        </w:rPr>
      </w:pPr>
    </w:p>
    <w:p>
      <w:pPr>
        <w:ind w:left="48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Deferred income taxes consist of the following as of December 31, 2025 and 2024 (in thousands):</w:t>
      </w:r>
    </w:p>
    <w:p>
      <w:pPr>
        <w:spacing w:after="0" w:line="33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202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31F20"/>
              </w:rPr>
              <w:t>As of December 31,</w:t>
            </w:r>
          </w:p>
        </w:tc>
        <w:tc>
          <w:tcPr>
            <w:tcW w:w="100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r>
      <w:tr>
        <w:trPr>
          <w:trHeight w:val="239"/>
        </w:trPr>
        <w:tc>
          <w:tcPr>
            <w:tcW w:w="5080" w:type="dxa"/>
            <w:vAlign w:val="bottom"/>
            <w:tcBorders>
              <w:bottom w:val="single" w:sz="8" w:color="E5E6E7"/>
            </w:tcBorders>
          </w:tcPr>
          <w:p>
            <w:pPr>
              <w:spacing w:after="0"/>
              <w:rPr>
                <w:sz w:val="20"/>
                <w:szCs w:val="20"/>
                <w:color w:val="auto"/>
              </w:rPr>
            </w:pPr>
          </w:p>
        </w:tc>
        <w:tc>
          <w:tcPr>
            <w:tcW w:w="700" w:type="dxa"/>
            <w:vAlign w:val="bottom"/>
            <w:tcBorders>
              <w:bottom w:val="single" w:sz="8" w:color="E5E6E7"/>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E5E6E7"/>
            </w:tcBorders>
          </w:tcPr>
          <w:p>
            <w:pPr>
              <w:spacing w:after="0"/>
              <w:rPr>
                <w:sz w:val="20"/>
                <w:szCs w:val="20"/>
                <w:color w:val="auto"/>
              </w:rPr>
            </w:pPr>
          </w:p>
        </w:tc>
        <w:tc>
          <w:tcPr>
            <w:tcW w:w="60" w:type="dxa"/>
            <w:vAlign w:val="bottom"/>
            <w:tcBorders>
              <w:bottom w:val="single" w:sz="8" w:color="E5E6E7"/>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5E6E7"/>
            </w:tcBorders>
          </w:tcPr>
          <w:p>
            <w:pPr>
              <w:spacing w:after="0"/>
              <w:rPr>
                <w:sz w:val="20"/>
                <w:szCs w:val="20"/>
                <w:color w:val="auto"/>
              </w:rPr>
            </w:pPr>
          </w:p>
        </w:tc>
      </w:tr>
      <w:tr>
        <w:trPr>
          <w:trHeight w:val="239"/>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b w:val="1"/>
                <w:bCs w:val="1"/>
                <w:color w:val="414142"/>
              </w:rPr>
              <w:t>Deferred Income Tax Assets:</w:t>
            </w:r>
          </w:p>
        </w:tc>
        <w:tc>
          <w:tcPr>
            <w:tcW w:w="700" w:type="dxa"/>
            <w:vAlign w:val="bottom"/>
            <w:shd w:val="clear" w:color="auto" w:fill="E5E6E7"/>
          </w:tcPr>
          <w:p>
            <w:pPr>
              <w:spacing w:after="0"/>
              <w:rPr>
                <w:sz w:val="20"/>
                <w:szCs w:val="20"/>
                <w:color w:val="auto"/>
              </w:rPr>
            </w:pPr>
          </w:p>
        </w:tc>
        <w:tc>
          <w:tcPr>
            <w:tcW w:w="400" w:type="dxa"/>
            <w:vAlign w:val="bottom"/>
            <w:shd w:val="clear" w:color="auto" w:fill="E5E6E7"/>
          </w:tcPr>
          <w:p>
            <w:pPr>
              <w:spacing w:after="0"/>
              <w:rPr>
                <w:sz w:val="20"/>
                <w:szCs w:val="20"/>
                <w:color w:val="auto"/>
              </w:rPr>
            </w:pPr>
          </w:p>
        </w:tc>
        <w:tc>
          <w:tcPr>
            <w:tcW w:w="13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c>
          <w:tcPr>
            <w:tcW w:w="52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700" w:type="dxa"/>
            <w:vAlign w:val="bottom"/>
          </w:tcPr>
          <w:p>
            <w:pPr>
              <w:spacing w:after="0"/>
              <w:rPr>
                <w:sz w:val="21"/>
                <w:szCs w:val="21"/>
                <w:color w:val="auto"/>
              </w:rPr>
            </w:pP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402,347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308,669</w:t>
            </w:r>
          </w:p>
        </w:tc>
        <w:tc>
          <w:tcPr>
            <w:tcW w:w="80" w:type="dxa"/>
            <w:vAlign w:val="bottom"/>
          </w:tcPr>
          <w:p>
            <w:pPr>
              <w:spacing w:after="0"/>
              <w:rPr>
                <w:sz w:val="21"/>
                <w:szCs w:val="21"/>
                <w:color w:val="auto"/>
              </w:rPr>
            </w:pP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IRC §163(j) Interest Expense Limitation Carryover</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35,875</w:t>
            </w:r>
          </w:p>
        </w:tc>
        <w:tc>
          <w:tcPr>
            <w:tcW w:w="1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29,239</w:t>
            </w:r>
          </w:p>
        </w:tc>
        <w:tc>
          <w:tcPr>
            <w:tcW w:w="80" w:type="dxa"/>
            <w:vAlign w:val="bottom"/>
            <w:shd w:val="clear" w:color="auto" w:fill="E5E6E7"/>
          </w:tcPr>
          <w:p>
            <w:pPr>
              <w:spacing w:after="0"/>
              <w:rPr>
                <w:sz w:val="21"/>
                <w:szCs w:val="21"/>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Lease Liability</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22,629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7,997</w:t>
            </w:r>
          </w:p>
        </w:tc>
        <w:tc>
          <w:tcPr>
            <w:tcW w:w="80" w:type="dxa"/>
            <w:vAlign w:val="bottom"/>
          </w:tcPr>
          <w:p>
            <w:pPr>
              <w:spacing w:after="0"/>
              <w:rPr>
                <w:sz w:val="21"/>
                <w:szCs w:val="21"/>
                <w:color w:val="auto"/>
              </w:rPr>
            </w:pP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Research and Development</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210,273</w:t>
            </w:r>
          </w:p>
        </w:tc>
        <w:tc>
          <w:tcPr>
            <w:tcW w:w="1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118,649</w:t>
            </w:r>
          </w:p>
        </w:tc>
        <w:tc>
          <w:tcPr>
            <w:tcW w:w="80" w:type="dxa"/>
            <w:vAlign w:val="bottom"/>
            <w:shd w:val="clear" w:color="auto" w:fill="E5E6E7"/>
          </w:tcPr>
          <w:p>
            <w:pPr>
              <w:spacing w:after="0"/>
              <w:rPr>
                <w:sz w:val="21"/>
                <w:szCs w:val="21"/>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Excess of Tax Basis over Book Basis Fixed Assets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4,696</w:t>
            </w:r>
          </w:p>
        </w:tc>
        <w:tc>
          <w:tcPr>
            <w:tcW w:w="80" w:type="dxa"/>
            <w:vAlign w:val="bottom"/>
          </w:tcPr>
          <w:p>
            <w:pPr>
              <w:spacing w:after="0"/>
              <w:rPr>
                <w:sz w:val="21"/>
                <w:szCs w:val="21"/>
                <w:color w:val="auto"/>
              </w:rPr>
            </w:pP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Deferred Revenue</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8,858</w:t>
            </w:r>
          </w:p>
        </w:tc>
        <w:tc>
          <w:tcPr>
            <w:tcW w:w="1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19,708</w:t>
            </w:r>
          </w:p>
        </w:tc>
        <w:tc>
          <w:tcPr>
            <w:tcW w:w="80" w:type="dxa"/>
            <w:vAlign w:val="bottom"/>
            <w:shd w:val="clear" w:color="auto" w:fill="E5E6E7"/>
          </w:tcPr>
          <w:p>
            <w:pPr>
              <w:spacing w:after="0"/>
              <w:rPr>
                <w:sz w:val="21"/>
                <w:szCs w:val="21"/>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Revenue Reserve Liability</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2,812</w:t>
            </w:r>
          </w:p>
        </w:tc>
        <w:tc>
          <w:tcPr>
            <w:tcW w:w="80" w:type="dxa"/>
            <w:vAlign w:val="bottom"/>
          </w:tcPr>
          <w:p>
            <w:pPr>
              <w:spacing w:after="0"/>
              <w:rPr>
                <w:sz w:val="21"/>
                <w:szCs w:val="21"/>
                <w:color w:val="auto"/>
              </w:rPr>
            </w:pP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Stock Compensation</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27,273</w:t>
            </w:r>
          </w:p>
        </w:tc>
        <w:tc>
          <w:tcPr>
            <w:tcW w:w="1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26,441</w:t>
            </w:r>
          </w:p>
        </w:tc>
        <w:tc>
          <w:tcPr>
            <w:tcW w:w="80" w:type="dxa"/>
            <w:vAlign w:val="bottom"/>
            <w:shd w:val="clear" w:color="auto" w:fill="E5E6E7"/>
          </w:tcPr>
          <w:p>
            <w:pPr>
              <w:spacing w:after="0"/>
              <w:rPr>
                <w:sz w:val="21"/>
                <w:szCs w:val="21"/>
                <w:color w:val="auto"/>
              </w:rPr>
            </w:pPr>
          </w:p>
        </w:tc>
      </w:tr>
      <w:tr>
        <w:trPr>
          <w:trHeight w:val="244"/>
        </w:trPr>
        <w:tc>
          <w:tcPr>
            <w:tcW w:w="50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Other</w:t>
            </w:r>
          </w:p>
        </w:tc>
        <w:tc>
          <w:tcPr>
            <w:tcW w:w="700" w:type="dxa"/>
            <w:vAlign w:val="bottom"/>
            <w:tcBorders>
              <w:bottom w:val="single" w:sz="8" w:color="E5E6E7"/>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17,304</w:t>
            </w:r>
          </w:p>
        </w:tc>
        <w:tc>
          <w:tcPr>
            <w:tcW w:w="120" w:type="dxa"/>
            <w:vAlign w:val="bottom"/>
            <w:tcBorders>
              <w:bottom w:val="single" w:sz="8" w:color="E5E6E7"/>
            </w:tcBorders>
          </w:tcPr>
          <w:p>
            <w:pPr>
              <w:spacing w:after="0"/>
              <w:rPr>
                <w:sz w:val="21"/>
                <w:szCs w:val="21"/>
                <w:color w:val="auto"/>
              </w:rPr>
            </w:pPr>
          </w:p>
        </w:tc>
        <w:tc>
          <w:tcPr>
            <w:tcW w:w="60" w:type="dxa"/>
            <w:vAlign w:val="bottom"/>
            <w:tcBorders>
              <w:bottom w:val="single" w:sz="8" w:color="E5E6E7"/>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1,077</w:t>
            </w:r>
          </w:p>
        </w:tc>
        <w:tc>
          <w:tcPr>
            <w:tcW w:w="80" w:type="dxa"/>
            <w:vAlign w:val="bottom"/>
            <w:tcBorders>
              <w:bottom w:val="single" w:sz="8" w:color="E5E6E7"/>
            </w:tcBorders>
          </w:tcPr>
          <w:p>
            <w:pPr>
              <w:spacing w:after="0"/>
              <w:rPr>
                <w:sz w:val="21"/>
                <w:szCs w:val="21"/>
                <w:color w:val="auto"/>
              </w:rPr>
            </w:pPr>
          </w:p>
        </w:tc>
      </w:tr>
      <w:tr>
        <w:trPr>
          <w:trHeight w:val="239"/>
        </w:trPr>
        <w:tc>
          <w:tcPr>
            <w:tcW w:w="5080" w:type="dxa"/>
            <w:vAlign w:val="bottom"/>
            <w:shd w:val="clear" w:color="auto" w:fill="E5E6E7"/>
          </w:tcPr>
          <w:p>
            <w:pPr>
              <w:spacing w:after="0"/>
              <w:rPr>
                <w:sz w:val="20"/>
                <w:szCs w:val="20"/>
                <w:color w:val="auto"/>
              </w:rPr>
            </w:pPr>
          </w:p>
        </w:tc>
        <w:tc>
          <w:tcPr>
            <w:tcW w:w="700" w:type="dxa"/>
            <w:vAlign w:val="bottom"/>
            <w:shd w:val="clear" w:color="auto" w:fill="E5E6E7"/>
          </w:tcPr>
          <w:p>
            <w:pPr>
              <w:spacing w:after="0"/>
              <w:rPr>
                <w:sz w:val="20"/>
                <w:szCs w:val="20"/>
                <w:color w:val="auto"/>
              </w:rPr>
            </w:pPr>
          </w:p>
        </w:tc>
        <w:tc>
          <w:tcPr>
            <w:tcW w:w="400" w:type="dxa"/>
            <w:vAlign w:val="bottom"/>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w w:val="79"/>
              </w:rPr>
              <w:t>$</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727,301</w:t>
            </w:r>
          </w:p>
        </w:tc>
        <w:tc>
          <w:tcPr>
            <w:tcW w:w="12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c>
          <w:tcPr>
            <w:tcW w:w="520" w:type="dxa"/>
            <w:vAlign w:val="bottom"/>
            <w:shd w:val="clear" w:color="auto" w:fill="E5E6E7"/>
          </w:tcPr>
          <w:p>
            <w:pPr>
              <w:jc w:val="right"/>
              <w:ind w:right="32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519,288</w:t>
            </w:r>
          </w:p>
        </w:tc>
        <w:tc>
          <w:tcPr>
            <w:tcW w:w="80" w:type="dxa"/>
            <w:vAlign w:val="bottom"/>
            <w:shd w:val="clear" w:color="auto" w:fill="E5E6E7"/>
          </w:tcPr>
          <w:p>
            <w:pPr>
              <w:spacing w:after="0"/>
              <w:rPr>
                <w:sz w:val="20"/>
                <w:szCs w:val="20"/>
                <w:color w:val="auto"/>
              </w:rPr>
            </w:pPr>
          </w:p>
        </w:tc>
      </w:tr>
      <w:tr>
        <w:trPr>
          <w:trHeight w:val="244"/>
        </w:trPr>
        <w:tc>
          <w:tcPr>
            <w:tcW w:w="508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700" w:type="dxa"/>
            <w:vAlign w:val="bottom"/>
            <w:tcBorders>
              <w:bottom w:val="single" w:sz="8" w:color="E5E6E7"/>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(599,846)</w:t>
            </w:r>
          </w:p>
        </w:tc>
        <w:tc>
          <w:tcPr>
            <w:tcW w:w="120" w:type="dxa"/>
            <w:vAlign w:val="bottom"/>
            <w:tcBorders>
              <w:bottom w:val="single" w:sz="8" w:color="E5E6E7"/>
            </w:tcBorders>
          </w:tcPr>
          <w:p>
            <w:pPr>
              <w:spacing w:after="0"/>
              <w:rPr>
                <w:sz w:val="21"/>
                <w:szCs w:val="21"/>
                <w:color w:val="auto"/>
              </w:rPr>
            </w:pPr>
          </w:p>
        </w:tc>
        <w:tc>
          <w:tcPr>
            <w:tcW w:w="60" w:type="dxa"/>
            <w:vAlign w:val="bottom"/>
            <w:tcBorders>
              <w:bottom w:val="single" w:sz="8" w:color="E5E6E7"/>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(503,071)</w:t>
            </w:r>
          </w:p>
        </w:tc>
        <w:tc>
          <w:tcPr>
            <w:tcW w:w="80" w:type="dxa"/>
            <w:vAlign w:val="bottom"/>
            <w:tcBorders>
              <w:bottom w:val="single" w:sz="8" w:color="E5E6E7"/>
            </w:tcBorders>
          </w:tcPr>
          <w:p>
            <w:pPr>
              <w:spacing w:after="0"/>
              <w:rPr>
                <w:sz w:val="21"/>
                <w:szCs w:val="21"/>
                <w:color w:val="auto"/>
              </w:rPr>
            </w:pPr>
          </w:p>
        </w:tc>
      </w:tr>
      <w:tr>
        <w:trPr>
          <w:trHeight w:val="239"/>
        </w:trPr>
        <w:tc>
          <w:tcPr>
            <w:tcW w:w="5080" w:type="dxa"/>
            <w:vAlign w:val="bottom"/>
            <w:shd w:val="clear" w:color="auto" w:fill="E5E6E7"/>
          </w:tcPr>
          <w:p>
            <w:pPr>
              <w:spacing w:after="0"/>
              <w:rPr>
                <w:sz w:val="20"/>
                <w:szCs w:val="20"/>
                <w:color w:val="auto"/>
              </w:rPr>
            </w:pPr>
          </w:p>
        </w:tc>
        <w:tc>
          <w:tcPr>
            <w:tcW w:w="700" w:type="dxa"/>
            <w:vAlign w:val="bottom"/>
            <w:shd w:val="clear" w:color="auto" w:fill="E5E6E7"/>
          </w:tcPr>
          <w:p>
            <w:pPr>
              <w:spacing w:after="0"/>
              <w:rPr>
                <w:sz w:val="20"/>
                <w:szCs w:val="20"/>
                <w:color w:val="auto"/>
              </w:rPr>
            </w:pPr>
          </w:p>
        </w:tc>
        <w:tc>
          <w:tcPr>
            <w:tcW w:w="400" w:type="dxa"/>
            <w:vAlign w:val="bottom"/>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w w:val="79"/>
              </w:rPr>
              <w:t>$</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127,455</w:t>
            </w:r>
          </w:p>
        </w:tc>
        <w:tc>
          <w:tcPr>
            <w:tcW w:w="12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c>
          <w:tcPr>
            <w:tcW w:w="520" w:type="dxa"/>
            <w:vAlign w:val="bottom"/>
            <w:shd w:val="clear" w:color="auto" w:fill="E5E6E7"/>
          </w:tcPr>
          <w:p>
            <w:pPr>
              <w:jc w:val="right"/>
              <w:ind w:right="32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16,217</w:t>
            </w:r>
          </w:p>
        </w:tc>
        <w:tc>
          <w:tcPr>
            <w:tcW w:w="80" w:type="dxa"/>
            <w:vAlign w:val="bottom"/>
            <w:shd w:val="clear" w:color="auto" w:fill="E5E6E7"/>
          </w:tcPr>
          <w:p>
            <w:pPr>
              <w:spacing w:after="0"/>
              <w:rPr>
                <w:sz w:val="20"/>
                <w:szCs w:val="20"/>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Deferred Income Tax Liabilities: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Excess of book basis over tax basis fixed assets</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(720)</w:t>
            </w: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Unrealized Gain/Loss on Marketable Equity Securities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(22,725)</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(3,878)</w:t>
            </w: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Right of Use Asset</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(16,655)</w:t>
            </w: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(3,615)</w:t>
            </w: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Warrant Contract Asset</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(7,697)</w:t>
            </w:r>
          </w:p>
        </w:tc>
      </w:tr>
      <w:tr>
        <w:trPr>
          <w:trHeight w:val="244"/>
        </w:trPr>
        <w:tc>
          <w:tcPr>
            <w:tcW w:w="50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Intangible assets</w:t>
            </w:r>
          </w:p>
        </w:tc>
        <w:tc>
          <w:tcPr>
            <w:tcW w:w="70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44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(85,667)</w:t>
            </w:r>
          </w:p>
        </w:tc>
        <w:tc>
          <w:tcPr>
            <w:tcW w:w="60" w:type="dxa"/>
            <w:vAlign w:val="bottom"/>
            <w:shd w:val="clear" w:color="auto" w:fill="E5E6E7"/>
          </w:tcPr>
          <w:p>
            <w:pPr>
              <w:spacing w:after="0"/>
              <w:rPr>
                <w:sz w:val="21"/>
                <w:szCs w:val="21"/>
                <w:color w:val="auto"/>
              </w:rPr>
            </w:pPr>
          </w:p>
        </w:tc>
        <w:tc>
          <w:tcPr>
            <w:tcW w:w="520" w:type="dxa"/>
            <w:vAlign w:val="bottom"/>
            <w:shd w:val="clear" w:color="auto" w:fill="E5E6E7"/>
          </w:tcPr>
          <w:p>
            <w:pPr>
              <w:spacing w:after="0"/>
              <w:rPr>
                <w:sz w:val="21"/>
                <w:szCs w:val="21"/>
                <w:color w:val="auto"/>
              </w:rPr>
            </w:pPr>
          </w:p>
        </w:tc>
        <w:tc>
          <w:tcPr>
            <w:tcW w:w="108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(2,018)</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(1,261)</w:t>
            </w:r>
          </w:p>
        </w:tc>
      </w:tr>
      <w:tr>
        <w:trPr>
          <w:trHeight w:val="239"/>
        </w:trPr>
        <w:tc>
          <w:tcPr>
            <w:tcW w:w="5080" w:type="dxa"/>
            <w:vAlign w:val="bottom"/>
            <w:tcBorders>
              <w:top w:val="single" w:sz="8" w:color="E5E6E7"/>
            </w:tcBorders>
            <w:shd w:val="clear" w:color="auto" w:fill="E5E6E7"/>
          </w:tcPr>
          <w:p>
            <w:pPr>
              <w:spacing w:after="0"/>
              <w:rPr>
                <w:sz w:val="20"/>
                <w:szCs w:val="20"/>
                <w:color w:val="auto"/>
              </w:rPr>
            </w:pPr>
          </w:p>
        </w:tc>
        <w:tc>
          <w:tcPr>
            <w:tcW w:w="700" w:type="dxa"/>
            <w:vAlign w:val="bottom"/>
            <w:tcBorders>
              <w:top w:val="single" w:sz="8" w:color="E5E6E7"/>
            </w:tcBorders>
            <w:shd w:val="clear" w:color="auto" w:fill="E5E6E7"/>
          </w:tcPr>
          <w:p>
            <w:pPr>
              <w:spacing w:after="0"/>
              <w:rPr>
                <w:sz w:val="20"/>
                <w:szCs w:val="20"/>
                <w:color w:val="auto"/>
              </w:rPr>
            </w:pPr>
          </w:p>
        </w:tc>
        <w:tc>
          <w:tcPr>
            <w:tcW w:w="400" w:type="dxa"/>
            <w:vAlign w:val="bottom"/>
            <w:tcBorders>
              <w:top w:val="single" w:sz="8" w:color="231F20"/>
              <w:bottom w:val="single" w:sz="8" w:color="231F20"/>
            </w:tcBorders>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w w:val="79"/>
              </w:rPr>
              <w:t>$</w:t>
            </w:r>
          </w:p>
        </w:tc>
        <w:tc>
          <w:tcPr>
            <w:tcW w:w="132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(127,785)</w:t>
            </w:r>
          </w:p>
        </w:tc>
        <w:tc>
          <w:tcPr>
            <w:tcW w:w="120" w:type="dxa"/>
            <w:vAlign w:val="bottom"/>
            <w:tcBorders>
              <w:top w:val="single" w:sz="8" w:color="E5E6E7"/>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c>
          <w:tcPr>
            <w:tcW w:w="520" w:type="dxa"/>
            <w:vAlign w:val="bottom"/>
            <w:tcBorders>
              <w:top w:val="single" w:sz="8" w:color="231F20"/>
              <w:bottom w:val="single" w:sz="8" w:color="231F20"/>
            </w:tcBorders>
            <w:shd w:val="clear" w:color="auto" w:fill="E5E6E7"/>
          </w:tcPr>
          <w:p>
            <w:pPr>
              <w:jc w:val="right"/>
              <w:ind w:right="32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(16,451)</w:t>
            </w:r>
          </w:p>
        </w:tc>
        <w:tc>
          <w:tcPr>
            <w:tcW w:w="80" w:type="dxa"/>
            <w:vAlign w:val="bottom"/>
            <w:tcBorders>
              <w:top w:val="single" w:sz="8" w:color="E5E6E7"/>
            </w:tcBorders>
            <w:shd w:val="clear" w:color="auto" w:fill="E5E6E7"/>
          </w:tcPr>
          <w:p>
            <w:pPr>
              <w:spacing w:after="0"/>
              <w:rPr>
                <w:sz w:val="20"/>
                <w:szCs w:val="20"/>
                <w:color w:val="auto"/>
              </w:rPr>
            </w:pPr>
          </w:p>
        </w:tc>
      </w:tr>
      <w:tr>
        <w:trPr>
          <w:trHeight w:val="23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Net Deferred Income Tax Liability</w:t>
            </w:r>
          </w:p>
        </w:tc>
        <w:tc>
          <w:tcPr>
            <w:tcW w:w="700" w:type="dxa"/>
            <w:vAlign w:val="bottom"/>
          </w:tcPr>
          <w:p>
            <w:pPr>
              <w:spacing w:after="0"/>
              <w:rPr>
                <w:sz w:val="20"/>
                <w:szCs w:val="20"/>
                <w:color w:val="auto"/>
              </w:rPr>
            </w:pPr>
          </w:p>
        </w:tc>
        <w:tc>
          <w:tcPr>
            <w:tcW w:w="40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231F20"/>
            </w:tcBorders>
          </w:tcPr>
          <w:p>
            <w:pPr>
              <w:jc w:val="right"/>
              <w:ind w:right="32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(234)</w:t>
            </w:r>
          </w:p>
        </w:tc>
        <w:tc>
          <w:tcPr>
            <w:tcW w:w="8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provision for income taxes consists of the following for the years ended December 31, 2025, 2024 and 2023 (in thousands):</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900" w:type="dxa"/>
            <w:vAlign w:val="bottom"/>
            <w:tcBorders>
              <w:bottom w:val="single" w:sz="8" w:color="E5E6E7"/>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Borders>
              <w:bottom w:val="single" w:sz="8" w:color="E5E6E7"/>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E5E6E7"/>
            </w:tcBorders>
          </w:tcPr>
          <w:p>
            <w:pPr>
              <w:spacing w:after="0"/>
              <w:rPr>
                <w:sz w:val="21"/>
                <w:szCs w:val="21"/>
                <w:color w:val="auto"/>
              </w:rPr>
            </w:pPr>
          </w:p>
        </w:tc>
      </w:tr>
      <w:tr>
        <w:trPr>
          <w:trHeight w:val="239"/>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Current tax expense (benefit)</w:t>
            </w:r>
          </w:p>
        </w:tc>
        <w:tc>
          <w:tcPr>
            <w:tcW w:w="320" w:type="dxa"/>
            <w:vAlign w:val="bottom"/>
            <w:shd w:val="clear" w:color="auto" w:fill="E5E6E7"/>
          </w:tcPr>
          <w:p>
            <w:pPr>
              <w:spacing w:after="0"/>
              <w:rPr>
                <w:sz w:val="20"/>
                <w:szCs w:val="20"/>
                <w:color w:val="auto"/>
              </w:rPr>
            </w:pPr>
          </w:p>
        </w:tc>
        <w:tc>
          <w:tcPr>
            <w:tcW w:w="114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280" w:type="dxa"/>
            <w:vAlign w:val="bottom"/>
            <w:shd w:val="clear" w:color="auto" w:fill="E5E6E7"/>
          </w:tcPr>
          <w:p>
            <w:pPr>
              <w:spacing w:after="0"/>
              <w:rPr>
                <w:sz w:val="20"/>
                <w:szCs w:val="20"/>
                <w:color w:val="auto"/>
              </w:rPr>
            </w:pPr>
          </w:p>
        </w:tc>
        <w:tc>
          <w:tcPr>
            <w:tcW w:w="1000" w:type="dxa"/>
            <w:vAlign w:val="bottom"/>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96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r>
      <w:tr>
        <w:trPr>
          <w:trHeight w:val="244"/>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Federal</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49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State</w:t>
            </w:r>
          </w:p>
        </w:tc>
        <w:tc>
          <w:tcPr>
            <w:tcW w:w="320" w:type="dxa"/>
            <w:vAlign w:val="bottom"/>
            <w:shd w:val="clear" w:color="auto" w:fill="E5E6E7"/>
          </w:tcPr>
          <w:p>
            <w:pPr>
              <w:spacing w:after="0"/>
              <w:rPr>
                <w:sz w:val="21"/>
                <w:szCs w:val="21"/>
                <w:color w:val="auto"/>
              </w:rPr>
            </w:pP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395</w:t>
            </w:r>
          </w:p>
        </w:tc>
        <w:tc>
          <w:tcPr>
            <w:tcW w:w="18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(33)</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w:t>
            </w:r>
          </w:p>
        </w:tc>
        <w:tc>
          <w:tcPr>
            <w:tcW w:w="60" w:type="dxa"/>
            <w:vAlign w:val="bottom"/>
            <w:shd w:val="clear" w:color="auto" w:fill="E5E6E7"/>
          </w:tcPr>
          <w:p>
            <w:pPr>
              <w:spacing w:after="0"/>
              <w:rPr>
                <w:sz w:val="21"/>
                <w:szCs w:val="21"/>
                <w:color w:val="auto"/>
              </w:rPr>
            </w:pPr>
          </w:p>
        </w:tc>
      </w:tr>
      <w:tr>
        <w:trPr>
          <w:trHeight w:val="244"/>
        </w:trPr>
        <w:tc>
          <w:tcPr>
            <w:tcW w:w="490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Foreign</w:t>
            </w: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490</w:t>
            </w:r>
          </w:p>
        </w:tc>
        <w:tc>
          <w:tcPr>
            <w:tcW w:w="18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180" w:type="dxa"/>
            <w:vAlign w:val="bottom"/>
            <w:tcBorders>
              <w:bottom w:val="single" w:sz="8" w:color="E5E6E7"/>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152</w:t>
            </w:r>
          </w:p>
        </w:tc>
        <w:tc>
          <w:tcPr>
            <w:tcW w:w="60" w:type="dxa"/>
            <w:vAlign w:val="bottom"/>
            <w:tcBorders>
              <w:bottom w:val="single" w:sz="8" w:color="E5E6E7"/>
            </w:tcBorders>
          </w:tcPr>
          <w:p>
            <w:pPr>
              <w:spacing w:after="0"/>
              <w:rPr>
                <w:sz w:val="21"/>
                <w:szCs w:val="21"/>
                <w:color w:val="auto"/>
              </w:rPr>
            </w:pPr>
          </w:p>
        </w:tc>
      </w:tr>
      <w:tr>
        <w:trPr>
          <w:trHeight w:val="239"/>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w:t>
            </w: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885</w:t>
            </w:r>
          </w:p>
        </w:tc>
        <w:tc>
          <w:tcPr>
            <w:tcW w:w="180" w:type="dxa"/>
            <w:vAlign w:val="bottom"/>
            <w:shd w:val="clear" w:color="auto" w:fill="E5E6E7"/>
          </w:tcPr>
          <w:p>
            <w:pPr>
              <w:spacing w:after="0"/>
              <w:rPr>
                <w:sz w:val="20"/>
                <w:szCs w:val="20"/>
                <w:color w:val="auto"/>
              </w:rPr>
            </w:pPr>
          </w:p>
        </w:tc>
        <w:tc>
          <w:tcPr>
            <w:tcW w:w="280" w:type="dxa"/>
            <w:vAlign w:val="bottom"/>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155</w:t>
            </w:r>
          </w:p>
        </w:tc>
        <w:tc>
          <w:tcPr>
            <w:tcW w:w="180" w:type="dxa"/>
            <w:vAlign w:val="bottom"/>
            <w:shd w:val="clear" w:color="auto" w:fill="E5E6E7"/>
          </w:tcPr>
          <w:p>
            <w:pPr>
              <w:spacing w:after="0"/>
              <w:rPr>
                <w:sz w:val="20"/>
                <w:szCs w:val="20"/>
                <w:color w:val="auto"/>
              </w:rPr>
            </w:pPr>
          </w:p>
        </w:tc>
        <w:tc>
          <w:tcPr>
            <w:tcW w:w="260" w:type="dxa"/>
            <w:vAlign w:val="bottom"/>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79"/>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165</w:t>
            </w:r>
          </w:p>
        </w:tc>
        <w:tc>
          <w:tcPr>
            <w:tcW w:w="60" w:type="dxa"/>
            <w:vAlign w:val="bottom"/>
            <w:shd w:val="clear" w:color="auto" w:fill="E5E6E7"/>
          </w:tcPr>
          <w:p>
            <w:pPr>
              <w:spacing w:after="0"/>
              <w:rPr>
                <w:sz w:val="20"/>
                <w:szCs w:val="20"/>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(benefit) expense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9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Federal</w:t>
            </w:r>
          </w:p>
        </w:tc>
        <w:tc>
          <w:tcPr>
            <w:tcW w:w="320" w:type="dxa"/>
            <w:vAlign w:val="bottom"/>
            <w:shd w:val="clear" w:color="auto" w:fill="E5E6E7"/>
          </w:tcPr>
          <w:p>
            <w:pPr>
              <w:spacing w:after="0"/>
              <w:rPr>
                <w:sz w:val="21"/>
                <w:szCs w:val="21"/>
                <w:color w:val="auto"/>
              </w:rPr>
            </w:pPr>
          </w:p>
        </w:tc>
        <w:tc>
          <w:tcPr>
            <w:tcW w:w="132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(39,033)</w:t>
            </w: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93</w:t>
            </w:r>
          </w:p>
        </w:tc>
        <w:tc>
          <w:tcPr>
            <w:tcW w:w="18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108</w:t>
            </w:r>
          </w:p>
        </w:tc>
        <w:tc>
          <w:tcPr>
            <w:tcW w:w="60" w:type="dxa"/>
            <w:vAlign w:val="bottom"/>
            <w:shd w:val="clear" w:color="auto" w:fill="E5E6E7"/>
          </w:tcPr>
          <w:p>
            <w:pPr>
              <w:spacing w:after="0"/>
              <w:rPr>
                <w:sz w:val="21"/>
                <w:szCs w:val="21"/>
                <w:color w:val="auto"/>
              </w:rPr>
            </w:pPr>
          </w:p>
        </w:tc>
      </w:tr>
      <w:tr>
        <w:trPr>
          <w:trHeight w:val="244"/>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State</w:t>
            </w:r>
          </w:p>
        </w:tc>
        <w:tc>
          <w:tcPr>
            <w:tcW w:w="3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(13,536)</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1"/>
                <w:szCs w:val="21"/>
                <w:color w:val="auto"/>
              </w:rPr>
            </w:pPr>
          </w:p>
        </w:tc>
      </w:tr>
      <w:tr>
        <w:trPr>
          <w:trHeight w:val="244"/>
        </w:trPr>
        <w:tc>
          <w:tcPr>
            <w:tcW w:w="49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Foreign</w:t>
            </w:r>
          </w:p>
        </w:tc>
        <w:tc>
          <w:tcPr>
            <w:tcW w:w="320" w:type="dxa"/>
            <w:vAlign w:val="bottom"/>
            <w:shd w:val="clear" w:color="auto" w:fill="E5E6E7"/>
          </w:tcPr>
          <w:p>
            <w:pPr>
              <w:spacing w:after="0"/>
              <w:rPr>
                <w:sz w:val="21"/>
                <w:szCs w:val="21"/>
                <w:color w:val="auto"/>
              </w:rPr>
            </w:pPr>
          </w:p>
        </w:tc>
        <w:tc>
          <w:tcPr>
            <w:tcW w:w="132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rPr>
              <w:t>—</w:t>
            </w: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320" w:type="dxa"/>
            <w:vAlign w:val="bottom"/>
            <w:tcBorders>
              <w:top w:val="single" w:sz="8" w:color="231F20"/>
            </w:tcBorders>
          </w:tcPr>
          <w:p>
            <w:pPr>
              <w:spacing w:after="0"/>
              <w:rPr>
                <w:sz w:val="20"/>
                <w:szCs w:val="20"/>
                <w:color w:val="auto"/>
              </w:rPr>
            </w:pPr>
          </w:p>
        </w:tc>
        <w:tc>
          <w:tcPr>
            <w:tcW w:w="1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(52,569)</w:t>
            </w:r>
          </w:p>
        </w:tc>
        <w:tc>
          <w:tcPr>
            <w:tcW w:w="180" w:type="dxa"/>
            <w:vAlign w:val="bottom"/>
          </w:tcPr>
          <w:p>
            <w:pPr>
              <w:spacing w:after="0"/>
              <w:rPr>
                <w:sz w:val="20"/>
                <w:szCs w:val="20"/>
                <w:color w:val="auto"/>
              </w:rPr>
            </w:pPr>
          </w:p>
        </w:tc>
        <w:tc>
          <w:tcPr>
            <w:tcW w:w="280" w:type="dxa"/>
            <w:vAlign w:val="bottom"/>
            <w:tcBorders>
              <w:top w:val="single" w:sz="8" w:color="231F20"/>
            </w:tcBorders>
          </w:tcPr>
          <w:p>
            <w:pPr>
              <w:spacing w:after="0"/>
              <w:rPr>
                <w:sz w:val="20"/>
                <w:szCs w:val="20"/>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180" w:type="dxa"/>
            <w:vAlign w:val="bottom"/>
          </w:tcPr>
          <w:p>
            <w:pPr>
              <w:spacing w:after="0"/>
              <w:rPr>
                <w:sz w:val="20"/>
                <w:szCs w:val="20"/>
                <w:color w:val="auto"/>
              </w:rPr>
            </w:pPr>
          </w:p>
        </w:tc>
        <w:tc>
          <w:tcPr>
            <w:tcW w:w="260" w:type="dxa"/>
            <w:vAlign w:val="bottom"/>
            <w:tcBorders>
              <w:top w:val="single" w:sz="8" w:color="231F20"/>
            </w:tcBorders>
          </w:tcPr>
          <w:p>
            <w:pPr>
              <w:spacing w:after="0"/>
              <w:rPr>
                <w:sz w:val="20"/>
                <w:szCs w:val="20"/>
                <w:color w:val="auto"/>
              </w:rPr>
            </w:pP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w:t>
            </w:r>
          </w:p>
        </w:tc>
        <w:tc>
          <w:tcPr>
            <w:tcW w:w="60" w:type="dxa"/>
            <w:vAlign w:val="bottom"/>
          </w:tcPr>
          <w:p>
            <w:pPr>
              <w:spacing w:after="0"/>
              <w:rPr>
                <w:sz w:val="20"/>
                <w:szCs w:val="20"/>
                <w:color w:val="auto"/>
              </w:rPr>
            </w:pPr>
          </w:p>
        </w:tc>
      </w:tr>
      <w:tr>
        <w:trPr>
          <w:trHeight w:val="244"/>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tax (benefit) expense</w:t>
            </w:r>
          </w:p>
        </w:tc>
        <w:tc>
          <w:tcPr>
            <w:tcW w:w="320" w:type="dxa"/>
            <w:vAlign w:val="bottom"/>
            <w:shd w:val="clear" w:color="auto" w:fill="E5E6E7"/>
          </w:tcPr>
          <w:p>
            <w:pPr>
              <w:spacing w:after="0"/>
              <w:rPr>
                <w:sz w:val="21"/>
                <w:szCs w:val="21"/>
                <w:color w:val="auto"/>
              </w:rPr>
            </w:pPr>
          </w:p>
        </w:tc>
        <w:tc>
          <w:tcPr>
            <w:tcW w:w="114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280" w:type="dxa"/>
            <w:vAlign w:val="bottom"/>
            <w:shd w:val="clear" w:color="auto" w:fill="E5E6E7"/>
          </w:tcPr>
          <w:p>
            <w:pPr>
              <w:spacing w:after="0"/>
              <w:rPr>
                <w:sz w:val="21"/>
                <w:szCs w:val="21"/>
                <w:color w:val="auto"/>
              </w:rPr>
            </w:pPr>
          </w:p>
        </w:tc>
        <w:tc>
          <w:tcPr>
            <w:tcW w:w="100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44"/>
        </w:trPr>
        <w:tc>
          <w:tcPr>
            <w:tcW w:w="49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Federal</w:t>
            </w:r>
          </w:p>
        </w:tc>
        <w:tc>
          <w:tcPr>
            <w:tcW w:w="3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(39,033)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60" w:type="dxa"/>
            <w:vAlign w:val="bottom"/>
          </w:tcPr>
          <w:p>
            <w:pPr>
              <w:spacing w:after="0"/>
              <w:rPr>
                <w:sz w:val="21"/>
                <w:szCs w:val="21"/>
                <w:color w:val="auto"/>
              </w:rPr>
            </w:pPr>
          </w:p>
        </w:tc>
      </w:tr>
      <w:tr>
        <w:trPr>
          <w:trHeight w:val="244"/>
        </w:trPr>
        <w:tc>
          <w:tcPr>
            <w:tcW w:w="490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State</w:t>
            </w:r>
          </w:p>
        </w:tc>
        <w:tc>
          <w:tcPr>
            <w:tcW w:w="320" w:type="dxa"/>
            <w:vAlign w:val="bottom"/>
            <w:shd w:val="clear" w:color="auto" w:fill="E5E6E7"/>
          </w:tcPr>
          <w:p>
            <w:pPr>
              <w:spacing w:after="0"/>
              <w:rPr>
                <w:sz w:val="21"/>
                <w:szCs w:val="21"/>
                <w:color w:val="auto"/>
              </w:rPr>
            </w:pPr>
          </w:p>
        </w:tc>
        <w:tc>
          <w:tcPr>
            <w:tcW w:w="132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(13,141)</w:t>
            </w:r>
          </w:p>
        </w:tc>
        <w:tc>
          <w:tcPr>
            <w:tcW w:w="28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rPr>
              <w:t>(15)</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28</w:t>
            </w:r>
          </w:p>
        </w:tc>
        <w:tc>
          <w:tcPr>
            <w:tcW w:w="60" w:type="dxa"/>
            <w:vAlign w:val="bottom"/>
            <w:shd w:val="clear" w:color="auto" w:fill="E5E6E7"/>
          </w:tcPr>
          <w:p>
            <w:pPr>
              <w:spacing w:after="0"/>
              <w:rPr>
                <w:sz w:val="21"/>
                <w:szCs w:val="21"/>
                <w:color w:val="auto"/>
              </w:rPr>
            </w:pPr>
          </w:p>
        </w:tc>
      </w:tr>
      <w:tr>
        <w:trPr>
          <w:trHeight w:val="244"/>
        </w:trPr>
        <w:tc>
          <w:tcPr>
            <w:tcW w:w="4900" w:type="dxa"/>
            <w:vAlign w:val="bottom"/>
            <w:tcBorders>
              <w:bottom w:val="single" w:sz="8" w:color="E5E6E7"/>
            </w:tcBorders>
          </w:tcPr>
          <w:p>
            <w:pPr>
              <w:ind w:left="100"/>
              <w:spacing w:after="0"/>
              <w:rPr>
                <w:sz w:val="20"/>
                <w:szCs w:val="20"/>
                <w:color w:val="auto"/>
              </w:rPr>
            </w:pPr>
            <w:r>
              <w:rPr>
                <w:rFonts w:ascii="Times New Roman" w:cs="Times New Roman" w:eastAsia="Times New Roman" w:hAnsi="Times New Roman"/>
                <w:sz w:val="20"/>
                <w:szCs w:val="20"/>
                <w:color w:val="231F20"/>
              </w:rPr>
              <w:t>Foreign</w:t>
            </w: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490</w:t>
            </w:r>
          </w:p>
        </w:tc>
        <w:tc>
          <w:tcPr>
            <w:tcW w:w="18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180" w:type="dxa"/>
            <w:vAlign w:val="bottom"/>
            <w:tcBorders>
              <w:bottom w:val="single" w:sz="8" w:color="E5E6E7"/>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152</w:t>
            </w:r>
          </w:p>
        </w:tc>
        <w:tc>
          <w:tcPr>
            <w:tcW w:w="60" w:type="dxa"/>
            <w:vAlign w:val="bottom"/>
            <w:tcBorders>
              <w:bottom w:val="single" w:sz="8" w:color="E5E6E7"/>
            </w:tcBorders>
          </w:tcPr>
          <w:p>
            <w:pPr>
              <w:spacing w:after="0"/>
              <w:rPr>
                <w:sz w:val="21"/>
                <w:szCs w:val="21"/>
                <w:color w:val="auto"/>
              </w:rPr>
            </w:pPr>
          </w:p>
        </w:tc>
      </w:tr>
      <w:tr>
        <w:trPr>
          <w:trHeight w:val="239"/>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income tax (benefit) expense</w:t>
            </w:r>
          </w:p>
        </w:tc>
        <w:tc>
          <w:tcPr>
            <w:tcW w:w="320" w:type="dxa"/>
            <w:vAlign w:val="bottom"/>
            <w:tcBorders>
              <w:bottom w:val="single" w:sz="8" w:color="231F20"/>
            </w:tcBorders>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1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(51,684)</w:t>
            </w:r>
          </w:p>
        </w:tc>
        <w:tc>
          <w:tcPr>
            <w:tcW w:w="180" w:type="dxa"/>
            <w:vAlign w:val="bottom"/>
            <w:shd w:val="clear" w:color="auto" w:fill="E5E6E7"/>
          </w:tcPr>
          <w:p>
            <w:pPr>
              <w:spacing w:after="0"/>
              <w:rPr>
                <w:sz w:val="20"/>
                <w:szCs w:val="20"/>
                <w:color w:val="auto"/>
              </w:rPr>
            </w:pPr>
          </w:p>
        </w:tc>
        <w:tc>
          <w:tcPr>
            <w:tcW w:w="280" w:type="dxa"/>
            <w:vAlign w:val="bottom"/>
            <w:tcBorders>
              <w:bottom w:val="single" w:sz="8" w:color="231F20"/>
            </w:tcBorders>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266</w:t>
            </w:r>
          </w:p>
        </w:tc>
        <w:tc>
          <w:tcPr>
            <w:tcW w:w="180" w:type="dxa"/>
            <w:vAlign w:val="bottom"/>
            <w:shd w:val="clear" w:color="auto" w:fill="E5E6E7"/>
          </w:tcPr>
          <w:p>
            <w:pPr>
              <w:spacing w:after="0"/>
              <w:rPr>
                <w:sz w:val="20"/>
                <w:szCs w:val="20"/>
                <w:color w:val="auto"/>
              </w:rPr>
            </w:pPr>
          </w:p>
        </w:tc>
        <w:tc>
          <w:tcPr>
            <w:tcW w:w="260" w:type="dxa"/>
            <w:vAlign w:val="bottom"/>
            <w:tcBorders>
              <w:bottom w:val="single" w:sz="8" w:color="231F20"/>
            </w:tcBorders>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79"/>
              </w:rPr>
              <w:t>$</w:t>
            </w:r>
          </w:p>
        </w:tc>
        <w:tc>
          <w:tcPr>
            <w:tcW w:w="9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288</w:t>
            </w:r>
          </w:p>
        </w:tc>
        <w:tc>
          <w:tcPr>
            <w:tcW w:w="60" w:type="dxa"/>
            <w:vAlign w:val="bottom"/>
            <w:shd w:val="clear" w:color="auto" w:fill="E5E6E7"/>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-2568575</wp:posOffset>
            </wp:positionV>
            <wp:extent cx="277876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8">
                      <a:extLst>
                        <a:ext uri="{28A0092B-C50C-407E-A947-70E740481C1C}"/>
                      </a:extLst>
                    </a:blip>
                    <a:srcRect/>
                    <a:stretch>
                      <a:fillRect/>
                    </a:stretch>
                  </pic:blipFill>
                  <pic:spPr bwMode="auto">
                    <a:xfrm>
                      <a:off x="0" y="0"/>
                      <a:ext cx="2778760"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4403725</wp:posOffset>
                </wp:positionH>
                <wp:positionV relativeFrom="paragraph">
                  <wp:posOffset>-2390140</wp:posOffset>
                </wp:positionV>
                <wp:extent cx="0" cy="952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75pt,-188.1999pt" to="346.75pt,-187.4499pt" o:allowincell="f" strokecolor="#414142" strokeweight="0pt"/>
            </w:pict>
          </mc:Fallback>
        </mc:AlternateContent>
        <w:drawing>
          <wp:anchor simplePos="0" relativeHeight="251657728" behindDoc="1" locked="0" layoutInCell="0" allowOverlap="1">
            <wp:simplePos x="0" y="0"/>
            <wp:positionH relativeFrom="column">
              <wp:posOffset>4384675</wp:posOffset>
            </wp:positionH>
            <wp:positionV relativeFrom="paragraph">
              <wp:posOffset>-2399665</wp:posOffset>
            </wp:positionV>
            <wp:extent cx="11874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9">
                      <a:extLst>
                        <a:ext uri="{28A0092B-C50C-407E-A947-70E740481C1C}"/>
                      </a:extLst>
                    </a:blip>
                    <a:srcRect/>
                    <a:stretch>
                      <a:fillRect/>
                    </a:stretch>
                  </pic:blipFill>
                  <pic:spPr bwMode="auto">
                    <a:xfrm>
                      <a:off x="0" y="0"/>
                      <a:ext cx="11874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5330190</wp:posOffset>
                </wp:positionH>
                <wp:positionV relativeFrom="paragraph">
                  <wp:posOffset>-2390140</wp:posOffset>
                </wp:positionV>
                <wp:extent cx="0" cy="952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7pt,-188.1999pt" to="419.7pt,-187.4499pt" o:allowincell="f" strokecolor="#414142" strokeweight="0pt"/>
            </w:pict>
          </mc:Fallback>
        </mc:AlternateContent>
        <w:drawing>
          <wp:anchor simplePos="0" relativeHeight="251657728" behindDoc="1" locked="0" layoutInCell="0" allowOverlap="1">
            <wp:simplePos x="0" y="0"/>
            <wp:positionH relativeFrom="column">
              <wp:posOffset>5311140</wp:posOffset>
            </wp:positionH>
            <wp:positionV relativeFrom="paragraph">
              <wp:posOffset>-2399665</wp:posOffset>
            </wp:positionV>
            <wp:extent cx="11874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0">
                      <a:extLst>
                        <a:ext uri="{28A0092B-C50C-407E-A947-70E740481C1C}"/>
                      </a:extLst>
                    </a:blip>
                    <a:srcRect/>
                    <a:stretch>
                      <a:fillRect/>
                    </a:stretch>
                  </pic:blipFill>
                  <pic:spPr bwMode="auto">
                    <a:xfrm>
                      <a:off x="0" y="0"/>
                      <a:ext cx="118745" cy="38100"/>
                    </a:xfrm>
                    <a:prstGeom prst="rect">
                      <a:avLst/>
                    </a:prstGeom>
                    <a:noFill/>
                  </pic:spPr>
                </pic:pic>
              </a:graphicData>
            </a:graphic>
          </wp:anchor>
        </w:drawing>
      </w:r>
    </w:p>
    <w:p>
      <w:pPr>
        <w:sectPr>
          <w:pgSz w:w="11880" w:h="15480" w:orient="portrait"/>
          <w:cols w:equalWidth="0" w:num="1">
            <w:col w:w="9780"/>
          </w:cols>
          <w:pgMar w:left="900" w:top="735"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231F20"/>
        </w:rPr>
        <w:t>176</w:t>
      </w:r>
    </w:p>
    <w:p>
      <w:pPr>
        <w:sectPr>
          <w:pgSz w:w="11880" w:h="15480" w:orient="portrait"/>
          <w:cols w:equalWidth="0" w:num="1">
            <w:col w:w="9780"/>
          </w:cols>
          <w:pgMar w:left="900" w:top="735" w:right="1200" w:bottom="0" w:gutter="0" w:footer="0" w:header="0"/>
          <w:type w:val="continuous"/>
        </w:sectPr>
      </w:pPr>
    </w:p>
    <w:bookmarkStart w:id="184" w:name="page185"/>
    <w:bookmarkEnd w:id="184"/>
    <w:p>
      <w:pPr>
        <w:ind w:left="480"/>
        <w:spacing w:after="0"/>
        <w:rPr>
          <w:sz w:val="20"/>
          <w:szCs w:val="20"/>
          <w:color w:val="auto"/>
        </w:rPr>
      </w:pPr>
      <w:r>
        <w:rPr>
          <w:rFonts w:ascii="Times New Roman" w:cs="Times New Roman" w:eastAsia="Times New Roman" w:hAnsi="Times New Roman"/>
          <w:sz w:val="20"/>
          <w:szCs w:val="20"/>
          <w:color w:val="231F20"/>
        </w:rPr>
        <w:t>The components of income before income taxes as follows (in thousands):</w:t>
      </w:r>
    </w:p>
    <w:p>
      <w:pPr>
        <w:spacing w:after="0" w:line="290"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900" w:type="dxa"/>
            <w:vAlign w:val="bottom"/>
            <w:tcBorders>
              <w:bottom w:val="single" w:sz="8" w:color="E5E6E7"/>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Borders>
              <w:bottom w:val="single" w:sz="8" w:color="E5E6E7"/>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21"/>
                <w:szCs w:val="21"/>
                <w:color w:val="auto"/>
              </w:rPr>
            </w:pPr>
          </w:p>
        </w:tc>
      </w:tr>
      <w:tr>
        <w:trPr>
          <w:trHeight w:val="239"/>
        </w:trPr>
        <w:tc>
          <w:tcPr>
            <w:tcW w:w="49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Domestic</w:t>
            </w: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1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(290,382)</w:t>
            </w:r>
          </w:p>
        </w:tc>
        <w:tc>
          <w:tcPr>
            <w:tcW w:w="180" w:type="dxa"/>
            <w:vAlign w:val="bottom"/>
            <w:shd w:val="clear" w:color="auto" w:fill="E5E6E7"/>
          </w:tcPr>
          <w:p>
            <w:pPr>
              <w:spacing w:after="0"/>
              <w:rPr>
                <w:sz w:val="20"/>
                <w:szCs w:val="20"/>
                <w:color w:val="auto"/>
              </w:rPr>
            </w:pPr>
          </w:p>
        </w:tc>
        <w:tc>
          <w:tcPr>
            <w:tcW w:w="280" w:type="dxa"/>
            <w:vAlign w:val="bottom"/>
            <w:shd w:val="clear" w:color="auto" w:fill="E5E6E7"/>
          </w:tcPr>
          <w:p>
            <w:pPr>
              <w:jc w:val="right"/>
              <w:ind w:right="80"/>
              <w:spacing w:after="0"/>
              <w:rPr>
                <w:sz w:val="20"/>
                <w:szCs w:val="20"/>
                <w:color w:val="auto"/>
              </w:rPr>
            </w:pPr>
            <w:r>
              <w:rPr>
                <w:rFonts w:ascii="Times New Roman" w:cs="Times New Roman" w:eastAsia="Times New Roman" w:hAnsi="Times New Roman"/>
                <w:sz w:val="20"/>
                <w:szCs w:val="20"/>
                <w:color w:val="414142"/>
                <w:w w:val="79"/>
              </w:rPr>
              <w:t>$</w:t>
            </w:r>
          </w:p>
        </w:tc>
        <w:tc>
          <w:tcPr>
            <w:tcW w:w="9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(701,648)</w:t>
            </w:r>
          </w:p>
        </w:tc>
        <w:tc>
          <w:tcPr>
            <w:tcW w:w="180" w:type="dxa"/>
            <w:vAlign w:val="bottom"/>
            <w:shd w:val="clear" w:color="auto" w:fill="E5E6E7"/>
          </w:tcPr>
          <w:p>
            <w:pPr>
              <w:spacing w:after="0"/>
              <w:rPr>
                <w:sz w:val="20"/>
                <w:szCs w:val="20"/>
                <w:color w:val="auto"/>
              </w:rPr>
            </w:pPr>
          </w:p>
        </w:tc>
        <w:tc>
          <w:tcPr>
            <w:tcW w:w="280" w:type="dxa"/>
            <w:vAlign w:val="bottom"/>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99"/>
              </w:rPr>
              <w:t>$</w:t>
            </w:r>
          </w:p>
        </w:tc>
        <w:tc>
          <w:tcPr>
            <w:tcW w:w="9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(213,522)</w:t>
            </w:r>
          </w:p>
        </w:tc>
        <w:tc>
          <w:tcPr>
            <w:tcW w:w="80" w:type="dxa"/>
            <w:vAlign w:val="bottom"/>
            <w:shd w:val="clear" w:color="auto" w:fill="E5E6E7"/>
          </w:tcPr>
          <w:p>
            <w:pPr>
              <w:spacing w:after="0"/>
              <w:rPr>
                <w:sz w:val="20"/>
                <w:szCs w:val="20"/>
                <w:color w:val="auto"/>
              </w:rPr>
            </w:pPr>
          </w:p>
        </w:tc>
      </w:tr>
      <w:tr>
        <w:trPr>
          <w:trHeight w:val="266"/>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Foreign</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(718)</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339</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w:t>
            </w: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-511810</wp:posOffset>
            </wp:positionV>
            <wp:extent cx="276733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1">
                      <a:extLst>
                        <a:ext uri="{28A0092B-C50C-407E-A947-70E740481C1C}"/>
                      </a:extLst>
                    </a:blip>
                    <a:srcRect/>
                    <a:stretch>
                      <a:fillRect/>
                    </a:stretch>
                  </pic:blipFill>
                  <pic:spPr bwMode="auto">
                    <a:xfrm>
                      <a:off x="0" y="0"/>
                      <a:ext cx="2767330" cy="38100"/>
                    </a:xfrm>
                    <a:prstGeom prst="rect">
                      <a:avLst/>
                    </a:prstGeom>
                    <a:noFill/>
                  </pic:spPr>
                </pic:pic>
              </a:graphicData>
            </a:graphic>
          </wp:anchor>
        </w:drawing>
      </w:r>
    </w:p>
    <w:p>
      <w:pPr>
        <w:spacing w:after="0" w:line="168"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the difference between the federal statutory rate and the effective income tax rate as a percentage of income before taxes for the year ended December 31, 2025 was as follows:</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960" w:type="dxa"/>
            <w:vAlign w:val="bottom"/>
            <w:tcBorders>
              <w:bottom w:val="single" w:sz="8" w:color="231F20"/>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960" w:type="dxa"/>
            <w:vAlign w:val="bottom"/>
            <w:tcBorders>
              <w:bottom w:val="single" w:sz="8" w:color="231F20"/>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320" w:type="dxa"/>
            <w:vAlign w:val="bottom"/>
            <w:tcBorders>
              <w:bottom w:val="single" w:sz="8" w:color="E5E6E7"/>
            </w:tcBorders>
          </w:tcPr>
          <w:p>
            <w:pPr>
              <w:spacing w:after="0"/>
              <w:rPr>
                <w:sz w:val="20"/>
                <w:szCs w:val="20"/>
                <w:color w:val="auto"/>
              </w:rPr>
            </w:pPr>
          </w:p>
        </w:tc>
        <w:tc>
          <w:tcPr>
            <w:tcW w:w="420" w:type="dxa"/>
            <w:vAlign w:val="bottom"/>
            <w:tcBorders>
              <w:bottom w:val="single" w:sz="8" w:color="E5E6E7"/>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38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80" w:type="dxa"/>
            <w:vAlign w:val="bottom"/>
            <w:tcBorders>
              <w:bottom w:val="single" w:sz="8" w:color="E5E6E7"/>
            </w:tcBorders>
          </w:tcPr>
          <w:p>
            <w:pPr>
              <w:spacing w:after="0"/>
              <w:rPr>
                <w:sz w:val="20"/>
                <w:szCs w:val="20"/>
                <w:color w:val="auto"/>
              </w:rPr>
            </w:pPr>
          </w:p>
        </w:tc>
        <w:tc>
          <w:tcPr>
            <w:tcW w:w="40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6"/>
                <w:szCs w:val="16"/>
                <w:b w:val="1"/>
                <w:bCs w:val="1"/>
                <w:color w:val="231F20"/>
              </w:rPr>
              <w:t>Percent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Federal statutory</w:t>
            </w:r>
          </w:p>
        </w:tc>
        <w:tc>
          <w:tcPr>
            <w:tcW w:w="420" w:type="dxa"/>
            <w:vAlign w:val="bottom"/>
            <w:shd w:val="clear" w:color="auto" w:fill="E5E6E7"/>
          </w:tcPr>
          <w:p>
            <w:pPr>
              <w:spacing w:after="0"/>
              <w:rPr>
                <w:sz w:val="20"/>
                <w:szCs w:val="20"/>
                <w:color w:val="auto"/>
              </w:rPr>
            </w:pP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(61,131)</w:t>
            </w:r>
          </w:p>
        </w:tc>
        <w:tc>
          <w:tcPr>
            <w:tcW w:w="180" w:type="dxa"/>
            <w:vAlign w:val="bottom"/>
            <w:shd w:val="clear" w:color="auto" w:fill="E5E6E7"/>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14142"/>
              </w:rPr>
              <w:t>21.00%</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Nontaxable or nondeductible items</w:t>
            </w:r>
          </w:p>
        </w:tc>
        <w:tc>
          <w:tcPr>
            <w:tcW w:w="4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80" w:type="dxa"/>
            <w:vAlign w:val="bottom"/>
            <w:shd w:val="clear" w:color="auto" w:fill="E5E6E7"/>
          </w:tcPr>
          <w:p>
            <w:pPr>
              <w:spacing w:after="0"/>
              <w:rPr>
                <w:sz w:val="21"/>
                <w:szCs w:val="21"/>
                <w:color w:val="auto"/>
              </w:rPr>
            </w:pPr>
          </w:p>
        </w:tc>
        <w:tc>
          <w:tcPr>
            <w:tcW w:w="18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96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Stock compensation</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(67,177)</w:t>
            </w:r>
          </w:p>
        </w:tc>
        <w:tc>
          <w:tcPr>
            <w:tcW w:w="4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23.08%</w:t>
            </w:r>
          </w:p>
        </w:tc>
        <w:tc>
          <w:tcPr>
            <w:tcW w:w="0" w:type="dxa"/>
            <w:vAlign w:val="bottom"/>
          </w:tcPr>
          <w:p>
            <w:pPr>
              <w:spacing w:after="0"/>
              <w:rPr>
                <w:sz w:val="1"/>
                <w:szCs w:val="1"/>
                <w:color w:val="auto"/>
              </w:rPr>
            </w:pPr>
          </w:p>
        </w:tc>
      </w:tr>
      <w:tr>
        <w:trPr>
          <w:trHeight w:val="244"/>
        </w:trPr>
        <w:tc>
          <w:tcPr>
            <w:tcW w:w="53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Officer compensation</w:t>
            </w:r>
          </w:p>
        </w:tc>
        <w:tc>
          <w:tcPr>
            <w:tcW w:w="4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64,387</w:t>
            </w:r>
          </w:p>
        </w:tc>
        <w:tc>
          <w:tcPr>
            <w:tcW w:w="18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2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(22.12%)</w:t>
            </w:r>
          </w:p>
        </w:tc>
        <w:tc>
          <w:tcPr>
            <w:tcW w:w="0" w:type="dxa"/>
            <w:vAlign w:val="bottom"/>
          </w:tcPr>
          <w:p>
            <w:pPr>
              <w:spacing w:after="0"/>
              <w:rPr>
                <w:sz w:val="1"/>
                <w:szCs w:val="1"/>
                <w:color w:val="auto"/>
              </w:rPr>
            </w:pPr>
          </w:p>
        </w:tc>
      </w:tr>
      <w:tr>
        <w:trPr>
          <w:trHeight w:val="244"/>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Other nontaxable or nondeductible items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2,514</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(0.86%)</w:t>
            </w:r>
          </w:p>
        </w:tc>
        <w:tc>
          <w:tcPr>
            <w:tcW w:w="0" w:type="dxa"/>
            <w:vAlign w:val="bottom"/>
          </w:tcPr>
          <w:p>
            <w:pPr>
              <w:spacing w:after="0"/>
              <w:rPr>
                <w:sz w:val="1"/>
                <w:szCs w:val="1"/>
                <w:color w:val="auto"/>
              </w:rPr>
            </w:pPr>
          </w:p>
        </w:tc>
      </w:tr>
      <w:tr>
        <w:trPr>
          <w:trHeight w:val="244"/>
        </w:trPr>
        <w:tc>
          <w:tcPr>
            <w:tcW w:w="5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Changes in valuation allowances</w:t>
            </w:r>
          </w:p>
        </w:tc>
        <w:tc>
          <w:tcPr>
            <w:tcW w:w="4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21,331</w:t>
            </w:r>
          </w:p>
        </w:tc>
        <w:tc>
          <w:tcPr>
            <w:tcW w:w="18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2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(7.33%)</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978</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(0.33%)</w:t>
            </w:r>
          </w:p>
        </w:tc>
        <w:tc>
          <w:tcPr>
            <w:tcW w:w="0" w:type="dxa"/>
            <w:vAlign w:val="bottom"/>
          </w:tcPr>
          <w:p>
            <w:pPr>
              <w:spacing w:after="0"/>
              <w:rPr>
                <w:sz w:val="1"/>
                <w:szCs w:val="1"/>
                <w:color w:val="auto"/>
              </w:rPr>
            </w:pPr>
          </w:p>
        </w:tc>
      </w:tr>
      <w:tr>
        <w:trPr>
          <w:trHeight w:val="244"/>
        </w:trPr>
        <w:tc>
          <w:tcPr>
            <w:tcW w:w="53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State and local income taxes, net of federal income tax effect</w:t>
            </w:r>
          </w:p>
        </w:tc>
        <w:tc>
          <w:tcPr>
            <w:tcW w:w="4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560" w:type="dxa"/>
            <w:vAlign w:val="bottom"/>
            <w:gridSpan w:val="2"/>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rPr>
              <w:t>(15,900)</w:t>
            </w:r>
          </w:p>
        </w:tc>
        <w:tc>
          <w:tcPr>
            <w:tcW w:w="400" w:type="dxa"/>
            <w:vAlign w:val="bottom"/>
            <w:shd w:val="clear" w:color="auto" w:fill="E5E6E7"/>
          </w:tcPr>
          <w:p>
            <w:pPr>
              <w:spacing w:after="0"/>
              <w:rPr>
                <w:sz w:val="21"/>
                <w:szCs w:val="21"/>
                <w:color w:val="auto"/>
              </w:rPr>
            </w:pPr>
          </w:p>
        </w:tc>
        <w:tc>
          <w:tcPr>
            <w:tcW w:w="126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5.46%</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Foreign tax effects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Other foreign jurisdictions</w:t>
            </w:r>
          </w:p>
        </w:tc>
        <w:tc>
          <w:tcPr>
            <w:tcW w:w="420" w:type="dxa"/>
            <w:vAlign w:val="bottom"/>
            <w:shd w:val="clear" w:color="auto" w:fill="E5E6E7"/>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638</w:t>
            </w:r>
          </w:p>
        </w:tc>
        <w:tc>
          <w:tcPr>
            <w:tcW w:w="180" w:type="dxa"/>
            <w:vAlign w:val="bottom"/>
            <w:shd w:val="clear" w:color="auto" w:fill="E5E6E7"/>
          </w:tcPr>
          <w:p>
            <w:pPr>
              <w:spacing w:after="0"/>
              <w:rPr>
                <w:sz w:val="21"/>
                <w:szCs w:val="21"/>
                <w:color w:val="auto"/>
              </w:rPr>
            </w:pPr>
          </w:p>
        </w:tc>
        <w:tc>
          <w:tcPr>
            <w:tcW w:w="400" w:type="dxa"/>
            <w:vAlign w:val="bottom"/>
            <w:shd w:val="clear" w:color="auto" w:fill="E5E6E7"/>
          </w:tcPr>
          <w:p>
            <w:pPr>
              <w:spacing w:after="0"/>
              <w:rPr>
                <w:sz w:val="21"/>
                <w:szCs w:val="21"/>
                <w:color w:val="auto"/>
              </w:rPr>
            </w:pPr>
          </w:p>
        </w:tc>
        <w:tc>
          <w:tcPr>
            <w:tcW w:w="1260" w:type="dxa"/>
            <w:vAlign w:val="bottom"/>
            <w:gridSpan w:val="2"/>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rPr>
              <w:t>(0.22%)</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Worldwide changes in unrecognized tax benefits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2,676</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(0.92%)</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E5E6E7"/>
          </w:tcPr>
          <w:p>
            <w:pPr>
              <w:spacing w:after="0"/>
              <w:rPr>
                <w:sz w:val="20"/>
                <w:szCs w:val="20"/>
                <w:color w:val="auto"/>
              </w:rPr>
            </w:pPr>
            <w:r>
              <w:rPr>
                <w:rFonts w:ascii="Times New Roman" w:cs="Times New Roman" w:eastAsia="Times New Roman" w:hAnsi="Times New Roman"/>
                <w:sz w:val="20"/>
                <w:szCs w:val="20"/>
                <w:color w:val="414142"/>
              </w:rPr>
              <w:t>Effective tax rate</w:t>
            </w:r>
          </w:p>
        </w:tc>
        <w:tc>
          <w:tcPr>
            <w:tcW w:w="420" w:type="dxa"/>
            <w:vAlign w:val="bottom"/>
            <w:shd w:val="clear" w:color="auto" w:fill="E5E6E7"/>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380" w:type="dxa"/>
            <w:vAlign w:val="bottom"/>
            <w:shd w:val="clear" w:color="auto" w:fill="231F20"/>
          </w:tcPr>
          <w:p>
            <w:pPr>
              <w:spacing w:after="0" w:line="20" w:lineRule="exact"/>
              <w:rPr>
                <w:sz w:val="1"/>
                <w:szCs w:val="1"/>
                <w:color w:val="auto"/>
              </w:rPr>
            </w:pPr>
          </w:p>
        </w:tc>
        <w:tc>
          <w:tcPr>
            <w:tcW w:w="180" w:type="dxa"/>
            <w:vAlign w:val="bottom"/>
            <w:shd w:val="clear" w:color="auto" w:fill="E5E6E7"/>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20" w:type="dxa"/>
            <w:vAlign w:val="bottom"/>
            <w:vMerge w:val="continue"/>
            <w:shd w:val="clear" w:color="auto" w:fill="E5E6E7"/>
          </w:tcPr>
          <w:p>
            <w:pPr>
              <w:spacing w:after="0"/>
              <w:rPr>
                <w:sz w:val="20"/>
                <w:szCs w:val="20"/>
                <w:color w:val="auto"/>
              </w:rPr>
            </w:pPr>
          </w:p>
        </w:tc>
        <w:tc>
          <w:tcPr>
            <w:tcW w:w="420" w:type="dxa"/>
            <w:vAlign w:val="bottom"/>
            <w:shd w:val="clear" w:color="auto" w:fill="E5E6E7"/>
          </w:tcPr>
          <w:p>
            <w:pPr>
              <w:spacing w:after="0"/>
              <w:rPr>
                <w:sz w:val="20"/>
                <w:szCs w:val="20"/>
                <w:color w:val="auto"/>
              </w:rPr>
            </w:pP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3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(51,684)</w:t>
            </w:r>
          </w:p>
        </w:tc>
        <w:tc>
          <w:tcPr>
            <w:tcW w:w="180" w:type="dxa"/>
            <w:vAlign w:val="bottom"/>
            <w:shd w:val="clear" w:color="auto" w:fill="E5E6E7"/>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414142"/>
              </w:rPr>
              <w:t>17.76%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5097780</wp:posOffset>
                </wp:positionH>
                <wp:positionV relativeFrom="paragraph">
                  <wp:posOffset>-2023110</wp:posOffset>
                </wp:positionV>
                <wp:extent cx="858520" cy="15494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154940"/>
                        </a:xfrm>
                        <a:prstGeom prst="rect">
                          <a:avLst/>
                        </a:prstGeom>
                        <a:solidFill>
                          <a:srgbClr val="E5E6E7"/>
                        </a:solidFill>
                      </wps:spPr>
                      <wps:bodyPr/>
                    </wps:wsp>
                  </a:graphicData>
                </a:graphic>
              </wp:anchor>
            </w:drawing>
          </mc:Choice>
          <mc:Fallback>
            <w:pict>
              <v:rect id="Shape 129" o:spid="_x0000_s1154" style="position:absolute;margin-left:401.4pt;margin-top:-159.2999pt;width:67.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5956300</wp:posOffset>
                </wp:positionH>
                <wp:positionV relativeFrom="paragraph">
                  <wp:posOffset>-2032635</wp:posOffset>
                </wp:positionV>
                <wp:extent cx="188595" cy="16446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4465"/>
                        </a:xfrm>
                        <a:prstGeom prst="rect">
                          <a:avLst/>
                        </a:prstGeom>
                        <a:solidFill>
                          <a:srgbClr val="E5E6E7"/>
                        </a:solidFill>
                      </wps:spPr>
                      <wps:bodyPr/>
                    </wps:wsp>
                  </a:graphicData>
                </a:graphic>
              </wp:anchor>
            </w:drawing>
          </mc:Choice>
          <mc:Fallback>
            <w:pict>
              <v:rect id="Shape 130" o:spid="_x0000_s1155" style="position:absolute;margin-left:469pt;margin-top:-160.0499pt;width:1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5097780</wp:posOffset>
                </wp:positionH>
                <wp:positionV relativeFrom="paragraph">
                  <wp:posOffset>-154305</wp:posOffset>
                </wp:positionV>
                <wp:extent cx="858520" cy="15430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154305"/>
                        </a:xfrm>
                        <a:prstGeom prst="rect">
                          <a:avLst/>
                        </a:prstGeom>
                        <a:solidFill>
                          <a:srgbClr val="E5E6E7"/>
                        </a:solidFill>
                      </wps:spPr>
                      <wps:bodyPr/>
                    </wps:wsp>
                  </a:graphicData>
                </a:graphic>
              </wp:anchor>
            </w:drawing>
          </mc:Choice>
          <mc:Fallback>
            <w:pict>
              <v:rect id="Shape 131" o:spid="_x0000_s1156" style="position:absolute;margin-left:401.4pt;margin-top:-12.1499pt;width:67.6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5956300</wp:posOffset>
                </wp:positionH>
                <wp:positionV relativeFrom="paragraph">
                  <wp:posOffset>-163830</wp:posOffset>
                </wp:positionV>
                <wp:extent cx="188595" cy="16383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3830"/>
                        </a:xfrm>
                        <a:prstGeom prst="rect">
                          <a:avLst/>
                        </a:prstGeom>
                        <a:solidFill>
                          <a:srgbClr val="E5E6E7"/>
                        </a:solidFill>
                      </wps:spPr>
                      <wps:bodyPr/>
                    </wps:wsp>
                  </a:graphicData>
                </a:graphic>
              </wp:anchor>
            </w:drawing>
          </mc:Choice>
          <mc:Fallback>
            <w:pict>
              <v:rect id="Shape 132" o:spid="_x0000_s1157" style="position:absolute;margin-left:469pt;margin-top:-12.8999pt;width:14.8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270"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231F20"/>
        </w:rPr>
        <w:t>The states that contribute to the majority (greater than 50%) of the tax effect in this category include California, Illinois, Maryland, and Pennsylvania.</w:t>
      </w:r>
    </w:p>
    <w:p>
      <w:pPr>
        <w:spacing w:after="0" w:line="169"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the difference between the federal statutory rate and the effective income tax rate as a percentage of income before taxes for the years ended December 31, 2024 and 2023:</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3440" w:type="dxa"/>
            <w:vAlign w:val="bottom"/>
            <w:tcBorders>
              <w:bottom w:val="single" w:sz="8" w:color="231F20"/>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239"/>
        </w:trPr>
        <w:tc>
          <w:tcPr>
            <w:tcW w:w="5840" w:type="dxa"/>
            <w:vAlign w:val="bottom"/>
          </w:tcPr>
          <w:p>
            <w:pPr>
              <w:spacing w:after="0"/>
              <w:rPr>
                <w:sz w:val="20"/>
                <w:szCs w:val="20"/>
                <w:color w:val="auto"/>
              </w:rPr>
            </w:pPr>
          </w:p>
        </w:tc>
        <w:tc>
          <w:tcPr>
            <w:tcW w:w="1780" w:type="dxa"/>
            <w:vAlign w:val="bottom"/>
          </w:tcPr>
          <w:p>
            <w:pPr>
              <w:jc w:val="right"/>
              <w:ind w:right="6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2023</w:t>
            </w:r>
          </w:p>
        </w:tc>
      </w:tr>
      <w:tr>
        <w:trPr>
          <w:trHeight w:val="239"/>
        </w:trPr>
        <w:tc>
          <w:tcPr>
            <w:tcW w:w="58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Federal statutory tax rate</w:t>
            </w:r>
          </w:p>
        </w:tc>
        <w:tc>
          <w:tcPr>
            <w:tcW w:w="17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21.00%</w:t>
            </w:r>
          </w:p>
        </w:tc>
        <w:tc>
          <w:tcPr>
            <w:tcW w:w="100" w:type="dxa"/>
            <w:vAlign w:val="bottom"/>
            <w:tcBorders>
              <w:top w:val="single" w:sz="8" w:color="E5E6E7"/>
            </w:tcBorders>
            <w:shd w:val="clear" w:color="auto" w:fill="E5E6E7"/>
          </w:tcPr>
          <w:p>
            <w:pPr>
              <w:spacing w:after="0"/>
              <w:rPr>
                <w:sz w:val="20"/>
                <w:szCs w:val="20"/>
                <w:color w:val="auto"/>
              </w:rPr>
            </w:pPr>
          </w:p>
        </w:tc>
        <w:tc>
          <w:tcPr>
            <w:tcW w:w="156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21.00%</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231F20"/>
              </w:rPr>
              <w:t>State statutory tax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3.28%</w:t>
            </w:r>
          </w:p>
        </w:tc>
      </w:tr>
      <w:tr>
        <w:trPr>
          <w:trHeight w:val="244"/>
        </w:trPr>
        <w:tc>
          <w:tcPr>
            <w:tcW w:w="58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Foreign</w:t>
            </w:r>
          </w:p>
        </w:tc>
        <w:tc>
          <w:tcPr>
            <w:tcW w:w="1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0.00%</w:t>
            </w:r>
          </w:p>
        </w:tc>
        <w:tc>
          <w:tcPr>
            <w:tcW w:w="16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(0.09%)</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231F20"/>
              </w:rPr>
              <w:t>Stock compensation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0.00%</w:t>
            </w:r>
          </w:p>
        </w:tc>
      </w:tr>
      <w:tr>
        <w:trPr>
          <w:trHeight w:val="244"/>
        </w:trPr>
        <w:tc>
          <w:tcPr>
            <w:tcW w:w="58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Officer compensation</w:t>
            </w:r>
          </w:p>
        </w:tc>
        <w:tc>
          <w:tcPr>
            <w:tcW w:w="1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(1.46%)</w:t>
            </w:r>
          </w:p>
        </w:tc>
        <w:tc>
          <w:tcPr>
            <w:tcW w:w="16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0.00%</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231F20"/>
              </w:rPr>
              <w:t>Other permanent differences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0.47%</w:t>
            </w:r>
          </w:p>
        </w:tc>
      </w:tr>
      <w:tr>
        <w:trPr>
          <w:trHeight w:val="244"/>
        </w:trPr>
        <w:tc>
          <w:tcPr>
            <w:tcW w:w="58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Other</w:t>
            </w:r>
          </w:p>
        </w:tc>
        <w:tc>
          <w:tcPr>
            <w:tcW w:w="1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(0.02%)</w:t>
            </w:r>
          </w:p>
        </w:tc>
        <w:tc>
          <w:tcPr>
            <w:tcW w:w="1660" w:type="dxa"/>
            <w:vAlign w:val="bottom"/>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(0.06%)</w:t>
            </w:r>
          </w:p>
        </w:tc>
      </w:tr>
      <w:tr>
        <w:trPr>
          <w:trHeight w:val="244"/>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(24.74%)</w:t>
            </w:r>
          </w:p>
        </w:tc>
      </w:tr>
      <w:tr>
        <w:trPr>
          <w:trHeight w:val="239"/>
        </w:trPr>
        <w:tc>
          <w:tcPr>
            <w:tcW w:w="584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w:t>
            </w:r>
          </w:p>
        </w:tc>
        <w:tc>
          <w:tcPr>
            <w:tcW w:w="178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(0.04%)</w:t>
            </w:r>
          </w:p>
        </w:tc>
        <w:tc>
          <w:tcPr>
            <w:tcW w:w="100" w:type="dxa"/>
            <w:vAlign w:val="bottom"/>
            <w:tcBorders>
              <w:top w:val="single" w:sz="8" w:color="E5E6E7"/>
            </w:tcBorders>
            <w:shd w:val="clear" w:color="auto" w:fill="E5E6E7"/>
          </w:tcPr>
          <w:p>
            <w:pPr>
              <w:spacing w:after="0"/>
              <w:rPr>
                <w:sz w:val="20"/>
                <w:szCs w:val="20"/>
                <w:color w:val="auto"/>
              </w:rPr>
            </w:pPr>
          </w:p>
        </w:tc>
        <w:tc>
          <w:tcPr>
            <w:tcW w:w="1560" w:type="dxa"/>
            <w:vAlign w:val="bottom"/>
            <w:tcBorders>
              <w:top w:val="single" w:sz="8" w:color="231F20"/>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(0.14%)</w:t>
            </w:r>
          </w:p>
        </w:tc>
      </w:tr>
      <w:tr>
        <w:trPr>
          <w:trHeight w:val="20"/>
        </w:trPr>
        <w:tc>
          <w:tcPr>
            <w:tcW w:w="5840" w:type="dxa"/>
            <w:vAlign w:val="bottom"/>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231F20"/>
            </w:tcBorders>
          </w:tcPr>
          <w:p>
            <w:pPr>
              <w:spacing w:after="0" w:line="20" w:lineRule="exact"/>
              <w:rPr>
                <w:sz w:val="1"/>
                <w:szCs w:val="1"/>
                <w:color w:val="auto"/>
              </w:rPr>
            </w:pPr>
          </w:p>
        </w:tc>
      </w:tr>
    </w:tbl>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Net change in valuation allowance was as follows (in thousands):</w:t>
      </w:r>
    </w:p>
    <w:p>
      <w:pPr>
        <w:spacing w:after="0" w:line="336"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880" w:type="dxa"/>
            <w:vAlign w:val="bottom"/>
            <w:tcBorders>
              <w:bottom w:val="single" w:sz="8" w:color="E5E6E7"/>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5E6E7"/>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Borders>
              <w:bottom w:val="single" w:sz="8" w:color="E5E6E7"/>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E5E6E7"/>
            </w:tcBorders>
          </w:tcPr>
          <w:p>
            <w:pPr>
              <w:spacing w:after="0"/>
              <w:rPr>
                <w:sz w:val="21"/>
                <w:szCs w:val="21"/>
                <w:color w:val="auto"/>
              </w:rPr>
            </w:pPr>
          </w:p>
        </w:tc>
      </w:tr>
      <w:tr>
        <w:trPr>
          <w:trHeight w:val="239"/>
        </w:trPr>
        <w:tc>
          <w:tcPr>
            <w:tcW w:w="4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Valuation Allowance, beginning of year</w:t>
            </w:r>
          </w:p>
        </w:tc>
        <w:tc>
          <w:tcPr>
            <w:tcW w:w="34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503,071</w:t>
            </w:r>
          </w:p>
        </w:tc>
        <w:tc>
          <w:tcPr>
            <w:tcW w:w="180" w:type="dxa"/>
            <w:vAlign w:val="bottom"/>
            <w:shd w:val="clear" w:color="auto" w:fill="E5E6E7"/>
          </w:tcPr>
          <w:p>
            <w:pPr>
              <w:spacing w:after="0"/>
              <w:rPr>
                <w:sz w:val="20"/>
                <w:szCs w:val="20"/>
                <w:color w:val="auto"/>
              </w:rPr>
            </w:pP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297,294</w:t>
            </w:r>
          </w:p>
        </w:tc>
        <w:tc>
          <w:tcPr>
            <w:tcW w:w="180" w:type="dxa"/>
            <w:vAlign w:val="bottom"/>
            <w:shd w:val="clear" w:color="auto" w:fill="E5E6E7"/>
          </w:tcPr>
          <w:p>
            <w:pPr>
              <w:spacing w:after="0"/>
              <w:rPr>
                <w:sz w:val="20"/>
                <w:szCs w:val="20"/>
                <w:color w:val="auto"/>
              </w:rPr>
            </w:pPr>
          </w:p>
        </w:tc>
        <w:tc>
          <w:tcPr>
            <w:tcW w:w="260" w:type="dxa"/>
            <w:vAlign w:val="bottom"/>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79"/>
              </w:rPr>
              <w:t>$</w:t>
            </w: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244,064</w:t>
            </w:r>
          </w:p>
        </w:tc>
        <w:tc>
          <w:tcPr>
            <w:tcW w:w="60" w:type="dxa"/>
            <w:vAlign w:val="bottom"/>
            <w:shd w:val="clear" w:color="auto" w:fill="E5E6E7"/>
          </w:tcPr>
          <w:p>
            <w:pPr>
              <w:spacing w:after="0"/>
              <w:rPr>
                <w:sz w:val="20"/>
                <w:szCs w:val="20"/>
                <w:color w:val="auto"/>
              </w:rPr>
            </w:pPr>
          </w:p>
        </w:tc>
      </w:tr>
      <w:tr>
        <w:trPr>
          <w:trHeight w:val="24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Changes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10,764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205,777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52,878</w:t>
            </w:r>
          </w:p>
        </w:tc>
        <w:tc>
          <w:tcPr>
            <w:tcW w:w="60" w:type="dxa"/>
            <w:vAlign w:val="bottom"/>
          </w:tcPr>
          <w:p>
            <w:pPr>
              <w:spacing w:after="0"/>
              <w:rPr>
                <w:sz w:val="21"/>
                <w:szCs w:val="21"/>
                <w:color w:val="auto"/>
              </w:rPr>
            </w:pPr>
          </w:p>
        </w:tc>
      </w:tr>
      <w:tr>
        <w:trPr>
          <w:trHeight w:val="244"/>
        </w:trPr>
        <w:tc>
          <w:tcPr>
            <w:tcW w:w="4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Purchase accounting adjustments</w:t>
            </w:r>
          </w:p>
        </w:tc>
        <w:tc>
          <w:tcPr>
            <w:tcW w:w="340" w:type="dxa"/>
            <w:vAlign w:val="bottom"/>
            <w:shd w:val="clear" w:color="auto" w:fill="E5E6E7"/>
          </w:tcPr>
          <w:p>
            <w:pPr>
              <w:spacing w:after="0"/>
              <w:rPr>
                <w:sz w:val="21"/>
                <w:szCs w:val="21"/>
                <w:color w:val="auto"/>
              </w:rPr>
            </w:pP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86,011</w:t>
            </w:r>
          </w:p>
        </w:tc>
        <w:tc>
          <w:tcPr>
            <w:tcW w:w="1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jc w:val="right"/>
              <w:ind w:right="20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352</w:t>
            </w:r>
          </w:p>
        </w:tc>
        <w:tc>
          <w:tcPr>
            <w:tcW w:w="60" w:type="dxa"/>
            <w:vAlign w:val="bottom"/>
            <w:shd w:val="clear" w:color="auto" w:fill="E5E6E7"/>
          </w:tcPr>
          <w:p>
            <w:pPr>
              <w:spacing w:after="0"/>
              <w:rPr>
                <w:sz w:val="21"/>
                <w:szCs w:val="21"/>
                <w:color w:val="auto"/>
              </w:rPr>
            </w:pPr>
          </w:p>
        </w:tc>
      </w:tr>
      <w:tr>
        <w:trPr>
          <w:trHeight w:val="261"/>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Valuation Allowance, end of year</w:t>
            </w:r>
          </w:p>
        </w:tc>
        <w:tc>
          <w:tcPr>
            <w:tcW w:w="340" w:type="dxa"/>
            <w:vAlign w:val="bottom"/>
            <w:tcBorders>
              <w:top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599,846</w:t>
            </w:r>
          </w:p>
        </w:tc>
        <w:tc>
          <w:tcPr>
            <w:tcW w:w="180" w:type="dxa"/>
            <w:vAlign w:val="bottom"/>
          </w:tcPr>
          <w:p>
            <w:pPr>
              <w:spacing w:after="0"/>
              <w:rPr>
                <w:sz w:val="22"/>
                <w:szCs w:val="22"/>
                <w:color w:val="auto"/>
              </w:rPr>
            </w:pPr>
          </w:p>
        </w:tc>
        <w:tc>
          <w:tcPr>
            <w:tcW w:w="300" w:type="dxa"/>
            <w:vAlign w:val="bottom"/>
            <w:tcBorders>
              <w:top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503,071</w:t>
            </w:r>
          </w:p>
        </w:tc>
        <w:tc>
          <w:tcPr>
            <w:tcW w:w="180" w:type="dxa"/>
            <w:vAlign w:val="bottom"/>
          </w:tcPr>
          <w:p>
            <w:pPr>
              <w:spacing w:after="0"/>
              <w:rPr>
                <w:sz w:val="22"/>
                <w:szCs w:val="22"/>
                <w:color w:val="auto"/>
              </w:rPr>
            </w:pPr>
          </w:p>
        </w:tc>
        <w:tc>
          <w:tcPr>
            <w:tcW w:w="260" w:type="dxa"/>
            <w:vAlign w:val="bottom"/>
            <w:tcBorders>
              <w:top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297,294</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-831215</wp:posOffset>
            </wp:positionV>
            <wp:extent cx="278447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2">
                      <a:extLst>
                        <a:ext uri="{28A0092B-C50C-407E-A947-70E740481C1C}"/>
                      </a:extLst>
                    </a:blip>
                    <a:srcRect/>
                    <a:stretch>
                      <a:fillRect/>
                    </a:stretch>
                  </pic:blipFill>
                  <pic:spPr bwMode="auto">
                    <a:xfrm>
                      <a:off x="0" y="0"/>
                      <a:ext cx="2784475" cy="38100"/>
                    </a:xfrm>
                    <a:prstGeom prst="rect">
                      <a:avLst/>
                    </a:prstGeom>
                    <a:noFill/>
                  </pic:spPr>
                </pic:pic>
              </a:graphicData>
            </a:graphic>
          </wp:anchor>
        </w:drawing>
      </w:r>
    </w:p>
    <w:p>
      <w:pPr>
        <w:spacing w:after="0" w:line="168"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231F20"/>
        </w:rPr>
        <w:t>For the years ended December 31, 2025 and 2024, the Company recognized income tax benefit on stock-based compensation of $83.1 million and $46.2 million, respectively (tax-effected).</w:t>
      </w:r>
    </w:p>
    <w:p>
      <w:pPr>
        <w:sectPr>
          <w:pgSz w:w="11880" w:h="15480" w:orient="portrait"/>
          <w:cols w:equalWidth="0" w:num="1">
            <w:col w:w="10020"/>
          </w:cols>
          <w:pgMar w:left="900" w:top="739" w:right="960" w:bottom="0" w:gutter="0" w:footer="0" w:header="0"/>
        </w:sect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177</w:t>
      </w:r>
    </w:p>
    <w:p>
      <w:pPr>
        <w:sectPr>
          <w:pgSz w:w="11880" w:h="15480" w:orient="portrait"/>
          <w:cols w:equalWidth="0" w:num="1">
            <w:col w:w="10020"/>
          </w:cols>
          <w:pgMar w:left="900" w:top="739" w:right="960" w:bottom="0" w:gutter="0" w:footer="0" w:header="0"/>
          <w:type w:val="continuous"/>
        </w:sectPr>
      </w:pPr>
    </w:p>
    <w:bookmarkStart w:id="185" w:name="page186"/>
    <w:bookmarkEnd w:id="185"/>
    <w:p>
      <w:pPr>
        <w:ind w:right="460" w:firstLine="490"/>
        <w:spacing w:after="0" w:line="277" w:lineRule="auto"/>
        <w:rPr>
          <w:sz w:val="20"/>
          <w:szCs w:val="20"/>
          <w:color w:val="auto"/>
        </w:rPr>
      </w:pPr>
      <w:r>
        <w:rPr>
          <w:rFonts w:ascii="Times New Roman" w:cs="Times New Roman" w:eastAsia="Times New Roman" w:hAnsi="Times New Roman"/>
          <w:sz w:val="20"/>
          <w:szCs w:val="20"/>
          <w:color w:val="231F20"/>
        </w:rPr>
        <w:t>For the year ended December 31, 2025, cash paid for income taxes, net of refunds received, by jurisdiction was as follows:</w:t>
      </w:r>
    </w:p>
    <w:p>
      <w:pPr>
        <w:spacing w:after="0" w:line="339"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December 31, 2025</w:t>
            </w:r>
          </w:p>
        </w:tc>
      </w:tr>
      <w:tr>
        <w:trPr>
          <w:trHeight w:val="239"/>
        </w:trPr>
        <w:tc>
          <w:tcPr>
            <w:tcW w:w="462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U.S. federal</w:t>
            </w:r>
          </w:p>
        </w:tc>
        <w:tc>
          <w:tcPr>
            <w:tcW w:w="2460" w:type="dxa"/>
            <w:vAlign w:val="bottom"/>
            <w:tcBorders>
              <w:top w:val="single" w:sz="8" w:color="E5E6E7"/>
            </w:tcBorders>
            <w:shd w:val="clear" w:color="auto" w:fill="E5E6E7"/>
          </w:tcPr>
          <w:p>
            <w:pPr>
              <w:spacing w:after="0"/>
              <w:rPr>
                <w:sz w:val="20"/>
                <w:szCs w:val="20"/>
                <w:color w:val="auto"/>
              </w:rPr>
            </w:pPr>
          </w:p>
        </w:tc>
        <w:tc>
          <w:tcPr>
            <w:tcW w:w="240" w:type="dxa"/>
            <w:vAlign w:val="bottom"/>
            <w:tcBorders>
              <w:top w:val="single" w:sz="8" w:color="231F20"/>
            </w:tcBorders>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w w:val="79"/>
              </w:rPr>
              <w:t>$</w:t>
            </w:r>
          </w:p>
        </w:tc>
        <w:tc>
          <w:tcPr>
            <w:tcW w:w="188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(91)</w:t>
            </w:r>
          </w:p>
        </w:tc>
        <w:tc>
          <w:tcPr>
            <w:tcW w:w="80" w:type="dxa"/>
            <w:vAlign w:val="bottom"/>
            <w:tcBorders>
              <w:top w:val="single" w:sz="8" w:color="E5E6E7"/>
            </w:tcBorders>
            <w:shd w:val="clear" w:color="auto" w:fill="E5E6E7"/>
          </w:tcPr>
          <w:p>
            <w:pPr>
              <w:spacing w:after="0"/>
              <w:rPr>
                <w:sz w:val="20"/>
                <w:szCs w:val="20"/>
                <w:color w:val="auto"/>
              </w:rPr>
            </w:pP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U.S. state and local</w:t>
            </w: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6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Pennsylvania</w:t>
            </w:r>
          </w:p>
        </w:tc>
        <w:tc>
          <w:tcPr>
            <w:tcW w:w="246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77</w:t>
            </w:r>
          </w:p>
        </w:tc>
        <w:tc>
          <w:tcPr>
            <w:tcW w:w="80" w:type="dxa"/>
            <w:vAlign w:val="bottom"/>
            <w:shd w:val="clear" w:color="auto" w:fill="E5E6E7"/>
          </w:tcPr>
          <w:p>
            <w:pPr>
              <w:spacing w:after="0"/>
              <w:rPr>
                <w:sz w:val="21"/>
                <w:szCs w:val="21"/>
                <w:color w:val="auto"/>
              </w:rPr>
            </w:pPr>
          </w:p>
        </w:tc>
      </w:tr>
      <w:tr>
        <w:trPr>
          <w:trHeight w:val="244"/>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Washington</w:t>
            </w: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80" w:type="dxa"/>
            <w:vAlign w:val="bottom"/>
          </w:tcPr>
          <w:p>
            <w:pPr>
              <w:spacing w:after="0"/>
              <w:rPr>
                <w:sz w:val="21"/>
                <w:szCs w:val="21"/>
                <w:color w:val="auto"/>
              </w:rPr>
            </w:pPr>
          </w:p>
        </w:tc>
      </w:tr>
      <w:tr>
        <w:trPr>
          <w:trHeight w:val="244"/>
        </w:trPr>
        <w:tc>
          <w:tcPr>
            <w:tcW w:w="46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Other</w:t>
            </w:r>
          </w:p>
        </w:tc>
        <w:tc>
          <w:tcPr>
            <w:tcW w:w="246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47</w:t>
            </w:r>
          </w:p>
        </w:tc>
        <w:tc>
          <w:tcPr>
            <w:tcW w:w="80" w:type="dxa"/>
            <w:vAlign w:val="bottom"/>
            <w:shd w:val="clear" w:color="auto" w:fill="E5E6E7"/>
          </w:tcPr>
          <w:p>
            <w:pPr>
              <w:spacing w:after="0"/>
              <w:rPr>
                <w:sz w:val="21"/>
                <w:szCs w:val="21"/>
                <w:color w:val="auto"/>
              </w:rPr>
            </w:pP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Non-U.S.</w:t>
            </w: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6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France</w:t>
            </w:r>
          </w:p>
        </w:tc>
        <w:tc>
          <w:tcPr>
            <w:tcW w:w="2460" w:type="dxa"/>
            <w:vAlign w:val="bottom"/>
            <w:shd w:val="clear" w:color="auto" w:fill="E5E6E7"/>
          </w:tcPr>
          <w:p>
            <w:pPr>
              <w:spacing w:after="0"/>
              <w:rPr>
                <w:sz w:val="21"/>
                <w:szCs w:val="21"/>
                <w:color w:val="auto"/>
              </w:rPr>
            </w:pPr>
          </w:p>
        </w:tc>
        <w:tc>
          <w:tcPr>
            <w:tcW w:w="240" w:type="dxa"/>
            <w:vAlign w:val="bottom"/>
            <w:shd w:val="clear" w:color="auto" w:fill="E5E6E7"/>
          </w:tcPr>
          <w:p>
            <w:pPr>
              <w:spacing w:after="0"/>
              <w:rPr>
                <w:sz w:val="21"/>
                <w:szCs w:val="21"/>
                <w:color w:val="auto"/>
              </w:rPr>
            </w:pPr>
          </w:p>
        </w:tc>
        <w:tc>
          <w:tcPr>
            <w:tcW w:w="18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40</w:t>
            </w:r>
          </w:p>
        </w:tc>
        <w:tc>
          <w:tcPr>
            <w:tcW w:w="80" w:type="dxa"/>
            <w:vAlign w:val="bottom"/>
            <w:shd w:val="clear" w:color="auto" w:fill="E5E6E7"/>
          </w:tcPr>
          <w:p>
            <w:pPr>
              <w:spacing w:after="0"/>
              <w:rPr>
                <w:sz w:val="21"/>
                <w:szCs w:val="21"/>
                <w:color w:val="auto"/>
              </w:rPr>
            </w:pPr>
          </w:p>
        </w:tc>
      </w:tr>
      <w:tr>
        <w:trPr>
          <w:trHeight w:val="244"/>
        </w:trPr>
        <w:tc>
          <w:tcPr>
            <w:tcW w:w="46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Spain</w:t>
            </w: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w:t>
            </w:r>
          </w:p>
        </w:tc>
        <w:tc>
          <w:tcPr>
            <w:tcW w:w="80" w:type="dxa"/>
            <w:vAlign w:val="bottom"/>
          </w:tcPr>
          <w:p>
            <w:pPr>
              <w:spacing w:after="0"/>
              <w:rPr>
                <w:sz w:val="21"/>
                <w:szCs w:val="21"/>
                <w:color w:val="auto"/>
              </w:rPr>
            </w:pPr>
          </w:p>
        </w:tc>
      </w:tr>
      <w:tr>
        <w:trPr>
          <w:trHeight w:val="244"/>
        </w:trPr>
        <w:tc>
          <w:tcPr>
            <w:tcW w:w="462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Canada</w:t>
            </w:r>
          </w:p>
        </w:tc>
        <w:tc>
          <w:tcPr>
            <w:tcW w:w="2460" w:type="dxa"/>
            <w:vAlign w:val="bottom"/>
            <w:shd w:val="clear" w:color="auto" w:fill="E5E6E7"/>
          </w:tcPr>
          <w:p>
            <w:pPr>
              <w:spacing w:after="0"/>
              <w:rPr>
                <w:sz w:val="21"/>
                <w:szCs w:val="21"/>
                <w:color w:val="auto"/>
              </w:rPr>
            </w:pPr>
          </w:p>
        </w:tc>
        <w:tc>
          <w:tcPr>
            <w:tcW w:w="240" w:type="dxa"/>
            <w:vAlign w:val="bottom"/>
            <w:tcBorders>
              <w:bottom w:val="single" w:sz="8" w:color="231F20"/>
            </w:tcBorders>
            <w:shd w:val="clear" w:color="auto" w:fill="E5E6E7"/>
          </w:tcPr>
          <w:p>
            <w:pPr>
              <w:spacing w:after="0"/>
              <w:rPr>
                <w:sz w:val="21"/>
                <w:szCs w:val="21"/>
                <w:color w:val="auto"/>
              </w:rPr>
            </w:pPr>
          </w:p>
        </w:tc>
        <w:tc>
          <w:tcPr>
            <w:tcW w:w="18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297</w:t>
            </w:r>
          </w:p>
        </w:tc>
        <w:tc>
          <w:tcPr>
            <w:tcW w:w="80" w:type="dxa"/>
            <w:vAlign w:val="bottom"/>
            <w:shd w:val="clear" w:color="auto" w:fill="E5E6E7"/>
          </w:tcPr>
          <w:p>
            <w:pPr>
              <w:spacing w:after="0"/>
              <w:rPr>
                <w:sz w:val="21"/>
                <w:szCs w:val="21"/>
                <w:color w:val="auto"/>
              </w:rPr>
            </w:pP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Total worldwide taxes paid</w:t>
            </w:r>
          </w:p>
        </w:tc>
        <w:tc>
          <w:tcPr>
            <w:tcW w:w="2460" w:type="dxa"/>
            <w:vAlign w:val="bottom"/>
          </w:tcPr>
          <w:p>
            <w:pPr>
              <w:spacing w:after="0"/>
              <w:rPr>
                <w:sz w:val="20"/>
                <w:szCs w:val="20"/>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654</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Company’s income tax expense as recorded in the financial statements differs from the benefit computed by applying statutory tax rates to net loss before income taxes due to permanent differences related to the deductibility of certain expenses and the valuation allowance. Due to the acquisition of Ambry during the year ended December 31, 2025, the existing valuation allowance decreased for the establishment of the deferred tax liabilities. Current income tax expense for the years ended December 31, 2025, 2024 and 2023, related to state and foreign expense was not material.</w:t>
      </w:r>
    </w:p>
    <w:p>
      <w:pPr>
        <w:spacing w:after="0" w:line="19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the Company had federal net operating loss (“NOL”) carry forwards of $332.8 million (tax effected) and state NOL carry forwards of approximately $69.6 million (tax effected), which may be available to offset future taxable income. The federal NOLs will begin to expire in 2037 and the state NOLs will begin to expire in 2028.</w:t>
      </w:r>
    </w:p>
    <w:p>
      <w:pPr>
        <w:spacing w:after="0" w:line="188"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the Company had federal and state credit carry forwards of $11.6 million, which may be able to offset future tax expense. The credits will begin to expire in 2039. A full valuation allowance has been recorded against the NOL and credit carry forwards.</w:t>
      </w:r>
    </w:p>
    <w:p>
      <w:pPr>
        <w:spacing w:after="0" w:line="18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2025 and 2024,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213"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the Company's gross change in unrecognized tax benefits ("UTBs"), including accrued interest and penalties, for the years ended December 31, 2025, 2024 and 2023 was as follows:</w:t>
      </w:r>
    </w:p>
    <w:p>
      <w:pPr>
        <w:sectPr>
          <w:pgSz w:w="11880" w:h="15480" w:orient="portrait"/>
          <w:cols w:equalWidth="0" w:num="1">
            <w:col w:w="10080"/>
          </w:cols>
          <w:pgMar w:left="900" w:top="73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178</w:t>
      </w:r>
    </w:p>
    <w:p>
      <w:pPr>
        <w:sectPr>
          <w:pgSz w:w="11880" w:h="15480" w:orient="portrait"/>
          <w:cols w:equalWidth="0" w:num="1">
            <w:col w:w="10080"/>
          </w:cols>
          <w:pgMar w:left="900" w:top="739" w:right="900" w:bottom="0" w:gutter="0" w:footer="0" w:header="0"/>
          <w:type w:val="continuous"/>
        </w:sectPr>
      </w:pPr>
    </w:p>
    <w:bookmarkStart w:id="186" w:name="page187"/>
    <w:bookmarkEnd w:id="186"/>
    <w:tbl>
      <w:tblPr>
        <w:tblLayout w:type="fixed"/>
        <w:tblInd w:w="40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880" w:type="dxa"/>
            <w:vAlign w:val="bottom"/>
            <w:tcBorders>
              <w:bottom w:val="single" w:sz="8" w:color="E5E6E7"/>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520" w:type="dxa"/>
            <w:vAlign w:val="bottom"/>
            <w:tcBorders>
              <w:bottom w:val="single" w:sz="8" w:color="231F20"/>
            </w:tcBorders>
          </w:tcPr>
          <w:p>
            <w:pPr>
              <w:spacing w:after="0"/>
              <w:rPr>
                <w:sz w:val="21"/>
                <w:szCs w:val="21"/>
                <w:color w:val="auto"/>
              </w:rPr>
            </w:pPr>
          </w:p>
        </w:tc>
        <w:tc>
          <w:tcPr>
            <w:tcW w:w="180" w:type="dxa"/>
            <w:vAlign w:val="bottom"/>
            <w:tcBorders>
              <w:bottom w:val="single" w:sz="8" w:color="E5E6E7"/>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80" w:type="dxa"/>
            <w:vAlign w:val="bottom"/>
            <w:tcBorders>
              <w:bottom w:val="single" w:sz="8" w:color="E5E6E7"/>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E5E6E7"/>
            </w:tcBorders>
          </w:tcPr>
          <w:p>
            <w:pPr>
              <w:spacing w:after="0"/>
              <w:rPr>
                <w:sz w:val="21"/>
                <w:szCs w:val="21"/>
                <w:color w:val="auto"/>
              </w:rPr>
            </w:pPr>
          </w:p>
        </w:tc>
      </w:tr>
      <w:tr>
        <w:trPr>
          <w:trHeight w:val="239"/>
        </w:trPr>
        <w:tc>
          <w:tcPr>
            <w:tcW w:w="4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Unrecognized tax benefits—beginning of year</w:t>
            </w:r>
          </w:p>
        </w:tc>
        <w:tc>
          <w:tcPr>
            <w:tcW w:w="940" w:type="dxa"/>
            <w:vAlign w:val="bottom"/>
            <w:shd w:val="clear" w:color="auto" w:fill="E5E6E7"/>
          </w:tcPr>
          <w:p>
            <w:pPr>
              <w:jc w:val="right"/>
              <w:ind w:right="745"/>
              <w:spacing w:after="0"/>
              <w:rPr>
                <w:sz w:val="20"/>
                <w:szCs w:val="20"/>
                <w:color w:val="auto"/>
              </w:rPr>
            </w:pPr>
            <w:r>
              <w:rPr>
                <w:rFonts w:ascii="Times New Roman" w:cs="Times New Roman" w:eastAsia="Times New Roman" w:hAnsi="Times New Roman"/>
                <w:sz w:val="20"/>
                <w:szCs w:val="20"/>
                <w:color w:val="414142"/>
                <w:w w:val="79"/>
              </w:rPr>
              <w:t>$</w:t>
            </w: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80" w:type="dxa"/>
            <w:vAlign w:val="bottom"/>
            <w:shd w:val="clear" w:color="auto" w:fill="E5E6E7"/>
          </w:tcPr>
          <w:p>
            <w:pPr>
              <w:spacing w:after="0"/>
              <w:rPr>
                <w:sz w:val="20"/>
                <w:szCs w:val="20"/>
                <w:color w:val="auto"/>
              </w:rPr>
            </w:pPr>
          </w:p>
        </w:tc>
        <w:tc>
          <w:tcPr>
            <w:tcW w:w="300" w:type="dxa"/>
            <w:vAlign w:val="bottom"/>
            <w:shd w:val="clear" w:color="auto" w:fill="E5E6E7"/>
          </w:tcPr>
          <w:p>
            <w:pPr>
              <w:jc w:val="right"/>
              <w:ind w:right="100"/>
              <w:spacing w:after="0"/>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5E6E7"/>
          </w:tcPr>
          <w:p>
            <w:pPr>
              <w:ind w:left="780"/>
              <w:spacing w:after="0"/>
              <w:rPr>
                <w:sz w:val="20"/>
                <w:szCs w:val="20"/>
                <w:color w:val="auto"/>
              </w:rPr>
            </w:pPr>
            <w:r>
              <w:rPr>
                <w:rFonts w:ascii="Times New Roman" w:cs="Times New Roman" w:eastAsia="Times New Roman" w:hAnsi="Times New Roman"/>
                <w:sz w:val="20"/>
                <w:szCs w:val="20"/>
                <w:color w:val="414142"/>
                <w:w w:val="99"/>
              </w:rPr>
              <w:t>—</w:t>
            </w:r>
          </w:p>
        </w:tc>
        <w:tc>
          <w:tcPr>
            <w:tcW w:w="180" w:type="dxa"/>
            <w:vAlign w:val="bottom"/>
            <w:shd w:val="clear" w:color="auto" w:fill="E5E6E7"/>
          </w:tcPr>
          <w:p>
            <w:pPr>
              <w:spacing w:after="0"/>
              <w:rPr>
                <w:sz w:val="20"/>
                <w:szCs w:val="20"/>
                <w:color w:val="auto"/>
              </w:rPr>
            </w:pPr>
          </w:p>
        </w:tc>
        <w:tc>
          <w:tcPr>
            <w:tcW w:w="260" w:type="dxa"/>
            <w:vAlign w:val="bottom"/>
            <w:shd w:val="clear" w:color="auto" w:fill="E5E6E7"/>
          </w:tcPr>
          <w:p>
            <w:pPr>
              <w:jc w:val="right"/>
              <w:ind w:right="60"/>
              <w:spacing w:after="0"/>
              <w:rPr>
                <w:sz w:val="20"/>
                <w:szCs w:val="20"/>
                <w:color w:val="auto"/>
              </w:rPr>
            </w:pPr>
            <w:r>
              <w:rPr>
                <w:rFonts w:ascii="Times New Roman" w:cs="Times New Roman" w:eastAsia="Times New Roman" w:hAnsi="Times New Roman"/>
                <w:sz w:val="20"/>
                <w:szCs w:val="20"/>
                <w:color w:val="414142"/>
                <w:w w:val="79"/>
              </w:rPr>
              <w:t>$</w:t>
            </w:r>
          </w:p>
        </w:tc>
        <w:tc>
          <w:tcPr>
            <w:tcW w:w="960" w:type="dxa"/>
            <w:vAlign w:val="bottom"/>
            <w:shd w:val="clear" w:color="auto" w:fill="E5E6E7"/>
          </w:tcPr>
          <w:p>
            <w:pPr>
              <w:ind w:left="740"/>
              <w:spacing w:after="0"/>
              <w:rPr>
                <w:sz w:val="20"/>
                <w:szCs w:val="20"/>
                <w:color w:val="auto"/>
              </w:rPr>
            </w:pPr>
            <w:r>
              <w:rPr>
                <w:rFonts w:ascii="Times New Roman" w:cs="Times New Roman" w:eastAsia="Times New Roman" w:hAnsi="Times New Roman"/>
                <w:sz w:val="20"/>
                <w:szCs w:val="20"/>
                <w:color w:val="414142"/>
                <w:w w:val="99"/>
              </w:rPr>
              <w:t>—</w:t>
            </w:r>
          </w:p>
        </w:tc>
        <w:tc>
          <w:tcPr>
            <w:tcW w:w="60" w:type="dxa"/>
            <w:vAlign w:val="bottom"/>
            <w:shd w:val="clear" w:color="auto" w:fill="E5E6E7"/>
          </w:tcPr>
          <w:p>
            <w:pPr>
              <w:spacing w:after="0"/>
              <w:rPr>
                <w:sz w:val="20"/>
                <w:szCs w:val="20"/>
                <w:color w:val="auto"/>
              </w:rPr>
            </w:pPr>
          </w:p>
        </w:tc>
      </w:tr>
      <w:tr>
        <w:trPr>
          <w:trHeight w:val="244"/>
        </w:trPr>
        <w:tc>
          <w:tcPr>
            <w:tcW w:w="48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Gross additions—current year tax positions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1"/>
                <w:szCs w:val="21"/>
                <w:color w:val="auto"/>
              </w:rPr>
            </w:pPr>
          </w:p>
        </w:tc>
      </w:tr>
      <w:tr>
        <w:trPr>
          <w:trHeight w:val="244"/>
        </w:trPr>
        <w:tc>
          <w:tcPr>
            <w:tcW w:w="48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Gross additions—prior year tax positions</w:t>
            </w:r>
          </w:p>
        </w:tc>
        <w:tc>
          <w:tcPr>
            <w:tcW w:w="940" w:type="dxa"/>
            <w:vAlign w:val="bottom"/>
            <w:shd w:val="clear" w:color="auto" w:fill="E5E6E7"/>
          </w:tcPr>
          <w:p>
            <w:pPr>
              <w:spacing w:after="0"/>
              <w:rPr>
                <w:sz w:val="21"/>
                <w:szCs w:val="21"/>
                <w:color w:val="auto"/>
              </w:rPr>
            </w:pP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2,676</w:t>
            </w:r>
          </w:p>
        </w:tc>
        <w:tc>
          <w:tcPr>
            <w:tcW w:w="1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ind w:left="78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ind w:left="740"/>
              <w:spacing w:after="0"/>
              <w:rPr>
                <w:sz w:val="20"/>
                <w:szCs w:val="20"/>
                <w:color w:val="auto"/>
              </w:rPr>
            </w:pPr>
            <w:r>
              <w:rPr>
                <w:rFonts w:ascii="Times New Roman" w:cs="Times New Roman" w:eastAsia="Times New Roman" w:hAnsi="Times New Roman"/>
                <w:sz w:val="20"/>
                <w:szCs w:val="20"/>
                <w:color w:val="414142"/>
                <w:w w:val="99"/>
              </w:rPr>
              <w:t>—</w:t>
            </w:r>
          </w:p>
        </w:tc>
        <w:tc>
          <w:tcPr>
            <w:tcW w:w="60" w:type="dxa"/>
            <w:vAlign w:val="bottom"/>
            <w:shd w:val="clear" w:color="auto" w:fill="E5E6E7"/>
          </w:tcPr>
          <w:p>
            <w:pPr>
              <w:spacing w:after="0"/>
              <w:rPr>
                <w:sz w:val="21"/>
                <w:szCs w:val="21"/>
                <w:color w:val="auto"/>
              </w:rPr>
            </w:pPr>
          </w:p>
        </w:tc>
      </w:tr>
      <w:tr>
        <w:trPr>
          <w:trHeight w:val="244"/>
        </w:trPr>
        <w:tc>
          <w:tcPr>
            <w:tcW w:w="48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Gross additions—acquired in business combinations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8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Gross reductions—prior year tax positions</w:t>
            </w:r>
          </w:p>
        </w:tc>
        <w:tc>
          <w:tcPr>
            <w:tcW w:w="940" w:type="dxa"/>
            <w:vAlign w:val="bottom"/>
            <w:shd w:val="clear" w:color="auto" w:fill="E5E6E7"/>
          </w:tcPr>
          <w:p>
            <w:pPr>
              <w:spacing w:after="0"/>
              <w:rPr>
                <w:sz w:val="21"/>
                <w:szCs w:val="21"/>
                <w:color w:val="auto"/>
              </w:rPr>
            </w:pP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ind w:left="78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ind w:left="740"/>
              <w:spacing w:after="0"/>
              <w:rPr>
                <w:sz w:val="20"/>
                <w:szCs w:val="20"/>
                <w:color w:val="auto"/>
              </w:rPr>
            </w:pPr>
            <w:r>
              <w:rPr>
                <w:rFonts w:ascii="Times New Roman" w:cs="Times New Roman" w:eastAsia="Times New Roman" w:hAnsi="Times New Roman"/>
                <w:sz w:val="20"/>
                <w:szCs w:val="20"/>
                <w:color w:val="414142"/>
                <w:w w:val="99"/>
              </w:rPr>
              <w:t>—</w:t>
            </w:r>
          </w:p>
        </w:tc>
        <w:tc>
          <w:tcPr>
            <w:tcW w:w="60" w:type="dxa"/>
            <w:vAlign w:val="bottom"/>
            <w:shd w:val="clear" w:color="auto" w:fill="E5E6E7"/>
          </w:tcPr>
          <w:p>
            <w:pPr>
              <w:spacing w:after="0"/>
              <w:rPr>
                <w:sz w:val="21"/>
                <w:szCs w:val="21"/>
                <w:color w:val="auto"/>
              </w:rPr>
            </w:pPr>
          </w:p>
        </w:tc>
      </w:tr>
      <w:tr>
        <w:trPr>
          <w:trHeight w:val="244"/>
        </w:trPr>
        <w:tc>
          <w:tcPr>
            <w:tcW w:w="48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Gross reductions—settlements with taxing authorities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1"/>
                <w:szCs w:val="21"/>
                <w:color w:val="auto"/>
              </w:rPr>
            </w:pPr>
          </w:p>
        </w:tc>
      </w:tr>
      <w:tr>
        <w:trPr>
          <w:trHeight w:val="244"/>
        </w:trPr>
        <w:tc>
          <w:tcPr>
            <w:tcW w:w="488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Gross reductions—statute lapses</w:t>
            </w:r>
          </w:p>
        </w:tc>
        <w:tc>
          <w:tcPr>
            <w:tcW w:w="940" w:type="dxa"/>
            <w:vAlign w:val="bottom"/>
            <w:shd w:val="clear" w:color="auto" w:fill="E5E6E7"/>
          </w:tcPr>
          <w:p>
            <w:pPr>
              <w:spacing w:after="0"/>
              <w:rPr>
                <w:sz w:val="21"/>
                <w:szCs w:val="21"/>
                <w:color w:val="auto"/>
              </w:rPr>
            </w:pP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ind w:left="78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ind w:left="740"/>
              <w:spacing w:after="0"/>
              <w:rPr>
                <w:sz w:val="20"/>
                <w:szCs w:val="20"/>
                <w:color w:val="auto"/>
              </w:rPr>
            </w:pPr>
            <w:r>
              <w:rPr>
                <w:rFonts w:ascii="Times New Roman" w:cs="Times New Roman" w:eastAsia="Times New Roman" w:hAnsi="Times New Roman"/>
                <w:sz w:val="20"/>
                <w:szCs w:val="20"/>
                <w:color w:val="414142"/>
                <w:w w:val="99"/>
              </w:rPr>
              <w:t>—</w:t>
            </w:r>
          </w:p>
        </w:tc>
        <w:tc>
          <w:tcPr>
            <w:tcW w:w="60" w:type="dxa"/>
            <w:vAlign w:val="bottom"/>
            <w:shd w:val="clear" w:color="auto" w:fill="E5E6E7"/>
          </w:tcPr>
          <w:p>
            <w:pPr>
              <w:spacing w:after="0"/>
              <w:rPr>
                <w:sz w:val="21"/>
                <w:szCs w:val="2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Unrecognized tax benefits—end of year</w:t>
            </w:r>
          </w:p>
        </w:tc>
        <w:tc>
          <w:tcPr>
            <w:tcW w:w="940" w:type="dxa"/>
            <w:vAlign w:val="bottom"/>
            <w:tcBorders>
              <w:top w:val="single" w:sz="8" w:color="231F20"/>
            </w:tcBorders>
          </w:tcPr>
          <w:p>
            <w:pPr>
              <w:jc w:val="right"/>
              <w:ind w:right="745"/>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5,126</w:t>
            </w:r>
          </w:p>
        </w:tc>
        <w:tc>
          <w:tcPr>
            <w:tcW w:w="180" w:type="dxa"/>
            <w:vAlign w:val="bottom"/>
          </w:tcPr>
          <w:p>
            <w:pPr>
              <w:spacing w:after="0"/>
              <w:rPr>
                <w:sz w:val="20"/>
                <w:szCs w:val="20"/>
                <w:color w:val="auto"/>
              </w:rPr>
            </w:pPr>
          </w:p>
        </w:tc>
        <w:tc>
          <w:tcPr>
            <w:tcW w:w="300" w:type="dxa"/>
            <w:vAlign w:val="bottom"/>
            <w:tcBorders>
              <w:top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tcBorders>
          </w:tcPr>
          <w:p>
            <w:pPr>
              <w:ind w:left="7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20"/>
                <w:szCs w:val="20"/>
                <w:color w:val="auto"/>
              </w:rPr>
            </w:pPr>
          </w:p>
        </w:tc>
        <w:tc>
          <w:tcPr>
            <w:tcW w:w="260" w:type="dxa"/>
            <w:vAlign w:val="bottom"/>
            <w:tcBorders>
              <w:top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tcBorders>
          </w:tcPr>
          <w:p>
            <w:pPr>
              <w:ind w:left="74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0"/>
                <w:szCs w:val="20"/>
                <w:color w:val="auto"/>
              </w:rPr>
            </w:pPr>
          </w:p>
        </w:tc>
      </w:tr>
      <w:tr>
        <w:trPr>
          <w:trHeight w:val="244"/>
        </w:trPr>
        <w:tc>
          <w:tcPr>
            <w:tcW w:w="48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Unrecognized tax benefits—accrued interest and penalties</w:t>
            </w:r>
          </w:p>
        </w:tc>
        <w:tc>
          <w:tcPr>
            <w:tcW w:w="940" w:type="dxa"/>
            <w:vAlign w:val="bottom"/>
            <w:shd w:val="clear" w:color="auto" w:fill="E5E6E7"/>
          </w:tcPr>
          <w:p>
            <w:pPr>
              <w:spacing w:after="0"/>
              <w:rPr>
                <w:sz w:val="21"/>
                <w:szCs w:val="21"/>
                <w:color w:val="auto"/>
              </w:rPr>
            </w:pPr>
          </w:p>
        </w:tc>
        <w:tc>
          <w:tcPr>
            <w:tcW w:w="5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80" w:type="dxa"/>
            <w:vAlign w:val="bottom"/>
            <w:shd w:val="clear" w:color="auto" w:fill="E5E6E7"/>
          </w:tcPr>
          <w:p>
            <w:pPr>
              <w:spacing w:after="0"/>
              <w:rPr>
                <w:sz w:val="21"/>
                <w:szCs w:val="21"/>
                <w:color w:val="auto"/>
              </w:rPr>
            </w:pPr>
          </w:p>
        </w:tc>
        <w:tc>
          <w:tcPr>
            <w:tcW w:w="300" w:type="dxa"/>
            <w:vAlign w:val="bottom"/>
            <w:shd w:val="clear" w:color="auto" w:fill="E5E6E7"/>
          </w:tcPr>
          <w:p>
            <w:pPr>
              <w:spacing w:after="0"/>
              <w:rPr>
                <w:sz w:val="21"/>
                <w:szCs w:val="21"/>
                <w:color w:val="auto"/>
              </w:rPr>
            </w:pPr>
          </w:p>
        </w:tc>
        <w:tc>
          <w:tcPr>
            <w:tcW w:w="1180" w:type="dxa"/>
            <w:vAlign w:val="bottom"/>
            <w:gridSpan w:val="2"/>
            <w:shd w:val="clear" w:color="auto" w:fill="E5E6E7"/>
          </w:tcPr>
          <w:p>
            <w:pPr>
              <w:ind w:left="780"/>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960" w:type="dxa"/>
            <w:vAlign w:val="bottom"/>
            <w:shd w:val="clear" w:color="auto" w:fill="E5E6E7"/>
          </w:tcPr>
          <w:p>
            <w:pPr>
              <w:ind w:left="740"/>
              <w:spacing w:after="0"/>
              <w:rPr>
                <w:sz w:val="20"/>
                <w:szCs w:val="20"/>
                <w:color w:val="auto"/>
              </w:rPr>
            </w:pPr>
            <w:r>
              <w:rPr>
                <w:rFonts w:ascii="Times New Roman" w:cs="Times New Roman" w:eastAsia="Times New Roman" w:hAnsi="Times New Roman"/>
                <w:sz w:val="20"/>
                <w:szCs w:val="20"/>
                <w:color w:val="414142"/>
                <w:w w:val="99"/>
              </w:rPr>
              <w:t>—</w:t>
            </w:r>
          </w:p>
        </w:tc>
        <w:tc>
          <w:tcPr>
            <w:tcW w:w="60" w:type="dxa"/>
            <w:vAlign w:val="bottom"/>
            <w:shd w:val="clear" w:color="auto" w:fill="E5E6E7"/>
          </w:tcPr>
          <w:p>
            <w:pPr>
              <w:spacing w:after="0"/>
              <w:rPr>
                <w:sz w:val="21"/>
                <w:szCs w:val="2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Gross unrecognized tax benefits</w:t>
            </w:r>
          </w:p>
        </w:tc>
        <w:tc>
          <w:tcPr>
            <w:tcW w:w="940" w:type="dxa"/>
            <w:vAlign w:val="bottom"/>
            <w:tcBorders>
              <w:top w:val="single" w:sz="8" w:color="231F20"/>
              <w:bottom w:val="single" w:sz="8" w:color="231F20"/>
            </w:tcBorders>
          </w:tcPr>
          <w:p>
            <w:pPr>
              <w:jc w:val="right"/>
              <w:ind w:right="745"/>
              <w:spacing w:after="0"/>
              <w:rPr>
                <w:sz w:val="20"/>
                <w:szCs w:val="20"/>
                <w:color w:val="auto"/>
              </w:rPr>
            </w:pPr>
            <w:r>
              <w:rPr>
                <w:rFonts w:ascii="Times New Roman" w:cs="Times New Roman" w:eastAsia="Times New Roman" w:hAnsi="Times New Roman"/>
                <w:sz w:val="20"/>
                <w:szCs w:val="20"/>
                <w:color w:val="231F20"/>
                <w:w w:val="79"/>
              </w:rPr>
              <w:t>$</w:t>
            </w:r>
          </w:p>
        </w:tc>
        <w:tc>
          <w:tcPr>
            <w:tcW w:w="5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5,126</w:t>
            </w:r>
          </w:p>
        </w:tc>
        <w:tc>
          <w:tcPr>
            <w:tcW w:w="180" w:type="dxa"/>
            <w:vAlign w:val="bottom"/>
          </w:tcPr>
          <w:p>
            <w:pPr>
              <w:spacing w:after="0"/>
              <w:rPr>
                <w:sz w:val="20"/>
                <w:szCs w:val="20"/>
                <w:color w:val="auto"/>
              </w:rPr>
            </w:pPr>
          </w:p>
        </w:tc>
        <w:tc>
          <w:tcPr>
            <w:tcW w:w="300" w:type="dxa"/>
            <w:vAlign w:val="bottom"/>
            <w:tcBorders>
              <w:top w:val="single" w:sz="8" w:color="231F20"/>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ind w:left="780"/>
              <w:spacing w:after="0"/>
              <w:rPr>
                <w:sz w:val="20"/>
                <w:szCs w:val="20"/>
                <w:color w:val="auto"/>
              </w:rPr>
            </w:pPr>
            <w:r>
              <w:rPr>
                <w:rFonts w:ascii="Times New Roman" w:cs="Times New Roman" w:eastAsia="Times New Roman" w:hAnsi="Times New Roman"/>
                <w:sz w:val="20"/>
                <w:szCs w:val="20"/>
                <w:color w:val="231F20"/>
                <w:w w:val="99"/>
              </w:rPr>
              <w:t>—</w:t>
            </w:r>
          </w:p>
        </w:tc>
        <w:tc>
          <w:tcPr>
            <w:tcW w:w="18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tcPr>
          <w:p>
            <w:pPr>
              <w:ind w:left="74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3333115</wp:posOffset>
            </wp:positionH>
            <wp:positionV relativeFrom="paragraph">
              <wp:posOffset>-1784985</wp:posOffset>
            </wp:positionV>
            <wp:extent cx="279019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3">
                      <a:extLst>
                        <a:ext uri="{28A0092B-C50C-407E-A947-70E740481C1C}"/>
                      </a:extLst>
                    </a:blip>
                    <a:srcRect/>
                    <a:stretch>
                      <a:fillRect/>
                    </a:stretch>
                  </pic:blipFill>
                  <pic:spPr bwMode="auto">
                    <a:xfrm>
                      <a:off x="0" y="0"/>
                      <a:ext cx="2790190" cy="381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Of the $5.1 million unrecognized tax benefits as of December 31, 2025, all are recorded as a net offset to deferred income taxes in our consolidated financial statements. If recognized, none of the unrecognized tax benefits as of December 31, 2025 would impact our effective tax rate.</w:t>
      </w:r>
    </w:p>
    <w:p>
      <w:pPr>
        <w:spacing w:after="0" w:line="18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The Company recognizes interest and, if applicable, penalties for any uncertain tax positions. Interest and penalties are recorded as a component of income tax expense. In the years ended December 31, 2025, 2024 and 2023, the Company did not have any accrued interest or penalties associated with any unrecognized tax benefits.</w:t>
      </w:r>
    </w:p>
    <w:p>
      <w:pPr>
        <w:spacing w:after="0" w:line="188"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The Company does not provide for U.S. income taxes on unremitted earnings of foreign subsidiaries. Unremitted earnings of foreign subsidiaries were immaterial on December 31, 2025 and 2024.</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One Big Beautiful Bill Act</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On July 4, 2025, the One Big Beautiful Bill Act (the “Act”) was enacted into law in the U.S. The Act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Act on deferred tax assets and liabilities, including adjustments to valuation allowances, and has reflected these effects in the consolidated financial statements.</w:t>
      </w:r>
    </w:p>
    <w:p>
      <w:pPr>
        <w:spacing w:after="0" w:line="316" w:lineRule="exact"/>
        <w:rPr>
          <w:sz w:val="20"/>
          <w:szCs w:val="20"/>
          <w:color w:val="auto"/>
        </w:rPr>
      </w:pPr>
    </w:p>
    <w:p>
      <w:pPr>
        <w:ind w:left="480" w:right="2520" w:hanging="480"/>
        <w:spacing w:after="0" w:line="367" w:lineRule="auto"/>
        <w:tabs>
          <w:tab w:leader="none" w:pos="480" w:val="left"/>
        </w:tabs>
        <w:numPr>
          <w:ilvl w:val="0"/>
          <w:numId w:val="8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FAIR VALUE MEASUREMENTS AND MARKETABLE EQUITY SECURITIES Fair Value Measurements</w:t>
      </w:r>
    </w:p>
    <w:p>
      <w:pPr>
        <w:spacing w:after="0" w:line="1"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The carrying amounts of financial instruments, including cash and cash equivalents, accounts receivable, minimum royalties, accounts payable, and accrued expenses approximate fair value due to the short maturity of these instruments. The carrying amounts of the minimum royalties approximate fair value because the interest rates used fluctuate with market interest rates or the fixed rates are based on current rates offered to the Company for debt with similar terms and maturities.</w:t>
      </w:r>
    </w:p>
    <w:p>
      <w:pPr>
        <w:spacing w:after="0" w:line="194" w:lineRule="exact"/>
        <w:rPr>
          <w:sz w:val="20"/>
          <w:szCs w:val="20"/>
          <w:color w:val="auto"/>
        </w:rPr>
      </w:pPr>
    </w:p>
    <w:p>
      <w:pPr>
        <w:ind w:right="1060" w:firstLine="490"/>
        <w:spacing w:after="0" w:line="277" w:lineRule="auto"/>
        <w:rPr>
          <w:sz w:val="20"/>
          <w:szCs w:val="20"/>
          <w:color w:val="auto"/>
        </w:rPr>
      </w:pPr>
      <w:r>
        <w:rPr>
          <w:rFonts w:ascii="Times New Roman" w:cs="Times New Roman" w:eastAsia="Times New Roman" w:hAnsi="Times New Roman"/>
          <w:sz w:val="20"/>
          <w:szCs w:val="20"/>
          <w:color w:val="231F20"/>
        </w:rPr>
        <w:t>The valuation methodologies used for the Company’s assets and liabilities measured at fair value and their classification in the valuation hierarchy are summarized below:</w:t>
      </w:r>
    </w:p>
    <w:p>
      <w:pPr>
        <w:spacing w:after="0" w:line="169" w:lineRule="exact"/>
        <w:rPr>
          <w:sz w:val="20"/>
          <w:szCs w:val="20"/>
          <w:color w:val="auto"/>
        </w:rPr>
      </w:pPr>
    </w:p>
    <w:p>
      <w:pPr>
        <w:jc w:val="both"/>
        <w:ind w:right="40" w:firstLine="490"/>
        <w:spacing w:after="0" w:line="252" w:lineRule="auto"/>
        <w:rPr>
          <w:sz w:val="20"/>
          <w:szCs w:val="20"/>
          <w:color w:val="auto"/>
        </w:rPr>
      </w:pPr>
      <w:r>
        <w:rPr>
          <w:rFonts w:ascii="Times New Roman" w:cs="Times New Roman" w:eastAsia="Times New Roman" w:hAnsi="Times New Roman"/>
          <w:sz w:val="20"/>
          <w:szCs w:val="20"/>
          <w:i w:val="1"/>
          <w:iCs w:val="1"/>
          <w:color w:val="231F20"/>
        </w:rPr>
        <w:t>Marketable equity securities</w:t>
      </w:r>
      <w:r>
        <w:rPr>
          <w:rFonts w:ascii="Times New Roman" w:cs="Times New Roman" w:eastAsia="Times New Roman" w:hAnsi="Times New Roman"/>
          <w:sz w:val="20"/>
          <w:szCs w:val="20"/>
          <w:color w:val="231F20"/>
        </w:rPr>
        <w:t>—The Company holds marketable equity securities, all of which are publicly traded shares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w:t>
      </w:r>
    </w:p>
    <w:p>
      <w:pPr>
        <w:spacing w:after="0" w:line="194" w:lineRule="exact"/>
        <w:rPr>
          <w:sz w:val="20"/>
          <w:szCs w:val="20"/>
          <w:color w:val="auto"/>
        </w:rPr>
      </w:pPr>
    </w:p>
    <w:p>
      <w:pPr>
        <w:ind w:right="500" w:firstLine="490"/>
        <w:spacing w:after="0" w:line="252" w:lineRule="auto"/>
        <w:rPr>
          <w:sz w:val="20"/>
          <w:szCs w:val="20"/>
          <w:color w:val="auto"/>
        </w:rPr>
      </w:pPr>
      <w:r>
        <w:rPr>
          <w:rFonts w:ascii="Times New Roman" w:cs="Times New Roman" w:eastAsia="Times New Roman" w:hAnsi="Times New Roman"/>
          <w:sz w:val="20"/>
          <w:szCs w:val="20"/>
          <w:i w:val="1"/>
          <w:iCs w:val="1"/>
          <w:color w:val="231F20"/>
        </w:rPr>
        <w:t>Contingent consideration</w:t>
      </w:r>
      <w:r>
        <w:rPr>
          <w:rFonts w:ascii="Times New Roman" w:cs="Times New Roman" w:eastAsia="Times New Roman" w:hAnsi="Times New Roman"/>
          <w:sz w:val="20"/>
          <w:szCs w:val="20"/>
          <w:color w:val="231F20"/>
        </w:rPr>
        <w:t>—The Company was subject to a contingent consideration arrangement to make a cash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payment in an aggregate value of $1.0 million, contingent upon Mpirik reaching a revenue target of $1.5 million for the twelve-month period ended December 31, 2023. See Note 3, Business Combinations, for further discussion of that acquisition.</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The Company is also subject to a contingent consideration arrangement of 35,000 additional shares of non-voting</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common stock in connection with the SEngine acquisition, the amount of which is determined based on the per share price of</w:t>
      </w:r>
    </w:p>
    <w:p>
      <w:pPr>
        <w:sectPr>
          <w:pgSz w:w="11880" w:h="15480" w:orient="portrait"/>
          <w:cols w:equalWidth="0" w:num="1">
            <w:col w:w="10080"/>
          </w:cols>
          <w:pgMar w:left="900" w:top="799" w:right="900" w:bottom="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179</w:t>
      </w:r>
    </w:p>
    <w:p>
      <w:pPr>
        <w:sectPr>
          <w:pgSz w:w="11880" w:h="15480" w:orient="portrait"/>
          <w:cols w:equalWidth="0" w:num="1">
            <w:col w:w="10080"/>
          </w:cols>
          <w:pgMar w:left="900" w:top="799" w:right="900" w:bottom="0" w:gutter="0" w:footer="0" w:header="0"/>
          <w:type w:val="continuous"/>
        </w:sectPr>
      </w:pPr>
    </w:p>
    <w:bookmarkStart w:id="187" w:name="page188"/>
    <w:bookmarkEnd w:id="187"/>
    <w:p>
      <w:pPr>
        <w:ind w:right="120"/>
        <w:spacing w:after="0" w:line="258" w:lineRule="auto"/>
        <w:rPr>
          <w:sz w:val="20"/>
          <w:szCs w:val="20"/>
          <w:color w:val="auto"/>
        </w:rPr>
      </w:pPr>
      <w:r>
        <w:rPr>
          <w:rFonts w:ascii="Times New Roman" w:cs="Times New Roman" w:eastAsia="Times New Roman" w:hAnsi="Times New Roman"/>
          <w:sz w:val="20"/>
          <w:szCs w:val="20"/>
          <w:color w:val="231F20"/>
        </w:rPr>
        <w:t>the Company’s non-voting common stock in a liquidity event completed prior to December 31, 2027. The contingent consideration has an acquisition fair value date of $0.8 million. See Note 3, Business Combinations for further discussion of that acquisition.</w:t>
      </w:r>
    </w:p>
    <w:p>
      <w:pPr>
        <w:spacing w:after="0" w:line="18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to 35,000 additional shares of non-voting common stock as Level 1 as the shares are valued using a quoted market price.</w:t>
      </w:r>
    </w:p>
    <w:p>
      <w:pPr>
        <w:spacing w:after="0" w:line="202" w:lineRule="exact"/>
        <w:rPr>
          <w:sz w:val="20"/>
          <w:szCs w:val="20"/>
          <w:color w:val="auto"/>
        </w:rPr>
      </w:pPr>
    </w:p>
    <w:p>
      <w:pPr>
        <w:ind w:right="480" w:firstLine="490"/>
        <w:spacing w:after="0" w:line="252" w:lineRule="auto"/>
        <w:rPr>
          <w:sz w:val="20"/>
          <w:szCs w:val="20"/>
          <w:color w:val="auto"/>
        </w:rPr>
      </w:pPr>
      <w:r>
        <w:rPr>
          <w:rFonts w:ascii="Times New Roman" w:cs="Times New Roman" w:eastAsia="Times New Roman" w:hAnsi="Times New Roman"/>
          <w:sz w:val="20"/>
          <w:szCs w:val="20"/>
          <w:i w:val="1"/>
          <w:iCs w:val="1"/>
          <w:color w:val="231F20"/>
        </w:rPr>
        <w:t>Holdback liability</w:t>
      </w:r>
      <w:r>
        <w:rPr>
          <w:rFonts w:ascii="Times New Roman" w:cs="Times New Roman" w:eastAsia="Times New Roman" w:hAnsi="Times New Roman"/>
          <w:sz w:val="20"/>
          <w:szCs w:val="20"/>
          <w:color w:val="231F20"/>
        </w:rPr>
        <w:t>—The Company held back 13,614 shares in connection with the Deep 6 acquisition and 70,792</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shares in connection with the Paige acquisition. See Note 3, Business Combinations for further discussion of those acquisitions. For all holdback liabilities, the number of shares are fixed at the acquisition price as of the date of the acquisition.</w:t>
      </w:r>
    </w:p>
    <w:p>
      <w:pPr>
        <w:spacing w:after="0" w:line="19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231F20"/>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classified the holdback liability as Level 1 as the shares are valued using a quoted market price.</w:t>
      </w:r>
    </w:p>
    <w:p>
      <w:pPr>
        <w:spacing w:after="0" w:line="194"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Warrant asset— </w:t>
      </w:r>
      <w:r>
        <w:rPr>
          <w:rFonts w:ascii="Times New Roman" w:cs="Times New Roman" w:eastAsia="Times New Roman" w:hAnsi="Times New Roman"/>
          <w:sz w:val="20"/>
          <w:szCs w:val="20"/>
          <w:color w:val="231F20"/>
        </w:rPr>
        <w:t>The Company received warrants from Personalis, which were exercised in August 2024. The warrant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assets are measured at fair value each reporting period using a Black-Scholes option pricing model, which takes into consideration the price and volatility of Personalis Class A common stock. Changes in fair value are recorded in Other income, net. For the year ended December 31, 2024, the Company recognized a gain of $18.3 million in Other income, net due to the change in fair value of the warrant asset. The Company classified the warrant asset as Level 2 as they are valued using observable market prices of Personalis Class A common stock.</w:t>
      </w:r>
    </w:p>
    <w:p>
      <w:pPr>
        <w:spacing w:after="0" w:line="20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i w:val="1"/>
          <w:iCs w:val="1"/>
          <w:color w:val="231F20"/>
        </w:rPr>
        <w:t>Warrant liability</w:t>
      </w:r>
      <w:r>
        <w:rPr>
          <w:rFonts w:ascii="Times New Roman" w:cs="Times New Roman" w:eastAsia="Times New Roman" w:hAnsi="Times New Roman"/>
          <w:sz w:val="20"/>
          <w:szCs w:val="20"/>
          <w:color w:val="231F20"/>
        </w:rPr>
        <w:t>—As discussed in Note 9, the Company issued a $100 million warrant to AstraZeneca. The warrant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liability is measured at fair value each reporting period, using a Black-Scholes option pricing model. The Company classified the warrant liability as Level 3 due to the lack of relevant observable market data over fair value inputs such as the expected term. The warrant was terminated for no consideration on December 31, 2024.</w:t>
      </w:r>
    </w:p>
    <w:p>
      <w:pPr>
        <w:spacing w:after="0" w:line="194" w:lineRule="exact"/>
        <w:rPr>
          <w:sz w:val="20"/>
          <w:szCs w:val="20"/>
          <w:color w:val="auto"/>
        </w:rPr>
      </w:pPr>
    </w:p>
    <w:p>
      <w:pPr>
        <w:jc w:val="both"/>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Credit Facilities, the Second Amended Note, and the Notes were not recorded at fair value. The fair values of the Credit Facilities, the Second Amended Note, and the Notes approximated their carrying values as of December 31, 2025 and 2024 . Estimates of the fair values of the Credit Facilities, the Second Amended Note, and the Notes are classified as Level 3 due to the lack of relevant observable market data over fair value inputs.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tables summarize assets and liabilities that are measured at fair value on a recurring basis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and 2024 (in thousands):</w:t>
      </w:r>
    </w:p>
    <w:p>
      <w:pPr>
        <w:spacing w:after="0" w:line="262"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231F20"/>
              </w:rPr>
              <w:t>Fair Value Measurement at Reporting Date Using</w:t>
            </w:r>
          </w:p>
        </w:tc>
        <w:tc>
          <w:tcPr>
            <w:tcW w:w="60" w:type="dxa"/>
            <w:vAlign w:val="bottom"/>
          </w:tcPr>
          <w:p>
            <w:pPr>
              <w:spacing w:after="0"/>
              <w:rPr>
                <w:sz w:val="18"/>
                <w:szCs w:val="18"/>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Quoted Price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in Active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rPr>
              <w:t>Significant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w w:val="99"/>
              </w:rPr>
              <w:t>Market for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231F20"/>
              </w:rPr>
              <w:t>Significant</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Identical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w w:val="99"/>
              </w:rPr>
              <w:t>Observable</w:t>
            </w:r>
          </w:p>
        </w:tc>
        <w:tc>
          <w:tcPr>
            <w:tcW w:w="2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Unobservable</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w w:val="98"/>
              </w:rPr>
              <w:t>Assets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60" w:type="dxa"/>
            <w:vAlign w:val="bottom"/>
          </w:tcPr>
          <w:p>
            <w:pPr>
              <w:spacing w:after="0"/>
              <w:rPr>
                <w:sz w:val="16"/>
                <w:szCs w:val="16"/>
                <w:color w:val="auto"/>
              </w:rPr>
            </w:pPr>
          </w:p>
        </w:tc>
      </w:tr>
      <w:tr>
        <w:trPr>
          <w:trHeight w:val="203"/>
        </w:trPr>
        <w:tc>
          <w:tcPr>
            <w:tcW w:w="420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w w:val="99"/>
              </w:rPr>
              <w:t>(Level 1)</w:t>
            </w:r>
          </w:p>
        </w:tc>
        <w:tc>
          <w:tcPr>
            <w:tcW w:w="220" w:type="dxa"/>
            <w:vAlign w:val="bottom"/>
            <w:tcBorders>
              <w:bottom w:val="single" w:sz="8" w:color="E5E6E7"/>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w w:val="99"/>
              </w:rPr>
              <w:t>(Level 2)</w:t>
            </w:r>
          </w:p>
        </w:tc>
        <w:tc>
          <w:tcPr>
            <w:tcW w:w="22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231F20"/>
                <w:w w:val="99"/>
              </w:rPr>
              <w:t>(Level 3)</w:t>
            </w:r>
          </w:p>
        </w:tc>
        <w:tc>
          <w:tcPr>
            <w:tcW w:w="60" w:type="dxa"/>
            <w:vAlign w:val="bottom"/>
            <w:tcBorders>
              <w:bottom w:val="single" w:sz="8" w:color="E5E6E7"/>
            </w:tcBorders>
          </w:tcPr>
          <w:p>
            <w:pPr>
              <w:spacing w:after="0"/>
              <w:rPr>
                <w:sz w:val="17"/>
                <w:szCs w:val="17"/>
                <w:color w:val="auto"/>
              </w:rPr>
            </w:pPr>
          </w:p>
        </w:tc>
      </w:tr>
      <w:tr>
        <w:trPr>
          <w:trHeight w:val="239"/>
        </w:trPr>
        <w:tc>
          <w:tcPr>
            <w:tcW w:w="42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Assets</w:t>
            </w:r>
          </w:p>
        </w:tc>
        <w:tc>
          <w:tcPr>
            <w:tcW w:w="120" w:type="dxa"/>
            <w:vAlign w:val="bottom"/>
            <w:shd w:val="clear" w:color="auto" w:fill="E5E6E7"/>
          </w:tcPr>
          <w:p>
            <w:pPr>
              <w:spacing w:after="0"/>
              <w:rPr>
                <w:sz w:val="20"/>
                <w:szCs w:val="20"/>
                <w:color w:val="auto"/>
              </w:rPr>
            </w:pPr>
          </w:p>
        </w:tc>
        <w:tc>
          <w:tcPr>
            <w:tcW w:w="11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9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92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r>
      <w:tr>
        <w:trPr>
          <w:trHeight w:val="244"/>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Marketable equity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150,211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150,211</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1"/>
                <w:szCs w:val="21"/>
                <w:color w:val="auto"/>
              </w:rPr>
            </w:pPr>
          </w:p>
        </w:tc>
      </w:tr>
      <w:tr>
        <w:trPr>
          <w:trHeight w:val="244"/>
        </w:trPr>
        <w:tc>
          <w:tcPr>
            <w:tcW w:w="42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Liabilities</w:t>
            </w:r>
          </w:p>
        </w:tc>
        <w:tc>
          <w:tcPr>
            <w:tcW w:w="120" w:type="dxa"/>
            <w:vAlign w:val="bottom"/>
            <w:shd w:val="clear" w:color="auto" w:fill="E5E6E7"/>
          </w:tcPr>
          <w:p>
            <w:pPr>
              <w:spacing w:after="0"/>
              <w:rPr>
                <w:sz w:val="21"/>
                <w:szCs w:val="21"/>
                <w:color w:val="auto"/>
              </w:rPr>
            </w:pPr>
          </w:p>
        </w:tc>
        <w:tc>
          <w:tcPr>
            <w:tcW w:w="11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2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94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920" w:type="dxa"/>
            <w:vAlign w:val="bottom"/>
            <w:shd w:val="clear" w:color="auto" w:fill="E5E6E7"/>
          </w:tcPr>
          <w:p>
            <w:pPr>
              <w:spacing w:after="0"/>
              <w:rPr>
                <w:sz w:val="21"/>
                <w:szCs w:val="21"/>
                <w:color w:val="auto"/>
              </w:rPr>
            </w:pPr>
          </w:p>
        </w:tc>
        <w:tc>
          <w:tcPr>
            <w:tcW w:w="60" w:type="dxa"/>
            <w:vAlign w:val="bottom"/>
            <w:shd w:val="clear" w:color="auto" w:fill="E5E6E7"/>
          </w:tcPr>
          <w:p>
            <w:pPr>
              <w:spacing w:after="0"/>
              <w:rPr>
                <w:sz w:val="21"/>
                <w:szCs w:val="21"/>
                <w:color w:val="auto"/>
              </w:rPr>
            </w:pPr>
          </w:p>
        </w:tc>
      </w:tr>
      <w:tr>
        <w:trPr>
          <w:trHeight w:val="266"/>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Holdback liability</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-1376680</wp:posOffset>
            </wp:positionV>
            <wp:extent cx="229743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4">
                      <a:extLst>
                        <a:ext uri="{28A0092B-C50C-407E-A947-70E740481C1C}"/>
                      </a:extLst>
                    </a:blip>
                    <a:srcRect/>
                    <a:stretch>
                      <a:fillRect/>
                    </a:stretch>
                  </pic:blipFill>
                  <pic:spPr bwMode="auto">
                    <a:xfrm>
                      <a:off x="0" y="0"/>
                      <a:ext cx="2297430" cy="38100"/>
                    </a:xfrm>
                    <a:prstGeom prst="rect">
                      <a:avLst/>
                    </a:prstGeom>
                    <a:noFill/>
                  </pic:spPr>
                </pic:pic>
              </a:graphicData>
            </a:graphic>
          </wp:anchor>
        </w:drawing>
      </w:r>
    </w:p>
    <w:p>
      <w:pPr>
        <w:sectPr>
          <w:pgSz w:w="11880" w:h="15480" w:orient="portrait"/>
          <w:cols w:equalWidth="0" w:num="1">
            <w:col w:w="10060"/>
          </w:cols>
          <w:pgMar w:left="900" w:top="73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180</w:t>
      </w:r>
    </w:p>
    <w:p>
      <w:pPr>
        <w:sectPr>
          <w:pgSz w:w="11880" w:h="15480" w:orient="portrait"/>
          <w:cols w:equalWidth="0" w:num="1">
            <w:col w:w="10060"/>
          </w:cols>
          <w:pgMar w:left="900" w:top="739" w:right="920" w:bottom="0" w:gutter="0" w:footer="0" w:header="0"/>
          <w:type w:val="continuous"/>
        </w:sectPr>
      </w:pPr>
    </w:p>
    <w:bookmarkStart w:id="188" w:name="page189"/>
    <w:bookmarkEnd w:id="188"/>
    <w:tbl>
      <w:tblPr>
        <w:tblLayout w:type="fixed"/>
        <w:tblInd w:w="40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231F20"/>
              </w:rPr>
              <w:t>Fair Value Measurement at Reporting Date Using</w:t>
            </w:r>
          </w:p>
        </w:tc>
        <w:tc>
          <w:tcPr>
            <w:tcW w:w="60" w:type="dxa"/>
            <w:vAlign w:val="bottom"/>
          </w:tcPr>
          <w:p>
            <w:pPr>
              <w:spacing w:after="0"/>
              <w:rPr>
                <w:sz w:val="18"/>
                <w:szCs w:val="18"/>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Quoted Price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231F20"/>
              </w:rPr>
              <w:t>in Active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231F20"/>
              </w:rPr>
              <w:t>Significant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231F20"/>
                <w:w w:val="99"/>
              </w:rPr>
              <w:t>Market for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231F20"/>
              </w:rPr>
              <w:t>Significant</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231F20"/>
              </w:rPr>
              <w:t>Identical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231F20"/>
                <w:w w:val="99"/>
              </w:rPr>
              <w:t>Observable</w:t>
            </w:r>
          </w:p>
        </w:tc>
        <w:tc>
          <w:tcPr>
            <w:tcW w:w="2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Unobservable</w:t>
            </w: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231F20"/>
                <w:w w:val="98"/>
              </w:rPr>
              <w:t>Assets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231F20"/>
                <w:w w:val="98"/>
              </w:rPr>
              <w:t>Inputs</w:t>
            </w:r>
          </w:p>
        </w:tc>
        <w:tc>
          <w:tcPr>
            <w:tcW w:w="60" w:type="dxa"/>
            <w:vAlign w:val="bottom"/>
          </w:tcPr>
          <w:p>
            <w:pPr>
              <w:spacing w:after="0"/>
              <w:rPr>
                <w:sz w:val="16"/>
                <w:szCs w:val="16"/>
                <w:color w:val="auto"/>
              </w:rPr>
            </w:pPr>
          </w:p>
        </w:tc>
      </w:tr>
      <w:tr>
        <w:trPr>
          <w:trHeight w:val="203"/>
        </w:trPr>
        <w:tc>
          <w:tcPr>
            <w:tcW w:w="420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37"/>
              <w:spacing w:after="0"/>
              <w:rPr>
                <w:sz w:val="20"/>
                <w:szCs w:val="20"/>
                <w:color w:val="auto"/>
              </w:rPr>
            </w:pPr>
            <w:r>
              <w:rPr>
                <w:rFonts w:ascii="Times New Roman" w:cs="Times New Roman" w:eastAsia="Times New Roman" w:hAnsi="Times New Roman"/>
                <w:sz w:val="16"/>
                <w:szCs w:val="16"/>
                <w:b w:val="1"/>
                <w:bCs w:val="1"/>
                <w:color w:val="231F20"/>
                <w:w w:val="99"/>
              </w:rPr>
              <w:t>(Level 1)</w:t>
            </w:r>
          </w:p>
        </w:tc>
        <w:tc>
          <w:tcPr>
            <w:tcW w:w="220" w:type="dxa"/>
            <w:vAlign w:val="bottom"/>
            <w:tcBorders>
              <w:bottom w:val="single" w:sz="8" w:color="E5E6E7"/>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231F20"/>
                <w:w w:val="99"/>
              </w:rPr>
              <w:t>(Level 2)</w:t>
            </w:r>
          </w:p>
        </w:tc>
        <w:tc>
          <w:tcPr>
            <w:tcW w:w="220" w:type="dxa"/>
            <w:vAlign w:val="bottom"/>
            <w:tcBorders>
              <w:bottom w:val="single" w:sz="8" w:color="E5E6E7"/>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231F20"/>
                <w:w w:val="99"/>
              </w:rPr>
              <w:t>(Level 3)</w:t>
            </w:r>
          </w:p>
        </w:tc>
        <w:tc>
          <w:tcPr>
            <w:tcW w:w="60" w:type="dxa"/>
            <w:vAlign w:val="bottom"/>
            <w:tcBorders>
              <w:bottom w:val="single" w:sz="8" w:color="E5E6E7"/>
            </w:tcBorders>
          </w:tcPr>
          <w:p>
            <w:pPr>
              <w:spacing w:after="0"/>
              <w:rPr>
                <w:sz w:val="17"/>
                <w:szCs w:val="17"/>
                <w:color w:val="auto"/>
              </w:rPr>
            </w:pPr>
          </w:p>
        </w:tc>
      </w:tr>
      <w:tr>
        <w:trPr>
          <w:trHeight w:val="239"/>
        </w:trPr>
        <w:tc>
          <w:tcPr>
            <w:tcW w:w="420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Assets</w:t>
            </w:r>
          </w:p>
        </w:tc>
        <w:tc>
          <w:tcPr>
            <w:tcW w:w="120" w:type="dxa"/>
            <w:vAlign w:val="bottom"/>
            <w:shd w:val="clear" w:color="auto" w:fill="E5E6E7"/>
          </w:tcPr>
          <w:p>
            <w:pPr>
              <w:spacing w:after="0"/>
              <w:rPr>
                <w:sz w:val="20"/>
                <w:szCs w:val="20"/>
                <w:color w:val="auto"/>
              </w:rPr>
            </w:pPr>
          </w:p>
        </w:tc>
        <w:tc>
          <w:tcPr>
            <w:tcW w:w="11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9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94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920" w:type="dxa"/>
            <w:vAlign w:val="bottom"/>
            <w:shd w:val="clear" w:color="auto" w:fill="E5E6E7"/>
          </w:tcPr>
          <w:p>
            <w:pPr>
              <w:spacing w:after="0"/>
              <w:rPr>
                <w:sz w:val="20"/>
                <w:szCs w:val="20"/>
                <w:color w:val="auto"/>
              </w:rPr>
            </w:pPr>
          </w:p>
        </w:tc>
        <w:tc>
          <w:tcPr>
            <w:tcW w:w="60" w:type="dxa"/>
            <w:vAlign w:val="bottom"/>
            <w:shd w:val="clear" w:color="auto" w:fill="E5E6E7"/>
          </w:tcPr>
          <w:p>
            <w:pPr>
              <w:spacing w:after="0"/>
              <w:rPr>
                <w:sz w:val="20"/>
                <w:szCs w:val="20"/>
                <w:color w:val="auto"/>
              </w:rPr>
            </w:pPr>
          </w:p>
        </w:tc>
      </w:tr>
      <w:tr>
        <w:trPr>
          <w:trHeight w:val="266"/>
        </w:trPr>
        <w:tc>
          <w:tcPr>
            <w:tcW w:w="4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Marketable equity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107,309</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107,309</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-1066800</wp:posOffset>
            </wp:positionV>
            <wp:extent cx="229743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5">
                      <a:extLst>
                        <a:ext uri="{28A0092B-C50C-407E-A947-70E740481C1C}"/>
                      </a:extLst>
                    </a:blip>
                    <a:srcRect/>
                    <a:stretch>
                      <a:fillRect/>
                    </a:stretch>
                  </pic:blipFill>
                  <pic:spPr bwMode="auto">
                    <a:xfrm>
                      <a:off x="0" y="0"/>
                      <a:ext cx="2297430" cy="38100"/>
                    </a:xfrm>
                    <a:prstGeom prst="rect">
                      <a:avLst/>
                    </a:prstGeom>
                    <a:noFill/>
                  </pic:spPr>
                </pic:pic>
              </a:graphicData>
            </a:graphic>
          </wp:anchor>
        </w:drawing>
      </w:r>
    </w:p>
    <w:p>
      <w:pPr>
        <w:spacing w:after="0" w:line="20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For the year ended December 31, 2025, the Company did not recognize any gain or loss due to a change in fair value for assets and liabilities measured at fair value using significant unobservable inputs (Level 3). For the year ended December 31, 2024, the Company recognized a loss of $42.4 million in Other income, net due to the change in fair value of the warrant liability determined by Level 3 valuation techniques. For the year ended December 31, 2023, the Company recognized a gain of $0.4 million in Selling, general and administrative expense due to the change in fair value of contingent consideration and gains of $8.0 million due to changes in fair value of the warrant liability determined by Level 3 valuation techniques.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Marketable Equity Securities</w:t>
      </w:r>
    </w:p>
    <w:p>
      <w:pPr>
        <w:spacing w:after="0" w:line="12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The Company holds marketable equity securities, which are all publicly traded shares of Recursion Pharmaceuticals, Inc. ("Recursion") Class A common stock and Personalis common stock.</w:t>
      </w:r>
    </w:p>
    <w:p>
      <w:pPr>
        <w:spacing w:after="0" w:line="169"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The Company received $32.0 million and $22.0 million in Recursion shares of Class A common stock as payment of accounts receivable during the years ended December 31, 2025 and 2024. During the year ended December 31, 2025, the Company sold 737,466 shares of Recursion Class A common stock at a weighted average price of $11.28 per share for aggregate proceeds of $8.3 million. During the year ended December 31, 2024, the Company sold 1,725,902 shares of Recursion Class A common stock at a weighted average price of $13.38 for aggregate proceeds of $23.1 million.</w:t>
      </w:r>
    </w:p>
    <w:p>
      <w:pPr>
        <w:spacing w:after="0" w:line="19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Additionally, during the year ended December 31, 2025, the Company purchased 320,267 shares of Personalis common stock at a weighted average price of $8.55 per share for an aggregate cost of $2.7 million. The Company owns less than 20% of Personalis' outstanding common stock and has no significant influence or control over Personalis.</w:t>
      </w:r>
    </w:p>
    <w:p>
      <w:pPr>
        <w:spacing w:after="0" w:line="209"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231F20"/>
        </w:rPr>
        <w:t>Changes in fair value of marketable equity securities are recorded in earnings within Other income, net on the consolidated statement of operations and comprehensive loss. The following summarizes the portion of unrealized gains recorded during the years ended December 31, 2025, 2024 and 2023 that relate to marketable equity securities held as of December 31, 2025, 2024 and 2023, respectively (in thousands).</w:t>
      </w:r>
    </w:p>
    <w:p>
      <w:pPr>
        <w:spacing w:after="0" w:line="244"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060" w:type="dxa"/>
            <w:vAlign w:val="bottom"/>
            <w:tcBorders>
              <w:bottom w:val="single" w:sz="8" w:color="E5E6E7"/>
            </w:tcBorders>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00" w:type="dxa"/>
            <w:vAlign w:val="bottom"/>
            <w:tcBorders>
              <w:bottom w:val="single" w:sz="8" w:color="E5E6E7"/>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00" w:type="dxa"/>
            <w:vAlign w:val="bottom"/>
            <w:tcBorders>
              <w:bottom w:val="single" w:sz="8" w:color="E5E6E7"/>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5E6E7"/>
            </w:tcBorders>
          </w:tcPr>
          <w:p>
            <w:pPr>
              <w:spacing w:after="0"/>
              <w:rPr>
                <w:sz w:val="17"/>
                <w:szCs w:val="17"/>
                <w:color w:val="auto"/>
              </w:rPr>
            </w:pPr>
          </w:p>
        </w:tc>
      </w:tr>
      <w:tr>
        <w:trPr>
          <w:trHeight w:val="239"/>
        </w:trPr>
        <w:tc>
          <w:tcPr>
            <w:tcW w:w="506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Net gain during the period on marketable equity securities</w:t>
            </w:r>
          </w:p>
        </w:tc>
        <w:tc>
          <w:tcPr>
            <w:tcW w:w="360" w:type="dxa"/>
            <w:vAlign w:val="bottom"/>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14142"/>
                <w:w w:val="79"/>
              </w:rPr>
              <w:t>$</w:t>
            </w:r>
          </w:p>
        </w:tc>
        <w:tc>
          <w:tcPr>
            <w:tcW w:w="1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(16,471)</w:t>
            </w:r>
          </w:p>
        </w:tc>
        <w:tc>
          <w:tcPr>
            <w:tcW w:w="300" w:type="dxa"/>
            <w:vAlign w:val="bottom"/>
            <w:shd w:val="clear" w:color="auto" w:fill="E5E6E7"/>
          </w:tcPr>
          <w:p>
            <w:pPr>
              <w:spacing w:after="0"/>
              <w:rPr>
                <w:sz w:val="20"/>
                <w:szCs w:val="20"/>
                <w:color w:val="auto"/>
              </w:rPr>
            </w:pPr>
          </w:p>
        </w:tc>
        <w:tc>
          <w:tcPr>
            <w:tcW w:w="240" w:type="dxa"/>
            <w:vAlign w:val="bottom"/>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w w:val="79"/>
                <w:shd w:val="clear" w:color="auto" w:fill="E5E6E7"/>
              </w:rPr>
              <w:t>$</w:t>
            </w:r>
          </w:p>
        </w:tc>
        <w:tc>
          <w:tcPr>
            <w:tcW w:w="8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shd w:val="clear" w:color="auto" w:fill="E5E6E7"/>
              </w:rPr>
              <w:t>(12,110</w:t>
            </w:r>
          </w:p>
        </w:tc>
        <w:tc>
          <w:tcPr>
            <w:tcW w:w="20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89"/>
                <w:shd w:val="clear" w:color="auto" w:fill="E5E6E7"/>
              </w:rPr>
              <w:t>)</w:t>
            </w:r>
          </w:p>
        </w:tc>
        <w:tc>
          <w:tcPr>
            <w:tcW w:w="2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rPr>
              <w:t>$</w:t>
            </w:r>
          </w:p>
        </w:tc>
        <w:tc>
          <w:tcPr>
            <w:tcW w:w="8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(9,807)</w:t>
            </w:r>
          </w:p>
        </w:tc>
        <w:tc>
          <w:tcPr>
            <w:tcW w:w="80" w:type="dxa"/>
            <w:vAlign w:val="bottom"/>
            <w:shd w:val="clear" w:color="auto" w:fill="E5E6E7"/>
          </w:tcPr>
          <w:p>
            <w:pPr>
              <w:spacing w:after="0"/>
              <w:rPr>
                <w:sz w:val="20"/>
                <w:szCs w:val="20"/>
                <w:color w:val="auto"/>
              </w:rPr>
            </w:pPr>
          </w:p>
        </w:tc>
      </w:tr>
      <w:tr>
        <w:trPr>
          <w:trHeight w:val="225"/>
        </w:trPr>
        <w:tc>
          <w:tcPr>
            <w:tcW w:w="50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Less: Net gain recognized during the period on marketable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231F20"/>
              </w:rPr>
              <w:t>equity securities sold during the period</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(3,264)</w:t>
            </w: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(6,081)</w:t>
            </w: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20"/>
        </w:trPr>
        <w:tc>
          <w:tcPr>
            <w:tcW w:w="5060" w:type="dxa"/>
            <w:vAlign w:val="bottom"/>
            <w:tcBorders>
              <w:top w:val="single" w:sz="8" w:color="E5E6E7"/>
            </w:tcBorders>
            <w:shd w:val="clear" w:color="auto" w:fill="E5E6E7"/>
          </w:tcPr>
          <w:p>
            <w:pPr>
              <w:ind w:left="200"/>
              <w:spacing w:after="0" w:line="220" w:lineRule="exact"/>
              <w:rPr>
                <w:sz w:val="20"/>
                <w:szCs w:val="20"/>
                <w:color w:val="auto"/>
              </w:rPr>
            </w:pPr>
            <w:r>
              <w:rPr>
                <w:rFonts w:ascii="Times New Roman" w:cs="Times New Roman" w:eastAsia="Times New Roman" w:hAnsi="Times New Roman"/>
                <w:sz w:val="20"/>
                <w:szCs w:val="20"/>
                <w:color w:val="414142"/>
              </w:rPr>
              <w:t>Unrealized gain recognized during the period on</w:t>
            </w:r>
          </w:p>
        </w:tc>
        <w:tc>
          <w:tcPr>
            <w:tcW w:w="360" w:type="dxa"/>
            <w:vAlign w:val="bottom"/>
            <w:tcBorders>
              <w:top w:val="single" w:sz="8" w:color="231F20"/>
            </w:tcBorders>
            <w:shd w:val="clear" w:color="auto" w:fill="E5E6E7"/>
          </w:tcPr>
          <w:p>
            <w:pPr>
              <w:spacing w:after="0"/>
              <w:rPr>
                <w:sz w:val="19"/>
                <w:szCs w:val="19"/>
                <w:color w:val="auto"/>
              </w:rPr>
            </w:pPr>
          </w:p>
        </w:tc>
        <w:tc>
          <w:tcPr>
            <w:tcW w:w="1160" w:type="dxa"/>
            <w:vAlign w:val="bottom"/>
            <w:tcBorders>
              <w:top w:val="single" w:sz="8" w:color="231F20"/>
            </w:tcBorders>
            <w:shd w:val="clear" w:color="auto" w:fill="E5E6E7"/>
          </w:tcPr>
          <w:p>
            <w:pPr>
              <w:spacing w:after="0"/>
              <w:rPr>
                <w:sz w:val="19"/>
                <w:szCs w:val="19"/>
                <w:color w:val="auto"/>
              </w:rPr>
            </w:pPr>
          </w:p>
        </w:tc>
        <w:tc>
          <w:tcPr>
            <w:tcW w:w="300" w:type="dxa"/>
            <w:vAlign w:val="bottom"/>
            <w:tcBorders>
              <w:top w:val="single" w:sz="8" w:color="E5E6E7"/>
            </w:tcBorders>
            <w:shd w:val="clear" w:color="auto" w:fill="E5E6E7"/>
          </w:tcPr>
          <w:p>
            <w:pPr>
              <w:spacing w:after="0"/>
              <w:rPr>
                <w:sz w:val="19"/>
                <w:szCs w:val="19"/>
                <w:color w:val="auto"/>
              </w:rPr>
            </w:pPr>
          </w:p>
        </w:tc>
        <w:tc>
          <w:tcPr>
            <w:tcW w:w="240" w:type="dxa"/>
            <w:vAlign w:val="bottom"/>
            <w:tcBorders>
              <w:top w:val="single" w:sz="8" w:color="231F20"/>
            </w:tcBorders>
            <w:shd w:val="clear" w:color="auto" w:fill="E5E6E7"/>
          </w:tcPr>
          <w:p>
            <w:pPr>
              <w:spacing w:after="0"/>
              <w:rPr>
                <w:sz w:val="19"/>
                <w:szCs w:val="19"/>
                <w:color w:val="auto"/>
              </w:rPr>
            </w:pPr>
          </w:p>
        </w:tc>
        <w:tc>
          <w:tcPr>
            <w:tcW w:w="820" w:type="dxa"/>
            <w:vAlign w:val="bottom"/>
            <w:tcBorders>
              <w:top w:val="single" w:sz="8" w:color="231F20"/>
            </w:tcBorders>
            <w:shd w:val="clear" w:color="auto" w:fill="E5E6E7"/>
          </w:tcPr>
          <w:p>
            <w:pPr>
              <w:spacing w:after="0"/>
              <w:rPr>
                <w:sz w:val="19"/>
                <w:szCs w:val="19"/>
                <w:color w:val="auto"/>
              </w:rPr>
            </w:pPr>
          </w:p>
        </w:tc>
        <w:tc>
          <w:tcPr>
            <w:tcW w:w="200" w:type="dxa"/>
            <w:vAlign w:val="bottom"/>
            <w:tcBorders>
              <w:top w:val="single" w:sz="8" w:color="E5E6E7"/>
            </w:tcBorders>
            <w:shd w:val="clear" w:color="auto" w:fill="E5E6E7"/>
          </w:tcPr>
          <w:p>
            <w:pPr>
              <w:spacing w:after="0"/>
              <w:rPr>
                <w:sz w:val="19"/>
                <w:szCs w:val="19"/>
                <w:color w:val="auto"/>
              </w:rPr>
            </w:pPr>
          </w:p>
        </w:tc>
        <w:tc>
          <w:tcPr>
            <w:tcW w:w="220" w:type="dxa"/>
            <w:vAlign w:val="bottom"/>
            <w:tcBorders>
              <w:top w:val="single" w:sz="8" w:color="231F20"/>
            </w:tcBorders>
            <w:shd w:val="clear" w:color="auto" w:fill="E5E6E7"/>
          </w:tcPr>
          <w:p>
            <w:pPr>
              <w:spacing w:after="0"/>
              <w:rPr>
                <w:sz w:val="19"/>
                <w:szCs w:val="19"/>
                <w:color w:val="auto"/>
              </w:rPr>
            </w:pPr>
          </w:p>
        </w:tc>
        <w:tc>
          <w:tcPr>
            <w:tcW w:w="840" w:type="dxa"/>
            <w:vAlign w:val="bottom"/>
            <w:tcBorders>
              <w:top w:val="single" w:sz="8" w:color="231F20"/>
            </w:tcBorders>
            <w:shd w:val="clear" w:color="auto" w:fill="E5E6E7"/>
          </w:tcPr>
          <w:p>
            <w:pPr>
              <w:spacing w:after="0"/>
              <w:rPr>
                <w:sz w:val="19"/>
                <w:szCs w:val="19"/>
                <w:color w:val="auto"/>
              </w:rPr>
            </w:pPr>
          </w:p>
        </w:tc>
        <w:tc>
          <w:tcPr>
            <w:tcW w:w="80" w:type="dxa"/>
            <w:vAlign w:val="bottom"/>
            <w:tcBorders>
              <w:top w:val="single" w:sz="8" w:color="E5E6E7"/>
            </w:tcBorders>
            <w:shd w:val="clear" w:color="auto" w:fill="E5E6E7"/>
          </w:tcPr>
          <w:p>
            <w:pPr>
              <w:spacing w:after="0"/>
              <w:rPr>
                <w:sz w:val="19"/>
                <w:szCs w:val="19"/>
                <w:color w:val="auto"/>
              </w:rPr>
            </w:pPr>
          </w:p>
        </w:tc>
      </w:tr>
      <w:tr>
        <w:trPr>
          <w:trHeight w:val="249"/>
        </w:trPr>
        <w:tc>
          <w:tcPr>
            <w:tcW w:w="506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marketable equity securities still held at the reporting date</w:t>
            </w:r>
          </w:p>
        </w:tc>
        <w:tc>
          <w:tcPr>
            <w:tcW w:w="360" w:type="dxa"/>
            <w:vAlign w:val="bottom"/>
            <w:tcBorders>
              <w:bottom w:val="single" w:sz="8" w:color="231F20"/>
            </w:tcBorders>
            <w:shd w:val="clear" w:color="auto" w:fill="E5E6E7"/>
          </w:tcPr>
          <w:p>
            <w:pPr>
              <w:jc w:val="right"/>
              <w:ind w:right="160"/>
              <w:spacing w:after="0"/>
              <w:rPr>
                <w:sz w:val="20"/>
                <w:szCs w:val="20"/>
                <w:color w:val="auto"/>
              </w:rPr>
            </w:pPr>
            <w:r>
              <w:rPr>
                <w:rFonts w:ascii="Times New Roman" w:cs="Times New Roman" w:eastAsia="Times New Roman" w:hAnsi="Times New Roman"/>
                <w:sz w:val="20"/>
                <w:szCs w:val="20"/>
                <w:color w:val="414142"/>
                <w:w w:val="79"/>
              </w:rPr>
              <w:t>$</w:t>
            </w:r>
          </w:p>
        </w:tc>
        <w:tc>
          <w:tcPr>
            <w:tcW w:w="11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(13,207)</w:t>
            </w:r>
          </w:p>
        </w:tc>
        <w:tc>
          <w:tcPr>
            <w:tcW w:w="300" w:type="dxa"/>
            <w:vAlign w:val="bottom"/>
            <w:shd w:val="clear" w:color="auto" w:fill="E5E6E7"/>
          </w:tcPr>
          <w:p>
            <w:pPr>
              <w:spacing w:after="0"/>
              <w:rPr>
                <w:sz w:val="21"/>
                <w:szCs w:val="21"/>
                <w:color w:val="auto"/>
              </w:rPr>
            </w:pPr>
          </w:p>
        </w:tc>
        <w:tc>
          <w:tcPr>
            <w:tcW w:w="240" w:type="dxa"/>
            <w:vAlign w:val="bottom"/>
            <w:tcBorders>
              <w:bottom w:val="single" w:sz="8" w:color="231F20"/>
            </w:tcBorders>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w w:val="79"/>
              </w:rPr>
              <w:t>$</w:t>
            </w:r>
          </w:p>
        </w:tc>
        <w:tc>
          <w:tcPr>
            <w:tcW w:w="82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(6,029)</w:t>
            </w:r>
          </w:p>
        </w:tc>
        <w:tc>
          <w:tcPr>
            <w:tcW w:w="200" w:type="dxa"/>
            <w:vAlign w:val="bottom"/>
            <w:shd w:val="clear" w:color="auto" w:fill="E5E6E7"/>
          </w:tcPr>
          <w:p>
            <w:pPr>
              <w:spacing w:after="0"/>
              <w:rPr>
                <w:sz w:val="21"/>
                <w:szCs w:val="21"/>
                <w:color w:val="auto"/>
              </w:rPr>
            </w:pPr>
          </w:p>
        </w:tc>
        <w:tc>
          <w:tcPr>
            <w:tcW w:w="220" w:type="dxa"/>
            <w:vAlign w:val="bottom"/>
            <w:tcBorders>
              <w:bottom w:val="single" w:sz="8" w:color="231F20"/>
            </w:tcBorders>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w w:val="79"/>
              </w:rPr>
              <w:t>$</w:t>
            </w:r>
          </w:p>
        </w:tc>
        <w:tc>
          <w:tcPr>
            <w:tcW w:w="84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(9,807)</w:t>
            </w:r>
          </w:p>
        </w:tc>
        <w:tc>
          <w:tcPr>
            <w:tcW w:w="80" w:type="dxa"/>
            <w:vAlign w:val="bottom"/>
            <w:shd w:val="clear" w:color="auto" w:fill="E5E6E7"/>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-953135</wp:posOffset>
            </wp:positionV>
            <wp:extent cx="265874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6">
                      <a:extLst>
                        <a:ext uri="{28A0092B-C50C-407E-A947-70E740481C1C}"/>
                      </a:extLst>
                    </a:blip>
                    <a:srcRect/>
                    <a:stretch>
                      <a:fillRect/>
                    </a:stretch>
                  </pic:blipFill>
                  <pic:spPr bwMode="auto">
                    <a:xfrm>
                      <a:off x="0" y="0"/>
                      <a:ext cx="2658745" cy="38100"/>
                    </a:xfrm>
                    <a:prstGeom prst="rect">
                      <a:avLst/>
                    </a:prstGeom>
                    <a:noFill/>
                  </pic:spPr>
                </pic:pic>
              </a:graphicData>
            </a:graphic>
          </wp:anchor>
        </w:drawing>
      </w:r>
    </w:p>
    <w:p>
      <w:pPr>
        <w:sectPr>
          <w:pgSz w:w="11880" w:h="15480" w:orient="portrait"/>
          <w:cols w:equalWidth="0" w:num="1">
            <w:col w:w="10020"/>
          </w:cols>
          <w:pgMar w:left="900" w:top="102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181</w:t>
      </w:r>
    </w:p>
    <w:p>
      <w:pPr>
        <w:sectPr>
          <w:pgSz w:w="11880" w:h="15480" w:orient="portrait"/>
          <w:cols w:equalWidth="0" w:num="1">
            <w:col w:w="10020"/>
          </w:cols>
          <w:pgMar w:left="900" w:top="1029" w:right="960" w:bottom="0" w:gutter="0" w:footer="0" w:header="0"/>
          <w:type w:val="continuous"/>
        </w:sectPr>
      </w:pPr>
    </w:p>
    <w:bookmarkStart w:id="189" w:name="page190"/>
    <w:bookmarkEnd w:id="189"/>
    <w:p>
      <w:pPr>
        <w:ind w:right="7680"/>
        <w:spacing w:after="0" w:line="367" w:lineRule="auto"/>
        <w:tabs>
          <w:tab w:leader="none" w:pos="490" w:val="left"/>
        </w:tabs>
        <w:numPr>
          <w:ilvl w:val="0"/>
          <w:numId w:val="8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RELATED PARTIES </w:t>
      </w:r>
      <w:r>
        <w:rPr>
          <w:rFonts w:ascii="Times New Roman" w:cs="Times New Roman" w:eastAsia="Times New Roman" w:hAnsi="Times New Roman"/>
          <w:sz w:val="20"/>
          <w:szCs w:val="20"/>
          <w:i w:val="1"/>
          <w:iCs w:val="1"/>
          <w:color w:val="231F20"/>
        </w:rPr>
        <w:t>Strategic Investment</w:t>
      </w:r>
    </w:p>
    <w:p>
      <w:pPr>
        <w:spacing w:after="0" w:line="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Company's Founder and Chief Executive Officer is a co-founder and serves as Executive Chairman of the board of Pathos AI, Inc. ("Pathos"). On August 19, 2021, the Company entered into a Master Agreement with Pathos, which was subsequently amended on February 12, 2024 (as amended, the "Amended and Restated Master Agreement"), for the purpose of furthering the commercialization efforts of drug development. In connection therewith, the Company received a warrant to purchase 23,456,790 shares, or approximately 15% of the then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Amended and Restated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202"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19"/>
          <w:szCs w:val="19"/>
          <w:color w:val="231F20"/>
        </w:rPr>
        <w:t>On April 17, 2025, the Company entered into an Order Form (the "Order Form") regarding both the development of a foundation large multimodal model in the field of oncology (the “Foundation Model”) and the licensing of certain de-identified multi- modal data to assist in the development of the Foundation Model, with Pathos under the Amended and Restated Master Agreement (the Amended and Restated Master Agreement and the Order Form collectively referred to herein as the “Pathos Master Agreement”). Pursuant to the Pathos Master Agreement, (i) Pathos will be responsible for Foundation Model development activities under the Statement of Work with AstraZeneca under the Master Services Agreement, dated November 17, 2021 between the Company and AstraZeneca, as amended form time to time (the Master Services Agreement and the Statement of Work are collectively referred to herein as the “MSA”), (ii) the Company will license Pathos a comprehensive de-identified multi-modal dataset for the sole purpose of assisting in the development and training of the Foundation Model under the MSA, (iii) Pathos will pay the Company data license fees of $200 million over a three-year period, including an upfront payment of $50 million paid as of April 2025, (iv) the Company will provide a secure cloud environment to host the Foundation Model, for which Pathos will pay the Company the first $60 million of cloud compute costs, (v) the Company will receive a license to use the Foundation Model upon its completion (with certain field restrictions and the right of sublicense to AstraZeneca), and (vi) in consideration of Pathos’ commitments under the Pathos Master Agreement, the Company will pay Pathos $35 million, of which $25 million has been paid to date. Pathos, in its sole discretion, may pay up to 50% of the data license fees owed to the Company in shares of Pathos’ Series D Preferred Stock.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Consulting Arrangement and Equity Grant</w:t>
      </w:r>
    </w:p>
    <w:p>
      <w:pPr>
        <w:spacing w:after="0" w:line="23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On February 16, 2026, the Company entered into an Independent Contractor Agreement (the “Huerga Contractor Agreement”) with Iker Huerga, Chief Executive Officer of Pathos, pursuant to which Mr. Huerga agreed to assist the Company in negotiating, managing, and expanding a new commercial agreement (the "Commercial Agreement"). Compensation under the Huerga Contractor Agreement consists solely of RSUs and PSUs. Mr. Huerga will earn 25,000 RSUS for services rendered in 2025 and expected to be rendered in 2026. Mr. Huerga has the potential to earn an additional 175,000 PSUs based on milestones that include certain minimum purchase commitments.</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 has entered into various agreements with our related parties, which primarily encompasses the development of the Foundation Model, access to the Company's Lens product, sequencing, clinical research organization and other data services. The Company has recognized $65.3 million, $4.5 million and $0.7 million of revenue from related parties for the years ended December 31, 2025, 2024 and 2023, respectively.</w:t>
      </w:r>
    </w:p>
    <w:p>
      <w:pPr>
        <w:spacing w:after="0" w:line="217"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As of December 31, 2025 and 2024 there was no amount due to related parties. As of December 31, 2025 and 2024 the amount due from related parties was $6.4 million and $4.3 million, respectively.</w:t>
      </w:r>
    </w:p>
    <w:p>
      <w:pPr>
        <w:spacing w:after="0" w:line="169"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related party asset and related party asset, less current portion were $8.8 million and $16.2 million, respectively. As of December 31, 2024, the related party asset and related party asset, less current portion were both $0. The related party asset represents future services to be provided by Pathos under the Pathos Master Agreement.</w:t>
      </w:r>
    </w:p>
    <w:p>
      <w:pPr>
        <w:spacing w:after="0" w:line="68"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As of December 31, 2025, deferred revenue and deferred revenue, less current portion includes $3.9 million and $0 million of related party deferred revenue, respectively. As of December 31, 2024, there was no related party deferred revenue.</w:t>
      </w:r>
    </w:p>
    <w:p>
      <w:pPr>
        <w:sectPr>
          <w:pgSz w:w="11880" w:h="15480" w:orient="portrait"/>
          <w:cols w:equalWidth="0" w:num="1">
            <w:col w:w="10060"/>
          </w:cols>
          <w:pgMar w:left="900" w:top="113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182</w:t>
      </w:r>
    </w:p>
    <w:p>
      <w:pPr>
        <w:sectPr>
          <w:pgSz w:w="11880" w:h="15480" w:orient="portrait"/>
          <w:cols w:equalWidth="0" w:num="1">
            <w:col w:w="10060"/>
          </w:cols>
          <w:pgMar w:left="900" w:top="1131" w:right="920" w:bottom="0" w:gutter="0" w:footer="0" w:header="0"/>
          <w:type w:val="continuous"/>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183</w:t>
      </w:r>
    </w:p>
    <w:p>
      <w:pPr>
        <w:sectPr>
          <w:pgSz w:w="11880" w:h="15480" w:orient="portrait"/>
          <w:cols w:equalWidth="0" w:num="1">
            <w:col w:w="9000"/>
          </w:cols>
          <w:pgMar w:left="1440" w:top="1440" w:right="1440" w:bottom="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these disclosure controls and procedures were effective at a reasonable assurance level as of December 31, 2025.</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There was no change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Limitations on Effectiveness of Controls</w:t>
      </w:r>
    </w:p>
    <w:p>
      <w:pPr>
        <w:spacing w:after="0" w:line="120" w:lineRule="exact"/>
        <w:rPr>
          <w:sz w:val="20"/>
          <w:szCs w:val="20"/>
          <w:color w:val="auto"/>
        </w:rPr>
      </w:pPr>
    </w:p>
    <w:p>
      <w:pPr>
        <w:ind w:right="200" w:firstLine="490"/>
        <w:spacing w:after="0" w:line="243" w:lineRule="auto"/>
        <w:rPr>
          <w:sz w:val="20"/>
          <w:szCs w:val="20"/>
          <w:color w:val="auto"/>
        </w:rPr>
      </w:pPr>
      <w:r>
        <w:rPr>
          <w:rFonts w:ascii="Times New Roman" w:cs="Times New Roman" w:eastAsia="Times New Roman" w:hAnsi="Times New Roman"/>
          <w:sz w:val="20"/>
          <w:szCs w:val="20"/>
          <w:color w:val="231F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3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Management's Report on Internal Control over Financial Reporting</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management is responsible for establishing and maintaining adequate internal control over financial reporting, as defined in Rule 13a -15(f) under the Exchange Act. Under the supervision and with the participation of our management, including our Chief Executive Officer and Chief Financial Officer, we conducted an assessment of the effectiveness of our internal control over financial reporting based on the framework in "Internal Control Integrated Framework" (2013) issued by the Committee of Sponsoring Organizations of the Treadway Commission (COSO).</w:t>
      </w:r>
    </w:p>
    <w:p>
      <w:pPr>
        <w:spacing w:after="0" w:line="7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Based on the results of our assessment, our management concluded that our internal control over financial reporting was effective as of December 31, 2025. Management excluded Ambry Genetics Corporation, or Ambry, and Paige.AI, Inc. or Paige, from our evaluation of internal control over financial reporting as of December 31, 2025. This exclusion is in accordance with the SEC’s general guidance that an assessment of a recently acquired business may be omitted from the scope of our evaluation in the year of acquisition. Ambry and Paige are wholly-owned subsidiaries whose total assets and total revenues excluded from management's assessment of internal control over financial reporting collectively represent approximately 11% and 29%, respectively, of the related consolidated financial statement amounts as of and for the year ended December 31, 2025.</w:t>
      </w:r>
    </w:p>
    <w:p>
      <w:pPr>
        <w:spacing w:after="0" w:line="82"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as of December 31, 2025, has been audited by PricewaterhouseCoopers LLP, an independent registered public accounting firm, as stated in their report included in this Annual Report on Form 10-K.</w:t>
      </w:r>
    </w:p>
    <w:p>
      <w:pPr>
        <w:sectPr>
          <w:pgSz w:w="11880" w:h="15480" w:orient="portrait"/>
          <w:cols w:equalWidth="0" w:num="1">
            <w:col w:w="10060"/>
          </w:cols>
          <w:pgMar w:left="900" w:top="109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184</w:t>
      </w:r>
    </w:p>
    <w:p>
      <w:pPr>
        <w:sectPr>
          <w:pgSz w:w="11880" w:h="15480" w:orient="portrait"/>
          <w:cols w:equalWidth="0" w:num="1">
            <w:col w:w="10060"/>
          </w:cols>
          <w:pgMar w:left="900" w:top="1095" w:right="920" w:bottom="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Disclosure of Trading Arrangements</w:t>
      </w:r>
    </w:p>
    <w:p>
      <w:pPr>
        <w:spacing w:after="0" w:line="111" w:lineRule="exact"/>
        <w:rPr>
          <w:sz w:val="20"/>
          <w:szCs w:val="20"/>
          <w:color w:val="auto"/>
        </w:rPr>
      </w:pPr>
    </w:p>
    <w:p>
      <w:pPr>
        <w:jc w:val="both"/>
        <w:ind w:right="60" w:firstLine="490"/>
        <w:spacing w:after="0" w:line="249" w:lineRule="auto"/>
        <w:rPr>
          <w:sz w:val="20"/>
          <w:szCs w:val="20"/>
          <w:color w:val="auto"/>
        </w:rPr>
      </w:pPr>
      <w:r>
        <w:rPr>
          <w:rFonts w:ascii="Times New Roman" w:cs="Times New Roman" w:eastAsia="Times New Roman" w:hAnsi="Times New Roman"/>
          <w:sz w:val="20"/>
          <w:szCs w:val="20"/>
          <w:color w:val="231F20"/>
        </w:rPr>
        <w:t>During the fiscal quarter ended December 31, 2025, none of our directors or officers (as defined in Rule 16a-1(f) under the Exchange Act) adopted or terminated a “Rule 10b5-1 trading arrangement” or a “non-Rule 10b5-1 trading arrangement,” as each term is defined in Item 408 of Regulation S-K, except as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Type of Trading</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Arrangement</w:t>
            </w:r>
          </w:p>
        </w:tc>
        <w:tc>
          <w:tcPr>
            <w:tcW w:w="10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Total Shares of</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231F20"/>
                <w:w w:val="99"/>
              </w:rPr>
              <w:t>Rule</w:t>
            </w:r>
          </w:p>
        </w:tc>
        <w:tc>
          <w:tcPr>
            <w:tcW w:w="100" w:type="dxa"/>
            <w:vAlign w:val="bottom"/>
          </w:tcPr>
          <w:p>
            <w:pPr>
              <w:spacing w:after="0"/>
              <w:rPr>
                <w:sz w:val="15"/>
                <w:szCs w:val="15"/>
                <w:color w:val="auto"/>
              </w:rPr>
            </w:pPr>
          </w:p>
        </w:tc>
        <w:tc>
          <w:tcPr>
            <w:tcW w:w="70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231F20"/>
              </w:rPr>
              <w:t>Non-Rule</w:t>
            </w:r>
          </w:p>
        </w:tc>
        <w:tc>
          <w:tcPr>
            <w:tcW w:w="100" w:type="dxa"/>
            <w:vAlign w:val="bottom"/>
          </w:tcPr>
          <w:p>
            <w:pPr>
              <w:spacing w:after="0"/>
              <w:rPr>
                <w:sz w:val="15"/>
                <w:szCs w:val="15"/>
                <w:color w:val="auto"/>
              </w:rPr>
            </w:pPr>
          </w:p>
        </w:tc>
        <w:tc>
          <w:tcPr>
            <w:tcW w:w="12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231F20"/>
                <w:w w:val="99"/>
              </w:rPr>
              <w:t>Class A common</w:t>
            </w:r>
          </w:p>
        </w:tc>
        <w:tc>
          <w:tcPr>
            <w:tcW w:w="100" w:type="dxa"/>
            <w:vAlign w:val="bottom"/>
          </w:tcPr>
          <w:p>
            <w:pPr>
              <w:spacing w:after="0"/>
              <w:rPr>
                <w:sz w:val="15"/>
                <w:szCs w:val="15"/>
                <w:color w:val="auto"/>
              </w:rPr>
            </w:pPr>
          </w:p>
        </w:tc>
        <w:tc>
          <w:tcPr>
            <w:tcW w:w="14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231F20"/>
              </w:rPr>
              <w:t>Expiration Date</w:t>
            </w:r>
          </w:p>
        </w:tc>
        <w:tc>
          <w:tcPr>
            <w:tcW w:w="0" w:type="dxa"/>
            <w:vAlign w:val="bottom"/>
          </w:tcPr>
          <w:p>
            <w:pPr>
              <w:spacing w:after="0"/>
              <w:rPr>
                <w:sz w:val="1"/>
                <w:szCs w:val="1"/>
                <w:color w:val="auto"/>
              </w:rPr>
            </w:pPr>
          </w:p>
        </w:tc>
      </w:tr>
      <w:tr>
        <w:trPr>
          <w:trHeight w:val="202"/>
        </w:trPr>
        <w:tc>
          <w:tcPr>
            <w:tcW w:w="3120" w:type="dxa"/>
            <w:vAlign w:val="bottom"/>
            <w:tcBorders>
              <w:bottom w:val="single" w:sz="8" w:color="414142"/>
            </w:tcBorders>
          </w:tcPr>
          <w:p>
            <w:pPr>
              <w:spacing w:after="0"/>
              <w:rPr>
                <w:sz w:val="20"/>
                <w:szCs w:val="20"/>
                <w:color w:val="auto"/>
              </w:rPr>
            </w:pPr>
            <w:r>
              <w:rPr>
                <w:rFonts w:ascii="Times New Roman" w:cs="Times New Roman" w:eastAsia="Times New Roman" w:hAnsi="Times New Roman"/>
                <w:sz w:val="16"/>
                <w:szCs w:val="16"/>
                <w:b w:val="1"/>
                <w:bCs w:val="1"/>
                <w:color w:val="231F20"/>
              </w:rPr>
              <w:t>Name and Position</w:t>
            </w:r>
          </w:p>
        </w:tc>
        <w:tc>
          <w:tcPr>
            <w:tcW w:w="100" w:type="dxa"/>
            <w:vAlign w:val="bottom"/>
            <w:tcBorders>
              <w:bottom w:val="single" w:sz="8" w:color="E5E6E7"/>
            </w:tcBorders>
          </w:tcPr>
          <w:p>
            <w:pPr>
              <w:spacing w:after="0"/>
              <w:rPr>
                <w:sz w:val="17"/>
                <w:szCs w:val="17"/>
                <w:color w:val="auto"/>
              </w:rPr>
            </w:pPr>
          </w:p>
        </w:tc>
        <w:tc>
          <w:tcPr>
            <w:tcW w:w="1020" w:type="dxa"/>
            <w:vAlign w:val="bottom"/>
            <w:tcBorders>
              <w:bottom w:val="single" w:sz="8" w:color="414142"/>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Action</w:t>
            </w:r>
          </w:p>
        </w:tc>
        <w:tc>
          <w:tcPr>
            <w:tcW w:w="100" w:type="dxa"/>
            <w:vAlign w:val="bottom"/>
            <w:tcBorders>
              <w:bottom w:val="single" w:sz="8" w:color="E5E6E7"/>
            </w:tcBorders>
          </w:tcPr>
          <w:p>
            <w:pPr>
              <w:spacing w:after="0"/>
              <w:rPr>
                <w:sz w:val="17"/>
                <w:szCs w:val="17"/>
                <w:color w:val="auto"/>
              </w:rPr>
            </w:pPr>
          </w:p>
        </w:tc>
        <w:tc>
          <w:tcPr>
            <w:tcW w:w="1300" w:type="dxa"/>
            <w:vAlign w:val="bottom"/>
            <w:tcBorders>
              <w:bottom w:val="single" w:sz="8" w:color="414142"/>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Date</w:t>
            </w:r>
          </w:p>
        </w:tc>
        <w:tc>
          <w:tcPr>
            <w:tcW w:w="100" w:type="dxa"/>
            <w:vAlign w:val="bottom"/>
            <w:tcBorders>
              <w:bottom w:val="single" w:sz="8" w:color="E5E6E7"/>
            </w:tcBorders>
          </w:tcPr>
          <w:p>
            <w:pPr>
              <w:spacing w:after="0"/>
              <w:rPr>
                <w:sz w:val="17"/>
                <w:szCs w:val="17"/>
                <w:color w:val="auto"/>
              </w:rPr>
            </w:pPr>
          </w:p>
        </w:tc>
        <w:tc>
          <w:tcPr>
            <w:tcW w:w="720" w:type="dxa"/>
            <w:vAlign w:val="bottom"/>
            <w:tcBorders>
              <w:bottom w:val="single" w:sz="8" w:color="414142"/>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10b5-1*</w:t>
            </w:r>
          </w:p>
        </w:tc>
        <w:tc>
          <w:tcPr>
            <w:tcW w:w="100" w:type="dxa"/>
            <w:vAlign w:val="bottom"/>
            <w:tcBorders>
              <w:bottom w:val="single" w:sz="8" w:color="E5E6E7"/>
            </w:tcBorders>
          </w:tcPr>
          <w:p>
            <w:pPr>
              <w:spacing w:after="0"/>
              <w:rPr>
                <w:sz w:val="17"/>
                <w:szCs w:val="17"/>
                <w:color w:val="auto"/>
              </w:rPr>
            </w:pPr>
          </w:p>
        </w:tc>
        <w:tc>
          <w:tcPr>
            <w:tcW w:w="700" w:type="dxa"/>
            <w:vAlign w:val="bottom"/>
            <w:tcBorders>
              <w:bottom w:val="single" w:sz="8" w:color="414142"/>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10b5-1**</w:t>
            </w:r>
          </w:p>
        </w:tc>
        <w:tc>
          <w:tcPr>
            <w:tcW w:w="100" w:type="dxa"/>
            <w:vAlign w:val="bottom"/>
            <w:tcBorders>
              <w:bottom w:val="single" w:sz="8" w:color="E5E6E7"/>
            </w:tcBorders>
          </w:tcPr>
          <w:p>
            <w:pPr>
              <w:spacing w:after="0"/>
              <w:rPr>
                <w:sz w:val="17"/>
                <w:szCs w:val="17"/>
                <w:color w:val="auto"/>
              </w:rPr>
            </w:pPr>
          </w:p>
        </w:tc>
        <w:tc>
          <w:tcPr>
            <w:tcW w:w="1200" w:type="dxa"/>
            <w:vAlign w:val="bottom"/>
            <w:tcBorders>
              <w:bottom w:val="single" w:sz="8" w:color="414142"/>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stock to be Sold</w:t>
            </w:r>
          </w:p>
        </w:tc>
        <w:tc>
          <w:tcPr>
            <w:tcW w:w="100" w:type="dxa"/>
            <w:vAlign w:val="bottom"/>
            <w:tcBorders>
              <w:bottom w:val="single" w:sz="8" w:color="E5E6E7"/>
            </w:tcBorders>
          </w:tcPr>
          <w:p>
            <w:pPr>
              <w:spacing w:after="0"/>
              <w:rPr>
                <w:sz w:val="17"/>
                <w:szCs w:val="17"/>
                <w:color w:val="auto"/>
              </w:rPr>
            </w:pPr>
          </w:p>
        </w:tc>
        <w:tc>
          <w:tcPr>
            <w:tcW w:w="1420" w:type="dxa"/>
            <w:vAlign w:val="bottom"/>
            <w:tcBorders>
              <w:bottom w:val="single" w:sz="8" w:color="414142"/>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1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1020" w:type="dxa"/>
            <w:vAlign w:val="bottom"/>
            <w:vMerge w:val="restart"/>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14142"/>
                <w:w w:val="99"/>
              </w:rPr>
              <w:t>Adoption</w:t>
            </w:r>
          </w:p>
        </w:tc>
        <w:tc>
          <w:tcPr>
            <w:tcW w:w="100" w:type="dxa"/>
            <w:vAlign w:val="bottom"/>
            <w:shd w:val="clear" w:color="auto" w:fill="E5E6E7"/>
          </w:tcPr>
          <w:p>
            <w:pPr>
              <w:spacing w:after="0"/>
              <w:rPr>
                <w:sz w:val="14"/>
                <w:szCs w:val="14"/>
                <w:color w:val="auto"/>
              </w:rPr>
            </w:pPr>
          </w:p>
        </w:tc>
        <w:tc>
          <w:tcPr>
            <w:tcW w:w="1300" w:type="dxa"/>
            <w:vAlign w:val="bottom"/>
            <w:shd w:val="clear" w:color="auto" w:fill="E5E6E7"/>
          </w:tcPr>
          <w:p>
            <w:pPr>
              <w:jc w:val="center"/>
              <w:spacing w:after="0" w:line="164" w:lineRule="exact"/>
              <w:rPr>
                <w:sz w:val="20"/>
                <w:szCs w:val="20"/>
                <w:color w:val="auto"/>
              </w:rPr>
            </w:pPr>
            <w:r>
              <w:rPr>
                <w:rFonts w:ascii="Times New Roman" w:cs="Times New Roman" w:eastAsia="Times New Roman" w:hAnsi="Times New Roman"/>
                <w:sz w:val="18"/>
                <w:szCs w:val="18"/>
                <w:color w:val="414142"/>
                <w:w w:val="99"/>
              </w:rPr>
              <w:t>November 10,</w:t>
            </w:r>
          </w:p>
        </w:tc>
        <w:tc>
          <w:tcPr>
            <w:tcW w:w="100" w:type="dxa"/>
            <w:vAlign w:val="bottom"/>
            <w:shd w:val="clear" w:color="auto" w:fill="E5E6E7"/>
          </w:tcPr>
          <w:p>
            <w:pPr>
              <w:spacing w:after="0"/>
              <w:rPr>
                <w:sz w:val="14"/>
                <w:szCs w:val="14"/>
                <w:color w:val="auto"/>
              </w:rPr>
            </w:pPr>
          </w:p>
        </w:tc>
        <w:tc>
          <w:tcPr>
            <w:tcW w:w="72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700" w:type="dxa"/>
            <w:vAlign w:val="bottom"/>
            <w:shd w:val="clear" w:color="auto" w:fill="E5E6E7"/>
          </w:tcPr>
          <w:p>
            <w:pPr>
              <w:spacing w:after="0"/>
              <w:rPr>
                <w:sz w:val="14"/>
                <w:szCs w:val="14"/>
                <w:color w:val="auto"/>
              </w:rPr>
            </w:pPr>
          </w:p>
        </w:tc>
        <w:tc>
          <w:tcPr>
            <w:tcW w:w="100" w:type="dxa"/>
            <w:vAlign w:val="bottom"/>
            <w:shd w:val="clear" w:color="auto" w:fill="E5E6E7"/>
          </w:tcPr>
          <w:p>
            <w:pPr>
              <w:spacing w:after="0"/>
              <w:rPr>
                <w:sz w:val="14"/>
                <w:szCs w:val="14"/>
                <w:color w:val="auto"/>
              </w:rPr>
            </w:pPr>
          </w:p>
        </w:tc>
        <w:tc>
          <w:tcPr>
            <w:tcW w:w="1200" w:type="dxa"/>
            <w:vAlign w:val="bottom"/>
            <w:vMerge w:val="restart"/>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14142"/>
                <w:w w:val="95"/>
              </w:rPr>
              <w:t>Up to 14,033</w:t>
            </w:r>
            <w:r>
              <w:rPr>
                <w:rFonts w:ascii="Times New Roman" w:cs="Times New Roman" w:eastAsia="Times New Roman" w:hAnsi="Times New Roman"/>
                <w:sz w:val="24"/>
                <w:szCs w:val="24"/>
                <w:color w:val="414142"/>
                <w:w w:val="95"/>
                <w:vertAlign w:val="superscript"/>
              </w:rPr>
              <w:t>(1)</w:t>
            </w:r>
          </w:p>
        </w:tc>
        <w:tc>
          <w:tcPr>
            <w:tcW w:w="100" w:type="dxa"/>
            <w:vAlign w:val="bottom"/>
            <w:shd w:val="clear" w:color="auto" w:fill="E5E6E7"/>
          </w:tcPr>
          <w:p>
            <w:pPr>
              <w:spacing w:after="0"/>
              <w:rPr>
                <w:sz w:val="14"/>
                <w:szCs w:val="14"/>
                <w:color w:val="auto"/>
              </w:rPr>
            </w:pPr>
          </w:p>
        </w:tc>
        <w:tc>
          <w:tcPr>
            <w:tcW w:w="1420" w:type="dxa"/>
            <w:vAlign w:val="bottom"/>
            <w:shd w:val="clear" w:color="auto" w:fill="E5E6E7"/>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120" w:type="dxa"/>
            <w:vAlign w:val="bottom"/>
            <w:shd w:val="clear" w:color="auto" w:fill="E5E6E7"/>
          </w:tcPr>
          <w:p>
            <w:pPr>
              <w:ind w:left="660"/>
              <w:spacing w:after="0"/>
              <w:rPr>
                <w:sz w:val="20"/>
                <w:szCs w:val="20"/>
                <w:color w:val="auto"/>
              </w:rPr>
            </w:pPr>
            <w:r>
              <w:rPr>
                <w:rFonts w:ascii="Times New Roman" w:cs="Times New Roman" w:eastAsia="Times New Roman" w:hAnsi="Times New Roman"/>
                <w:sz w:val="18"/>
                <w:szCs w:val="18"/>
                <w:color w:val="414142"/>
              </w:rPr>
              <w:t>Eric D. Belcher, Director</w:t>
            </w:r>
          </w:p>
        </w:tc>
        <w:tc>
          <w:tcPr>
            <w:tcW w:w="100" w:type="dxa"/>
            <w:vAlign w:val="bottom"/>
            <w:shd w:val="clear" w:color="auto" w:fill="E5E6E7"/>
          </w:tcPr>
          <w:p>
            <w:pPr>
              <w:spacing w:after="0"/>
              <w:rPr>
                <w:sz w:val="19"/>
                <w:szCs w:val="19"/>
                <w:color w:val="auto"/>
              </w:rPr>
            </w:pPr>
          </w:p>
        </w:tc>
        <w:tc>
          <w:tcPr>
            <w:tcW w:w="1020" w:type="dxa"/>
            <w:vAlign w:val="bottom"/>
            <w:vMerge w:val="continue"/>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30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14142"/>
                <w:w w:val="99"/>
              </w:rPr>
              <w:t>2025</w:t>
            </w:r>
          </w:p>
        </w:tc>
        <w:tc>
          <w:tcPr>
            <w:tcW w:w="100" w:type="dxa"/>
            <w:vAlign w:val="bottom"/>
            <w:shd w:val="clear" w:color="auto" w:fill="E5E6E7"/>
          </w:tcPr>
          <w:p>
            <w:pPr>
              <w:spacing w:after="0"/>
              <w:rPr>
                <w:sz w:val="19"/>
                <w:szCs w:val="19"/>
                <w:color w:val="auto"/>
              </w:rPr>
            </w:pPr>
          </w:p>
        </w:tc>
        <w:tc>
          <w:tcPr>
            <w:tcW w:w="720" w:type="dxa"/>
            <w:vAlign w:val="bottom"/>
            <w:shd w:val="clear" w:color="auto" w:fill="E5E6E7"/>
          </w:tcPr>
          <w:p>
            <w:pPr>
              <w:jc w:val="center"/>
              <w:spacing w:after="0"/>
              <w:rPr>
                <w:sz w:val="20"/>
                <w:szCs w:val="20"/>
                <w:color w:val="auto"/>
              </w:rPr>
            </w:pPr>
            <w:r>
              <w:rPr>
                <w:rFonts w:ascii="Times New Roman" w:cs="Times New Roman" w:eastAsia="Times New Roman" w:hAnsi="Times New Roman"/>
                <w:sz w:val="18"/>
                <w:szCs w:val="18"/>
                <w:color w:val="414142"/>
                <w:w w:val="91"/>
              </w:rPr>
              <w:t>X</w:t>
            </w:r>
          </w:p>
        </w:tc>
        <w:tc>
          <w:tcPr>
            <w:tcW w:w="10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200" w:type="dxa"/>
            <w:vAlign w:val="bottom"/>
            <w:vMerge w:val="continue"/>
            <w:shd w:val="clear" w:color="auto" w:fill="E5E6E7"/>
          </w:tcPr>
          <w:p>
            <w:pPr>
              <w:spacing w:after="0"/>
              <w:rPr>
                <w:sz w:val="19"/>
                <w:szCs w:val="19"/>
                <w:color w:val="auto"/>
              </w:rPr>
            </w:pPr>
          </w:p>
        </w:tc>
        <w:tc>
          <w:tcPr>
            <w:tcW w:w="100" w:type="dxa"/>
            <w:vAlign w:val="bottom"/>
            <w:shd w:val="clear" w:color="auto" w:fill="E5E6E7"/>
          </w:tcPr>
          <w:p>
            <w:pPr>
              <w:spacing w:after="0"/>
              <w:rPr>
                <w:sz w:val="19"/>
                <w:szCs w:val="19"/>
                <w:color w:val="auto"/>
              </w:rPr>
            </w:pPr>
          </w:p>
        </w:tc>
        <w:tc>
          <w:tcPr>
            <w:tcW w:w="1420" w:type="dxa"/>
            <w:vAlign w:val="bottom"/>
            <w:shd w:val="clear" w:color="auto" w:fill="E5E6E7"/>
          </w:tcPr>
          <w:p>
            <w:pPr>
              <w:ind w:left="140"/>
              <w:spacing w:after="0"/>
              <w:rPr>
                <w:sz w:val="20"/>
                <w:szCs w:val="20"/>
                <w:color w:val="auto"/>
              </w:rPr>
            </w:pPr>
            <w:r>
              <w:rPr>
                <w:rFonts w:ascii="Times New Roman" w:cs="Times New Roman" w:eastAsia="Times New Roman" w:hAnsi="Times New Roman"/>
                <w:sz w:val="18"/>
                <w:szCs w:val="18"/>
                <w:color w:val="414142"/>
              </w:rPr>
              <w:t>March 15, 2027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spacing w:after="0" w:line="254" w:lineRule="auto"/>
        <w:tabs>
          <w:tab w:leader="none" w:pos="150" w:val="left"/>
        </w:tabs>
        <w:numPr>
          <w:ilvl w:val="0"/>
          <w:numId w:val="8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Contract, instruction or written plan intended to satisfy the affirmative defense conditions of Rule 10b5-1(c) under the Exchange Act.</w:t>
      </w:r>
    </w:p>
    <w:p>
      <w:pPr>
        <w:spacing w:after="0" w:line="1" w:lineRule="exact"/>
        <w:rPr>
          <w:rFonts w:ascii="Times New Roman" w:cs="Times New Roman" w:eastAsia="Times New Roman" w:hAnsi="Times New Roman"/>
          <w:sz w:val="20"/>
          <w:szCs w:val="20"/>
          <w:color w:val="231F20"/>
        </w:rPr>
      </w:pPr>
    </w:p>
    <w:p>
      <w:pPr>
        <w:ind w:left="260" w:hanging="260"/>
        <w:spacing w:after="0"/>
        <w:tabs>
          <w:tab w:leader="none" w:pos="260" w:val="left"/>
        </w:tabs>
        <w:numPr>
          <w:ilvl w:val="0"/>
          <w:numId w:val="8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“Non-Rule 10b5-1 trading arrangement” as defined in Item 408(c) of Regulation S-K under the Exchange Act.</w:t>
      </w:r>
    </w:p>
    <w:p>
      <w:pPr>
        <w:ind w:left="480" w:hanging="480"/>
        <w:spacing w:after="0"/>
        <w:tabs>
          <w:tab w:leader="none" w:pos="480" w:val="left"/>
        </w:tabs>
        <w:numPr>
          <w:ilvl w:val="0"/>
          <w:numId w:val="8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Represents the adoption of a Rule 10b5-1 trading plan by Nob Hill Ventures LLC, an entity controlled by Mr. Belcher.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Executive Officers</w:t>
      </w:r>
    </w:p>
    <w:p>
      <w:pPr>
        <w:spacing w:after="0" w:line="111" w:lineRule="exact"/>
        <w:rPr>
          <w:sz w:val="20"/>
          <w:szCs w:val="20"/>
          <w:color w:val="auto"/>
        </w:rPr>
      </w:pPr>
    </w:p>
    <w:p>
      <w:pPr>
        <w:jc w:val="both"/>
        <w:ind w:right="300" w:firstLine="490"/>
        <w:spacing w:after="0" w:line="249" w:lineRule="auto"/>
        <w:rPr>
          <w:sz w:val="20"/>
          <w:szCs w:val="20"/>
          <w:color w:val="auto"/>
        </w:rPr>
      </w:pPr>
      <w:r>
        <w:rPr>
          <w:rFonts w:ascii="Times New Roman" w:cs="Times New Roman" w:eastAsia="Times New Roman" w:hAnsi="Times New Roman"/>
          <w:sz w:val="20"/>
          <w:szCs w:val="20"/>
          <w:color w:val="231F20"/>
        </w:rPr>
        <w:t>On February 20, 2026, our Board of Directors appointed Ryan Fukushima, currently our Chief Operating Officer, to serve as Chief Executive Officer, Data. Also on February 20, 2026, our Board of Directors appointed Tom Schoenherr to serve as Chief Executive Officer, Diagnostics.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080"/>
          </w:cols>
          <w:pgMar w:left="900" w:top="73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185</w:t>
      </w:r>
    </w:p>
    <w:p>
      <w:pPr>
        <w:sectPr>
          <w:pgSz w:w="11880" w:h="15480" w:orient="portrait"/>
          <w:cols w:equalWidth="0" w:num="1">
            <w:col w:w="10080"/>
          </w:cols>
          <w:pgMar w:left="900" w:top="735" w:right="900" w:bottom="0"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10 of Form 10-K will be included in our 2026 Proxy Statement to be filed with the SEC in connection with the solicitation of proxies for our 2026 Annual Meeting of Stockholders and is incorporated herein by reference.</w:t>
      </w:r>
    </w:p>
    <w:p>
      <w:pPr>
        <w:spacing w:after="0" w:line="6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have adopted a Code of Business Conduct that applies to all of our employees, officers and directors, including our principal executive officer, principal financial officer, principal accounting officer or controller or persons performing similar functions. The Code of Business Conduct is publicly available on our website at investors.tempus.com. This website address is intended to be an inactive, textual reference only; none of the material on this website is part of this Annual Report on Form 10-K. We intend to promptly disclose on our website or in a Current Report on Form 8-K in the future (i) the date and nature of any amendment (other than technical, administrative or other non-substantive amendments) to the Code of Business Conduct that applies to our principal executive officer, principal financial officer, principal accounting officer or controller or persons performing similar functions, or our directors and relates to any element of the code of ethics definition enumerated in Item 406(b) of Regulation S-K and (ii) the nature of any waiver, including an implicit waiver, from a provision of the Code of Business Conduct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86"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We have adopted an Insider Trading Policy governing the purchase, sale and/or other dispositions of our securities by our directors, officers and employees. A copy of the Insider Trading Policy is filed as an exhibit to this Annual Report on Form 10-K. In addition, it is our practice to comply with the applicable laws and regulations relating to insider trading.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right="94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11 of Form 10-K will be included in our 2026 Proxy Statement and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24" w:lineRule="exact"/>
        <w:rPr>
          <w:sz w:val="20"/>
          <w:szCs w:val="20"/>
          <w:color w:val="auto"/>
        </w:rPr>
      </w:pPr>
    </w:p>
    <w:p>
      <w:pPr>
        <w:ind w:right="94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12 of Form 10-K will be included in our 2026 Proxy Statement and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right="94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13 of Form 10-K will be included in our 2026 Proxy Statement and is incorporated herein by reference.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Accounting Fees and Services.</w:t>
      </w:r>
    </w:p>
    <w:p>
      <w:pPr>
        <w:spacing w:after="0" w:line="124" w:lineRule="exact"/>
        <w:rPr>
          <w:sz w:val="20"/>
          <w:szCs w:val="20"/>
          <w:color w:val="auto"/>
        </w:rPr>
      </w:pPr>
    </w:p>
    <w:p>
      <w:pPr>
        <w:ind w:right="94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14 of Form 10-K will be included in our 2026 Proxy Statement and is incorporated herein by reference.</w:t>
      </w:r>
    </w:p>
    <w:p>
      <w:pPr>
        <w:sectPr>
          <w:pgSz w:w="11880" w:h="15480" w:orient="portrait"/>
          <w:cols w:equalWidth="0" w:num="1">
            <w:col w:w="10080"/>
          </w:cols>
          <w:pgMar w:left="900" w:top="73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186</w:t>
      </w:r>
    </w:p>
    <w:p>
      <w:pPr>
        <w:sectPr>
          <w:pgSz w:w="11880" w:h="15480" w:orient="portrait"/>
          <w:cols w:equalWidth="0" w:num="1">
            <w:col w:w="10080"/>
          </w:cols>
          <w:pgMar w:left="900" w:top="735" w:right="900" w:bottom="0" w:gutter="0" w:footer="0" w:header="0"/>
          <w:type w:val="continuous"/>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Financial Statement Schedules.</w:t>
      </w:r>
    </w:p>
    <w:p>
      <w:pPr>
        <w:spacing w:after="0" w:line="124" w:lineRule="exact"/>
        <w:rPr>
          <w:sz w:val="20"/>
          <w:szCs w:val="20"/>
          <w:color w:val="auto"/>
        </w:rPr>
      </w:pPr>
    </w:p>
    <w:p>
      <w:pPr>
        <w:ind w:left="1020" w:hanging="530"/>
        <w:spacing w:after="0"/>
        <w:tabs>
          <w:tab w:leader="none" w:pos="1020" w:val="left"/>
        </w:tabs>
        <w:numPr>
          <w:ilvl w:val="0"/>
          <w:numId w:val="8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following documents are filed as part of this Annual Report on Form 10-K:</w:t>
      </w:r>
    </w:p>
    <w:p>
      <w:pPr>
        <w:spacing w:after="0" w:line="122" w:lineRule="exact"/>
        <w:rPr>
          <w:sz w:val="20"/>
          <w:szCs w:val="20"/>
          <w:color w:val="auto"/>
        </w:rPr>
      </w:pPr>
    </w:p>
    <w:p>
      <w:pPr>
        <w:ind w:left="980" w:hanging="490"/>
        <w:spacing w:after="0"/>
        <w:tabs>
          <w:tab w:leader="none" w:pos="980" w:val="left"/>
        </w:tabs>
        <w:numPr>
          <w:ilvl w:val="0"/>
          <w:numId w:val="87"/>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Consolidated Financial Statements</w:t>
      </w:r>
    </w:p>
    <w:p>
      <w:pPr>
        <w:spacing w:after="0" w:line="118" w:lineRule="exact"/>
        <w:rPr>
          <w:rFonts w:ascii="Times New Roman" w:cs="Times New Roman" w:eastAsia="Times New Roman" w:hAnsi="Times New Roman"/>
          <w:sz w:val="20"/>
          <w:szCs w:val="20"/>
          <w:i w:val="1"/>
          <w:iCs w:val="1"/>
          <w:color w:val="231F20"/>
        </w:rPr>
      </w:pPr>
    </w:p>
    <w:p>
      <w:pPr>
        <w:ind w:left="980" w:right="220"/>
        <w:spacing w:after="0" w:line="277"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Our consolidated financial statements are listed in the “Index to Consolidated Financial Statements” under Part II, Item 8 of this Annual Report on Form 10-K.</w:t>
      </w:r>
    </w:p>
    <w:p>
      <w:pPr>
        <w:spacing w:after="0" w:line="51" w:lineRule="exact"/>
        <w:rPr>
          <w:rFonts w:ascii="Times New Roman" w:cs="Times New Roman" w:eastAsia="Times New Roman" w:hAnsi="Times New Roman"/>
          <w:sz w:val="20"/>
          <w:szCs w:val="20"/>
          <w:i w:val="1"/>
          <w:iCs w:val="1"/>
          <w:color w:val="231F20"/>
        </w:rPr>
      </w:pPr>
    </w:p>
    <w:p>
      <w:pPr>
        <w:ind w:left="980" w:hanging="490"/>
        <w:spacing w:after="0"/>
        <w:tabs>
          <w:tab w:leader="none" w:pos="980" w:val="left"/>
        </w:tabs>
        <w:numPr>
          <w:ilvl w:val="0"/>
          <w:numId w:val="87"/>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Financial Statement Schedules</w:t>
      </w:r>
    </w:p>
    <w:p>
      <w:pPr>
        <w:spacing w:after="0" w:line="118" w:lineRule="exact"/>
        <w:rPr>
          <w:rFonts w:ascii="Times New Roman" w:cs="Times New Roman" w:eastAsia="Times New Roman" w:hAnsi="Times New Roman"/>
          <w:sz w:val="20"/>
          <w:szCs w:val="20"/>
          <w:i w:val="1"/>
          <w:iCs w:val="1"/>
          <w:color w:val="231F20"/>
        </w:rPr>
      </w:pPr>
    </w:p>
    <w:p>
      <w:pPr>
        <w:ind w:left="980" w:right="40"/>
        <w:spacing w:after="0" w:line="277"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All financial statement schedules have been omitted because they are not applicable, not material, or the required information is shown in Part II, Item 8 of this Annual Report on Form 10-K.</w:t>
      </w:r>
    </w:p>
    <w:p>
      <w:pPr>
        <w:spacing w:after="0" w:line="51" w:lineRule="exact"/>
        <w:rPr>
          <w:rFonts w:ascii="Times New Roman" w:cs="Times New Roman" w:eastAsia="Times New Roman" w:hAnsi="Times New Roman"/>
          <w:sz w:val="20"/>
          <w:szCs w:val="20"/>
          <w:i w:val="1"/>
          <w:iCs w:val="1"/>
          <w:color w:val="231F20"/>
        </w:rPr>
      </w:pPr>
    </w:p>
    <w:p>
      <w:pPr>
        <w:ind w:left="980" w:hanging="490"/>
        <w:spacing w:after="0"/>
        <w:tabs>
          <w:tab w:leader="none" w:pos="980" w:val="left"/>
        </w:tabs>
        <w:numPr>
          <w:ilvl w:val="0"/>
          <w:numId w:val="87"/>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Exhibits</w:t>
      </w:r>
    </w:p>
    <w:p>
      <w:pPr>
        <w:spacing w:after="0" w:line="238" w:lineRule="exact"/>
        <w:rPr>
          <w:rFonts w:ascii="Times New Roman" w:cs="Times New Roman" w:eastAsia="Times New Roman" w:hAnsi="Times New Roman"/>
          <w:sz w:val="20"/>
          <w:szCs w:val="20"/>
          <w:i w:val="1"/>
          <w:iCs w:val="1"/>
          <w:color w:val="231F20"/>
        </w:rPr>
      </w:pPr>
    </w:p>
    <w:p>
      <w:pPr>
        <w:ind w:left="980" w:right="380"/>
        <w:spacing w:after="0" w:line="277" w:lineRule="auto"/>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The exhibits listed below are filed as part of this Annual Report on Form 10-K, or are incorporated herein by reference, in each case as indicated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60" w:type="dxa"/>
            <w:vAlign w:val="bottom"/>
            <w:tcBorders>
              <w:bottom w:val="single" w:sz="8" w:color="231F20"/>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1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100" w:type="dxa"/>
            <w:vAlign w:val="bottom"/>
          </w:tcPr>
          <w:p>
            <w:pPr>
              <w:spacing w:after="0"/>
              <w:rPr>
                <w:sz w:val="17"/>
                <w:szCs w:val="17"/>
                <w:color w:val="auto"/>
              </w:rPr>
            </w:pPr>
          </w:p>
        </w:tc>
        <w:tc>
          <w:tcPr>
            <w:tcW w:w="4900" w:type="dxa"/>
            <w:vAlign w:val="bottom"/>
            <w:tcBorders>
              <w:bottom w:val="single" w:sz="8" w:color="231F20"/>
            </w:tcBorders>
          </w:tcPr>
          <w:p>
            <w:pPr>
              <w:ind w:left="168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00" w:type="dxa"/>
            <w:vAlign w:val="bottom"/>
          </w:tcPr>
          <w:p>
            <w:pPr>
              <w:spacing w:after="0"/>
              <w:rPr>
                <w:sz w:val="17"/>
                <w:szCs w:val="17"/>
                <w:color w:val="auto"/>
              </w:rPr>
            </w:pPr>
          </w:p>
        </w:tc>
        <w:tc>
          <w:tcPr>
            <w:tcW w:w="58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20" w:type="dxa"/>
            <w:vAlign w:val="bottom"/>
          </w:tcPr>
          <w:p>
            <w:pPr>
              <w:spacing w:after="0"/>
              <w:rPr>
                <w:sz w:val="17"/>
                <w:szCs w:val="17"/>
                <w:color w:val="auto"/>
              </w:rPr>
            </w:pPr>
          </w:p>
        </w:tc>
        <w:tc>
          <w:tcPr>
            <w:tcW w:w="1200" w:type="dxa"/>
            <w:vAlign w:val="bottom"/>
            <w:tcBorders>
              <w:bottom w:val="single" w:sz="8" w:color="231F20"/>
            </w:tcBorders>
          </w:tcPr>
          <w:p>
            <w:pPr>
              <w:ind w:left="32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00" w:type="dxa"/>
            <w:vAlign w:val="bottom"/>
          </w:tcPr>
          <w:p>
            <w:pPr>
              <w:spacing w:after="0"/>
              <w:rPr>
                <w:sz w:val="17"/>
                <w:szCs w:val="17"/>
                <w:color w:val="auto"/>
              </w:rPr>
            </w:pPr>
          </w:p>
        </w:tc>
        <w:tc>
          <w:tcPr>
            <w:tcW w:w="68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bl>
    <w:p>
      <w:pPr>
        <w:spacing w:after="0" w:line="119" w:lineRule="exact"/>
        <w:rPr>
          <w:sz w:val="20"/>
          <w:szCs w:val="20"/>
          <w:color w:val="auto"/>
        </w:rPr>
      </w:pPr>
    </w:p>
    <w:p>
      <w:pPr>
        <w:sectPr>
          <w:pgSz w:w="11880" w:h="15480" w:orient="portrait"/>
          <w:cols w:equalWidth="0" w:num="1">
            <w:col w:w="10080"/>
          </w:cols>
          <w:pgMar w:left="900" w:top="735" w:right="900" w:bottom="0" w:gutter="0" w:footer="0" w:header="0"/>
        </w:sect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3.1</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Amended and Restated Articles of Incorporation of the</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880" w:type="dxa"/>
            <w:vAlign w:val="bottom"/>
            <w:tcBorders>
              <w:top w:val="single" w:sz="8" w:color="656769"/>
              <w:bottom w:val="single" w:sz="8" w:color="656769"/>
            </w:tcBorders>
          </w:tcPr>
          <w:p>
            <w:pPr>
              <w:spacing w:after="0" w:line="210" w:lineRule="exact"/>
              <w:rPr>
                <w:sz w:val="20"/>
                <w:szCs w:val="20"/>
                <w:color w:val="auto"/>
              </w:rPr>
            </w:pPr>
            <w:r>
              <w:rPr>
                <w:rFonts w:ascii="Times New Roman" w:cs="Times New Roman" w:eastAsia="Times New Roman" w:hAnsi="Times New Roman"/>
                <w:sz w:val="20"/>
                <w:szCs w:val="20"/>
                <w:color w:val="656769"/>
                <w:w w:val="98"/>
              </w:rPr>
              <w:t>Registrant.</w:t>
            </w:r>
          </w:p>
        </w:tc>
        <w:tc>
          <w:tcPr>
            <w:tcW w:w="3520" w:type="dxa"/>
            <w:vAlign w:val="bottom"/>
            <w:tcBorders>
              <w:top w:val="single" w:sz="8" w:color="656769"/>
            </w:tcBorders>
            <w:gridSpan w:val="19"/>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3.2</w:t>
            </w:r>
          </w:p>
        </w:tc>
        <w:tc>
          <w:tcPr>
            <w:tcW w:w="3960" w:type="dxa"/>
            <w:vAlign w:val="bottom"/>
            <w:tcBorders>
              <w:bottom w:val="single" w:sz="8" w:color="656769"/>
            </w:tcBorders>
            <w:gridSpan w:val="18"/>
          </w:tcPr>
          <w:p>
            <w:pPr>
              <w:spacing w:after="0"/>
              <w:rPr>
                <w:sz w:val="20"/>
                <w:szCs w:val="20"/>
                <w:color w:val="auto"/>
              </w:rPr>
            </w:pPr>
            <w:r>
              <w:rPr>
                <w:rFonts w:ascii="Times New Roman" w:cs="Times New Roman" w:eastAsia="Times New Roman" w:hAnsi="Times New Roman"/>
                <w:sz w:val="20"/>
                <w:szCs w:val="20"/>
                <w:color w:val="656769"/>
              </w:rPr>
              <w:t>Amended and Restated Bylaws of the Registrant.</w:t>
            </w:r>
          </w:p>
        </w:tc>
        <w:tc>
          <w:tcPr>
            <w:tcW w:w="9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4.1</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Specimen Class A Common Stock Certificate.</w:t>
            </w:r>
          </w:p>
        </w:tc>
        <w:tc>
          <w:tcPr>
            <w:tcW w:w="0" w:type="dxa"/>
            <w:vAlign w:val="bottom"/>
          </w:tcPr>
          <w:p>
            <w:pPr>
              <w:spacing w:after="0"/>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4.2</w:t>
            </w:r>
          </w:p>
        </w:tc>
        <w:tc>
          <w:tcPr>
            <w:tcW w:w="3060" w:type="dxa"/>
            <w:vAlign w:val="bottom"/>
            <w:tcBorders>
              <w:top w:val="single" w:sz="8" w:color="656769"/>
              <w:bottom w:val="single" w:sz="8" w:color="656769"/>
            </w:tcBorders>
            <w:gridSpan w:val="9"/>
          </w:tcPr>
          <w:p>
            <w:pPr>
              <w:spacing w:after="0"/>
              <w:rPr>
                <w:sz w:val="20"/>
                <w:szCs w:val="20"/>
                <w:color w:val="auto"/>
              </w:rPr>
            </w:pPr>
            <w:r>
              <w:rPr>
                <w:rFonts w:ascii="Times New Roman" w:cs="Times New Roman" w:eastAsia="Times New Roman" w:hAnsi="Times New Roman"/>
                <w:sz w:val="20"/>
                <w:szCs w:val="20"/>
                <w:color w:val="656769"/>
                <w:w w:val="99"/>
              </w:rPr>
              <w:t>Description of Registrant’s Securities.</w:t>
            </w:r>
          </w:p>
        </w:tc>
        <w:tc>
          <w:tcPr>
            <w:tcW w:w="640" w:type="dxa"/>
            <w:vAlign w:val="bottom"/>
            <w:tcBorders>
              <w:top w:val="single" w:sz="8" w:color="656769"/>
            </w:tcBorders>
            <w:gridSpan w:val="3"/>
          </w:tcPr>
          <w:p>
            <w:pPr>
              <w:spacing w:after="0"/>
              <w:rPr>
                <w:sz w:val="24"/>
                <w:szCs w:val="24"/>
                <w:color w:val="auto"/>
              </w:rPr>
            </w:pPr>
          </w:p>
        </w:tc>
        <w:tc>
          <w:tcPr>
            <w:tcW w:w="12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4.3</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Indenture, dated as of July 3, 2025, by and between Tempus</w:t>
            </w: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820" w:type="dxa"/>
            <w:vAlign w:val="bottom"/>
            <w:tcBorders>
              <w:top w:val="single" w:sz="8" w:color="656769"/>
            </w:tcBorders>
            <w:gridSpan w:val="23"/>
          </w:tcPr>
          <w:p>
            <w:pPr>
              <w:spacing w:after="0" w:line="210" w:lineRule="exact"/>
              <w:rPr>
                <w:sz w:val="20"/>
                <w:szCs w:val="20"/>
                <w:color w:val="auto"/>
              </w:rPr>
            </w:pPr>
            <w:r>
              <w:rPr>
                <w:rFonts w:ascii="Times New Roman" w:cs="Times New Roman" w:eastAsia="Times New Roman" w:hAnsi="Times New Roman"/>
                <w:sz w:val="20"/>
                <w:szCs w:val="20"/>
                <w:color w:val="656769"/>
              </w:rPr>
              <w:t>AI, Inc. and U.S. Bank Trust Company, National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20" w:type="dxa"/>
            <w:vAlign w:val="bottom"/>
            <w:tcBorders>
              <w:top w:val="single" w:sz="8" w:color="656769"/>
            </w:tcBorders>
            <w:gridSpan w:val="16"/>
          </w:tcPr>
          <w:p>
            <w:pPr>
              <w:spacing w:after="0" w:line="210" w:lineRule="exact"/>
              <w:rPr>
                <w:sz w:val="20"/>
                <w:szCs w:val="20"/>
                <w:color w:val="auto"/>
              </w:rPr>
            </w:pPr>
            <w:r>
              <w:rPr>
                <w:rFonts w:ascii="Times New Roman" w:cs="Times New Roman" w:eastAsia="Times New Roman" w:hAnsi="Times New Roman"/>
                <w:sz w:val="20"/>
                <w:szCs w:val="20"/>
                <w:color w:val="656769"/>
              </w:rPr>
              <w:t>Association, as Trustee.</w:t>
            </w: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gridSpan w:val="2"/>
            <w:shd w:val="clear" w:color="auto" w:fill="656769"/>
          </w:tcPr>
          <w:p>
            <w:pPr>
              <w:spacing w:after="0" w:line="20" w:lineRule="exact"/>
              <w:rPr>
                <w:sz w:val="1"/>
                <w:szCs w:val="1"/>
                <w:color w:val="auto"/>
              </w:rPr>
            </w:pPr>
          </w:p>
        </w:tc>
        <w:tc>
          <w:tcPr>
            <w:tcW w:w="840" w:type="dxa"/>
            <w:vAlign w:val="bottom"/>
            <w:shd w:val="clear" w:color="auto" w:fill="656769"/>
          </w:tcPr>
          <w:p>
            <w:pPr>
              <w:spacing w:after="0" w:line="20" w:lineRule="exact"/>
              <w:rPr>
                <w:sz w:val="1"/>
                <w:szCs w:val="1"/>
                <w:color w:val="auto"/>
              </w:rPr>
            </w:pPr>
          </w:p>
        </w:tc>
        <w:tc>
          <w:tcPr>
            <w:tcW w:w="120" w:type="dxa"/>
            <w:vAlign w:val="bottom"/>
            <w:shd w:val="clear" w:color="auto" w:fill="65676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4.4</w:t>
            </w:r>
          </w:p>
        </w:tc>
        <w:tc>
          <w:tcPr>
            <w:tcW w:w="4860" w:type="dxa"/>
            <w:vAlign w:val="bottom"/>
            <w:tcBorders>
              <w:bottom w:val="single" w:sz="8" w:color="656769"/>
            </w:tcBorders>
            <w:gridSpan w:val="25"/>
          </w:tcPr>
          <w:p>
            <w:pPr>
              <w:spacing w:after="0"/>
              <w:rPr>
                <w:sz w:val="20"/>
                <w:szCs w:val="20"/>
                <w:color w:val="auto"/>
              </w:rPr>
            </w:pPr>
            <w:r>
              <w:rPr>
                <w:rFonts w:ascii="Times New Roman" w:cs="Times New Roman" w:eastAsia="Times New Roman" w:hAnsi="Times New Roman"/>
                <w:sz w:val="20"/>
                <w:szCs w:val="20"/>
                <w:color w:val="656769"/>
                <w:w w:val="99"/>
              </w:rPr>
              <w:t>Form of Global Note, representing Tempus AI, Inc.’s 0.75%</w:t>
            </w: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92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656769"/>
              </w:rPr>
              <w:t>Convertible Senior Notes due 2030 (included as Exhibit A to</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900" w:type="dxa"/>
            <w:vAlign w:val="bottom"/>
            <w:tcBorders>
              <w:top w:val="single" w:sz="8" w:color="656769"/>
            </w:tcBorders>
            <w:gridSpan w:val="27"/>
          </w:tcPr>
          <w:p>
            <w:pPr>
              <w:spacing w:after="0" w:line="210" w:lineRule="exact"/>
              <w:rPr>
                <w:sz w:val="20"/>
                <w:szCs w:val="20"/>
                <w:color w:val="auto"/>
              </w:rPr>
            </w:pPr>
            <w:r>
              <w:rPr>
                <w:rFonts w:ascii="Times New Roman" w:cs="Times New Roman" w:eastAsia="Times New Roman" w:hAnsi="Times New Roman"/>
                <w:sz w:val="20"/>
                <w:szCs w:val="20"/>
                <w:color w:val="656769"/>
              </w:rPr>
              <w:t>the Indenture filed as Exhibit 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gridSpan w:val="2"/>
            <w:shd w:val="clear" w:color="auto" w:fill="656769"/>
          </w:tcPr>
          <w:p>
            <w:pPr>
              <w:spacing w:after="0" w:line="20" w:lineRule="exact"/>
              <w:rPr>
                <w:sz w:val="1"/>
                <w:szCs w:val="1"/>
                <w:color w:val="auto"/>
              </w:rPr>
            </w:pPr>
          </w:p>
        </w:tc>
        <w:tc>
          <w:tcPr>
            <w:tcW w:w="840" w:type="dxa"/>
            <w:vAlign w:val="bottom"/>
            <w:shd w:val="clear" w:color="auto" w:fill="656769"/>
          </w:tcPr>
          <w:p>
            <w:pPr>
              <w:spacing w:after="0" w:line="20" w:lineRule="exact"/>
              <w:rPr>
                <w:sz w:val="1"/>
                <w:szCs w:val="1"/>
                <w:color w:val="auto"/>
              </w:rPr>
            </w:pPr>
          </w:p>
        </w:tc>
        <w:tc>
          <w:tcPr>
            <w:tcW w:w="460" w:type="dxa"/>
            <w:vAlign w:val="bottom"/>
            <w:gridSpan w:val="2"/>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300" w:type="dxa"/>
            <w:vAlign w:val="bottom"/>
            <w:shd w:val="clear" w:color="auto" w:fill="656769"/>
          </w:tcPr>
          <w:p>
            <w:pPr>
              <w:spacing w:after="0" w:line="20" w:lineRule="exact"/>
              <w:rPr>
                <w:sz w:val="1"/>
                <w:szCs w:val="1"/>
                <w:color w:val="auto"/>
              </w:rPr>
            </w:pPr>
          </w:p>
        </w:tc>
        <w:tc>
          <w:tcPr>
            <w:tcW w:w="40" w:type="dxa"/>
            <w:vAlign w:val="bottom"/>
            <w:tcBorders>
              <w:right w:val="single" w:sz="8" w:color="656769"/>
            </w:tcBorders>
            <w:shd w:val="clear" w:color="auto" w:fill="65676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4.5</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First Supplemental Indenture, dated as of August 7, 2025, by</w:t>
            </w: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880" w:type="dxa"/>
            <w:vAlign w:val="bottom"/>
            <w:tcBorders>
              <w:top w:val="single" w:sz="8" w:color="656769"/>
            </w:tcBorders>
            <w:gridSpan w:val="26"/>
          </w:tcPr>
          <w:p>
            <w:pPr>
              <w:spacing w:after="0" w:line="210" w:lineRule="exact"/>
              <w:rPr>
                <w:sz w:val="20"/>
                <w:szCs w:val="20"/>
                <w:color w:val="auto"/>
              </w:rPr>
            </w:pPr>
            <w:r>
              <w:rPr>
                <w:rFonts w:ascii="Times New Roman" w:cs="Times New Roman" w:eastAsia="Times New Roman" w:hAnsi="Times New Roman"/>
                <w:sz w:val="20"/>
                <w:szCs w:val="20"/>
                <w:color w:val="656769"/>
              </w:rPr>
              <w:t>and between Tempus AI, Inc. and U.S. Bank Trust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060" w:type="dxa"/>
            <w:vAlign w:val="bottom"/>
            <w:tcBorders>
              <w:top w:val="single" w:sz="8" w:color="656769"/>
            </w:tcBorders>
            <w:gridSpan w:val="19"/>
          </w:tcPr>
          <w:p>
            <w:pPr>
              <w:spacing w:after="0" w:line="210" w:lineRule="exact"/>
              <w:rPr>
                <w:sz w:val="20"/>
                <w:szCs w:val="20"/>
                <w:color w:val="auto"/>
              </w:rPr>
            </w:pPr>
            <w:r>
              <w:rPr>
                <w:rFonts w:ascii="Times New Roman" w:cs="Times New Roman" w:eastAsia="Times New Roman" w:hAnsi="Times New Roman"/>
                <w:sz w:val="20"/>
                <w:szCs w:val="20"/>
                <w:color w:val="656769"/>
              </w:rPr>
              <w:t>Company, National Association, as Trustee.</w:t>
            </w:r>
          </w:p>
        </w:tc>
        <w:tc>
          <w:tcPr>
            <w:tcW w:w="5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gridSpan w:val="2"/>
            <w:shd w:val="clear" w:color="auto" w:fill="656769"/>
          </w:tcPr>
          <w:p>
            <w:pPr>
              <w:spacing w:after="0" w:line="20" w:lineRule="exact"/>
              <w:rPr>
                <w:sz w:val="1"/>
                <w:szCs w:val="1"/>
                <w:color w:val="auto"/>
              </w:rPr>
            </w:pPr>
          </w:p>
        </w:tc>
        <w:tc>
          <w:tcPr>
            <w:tcW w:w="840" w:type="dxa"/>
            <w:vAlign w:val="bottom"/>
            <w:shd w:val="clear" w:color="auto" w:fill="656769"/>
          </w:tcPr>
          <w:p>
            <w:pPr>
              <w:spacing w:after="0" w:line="20" w:lineRule="exact"/>
              <w:rPr>
                <w:sz w:val="1"/>
                <w:szCs w:val="1"/>
                <w:color w:val="auto"/>
              </w:rPr>
            </w:pPr>
          </w:p>
        </w:tc>
        <w:tc>
          <w:tcPr>
            <w:tcW w:w="460" w:type="dxa"/>
            <w:vAlign w:val="bottom"/>
            <w:gridSpan w:val="2"/>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300" w:type="dxa"/>
            <w:vAlign w:val="bottom"/>
            <w:shd w:val="clear" w:color="auto" w:fill="656769"/>
          </w:tcPr>
          <w:p>
            <w:pPr>
              <w:spacing w:after="0" w:line="20" w:lineRule="exact"/>
              <w:rPr>
                <w:sz w:val="1"/>
                <w:szCs w:val="1"/>
                <w:color w:val="auto"/>
              </w:rPr>
            </w:pPr>
          </w:p>
        </w:tc>
        <w:tc>
          <w:tcPr>
            <w:tcW w:w="40" w:type="dxa"/>
            <w:vAlign w:val="bottom"/>
            <w:tcBorders>
              <w:right w:val="single" w:sz="8" w:color="656769"/>
            </w:tcBorders>
            <w:shd w:val="clear" w:color="auto" w:fill="656769"/>
          </w:tcPr>
          <w:p>
            <w:pPr>
              <w:spacing w:after="0" w:line="20" w:lineRule="exact"/>
              <w:rPr>
                <w:sz w:val="1"/>
                <w:szCs w:val="1"/>
                <w:color w:val="auto"/>
              </w:rPr>
            </w:pPr>
          </w:p>
        </w:tc>
        <w:tc>
          <w:tcPr>
            <w:tcW w:w="780" w:type="dxa"/>
            <w:vAlign w:val="bottom"/>
            <w:gridSpan w:val="2"/>
            <w:shd w:val="clear" w:color="auto" w:fill="65676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10.1</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Twelfth Amended and Restated Investor Rights</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700" w:type="dxa"/>
            <w:vAlign w:val="bottom"/>
            <w:tcBorders>
              <w:top w:val="single" w:sz="8" w:color="656769"/>
              <w:bottom w:val="single" w:sz="8" w:color="656769"/>
            </w:tcBorders>
            <w:gridSpan w:val="7"/>
          </w:tcPr>
          <w:p>
            <w:pPr>
              <w:spacing w:after="0" w:line="210" w:lineRule="exact"/>
              <w:rPr>
                <w:sz w:val="20"/>
                <w:szCs w:val="20"/>
                <w:color w:val="auto"/>
              </w:rPr>
            </w:pPr>
            <w:r>
              <w:rPr>
                <w:rFonts w:ascii="Times New Roman" w:cs="Times New Roman" w:eastAsia="Times New Roman" w:hAnsi="Times New Roman"/>
                <w:sz w:val="20"/>
                <w:szCs w:val="20"/>
                <w:color w:val="656769"/>
                <w:w w:val="99"/>
              </w:rPr>
              <w:t>Agreement, dated April 30, 2024.</w:t>
            </w:r>
          </w:p>
        </w:tc>
        <w:tc>
          <w:tcPr>
            <w:tcW w:w="1120" w:type="dxa"/>
            <w:vAlign w:val="bottom"/>
            <w:tcBorders>
              <w:top w:val="single" w:sz="8" w:color="656769"/>
            </w:tcBorders>
            <w:gridSpan w:val="8"/>
          </w:tcPr>
          <w:p>
            <w:pPr>
              <w:spacing w:after="0"/>
              <w:rPr>
                <w:sz w:val="18"/>
                <w:szCs w:val="18"/>
                <w:color w:val="auto"/>
              </w:rPr>
            </w:pPr>
          </w:p>
        </w:tc>
        <w:tc>
          <w:tcPr>
            <w:tcW w:w="120" w:type="dxa"/>
            <w:vAlign w:val="bottom"/>
            <w:gridSpan w:val="2"/>
          </w:tcPr>
          <w:p>
            <w:pPr>
              <w:spacing w:after="0"/>
              <w:rPr>
                <w:sz w:val="18"/>
                <w:szCs w:val="18"/>
                <w:color w:val="auto"/>
              </w:rPr>
            </w:pPr>
          </w:p>
        </w:tc>
        <w:tc>
          <w:tcPr>
            <w:tcW w:w="7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The Registrant’s Third Amended and Restated</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00" w:type="dxa"/>
            <w:vAlign w:val="bottom"/>
            <w:tcBorders>
              <w:top w:val="single" w:sz="8" w:color="656769"/>
              <w:bottom w:val="single" w:sz="8" w:color="656769"/>
            </w:tcBorders>
            <w:gridSpan w:val="6"/>
          </w:tcPr>
          <w:p>
            <w:pPr>
              <w:spacing w:after="0" w:line="210" w:lineRule="exact"/>
              <w:rPr>
                <w:sz w:val="20"/>
                <w:szCs w:val="20"/>
                <w:color w:val="auto"/>
              </w:rPr>
            </w:pPr>
            <w:r>
              <w:rPr>
                <w:rFonts w:ascii="Times New Roman" w:cs="Times New Roman" w:eastAsia="Times New Roman" w:hAnsi="Times New Roman"/>
                <w:sz w:val="20"/>
                <w:szCs w:val="20"/>
                <w:color w:val="656769"/>
                <w:w w:val="99"/>
              </w:rPr>
              <w:t>2015 Stock Plan, as amended.</w:t>
            </w:r>
          </w:p>
        </w:tc>
        <w:tc>
          <w:tcPr>
            <w:tcW w:w="1320" w:type="dxa"/>
            <w:vAlign w:val="bottom"/>
            <w:tcBorders>
              <w:top w:val="single" w:sz="8" w:color="656769"/>
            </w:tcBorders>
            <w:gridSpan w:val="7"/>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7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10.3+</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Forms of Grant Notices and Award Agreements under the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gridSpan w:val="2"/>
            <w:shd w:val="clear" w:color="auto" w:fill="656769"/>
          </w:tcPr>
          <w:p>
            <w:pPr>
              <w:spacing w:after="0" w:line="20" w:lineRule="exact"/>
              <w:rPr>
                <w:sz w:val="1"/>
                <w:szCs w:val="1"/>
                <w:color w:val="auto"/>
              </w:rPr>
            </w:pPr>
          </w:p>
        </w:tc>
        <w:tc>
          <w:tcPr>
            <w:tcW w:w="840" w:type="dxa"/>
            <w:vAlign w:val="bottom"/>
            <w:shd w:val="clear" w:color="auto" w:fill="656769"/>
          </w:tcPr>
          <w:p>
            <w:pPr>
              <w:spacing w:after="0" w:line="20" w:lineRule="exact"/>
              <w:rPr>
                <w:sz w:val="1"/>
                <w:szCs w:val="1"/>
                <w:color w:val="auto"/>
              </w:rPr>
            </w:pPr>
          </w:p>
        </w:tc>
        <w:tc>
          <w:tcPr>
            <w:tcW w:w="460" w:type="dxa"/>
            <w:vAlign w:val="bottom"/>
            <w:gridSpan w:val="2"/>
            <w:shd w:val="clear" w:color="auto" w:fill="656769"/>
          </w:tcPr>
          <w:p>
            <w:pPr>
              <w:spacing w:after="0" w:line="20" w:lineRule="exact"/>
              <w:rPr>
                <w:sz w:val="1"/>
                <w:szCs w:val="1"/>
                <w:color w:val="auto"/>
              </w:rPr>
            </w:pPr>
          </w:p>
        </w:tc>
        <w:tc>
          <w:tcPr>
            <w:tcW w:w="500" w:type="dxa"/>
            <w:vAlign w:val="bottom"/>
            <w:tcBorders>
              <w:right w:val="single" w:sz="8" w:color="656769"/>
            </w:tcBorders>
            <w:gridSpan w:val="3"/>
            <w:shd w:val="clear" w:color="auto" w:fill="656769"/>
          </w:tcPr>
          <w:p>
            <w:pPr>
              <w:spacing w:after="0" w:line="20" w:lineRule="exact"/>
              <w:rPr>
                <w:sz w:val="1"/>
                <w:szCs w:val="1"/>
                <w:color w:val="auto"/>
              </w:rPr>
            </w:pPr>
          </w:p>
        </w:tc>
        <w:tc>
          <w:tcPr>
            <w:tcW w:w="860" w:type="dxa"/>
            <w:vAlign w:val="bottom"/>
            <w:gridSpan w:val="3"/>
            <w:shd w:val="clear" w:color="auto" w:fill="656769"/>
          </w:tcPr>
          <w:p>
            <w:pPr>
              <w:spacing w:after="0" w:line="20" w:lineRule="exact"/>
              <w:rPr>
                <w:sz w:val="1"/>
                <w:szCs w:val="1"/>
                <w:color w:val="auto"/>
              </w:rPr>
            </w:pPr>
          </w:p>
        </w:tc>
        <w:tc>
          <w:tcPr>
            <w:tcW w:w="140" w:type="dxa"/>
            <w:vAlign w:val="bottom"/>
            <w:gridSpan w:val="3"/>
            <w:shd w:val="clear" w:color="auto" w:fill="656769"/>
          </w:tcPr>
          <w:p>
            <w:pPr>
              <w:spacing w:after="0" w:line="20" w:lineRule="exact"/>
              <w:rPr>
                <w:sz w:val="1"/>
                <w:szCs w:val="1"/>
                <w:color w:val="auto"/>
              </w:rPr>
            </w:pPr>
          </w:p>
        </w:tc>
        <w:tc>
          <w:tcPr>
            <w:tcW w:w="200" w:type="dxa"/>
            <w:vAlign w:val="bottom"/>
            <w:gridSpan w:val="3"/>
            <w:shd w:val="clear" w:color="auto" w:fill="656769"/>
          </w:tcPr>
          <w:p>
            <w:pPr>
              <w:spacing w:after="0" w:line="20" w:lineRule="exact"/>
              <w:rPr>
                <w:sz w:val="1"/>
                <w:szCs w:val="1"/>
                <w:color w:val="auto"/>
              </w:rPr>
            </w:pPr>
          </w:p>
        </w:tc>
        <w:tc>
          <w:tcPr>
            <w:tcW w:w="700" w:type="dxa"/>
            <w:vAlign w:val="bottom"/>
            <w:gridSpan w:val="4"/>
            <w:shd w:val="clear" w:color="auto" w:fill="65676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492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656769"/>
              </w:rPr>
              <w:t>Registrant’s Third Amended and Restated 2015 Stock Plan,</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780" w:type="dxa"/>
            <w:vAlign w:val="bottom"/>
            <w:tcBorders>
              <w:top w:val="single" w:sz="8" w:color="656769"/>
            </w:tcBorders>
            <w:gridSpan w:val="22"/>
          </w:tcPr>
          <w:p>
            <w:pPr>
              <w:spacing w:after="0" w:line="210" w:lineRule="exact"/>
              <w:rPr>
                <w:sz w:val="20"/>
                <w:szCs w:val="20"/>
                <w:color w:val="auto"/>
              </w:rPr>
            </w:pPr>
            <w:r>
              <w:rPr>
                <w:rFonts w:ascii="Times New Roman" w:cs="Times New Roman" w:eastAsia="Times New Roman" w:hAnsi="Times New Roman"/>
                <w:sz w:val="20"/>
                <w:szCs w:val="20"/>
                <w:color w:val="656769"/>
              </w:rPr>
              <w:t>as amended</w:t>
            </w:r>
            <w:r>
              <w:rPr>
                <w:rFonts w:ascii="Times New Roman" w:cs="Times New Roman" w:eastAsia="Times New Roman" w:hAnsi="Times New Roman"/>
                <w:sz w:val="20"/>
                <w:szCs w:val="20"/>
                <w:color w:val="231F20"/>
              </w:rPr>
              <w:t>.</w:t>
            </w:r>
          </w:p>
        </w:tc>
        <w:tc>
          <w:tcPr>
            <w:tcW w:w="6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gridSpan w:val="2"/>
            <w:shd w:val="clear" w:color="auto" w:fill="65676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The Registrant’s 2024 Equity Incentive Plan.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80" w:type="dxa"/>
            <w:vAlign w:val="bottom"/>
            <w:gridSpan w:val="3"/>
            <w:shd w:val="clear" w:color="auto" w:fill="656769"/>
          </w:tcPr>
          <w:p>
            <w:pPr>
              <w:spacing w:after="0" w:line="20" w:lineRule="exact"/>
              <w:rPr>
                <w:sz w:val="1"/>
                <w:szCs w:val="1"/>
                <w:color w:val="auto"/>
              </w:rPr>
            </w:pPr>
          </w:p>
        </w:tc>
        <w:tc>
          <w:tcPr>
            <w:tcW w:w="460" w:type="dxa"/>
            <w:vAlign w:val="bottom"/>
            <w:gridSpan w:val="2"/>
            <w:shd w:val="clear" w:color="auto" w:fill="656769"/>
          </w:tcPr>
          <w:p>
            <w:pPr>
              <w:spacing w:after="0" w:line="20" w:lineRule="exact"/>
              <w:rPr>
                <w:sz w:val="1"/>
                <w:szCs w:val="1"/>
                <w:color w:val="auto"/>
              </w:rPr>
            </w:pPr>
          </w:p>
        </w:tc>
        <w:tc>
          <w:tcPr>
            <w:tcW w:w="500" w:type="dxa"/>
            <w:vAlign w:val="bottom"/>
            <w:tcBorders>
              <w:right w:val="single" w:sz="8" w:color="656769"/>
            </w:tcBorders>
            <w:gridSpan w:val="3"/>
            <w:shd w:val="clear" w:color="auto" w:fill="656769"/>
          </w:tcPr>
          <w:p>
            <w:pPr>
              <w:spacing w:after="0" w:line="20" w:lineRule="exact"/>
              <w:rPr>
                <w:sz w:val="1"/>
                <w:szCs w:val="1"/>
                <w:color w:val="auto"/>
              </w:rPr>
            </w:pPr>
          </w:p>
        </w:tc>
        <w:tc>
          <w:tcPr>
            <w:tcW w:w="860" w:type="dxa"/>
            <w:vAlign w:val="bottom"/>
            <w:gridSpan w:val="3"/>
            <w:shd w:val="clear" w:color="auto" w:fill="65676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10.5+</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Forms of Grant Notice, Stock Option Agreement and Notice</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840" w:type="dxa"/>
            <w:vAlign w:val="bottom"/>
            <w:tcBorders>
              <w:top w:val="single" w:sz="8" w:color="656769"/>
            </w:tcBorders>
            <w:gridSpan w:val="24"/>
          </w:tcPr>
          <w:p>
            <w:pPr>
              <w:spacing w:after="0" w:line="210" w:lineRule="exact"/>
              <w:rPr>
                <w:sz w:val="20"/>
                <w:szCs w:val="20"/>
                <w:color w:val="auto"/>
              </w:rPr>
            </w:pPr>
            <w:r>
              <w:rPr>
                <w:rFonts w:ascii="Times New Roman" w:cs="Times New Roman" w:eastAsia="Times New Roman" w:hAnsi="Times New Roman"/>
                <w:sz w:val="20"/>
                <w:szCs w:val="20"/>
                <w:color w:val="656769"/>
              </w:rPr>
              <w:t>of Exercise under the Registrant’s</w:t>
            </w: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240" w:type="dxa"/>
            <w:vAlign w:val="bottom"/>
            <w:tcBorders>
              <w:top w:val="single" w:sz="8" w:color="656769"/>
              <w:bottom w:val="single" w:sz="8" w:color="656769"/>
            </w:tcBorders>
            <w:gridSpan w:val="5"/>
          </w:tcPr>
          <w:p>
            <w:pPr>
              <w:spacing w:after="0" w:line="210" w:lineRule="exact"/>
              <w:rPr>
                <w:sz w:val="20"/>
                <w:szCs w:val="20"/>
                <w:color w:val="auto"/>
              </w:rPr>
            </w:pPr>
            <w:r>
              <w:rPr>
                <w:rFonts w:ascii="Times New Roman" w:cs="Times New Roman" w:eastAsia="Times New Roman" w:hAnsi="Times New Roman"/>
                <w:sz w:val="20"/>
                <w:szCs w:val="20"/>
                <w:color w:val="656769"/>
                <w:w w:val="99"/>
              </w:rPr>
              <w:t>2024 Equity Incentive Plan.</w:t>
            </w:r>
          </w:p>
        </w:tc>
        <w:tc>
          <w:tcPr>
            <w:tcW w:w="500" w:type="dxa"/>
            <w:vAlign w:val="bottom"/>
            <w:tcBorders>
              <w:top w:val="single" w:sz="8" w:color="656769"/>
            </w:tcBorders>
            <w:gridSpan w:val="3"/>
          </w:tcPr>
          <w:p>
            <w:pPr>
              <w:spacing w:after="0"/>
              <w:rPr>
                <w:sz w:val="18"/>
                <w:szCs w:val="18"/>
                <w:color w:val="auto"/>
              </w:rPr>
            </w:pPr>
          </w:p>
        </w:tc>
        <w:tc>
          <w:tcPr>
            <w:tcW w:w="1000" w:type="dxa"/>
            <w:vAlign w:val="bottom"/>
            <w:gridSpan w:val="6"/>
          </w:tcPr>
          <w:p>
            <w:pPr>
              <w:spacing w:after="0"/>
              <w:rPr>
                <w:sz w:val="18"/>
                <w:szCs w:val="18"/>
                <w:color w:val="auto"/>
              </w:rPr>
            </w:pPr>
          </w:p>
        </w:tc>
        <w:tc>
          <w:tcPr>
            <w:tcW w:w="200" w:type="dxa"/>
            <w:vAlign w:val="bottom"/>
            <w:gridSpan w:val="3"/>
          </w:tcPr>
          <w:p>
            <w:pPr>
              <w:spacing w:after="0"/>
              <w:rPr>
                <w:sz w:val="18"/>
                <w:szCs w:val="18"/>
                <w:color w:val="auto"/>
              </w:rPr>
            </w:pPr>
          </w:p>
        </w:tc>
        <w:tc>
          <w:tcPr>
            <w:tcW w:w="9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10.6+</w:t>
            </w:r>
          </w:p>
        </w:tc>
        <w:tc>
          <w:tcPr>
            <w:tcW w:w="4920" w:type="dxa"/>
            <w:vAlign w:val="bottom"/>
            <w:gridSpan w:val="28"/>
          </w:tcPr>
          <w:p>
            <w:pPr>
              <w:spacing w:after="0"/>
              <w:rPr>
                <w:sz w:val="20"/>
                <w:szCs w:val="20"/>
                <w:color w:val="auto"/>
              </w:rPr>
            </w:pPr>
            <w:r>
              <w:rPr>
                <w:rFonts w:ascii="Times New Roman" w:cs="Times New Roman" w:eastAsia="Times New Roman" w:hAnsi="Times New Roman"/>
                <w:sz w:val="20"/>
                <w:szCs w:val="20"/>
                <w:color w:val="656769"/>
              </w:rPr>
              <w:t>Forms of Restricted Stock Unit Grant Notice and</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940" w:type="dxa"/>
            <w:vAlign w:val="bottom"/>
            <w:tcBorders>
              <w:top w:val="single" w:sz="8" w:color="656769"/>
            </w:tcBorders>
            <w:gridSpan w:val="17"/>
          </w:tcPr>
          <w:p>
            <w:pPr>
              <w:spacing w:after="0" w:line="210" w:lineRule="exact"/>
              <w:rPr>
                <w:sz w:val="20"/>
                <w:szCs w:val="20"/>
                <w:color w:val="auto"/>
              </w:rPr>
            </w:pPr>
            <w:r>
              <w:rPr>
                <w:rFonts w:ascii="Times New Roman" w:cs="Times New Roman" w:eastAsia="Times New Roman" w:hAnsi="Times New Roman"/>
                <w:sz w:val="20"/>
                <w:szCs w:val="20"/>
                <w:color w:val="656769"/>
              </w:rPr>
              <w:t>Award Agreement under the Registrant’s 2024</w:t>
            </w:r>
          </w:p>
        </w:tc>
        <w:tc>
          <w:tcPr>
            <w:tcW w:w="98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740" w:type="dxa"/>
            <w:vAlign w:val="bottom"/>
            <w:tcBorders>
              <w:top w:val="single" w:sz="8" w:color="656769"/>
            </w:tcBorders>
            <w:gridSpan w:val="14"/>
          </w:tcPr>
          <w:p>
            <w:pPr>
              <w:spacing w:after="0" w:line="210" w:lineRule="exact"/>
              <w:rPr>
                <w:sz w:val="20"/>
                <w:szCs w:val="20"/>
                <w:color w:val="auto"/>
              </w:rPr>
            </w:pPr>
            <w:r>
              <w:rPr>
                <w:rFonts w:ascii="Times New Roman" w:cs="Times New Roman" w:eastAsia="Times New Roman" w:hAnsi="Times New Roman"/>
                <w:sz w:val="20"/>
                <w:szCs w:val="20"/>
                <w:color w:val="656769"/>
              </w:rPr>
              <w:t>Equity Incentive Plan.</w:t>
            </w:r>
          </w:p>
        </w:tc>
        <w:tc>
          <w:tcPr>
            <w:tcW w:w="118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656769"/>
          </w:tcPr>
          <w:p>
            <w:pPr>
              <w:spacing w:after="0" w:line="20" w:lineRule="exact"/>
              <w:rPr>
                <w:sz w:val="1"/>
                <w:szCs w:val="1"/>
                <w:color w:val="auto"/>
              </w:rPr>
            </w:pPr>
          </w:p>
        </w:tc>
        <w:tc>
          <w:tcPr>
            <w:tcW w:w="60" w:type="dxa"/>
            <w:vAlign w:val="bottom"/>
            <w:shd w:val="clear" w:color="auto" w:fill="656769"/>
          </w:tcPr>
          <w:p>
            <w:pPr>
              <w:spacing w:after="0" w:line="20" w:lineRule="exact"/>
              <w:rPr>
                <w:sz w:val="1"/>
                <w:szCs w:val="1"/>
                <w:color w:val="auto"/>
              </w:rPr>
            </w:pPr>
          </w:p>
        </w:tc>
        <w:tc>
          <w:tcPr>
            <w:tcW w:w="840" w:type="dxa"/>
            <w:vAlign w:val="bottom"/>
            <w:shd w:val="clear" w:color="auto" w:fill="65676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color w:val="231F20"/>
              </w:rPr>
              <w:t>10-Q</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5"/>
              </w:rPr>
              <w:t>3.2</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9"/>
              </w:rPr>
              <w:t>November 4,</w:t>
            </w:r>
          </w:p>
        </w:tc>
        <w:tc>
          <w:tcPr>
            <w:tcW w:w="0" w:type="dxa"/>
            <w:vAlign w:val="bottom"/>
          </w:tcPr>
          <w:p>
            <w:pPr>
              <w:spacing w:after="0"/>
              <w:rPr>
                <w:sz w:val="1"/>
                <w:szCs w:val="1"/>
                <w:color w:val="auto"/>
              </w:rPr>
            </w:pPr>
          </w:p>
        </w:tc>
      </w:tr>
      <w:tr>
        <w:trPr>
          <w:trHeight w:val="151"/>
        </w:trPr>
        <w:tc>
          <w:tcPr>
            <w:tcW w:w="5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420" w:type="dxa"/>
            <w:vAlign w:val="bottom"/>
            <w:vMerge w:val="restart"/>
          </w:tcPr>
          <w:p>
            <w:pPr>
              <w:jc w:val="center"/>
              <w:ind w:left="80"/>
              <w:spacing w:after="0"/>
              <w:rPr>
                <w:sz w:val="20"/>
                <w:szCs w:val="20"/>
                <w:color w:val="auto"/>
              </w:rPr>
            </w:pPr>
            <w:r>
              <w:rPr>
                <w:rFonts w:ascii="Times New Roman" w:cs="Times New Roman" w:eastAsia="Times New Roman" w:hAnsi="Times New Roman"/>
                <w:sz w:val="20"/>
                <w:szCs w:val="20"/>
                <w:color w:val="231F20"/>
                <w:w w:val="99"/>
              </w:rPr>
              <w:t>2025</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3.2</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August 8, 2025</w:t>
            </w:r>
          </w:p>
        </w:tc>
        <w:tc>
          <w:tcPr>
            <w:tcW w:w="0" w:type="dxa"/>
            <w:vAlign w:val="bottom"/>
          </w:tcPr>
          <w:p>
            <w:pPr>
              <w:spacing w:after="0"/>
              <w:rPr>
                <w:sz w:val="1"/>
                <w:szCs w:val="1"/>
                <w:color w:val="auto"/>
              </w:rPr>
            </w:pPr>
          </w:p>
        </w:tc>
      </w:tr>
      <w:tr>
        <w:trPr>
          <w:trHeight w:val="36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4.4</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August 8, 2025</w:t>
            </w:r>
          </w:p>
        </w:tc>
        <w:tc>
          <w:tcPr>
            <w:tcW w:w="0" w:type="dxa"/>
            <w:vAlign w:val="bottom"/>
          </w:tcPr>
          <w:p>
            <w:pPr>
              <w:spacing w:after="0"/>
              <w:rPr>
                <w:sz w:val="1"/>
                <w:szCs w:val="1"/>
                <w:color w:val="auto"/>
              </w:rPr>
            </w:pPr>
          </w:p>
        </w:tc>
      </w:tr>
      <w:tr>
        <w:trPr>
          <w:trHeight w:val="368"/>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10-Q</w:t>
            </w:r>
          </w:p>
        </w:tc>
        <w:tc>
          <w:tcPr>
            <w:tcW w:w="13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001-42130</w:t>
            </w: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4.3</w:t>
            </w:r>
          </w:p>
        </w:tc>
        <w:tc>
          <w:tcPr>
            <w:tcW w:w="142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August 8, 2025</w:t>
            </w:r>
          </w:p>
        </w:tc>
        <w:tc>
          <w:tcPr>
            <w:tcW w:w="0" w:type="dxa"/>
            <w:vAlign w:val="bottom"/>
          </w:tcPr>
          <w:p>
            <w:pPr>
              <w:spacing w:after="0"/>
              <w:rPr>
                <w:sz w:val="1"/>
                <w:szCs w:val="1"/>
                <w:color w:val="auto"/>
              </w:rPr>
            </w:pPr>
          </w:p>
        </w:tc>
      </w:tr>
      <w:tr>
        <w:trPr>
          <w:trHeight w:val="59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6"/>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4.1</w:t>
            </w:r>
          </w:p>
        </w:tc>
        <w:tc>
          <w:tcPr>
            <w:tcW w:w="14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9"/>
              </w:rPr>
              <w:t>July 3, 2025</w:t>
            </w:r>
          </w:p>
        </w:tc>
        <w:tc>
          <w:tcPr>
            <w:tcW w:w="0" w:type="dxa"/>
            <w:vAlign w:val="bottom"/>
          </w:tcPr>
          <w:p>
            <w:pPr>
              <w:spacing w:after="0"/>
              <w:rPr>
                <w:sz w:val="1"/>
                <w:szCs w:val="1"/>
                <w:color w:val="auto"/>
              </w:rPr>
            </w:pPr>
          </w:p>
        </w:tc>
      </w:tr>
      <w:tr>
        <w:trPr>
          <w:trHeight w:val="82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6"/>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4.2</w:t>
            </w:r>
          </w:p>
        </w:tc>
        <w:tc>
          <w:tcPr>
            <w:tcW w:w="14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9"/>
              </w:rPr>
              <w:t>July 3, 2025</w:t>
            </w:r>
          </w:p>
        </w:tc>
        <w:tc>
          <w:tcPr>
            <w:tcW w:w="0" w:type="dxa"/>
            <w:vAlign w:val="bottom"/>
          </w:tcPr>
          <w:p>
            <w:pPr>
              <w:spacing w:after="0"/>
              <w:rPr>
                <w:sz w:val="1"/>
                <w:szCs w:val="1"/>
                <w:color w:val="auto"/>
              </w:rPr>
            </w:pPr>
          </w:p>
        </w:tc>
      </w:tr>
      <w:tr>
        <w:trPr>
          <w:trHeight w:val="82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4.5</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August 8, 2025</w:t>
            </w:r>
          </w:p>
        </w:tc>
        <w:tc>
          <w:tcPr>
            <w:tcW w:w="0" w:type="dxa"/>
            <w:vAlign w:val="bottom"/>
          </w:tcPr>
          <w:p>
            <w:pPr>
              <w:spacing w:after="0"/>
              <w:rPr>
                <w:sz w:val="1"/>
                <w:szCs w:val="1"/>
                <w:color w:val="auto"/>
              </w:rPr>
            </w:pPr>
          </w:p>
        </w:tc>
      </w:tr>
      <w:tr>
        <w:trPr>
          <w:trHeight w:val="713"/>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333-279558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59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333-279558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10.2</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13"/>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333-279558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10.3</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59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333-279558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10.4</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59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333-279558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828"/>
        </w:trPr>
        <w:tc>
          <w:tcPr>
            <w:tcW w:w="58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333-279558</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10.6</w:t>
            </w:r>
          </w:p>
        </w:tc>
        <w:tc>
          <w:tcPr>
            <w:tcW w:w="142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bl>
    <w:p>
      <w:pPr>
        <w:spacing w:after="0" w:line="406" w:lineRule="exact"/>
        <w:rPr>
          <w:sz w:val="20"/>
          <w:szCs w:val="20"/>
          <w:color w:val="auto"/>
        </w:rPr>
      </w:pPr>
    </w:p>
    <w:p>
      <w:pPr>
        <w:sectPr>
          <w:pgSz w:w="11880" w:h="15480" w:orient="portrait"/>
          <w:cols w:equalWidth="0" w:num="2">
            <w:col w:w="5780" w:space="200"/>
            <w:col w:w="4100"/>
          </w:cols>
          <w:pgMar w:left="900" w:top="735"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187</w:t>
      </w:r>
    </w:p>
    <w:p>
      <w:pPr>
        <w:sectPr>
          <w:pgSz w:w="11880" w:h="15480" w:orient="portrait"/>
          <w:cols w:equalWidth="0" w:num="1">
            <w:col w:w="10080"/>
          </w:cols>
          <w:pgMar w:left="900" w:top="735" w:right="900" w:bottom="0" w:gutter="0" w:footer="0" w:header="0"/>
          <w:type w:val="continuous"/>
        </w:sectPr>
      </w:pPr>
    </w:p>
    <w:bookmarkStart w:id="195" w:name="page196"/>
    <w:bookmarkEnd w:id="19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0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17"/>
                <w:szCs w:val="17"/>
                <w:color w:val="auto"/>
              </w:rPr>
            </w:pPr>
          </w:p>
        </w:tc>
        <w:tc>
          <w:tcPr>
            <w:tcW w:w="40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440" w:type="dxa"/>
            <w:vAlign w:val="bottom"/>
            <w:tcBorders>
              <w:bottom w:val="single" w:sz="8" w:color="231F20"/>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3380" w:type="dxa"/>
            <w:vAlign w:val="bottom"/>
            <w:tcBorders>
              <w:bottom w:val="single" w:sz="8" w:color="231F20"/>
            </w:tcBorders>
            <w:gridSpan w:val="33"/>
          </w:tcPr>
          <w:p>
            <w:pPr>
              <w:ind w:left="16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r>
      <w:tr>
        <w:trPr>
          <w:trHeight w:val="34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10.7+</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Form of Indemnification Agreement entered into by and</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Borders>
              <w:top w:val="single" w:sz="8" w:color="656769"/>
            </w:tcBorders>
            <w:gridSpan w:val="27"/>
          </w:tcPr>
          <w:p>
            <w:pPr>
              <w:spacing w:after="0" w:line="210" w:lineRule="exact"/>
              <w:rPr>
                <w:sz w:val="20"/>
                <w:szCs w:val="20"/>
                <w:color w:val="auto"/>
              </w:rPr>
            </w:pPr>
            <w:r>
              <w:rPr>
                <w:rFonts w:ascii="Times New Roman" w:cs="Times New Roman" w:eastAsia="Times New Roman" w:hAnsi="Times New Roman"/>
                <w:sz w:val="20"/>
                <w:szCs w:val="20"/>
                <w:color w:val="656769"/>
              </w:rPr>
              <w:t>between the Registrant and each director and executive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tcBorders>
              <w:top w:val="single" w:sz="8" w:color="656769"/>
            </w:tcBorders>
            <w:gridSpan w:val="23"/>
          </w:tcPr>
          <w:p>
            <w:pPr>
              <w:spacing w:after="0" w:line="210" w:lineRule="exact"/>
              <w:rPr>
                <w:sz w:val="20"/>
                <w:szCs w:val="20"/>
                <w:color w:val="auto"/>
              </w:rPr>
            </w:pPr>
            <w:r>
              <w:rPr>
                <w:rFonts w:ascii="Times New Roman" w:cs="Times New Roman" w:eastAsia="Times New Roman" w:hAnsi="Times New Roman"/>
                <w:sz w:val="20"/>
                <w:szCs w:val="20"/>
                <w:color w:val="656769"/>
              </w:rPr>
              <w:t>officer.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140" w:type="dxa"/>
            <w:vAlign w:val="bottom"/>
            <w:shd w:val="clear" w:color="auto" w:fill="65676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10.8+</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Employment Agreement, by and between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top w:val="single" w:sz="8" w:color="656769"/>
            </w:tcBorders>
            <w:gridSpan w:val="14"/>
          </w:tcPr>
          <w:p>
            <w:pPr>
              <w:spacing w:after="0" w:line="210" w:lineRule="exact"/>
              <w:rPr>
                <w:sz w:val="20"/>
                <w:szCs w:val="20"/>
                <w:color w:val="auto"/>
              </w:rPr>
            </w:pPr>
            <w:r>
              <w:rPr>
                <w:rFonts w:ascii="Times New Roman" w:cs="Times New Roman" w:eastAsia="Times New Roman" w:hAnsi="Times New Roman"/>
                <w:sz w:val="20"/>
                <w:szCs w:val="20"/>
                <w:color w:val="656769"/>
                <w:w w:val="97"/>
              </w:rPr>
              <w:t>Registrant and Eric Lefkofsky, dated February</w:t>
            </w:r>
          </w:p>
        </w:tc>
        <w:tc>
          <w:tcPr>
            <w:tcW w:w="680" w:type="dxa"/>
            <w:vAlign w:val="bottom"/>
            <w:gridSpan w:val="6"/>
          </w:tcPr>
          <w:p>
            <w:pPr>
              <w:jc w:val="right"/>
              <w:ind w:right="400"/>
              <w:spacing w:after="0" w:line="210" w:lineRule="exact"/>
              <w:rPr>
                <w:sz w:val="20"/>
                <w:szCs w:val="20"/>
                <w:color w:val="auto"/>
              </w:rPr>
            </w:pPr>
            <w:r>
              <w:rPr>
                <w:rFonts w:ascii="Times New Roman" w:cs="Times New Roman" w:eastAsia="Times New Roman" w:hAnsi="Times New Roman"/>
                <w:sz w:val="20"/>
                <w:szCs w:val="20"/>
                <w:color w:val="656769"/>
              </w:rPr>
              <w:t>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3"/>
              </w:rPr>
              <w:t>2024.</w:t>
            </w:r>
          </w:p>
        </w:tc>
        <w:tc>
          <w:tcPr>
            <w:tcW w:w="140" w:type="dxa"/>
            <w:vAlign w:val="bottom"/>
            <w:tcBorders>
              <w:top w:val="single" w:sz="8" w:color="656769"/>
            </w:tcBorders>
          </w:tcPr>
          <w:p>
            <w:pPr>
              <w:spacing w:after="0"/>
              <w:rPr>
                <w:sz w:val="18"/>
                <w:szCs w:val="18"/>
                <w:color w:val="auto"/>
              </w:rPr>
            </w:pPr>
          </w:p>
        </w:tc>
        <w:tc>
          <w:tcPr>
            <w:tcW w:w="460" w:type="dxa"/>
            <w:vAlign w:val="bottom"/>
            <w:tcBorders>
              <w:top w:val="single" w:sz="8" w:color="656769"/>
            </w:tcBorders>
          </w:tcPr>
          <w:p>
            <w:pPr>
              <w:spacing w:after="0"/>
              <w:rPr>
                <w:sz w:val="18"/>
                <w:szCs w:val="18"/>
                <w:color w:val="auto"/>
              </w:rPr>
            </w:pPr>
          </w:p>
        </w:tc>
        <w:tc>
          <w:tcPr>
            <w:tcW w:w="440" w:type="dxa"/>
            <w:vAlign w:val="bottom"/>
            <w:tcBorders>
              <w:top w:val="single" w:sz="8" w:color="656769"/>
            </w:tcBorders>
          </w:tcPr>
          <w:p>
            <w:pPr>
              <w:spacing w:after="0"/>
              <w:rPr>
                <w:sz w:val="18"/>
                <w:szCs w:val="18"/>
                <w:color w:val="auto"/>
              </w:rPr>
            </w:pPr>
          </w:p>
        </w:tc>
        <w:tc>
          <w:tcPr>
            <w:tcW w:w="40" w:type="dxa"/>
            <w:vAlign w:val="bottom"/>
            <w:tcBorders>
              <w:top w:val="single" w:sz="8" w:color="656769"/>
            </w:tcBorders>
          </w:tcPr>
          <w:p>
            <w:pPr>
              <w:spacing w:after="0"/>
              <w:rPr>
                <w:sz w:val="18"/>
                <w:szCs w:val="18"/>
                <w:color w:val="auto"/>
              </w:rPr>
            </w:pPr>
          </w:p>
        </w:tc>
        <w:tc>
          <w:tcPr>
            <w:tcW w:w="940" w:type="dxa"/>
            <w:vAlign w:val="bottom"/>
            <w:tcBorders>
              <w:top w:val="single" w:sz="8" w:color="656769"/>
            </w:tcBorders>
          </w:tcPr>
          <w:p>
            <w:pPr>
              <w:spacing w:after="0"/>
              <w:rPr>
                <w:sz w:val="18"/>
                <w:szCs w:val="18"/>
                <w:color w:val="auto"/>
              </w:rPr>
            </w:pPr>
          </w:p>
        </w:tc>
        <w:tc>
          <w:tcPr>
            <w:tcW w:w="160" w:type="dxa"/>
            <w:vAlign w:val="bottom"/>
            <w:tcBorders>
              <w:top w:val="single" w:sz="8" w:color="656769"/>
            </w:tcBorders>
          </w:tcPr>
          <w:p>
            <w:pPr>
              <w:spacing w:after="0"/>
              <w:rPr>
                <w:sz w:val="18"/>
                <w:szCs w:val="18"/>
                <w:color w:val="auto"/>
              </w:rPr>
            </w:pPr>
          </w:p>
        </w:tc>
        <w:tc>
          <w:tcPr>
            <w:tcW w:w="54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18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8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8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16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10.9+</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Employment Agreement, by and between the</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Borders>
              <w:top w:val="single" w:sz="8" w:color="656769"/>
            </w:tcBorders>
            <w:gridSpan w:val="13"/>
          </w:tcPr>
          <w:p>
            <w:pPr>
              <w:spacing w:after="0" w:line="210" w:lineRule="exact"/>
              <w:rPr>
                <w:sz w:val="20"/>
                <w:szCs w:val="20"/>
                <w:color w:val="auto"/>
              </w:rPr>
            </w:pPr>
            <w:r>
              <w:rPr>
                <w:rFonts w:ascii="Times New Roman" w:cs="Times New Roman" w:eastAsia="Times New Roman" w:hAnsi="Times New Roman"/>
                <w:sz w:val="20"/>
                <w:szCs w:val="20"/>
                <w:color w:val="656769"/>
              </w:rPr>
              <w:t>Registrant and Erik Phelps, dated January 1,</w:t>
            </w: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3"/>
              </w:rPr>
              <w:t>2023.</w:t>
            </w:r>
          </w:p>
        </w:tc>
        <w:tc>
          <w:tcPr>
            <w:tcW w:w="140" w:type="dxa"/>
            <w:vAlign w:val="bottom"/>
            <w:tcBorders>
              <w:top w:val="single" w:sz="8" w:color="656769"/>
            </w:tcBorders>
          </w:tcPr>
          <w:p>
            <w:pPr>
              <w:spacing w:after="0"/>
              <w:rPr>
                <w:sz w:val="18"/>
                <w:szCs w:val="18"/>
                <w:color w:val="auto"/>
              </w:rPr>
            </w:pPr>
          </w:p>
        </w:tc>
        <w:tc>
          <w:tcPr>
            <w:tcW w:w="460" w:type="dxa"/>
            <w:vAlign w:val="bottom"/>
            <w:tcBorders>
              <w:top w:val="single" w:sz="8" w:color="656769"/>
            </w:tcBorders>
          </w:tcPr>
          <w:p>
            <w:pPr>
              <w:spacing w:after="0"/>
              <w:rPr>
                <w:sz w:val="18"/>
                <w:szCs w:val="18"/>
                <w:color w:val="auto"/>
              </w:rPr>
            </w:pPr>
          </w:p>
        </w:tc>
        <w:tc>
          <w:tcPr>
            <w:tcW w:w="440" w:type="dxa"/>
            <w:vAlign w:val="bottom"/>
            <w:tcBorders>
              <w:top w:val="single" w:sz="8" w:color="656769"/>
            </w:tcBorders>
          </w:tcPr>
          <w:p>
            <w:pPr>
              <w:spacing w:after="0"/>
              <w:rPr>
                <w:sz w:val="18"/>
                <w:szCs w:val="18"/>
                <w:color w:val="auto"/>
              </w:rPr>
            </w:pPr>
          </w:p>
        </w:tc>
        <w:tc>
          <w:tcPr>
            <w:tcW w:w="40" w:type="dxa"/>
            <w:vAlign w:val="bottom"/>
            <w:tcBorders>
              <w:top w:val="single" w:sz="8" w:color="656769"/>
            </w:tcBorders>
          </w:tcPr>
          <w:p>
            <w:pPr>
              <w:spacing w:after="0"/>
              <w:rPr>
                <w:sz w:val="18"/>
                <w:szCs w:val="18"/>
                <w:color w:val="auto"/>
              </w:rPr>
            </w:pPr>
          </w:p>
        </w:tc>
        <w:tc>
          <w:tcPr>
            <w:tcW w:w="940" w:type="dxa"/>
            <w:vAlign w:val="bottom"/>
            <w:tcBorders>
              <w:top w:val="single" w:sz="8" w:color="656769"/>
            </w:tcBorders>
          </w:tcPr>
          <w:p>
            <w:pPr>
              <w:spacing w:after="0"/>
              <w:rPr>
                <w:sz w:val="18"/>
                <w:szCs w:val="18"/>
                <w:color w:val="auto"/>
              </w:rPr>
            </w:pPr>
          </w:p>
        </w:tc>
        <w:tc>
          <w:tcPr>
            <w:tcW w:w="160" w:type="dxa"/>
            <w:vAlign w:val="bottom"/>
            <w:tcBorders>
              <w:top w:val="single" w:sz="8" w:color="656769"/>
            </w:tcBorders>
          </w:tcPr>
          <w:p>
            <w:pPr>
              <w:spacing w:after="0"/>
              <w:rPr>
                <w:sz w:val="18"/>
                <w:szCs w:val="18"/>
                <w:color w:val="auto"/>
              </w:rPr>
            </w:pPr>
          </w:p>
        </w:tc>
        <w:tc>
          <w:tcPr>
            <w:tcW w:w="54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18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10.10+</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Employment Agreement, by and between the Registrant and</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Borders>
              <w:top w:val="single" w:sz="8" w:color="656769"/>
            </w:tcBorders>
            <w:gridSpan w:val="36"/>
          </w:tcPr>
          <w:p>
            <w:pPr>
              <w:spacing w:after="0" w:line="210" w:lineRule="exact"/>
              <w:rPr>
                <w:sz w:val="20"/>
                <w:szCs w:val="20"/>
                <w:color w:val="auto"/>
              </w:rPr>
            </w:pPr>
            <w:r>
              <w:rPr>
                <w:rFonts w:ascii="Times New Roman" w:cs="Times New Roman" w:eastAsia="Times New Roman" w:hAnsi="Times New Roman"/>
                <w:sz w:val="20"/>
                <w:szCs w:val="20"/>
                <w:color w:val="656769"/>
              </w:rPr>
              <w:t>Ryan Fukushima, dated January 1, 2023.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640" w:type="dxa"/>
            <w:vAlign w:val="bottom"/>
            <w:gridSpan w:val="3"/>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940" w:type="dxa"/>
            <w:vAlign w:val="bottom"/>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54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10.11+</w:t>
            </w:r>
          </w:p>
        </w:tc>
        <w:tc>
          <w:tcPr>
            <w:tcW w:w="100" w:type="dxa"/>
            <w:vAlign w:val="bottom"/>
          </w:tcPr>
          <w:p>
            <w:pPr>
              <w:spacing w:after="0"/>
              <w:rPr>
                <w:sz w:val="24"/>
                <w:szCs w:val="24"/>
                <w:color w:val="auto"/>
              </w:rPr>
            </w:pPr>
          </w:p>
        </w:tc>
        <w:tc>
          <w:tcPr>
            <w:tcW w:w="3640" w:type="dxa"/>
            <w:vAlign w:val="bottom"/>
            <w:tcBorders>
              <w:bottom w:val="single" w:sz="8" w:color="656769"/>
            </w:tcBorders>
            <w:gridSpan w:val="14"/>
          </w:tcPr>
          <w:p>
            <w:pPr>
              <w:spacing w:after="0"/>
              <w:rPr>
                <w:sz w:val="20"/>
                <w:szCs w:val="20"/>
                <w:color w:val="auto"/>
              </w:rPr>
            </w:pPr>
            <w:r>
              <w:rPr>
                <w:rFonts w:ascii="Times New Roman" w:cs="Times New Roman" w:eastAsia="Times New Roman" w:hAnsi="Times New Roman"/>
                <w:sz w:val="20"/>
                <w:szCs w:val="20"/>
                <w:color w:val="656769"/>
                <w:w w:val="99"/>
              </w:rPr>
              <w:t>Employment Agreement, by and between the</w:t>
            </w:r>
          </w:p>
        </w:tc>
        <w:tc>
          <w:tcPr>
            <w:tcW w:w="1260" w:type="dxa"/>
            <w:vAlign w:val="bottom"/>
            <w:gridSpan w:val="25"/>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39"/>
          </w:tcPr>
          <w:p>
            <w:pPr>
              <w:spacing w:after="0" w:line="210" w:lineRule="exact"/>
              <w:rPr>
                <w:sz w:val="20"/>
                <w:szCs w:val="20"/>
                <w:color w:val="auto"/>
              </w:rPr>
            </w:pPr>
            <w:r>
              <w:rPr>
                <w:rFonts w:ascii="Times New Roman" w:cs="Times New Roman" w:eastAsia="Times New Roman" w:hAnsi="Times New Roman"/>
                <w:sz w:val="20"/>
                <w:szCs w:val="20"/>
                <w:color w:val="656769"/>
              </w:rPr>
              <w:t>Registrant and James Rogers, dated January 1,</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3"/>
              </w:rPr>
              <w:t>2023.</w:t>
            </w:r>
          </w:p>
        </w:tc>
        <w:tc>
          <w:tcPr>
            <w:tcW w:w="140" w:type="dxa"/>
            <w:vAlign w:val="bottom"/>
            <w:tcBorders>
              <w:top w:val="single" w:sz="8" w:color="656769"/>
            </w:tcBorders>
          </w:tcPr>
          <w:p>
            <w:pPr>
              <w:spacing w:after="0"/>
              <w:rPr>
                <w:sz w:val="18"/>
                <w:szCs w:val="18"/>
                <w:color w:val="auto"/>
              </w:rPr>
            </w:pPr>
          </w:p>
        </w:tc>
        <w:tc>
          <w:tcPr>
            <w:tcW w:w="460" w:type="dxa"/>
            <w:vAlign w:val="bottom"/>
            <w:tcBorders>
              <w:top w:val="single" w:sz="8" w:color="656769"/>
            </w:tcBorders>
          </w:tcPr>
          <w:p>
            <w:pPr>
              <w:spacing w:after="0"/>
              <w:rPr>
                <w:sz w:val="18"/>
                <w:szCs w:val="18"/>
                <w:color w:val="auto"/>
              </w:rPr>
            </w:pPr>
          </w:p>
        </w:tc>
        <w:tc>
          <w:tcPr>
            <w:tcW w:w="440" w:type="dxa"/>
            <w:vAlign w:val="bottom"/>
            <w:tcBorders>
              <w:top w:val="single" w:sz="8" w:color="656769"/>
            </w:tcBorders>
          </w:tcPr>
          <w:p>
            <w:pPr>
              <w:spacing w:after="0"/>
              <w:rPr>
                <w:sz w:val="18"/>
                <w:szCs w:val="18"/>
                <w:color w:val="auto"/>
              </w:rPr>
            </w:pPr>
          </w:p>
        </w:tc>
        <w:tc>
          <w:tcPr>
            <w:tcW w:w="40" w:type="dxa"/>
            <w:vAlign w:val="bottom"/>
            <w:tcBorders>
              <w:top w:val="single" w:sz="8" w:color="656769"/>
            </w:tcBorders>
          </w:tcPr>
          <w:p>
            <w:pPr>
              <w:spacing w:after="0"/>
              <w:rPr>
                <w:sz w:val="18"/>
                <w:szCs w:val="18"/>
                <w:color w:val="auto"/>
              </w:rPr>
            </w:pPr>
          </w:p>
        </w:tc>
        <w:tc>
          <w:tcPr>
            <w:tcW w:w="940" w:type="dxa"/>
            <w:vAlign w:val="bottom"/>
            <w:tcBorders>
              <w:top w:val="single" w:sz="8" w:color="656769"/>
            </w:tcBorders>
          </w:tcPr>
          <w:p>
            <w:pPr>
              <w:spacing w:after="0"/>
              <w:rPr>
                <w:sz w:val="18"/>
                <w:szCs w:val="18"/>
                <w:color w:val="auto"/>
              </w:rPr>
            </w:pPr>
          </w:p>
        </w:tc>
        <w:tc>
          <w:tcPr>
            <w:tcW w:w="160" w:type="dxa"/>
            <w:vAlign w:val="bottom"/>
            <w:tcBorders>
              <w:top w:val="single" w:sz="8" w:color="656769"/>
            </w:tcBorders>
          </w:tcPr>
          <w:p>
            <w:pPr>
              <w:spacing w:after="0"/>
              <w:rPr>
                <w:sz w:val="18"/>
                <w:szCs w:val="18"/>
                <w:color w:val="auto"/>
              </w:rPr>
            </w:pPr>
          </w:p>
        </w:tc>
        <w:tc>
          <w:tcPr>
            <w:tcW w:w="54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18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8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80" w:type="dxa"/>
            <w:vAlign w:val="bottom"/>
            <w:tcBorders>
              <w:top w:val="single" w:sz="8" w:color="656769"/>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10.12+</w:t>
            </w:r>
          </w:p>
        </w:tc>
        <w:tc>
          <w:tcPr>
            <w:tcW w:w="100" w:type="dxa"/>
            <w:vAlign w:val="bottom"/>
          </w:tcPr>
          <w:p>
            <w:pPr>
              <w:spacing w:after="0"/>
              <w:rPr>
                <w:sz w:val="24"/>
                <w:szCs w:val="24"/>
                <w:color w:val="auto"/>
              </w:rPr>
            </w:pPr>
          </w:p>
        </w:tc>
        <w:tc>
          <w:tcPr>
            <w:tcW w:w="3640" w:type="dxa"/>
            <w:vAlign w:val="bottom"/>
            <w:tcBorders>
              <w:bottom w:val="single" w:sz="8" w:color="656769"/>
            </w:tcBorders>
            <w:gridSpan w:val="14"/>
          </w:tcPr>
          <w:p>
            <w:pPr>
              <w:spacing w:after="0"/>
              <w:rPr>
                <w:sz w:val="20"/>
                <w:szCs w:val="20"/>
                <w:color w:val="auto"/>
              </w:rPr>
            </w:pPr>
            <w:r>
              <w:rPr>
                <w:rFonts w:ascii="Times New Roman" w:cs="Times New Roman" w:eastAsia="Times New Roman" w:hAnsi="Times New Roman"/>
                <w:sz w:val="20"/>
                <w:szCs w:val="20"/>
                <w:color w:val="656769"/>
                <w:w w:val="99"/>
              </w:rPr>
              <w:t>Employment Agreement, by and between the</w:t>
            </w:r>
          </w:p>
        </w:tc>
        <w:tc>
          <w:tcPr>
            <w:tcW w:w="1260" w:type="dxa"/>
            <w:vAlign w:val="bottom"/>
            <w:gridSpan w:val="25"/>
          </w:tcPr>
          <w:p>
            <w:pPr>
              <w:spacing w:after="0"/>
              <w:rPr>
                <w:sz w:val="24"/>
                <w:szCs w:val="24"/>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39"/>
          </w:tcPr>
          <w:p>
            <w:pPr>
              <w:spacing w:after="0" w:line="210" w:lineRule="exact"/>
              <w:rPr>
                <w:sz w:val="20"/>
                <w:szCs w:val="20"/>
                <w:color w:val="auto"/>
              </w:rPr>
            </w:pPr>
            <w:r>
              <w:rPr>
                <w:rFonts w:ascii="Times New Roman" w:cs="Times New Roman" w:eastAsia="Times New Roman" w:hAnsi="Times New Roman"/>
                <w:sz w:val="20"/>
                <w:szCs w:val="20"/>
                <w:color w:val="656769"/>
              </w:rPr>
              <w:t>Registrant and Andy Polovin, dated January 1,</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656769"/>
              <w:bottom w:val="single" w:sz="8" w:color="656769"/>
            </w:tcBorders>
            <w:gridSpan w:val="2"/>
          </w:tcPr>
          <w:p>
            <w:pPr>
              <w:spacing w:after="0" w:line="210" w:lineRule="exact"/>
              <w:rPr>
                <w:sz w:val="20"/>
                <w:szCs w:val="20"/>
                <w:color w:val="auto"/>
              </w:rPr>
            </w:pPr>
            <w:r>
              <w:rPr>
                <w:rFonts w:ascii="Times New Roman" w:cs="Times New Roman" w:eastAsia="Times New Roman" w:hAnsi="Times New Roman"/>
                <w:sz w:val="20"/>
                <w:szCs w:val="20"/>
                <w:color w:val="656769"/>
                <w:w w:val="93"/>
              </w:rPr>
              <w:t>2023.</w:t>
            </w:r>
          </w:p>
        </w:tc>
        <w:tc>
          <w:tcPr>
            <w:tcW w:w="140" w:type="dxa"/>
            <w:vAlign w:val="bottom"/>
            <w:tcBorders>
              <w:top w:val="single" w:sz="8" w:color="656769"/>
            </w:tcBorders>
          </w:tcPr>
          <w:p>
            <w:pPr>
              <w:spacing w:after="0"/>
              <w:rPr>
                <w:sz w:val="18"/>
                <w:szCs w:val="18"/>
                <w:color w:val="auto"/>
              </w:rPr>
            </w:pPr>
          </w:p>
        </w:tc>
        <w:tc>
          <w:tcPr>
            <w:tcW w:w="460" w:type="dxa"/>
            <w:vAlign w:val="bottom"/>
            <w:tcBorders>
              <w:top w:val="single" w:sz="8" w:color="656769"/>
            </w:tcBorders>
          </w:tcPr>
          <w:p>
            <w:pPr>
              <w:spacing w:after="0"/>
              <w:rPr>
                <w:sz w:val="18"/>
                <w:szCs w:val="18"/>
                <w:color w:val="auto"/>
              </w:rPr>
            </w:pPr>
          </w:p>
        </w:tc>
        <w:tc>
          <w:tcPr>
            <w:tcW w:w="440" w:type="dxa"/>
            <w:vAlign w:val="bottom"/>
            <w:tcBorders>
              <w:top w:val="single" w:sz="8" w:color="656769"/>
            </w:tcBorders>
          </w:tcPr>
          <w:p>
            <w:pPr>
              <w:spacing w:after="0"/>
              <w:rPr>
                <w:sz w:val="18"/>
                <w:szCs w:val="18"/>
                <w:color w:val="auto"/>
              </w:rPr>
            </w:pPr>
          </w:p>
        </w:tc>
        <w:tc>
          <w:tcPr>
            <w:tcW w:w="40" w:type="dxa"/>
            <w:vAlign w:val="bottom"/>
            <w:tcBorders>
              <w:top w:val="single" w:sz="8" w:color="656769"/>
            </w:tcBorders>
          </w:tcPr>
          <w:p>
            <w:pPr>
              <w:spacing w:after="0"/>
              <w:rPr>
                <w:sz w:val="18"/>
                <w:szCs w:val="18"/>
                <w:color w:val="auto"/>
              </w:rPr>
            </w:pPr>
          </w:p>
        </w:tc>
        <w:tc>
          <w:tcPr>
            <w:tcW w:w="940" w:type="dxa"/>
            <w:vAlign w:val="bottom"/>
            <w:tcBorders>
              <w:top w:val="single" w:sz="8" w:color="656769"/>
            </w:tcBorders>
          </w:tcPr>
          <w:p>
            <w:pPr>
              <w:spacing w:after="0"/>
              <w:rPr>
                <w:sz w:val="18"/>
                <w:szCs w:val="18"/>
                <w:color w:val="auto"/>
              </w:rPr>
            </w:pPr>
          </w:p>
        </w:tc>
        <w:tc>
          <w:tcPr>
            <w:tcW w:w="160" w:type="dxa"/>
            <w:vAlign w:val="bottom"/>
            <w:tcBorders>
              <w:top w:val="single" w:sz="8" w:color="656769"/>
            </w:tcBorders>
          </w:tcPr>
          <w:p>
            <w:pPr>
              <w:spacing w:after="0"/>
              <w:rPr>
                <w:sz w:val="18"/>
                <w:szCs w:val="18"/>
                <w:color w:val="auto"/>
              </w:rPr>
            </w:pPr>
          </w:p>
        </w:tc>
        <w:tc>
          <w:tcPr>
            <w:tcW w:w="54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180" w:type="dxa"/>
            <w:vAlign w:val="bottom"/>
            <w:tcBorders>
              <w:top w:val="single" w:sz="8" w:color="656769"/>
            </w:tcBorders>
          </w:tcPr>
          <w:p>
            <w:pPr>
              <w:spacing w:after="0"/>
              <w:rPr>
                <w:sz w:val="18"/>
                <w:szCs w:val="18"/>
                <w:color w:val="auto"/>
              </w:rPr>
            </w:pPr>
          </w:p>
        </w:tc>
        <w:tc>
          <w:tcPr>
            <w:tcW w:w="100" w:type="dxa"/>
            <w:vAlign w:val="bottom"/>
            <w:tcBorders>
              <w:top w:val="single" w:sz="8" w:color="656769"/>
            </w:tcBorders>
          </w:tcPr>
          <w:p>
            <w:pPr>
              <w:spacing w:after="0"/>
              <w:rPr>
                <w:sz w:val="18"/>
                <w:szCs w:val="18"/>
                <w:color w:val="auto"/>
              </w:rPr>
            </w:pPr>
          </w:p>
        </w:tc>
        <w:tc>
          <w:tcPr>
            <w:tcW w:w="8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80" w:type="dxa"/>
            <w:vAlign w:val="bottom"/>
            <w:tcBorders>
              <w:top w:val="single" w:sz="8" w:color="656769"/>
            </w:tcBorders>
          </w:tcPr>
          <w:p>
            <w:pPr>
              <w:spacing w:after="0"/>
              <w:rPr>
                <w:sz w:val="18"/>
                <w:szCs w:val="18"/>
                <w:color w:val="auto"/>
              </w:rPr>
            </w:pPr>
          </w:p>
        </w:tc>
        <w:tc>
          <w:tcPr>
            <w:tcW w:w="20" w:type="dxa"/>
            <w:vAlign w:val="bottom"/>
            <w:tcBorders>
              <w:top w:val="single" w:sz="8" w:color="656769"/>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10.13††</w:t>
            </w:r>
          </w:p>
        </w:tc>
        <w:tc>
          <w:tcPr>
            <w:tcW w:w="100" w:type="dxa"/>
            <w:vAlign w:val="bottom"/>
          </w:tcPr>
          <w:p>
            <w:pPr>
              <w:spacing w:after="0"/>
              <w:rPr>
                <w:sz w:val="24"/>
                <w:szCs w:val="24"/>
                <w:color w:val="auto"/>
              </w:rPr>
            </w:pPr>
          </w:p>
        </w:tc>
        <w:tc>
          <w:tcPr>
            <w:tcW w:w="4500" w:type="dxa"/>
            <w:vAlign w:val="bottom"/>
            <w:tcBorders>
              <w:bottom w:val="single" w:sz="8" w:color="656769"/>
            </w:tcBorders>
            <w:gridSpan w:val="27"/>
          </w:tcPr>
          <w:p>
            <w:pPr>
              <w:spacing w:after="0"/>
              <w:rPr>
                <w:sz w:val="20"/>
                <w:szCs w:val="20"/>
                <w:color w:val="auto"/>
              </w:rPr>
            </w:pPr>
            <w:r>
              <w:rPr>
                <w:rFonts w:ascii="Times New Roman" w:cs="Times New Roman" w:eastAsia="Times New Roman" w:hAnsi="Times New Roman"/>
                <w:sz w:val="20"/>
                <w:szCs w:val="20"/>
                <w:color w:val="656769"/>
                <w:w w:val="99"/>
              </w:rPr>
              <w:t>Agreement of Lease, by and between the Registrant and</w:t>
            </w:r>
          </w:p>
        </w:tc>
        <w:tc>
          <w:tcPr>
            <w:tcW w:w="400" w:type="dxa"/>
            <w:vAlign w:val="bottom"/>
            <w:gridSpan w:val="12"/>
          </w:tcPr>
          <w:p>
            <w:pPr>
              <w:spacing w:after="0"/>
              <w:rPr>
                <w:sz w:val="24"/>
                <w:szCs w:val="24"/>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gridSpan w:val="39"/>
          </w:tcPr>
          <w:p>
            <w:pPr>
              <w:spacing w:after="0" w:line="201" w:lineRule="exact"/>
              <w:rPr>
                <w:sz w:val="20"/>
                <w:szCs w:val="20"/>
                <w:color w:val="auto"/>
              </w:rPr>
            </w:pPr>
            <w:r>
              <w:rPr>
                <w:rFonts w:ascii="Times New Roman" w:cs="Times New Roman" w:eastAsia="Times New Roman" w:hAnsi="Times New Roman"/>
                <w:sz w:val="20"/>
                <w:szCs w:val="20"/>
                <w:color w:val="656769"/>
              </w:rPr>
              <w:t>EQC 600 West Chicago Property LLC, dated January 18,</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top w:val="single" w:sz="8" w:color="656769"/>
            </w:tcBorders>
            <w:gridSpan w:val="29"/>
          </w:tcPr>
          <w:p>
            <w:pPr>
              <w:spacing w:after="0" w:line="201" w:lineRule="exact"/>
              <w:rPr>
                <w:sz w:val="20"/>
                <w:szCs w:val="20"/>
                <w:color w:val="auto"/>
              </w:rPr>
            </w:pPr>
            <w:r>
              <w:rPr>
                <w:rFonts w:ascii="Times New Roman" w:cs="Times New Roman" w:eastAsia="Times New Roman" w:hAnsi="Times New Roman"/>
                <w:sz w:val="20"/>
                <w:szCs w:val="20"/>
                <w:color w:val="656769"/>
              </w:rPr>
              <w:t>2018, as amended.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640" w:type="dxa"/>
            <w:vAlign w:val="bottom"/>
            <w:gridSpan w:val="3"/>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10.14†</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Supply Agreement, by and between the</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top w:val="single" w:sz="8" w:color="656769"/>
            </w:tcBorders>
            <w:gridSpan w:val="9"/>
          </w:tcPr>
          <w:p>
            <w:pPr>
              <w:spacing w:after="0" w:line="201" w:lineRule="exact"/>
              <w:rPr>
                <w:sz w:val="20"/>
                <w:szCs w:val="20"/>
                <w:color w:val="auto"/>
              </w:rPr>
            </w:pPr>
            <w:r>
              <w:rPr>
                <w:rFonts w:ascii="Times New Roman" w:cs="Times New Roman" w:eastAsia="Times New Roman" w:hAnsi="Times New Roman"/>
                <w:sz w:val="20"/>
                <w:szCs w:val="20"/>
                <w:color w:val="656769"/>
                <w:w w:val="96"/>
              </w:rPr>
              <w:t>Registrant and Illumina, Inc., dated June</w:t>
            </w:r>
          </w:p>
        </w:tc>
        <w:tc>
          <w:tcPr>
            <w:tcW w:w="740" w:type="dxa"/>
            <w:vAlign w:val="bottom"/>
            <w:gridSpan w:val="8"/>
          </w:tcPr>
          <w:p>
            <w:pPr>
              <w:jc w:val="right"/>
              <w:ind w:right="360"/>
              <w:spacing w:after="0" w:line="201" w:lineRule="exact"/>
              <w:rPr>
                <w:sz w:val="20"/>
                <w:szCs w:val="20"/>
                <w:color w:val="auto"/>
              </w:rPr>
            </w:pPr>
            <w:r>
              <w:rPr>
                <w:rFonts w:ascii="Times New Roman" w:cs="Times New Roman" w:eastAsia="Times New Roman" w:hAnsi="Times New Roman"/>
                <w:sz w:val="20"/>
                <w:szCs w:val="20"/>
                <w:color w:val="656769"/>
              </w:rPr>
              <w:t>29,</w:t>
            </w:r>
          </w:p>
        </w:tc>
        <w:tc>
          <w:tcPr>
            <w:tcW w:w="2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656769"/>
              <w:bottom w:val="single" w:sz="8" w:color="656769"/>
            </w:tcBorders>
            <w:gridSpan w:val="2"/>
          </w:tcPr>
          <w:p>
            <w:pPr>
              <w:spacing w:after="0" w:line="201" w:lineRule="exact"/>
              <w:rPr>
                <w:sz w:val="20"/>
                <w:szCs w:val="20"/>
                <w:color w:val="auto"/>
              </w:rPr>
            </w:pPr>
            <w:r>
              <w:rPr>
                <w:rFonts w:ascii="Times New Roman" w:cs="Times New Roman" w:eastAsia="Times New Roman" w:hAnsi="Times New Roman"/>
                <w:sz w:val="20"/>
                <w:szCs w:val="20"/>
                <w:color w:val="656769"/>
                <w:w w:val="93"/>
              </w:rPr>
              <w:t>2021.</w:t>
            </w:r>
          </w:p>
        </w:tc>
        <w:tc>
          <w:tcPr>
            <w:tcW w:w="140" w:type="dxa"/>
            <w:vAlign w:val="bottom"/>
            <w:tcBorders>
              <w:top w:val="single" w:sz="8" w:color="656769"/>
            </w:tcBorders>
          </w:tcPr>
          <w:p>
            <w:pPr>
              <w:spacing w:after="0"/>
              <w:rPr>
                <w:sz w:val="17"/>
                <w:szCs w:val="17"/>
                <w:color w:val="auto"/>
              </w:rPr>
            </w:pPr>
          </w:p>
        </w:tc>
        <w:tc>
          <w:tcPr>
            <w:tcW w:w="460" w:type="dxa"/>
            <w:vAlign w:val="bottom"/>
            <w:tcBorders>
              <w:top w:val="single" w:sz="8" w:color="656769"/>
            </w:tcBorders>
          </w:tcPr>
          <w:p>
            <w:pPr>
              <w:spacing w:after="0"/>
              <w:rPr>
                <w:sz w:val="17"/>
                <w:szCs w:val="17"/>
                <w:color w:val="auto"/>
              </w:rPr>
            </w:pPr>
          </w:p>
        </w:tc>
        <w:tc>
          <w:tcPr>
            <w:tcW w:w="440" w:type="dxa"/>
            <w:vAlign w:val="bottom"/>
            <w:tcBorders>
              <w:top w:val="single" w:sz="8" w:color="656769"/>
            </w:tcBorders>
          </w:tcPr>
          <w:p>
            <w:pPr>
              <w:spacing w:after="0"/>
              <w:rPr>
                <w:sz w:val="17"/>
                <w:szCs w:val="17"/>
                <w:color w:val="auto"/>
              </w:rPr>
            </w:pPr>
          </w:p>
        </w:tc>
        <w:tc>
          <w:tcPr>
            <w:tcW w:w="40" w:type="dxa"/>
            <w:vAlign w:val="bottom"/>
            <w:tcBorders>
              <w:top w:val="single" w:sz="8" w:color="656769"/>
            </w:tcBorders>
          </w:tcPr>
          <w:p>
            <w:pPr>
              <w:spacing w:after="0"/>
              <w:rPr>
                <w:sz w:val="17"/>
                <w:szCs w:val="17"/>
                <w:color w:val="auto"/>
              </w:rPr>
            </w:pPr>
          </w:p>
        </w:tc>
        <w:tc>
          <w:tcPr>
            <w:tcW w:w="940" w:type="dxa"/>
            <w:vAlign w:val="bottom"/>
            <w:tcBorders>
              <w:top w:val="single" w:sz="8" w:color="656769"/>
            </w:tcBorders>
          </w:tcPr>
          <w:p>
            <w:pPr>
              <w:spacing w:after="0"/>
              <w:rPr>
                <w:sz w:val="17"/>
                <w:szCs w:val="17"/>
                <w:color w:val="auto"/>
              </w:rPr>
            </w:pPr>
          </w:p>
        </w:tc>
        <w:tc>
          <w:tcPr>
            <w:tcW w:w="160" w:type="dxa"/>
            <w:vAlign w:val="bottom"/>
            <w:tcBorders>
              <w:top w:val="single" w:sz="8" w:color="656769"/>
            </w:tcBorders>
          </w:tcPr>
          <w:p>
            <w:pPr>
              <w:spacing w:after="0"/>
              <w:rPr>
                <w:sz w:val="17"/>
                <w:szCs w:val="17"/>
                <w:color w:val="auto"/>
              </w:rPr>
            </w:pPr>
          </w:p>
        </w:tc>
        <w:tc>
          <w:tcPr>
            <w:tcW w:w="540" w:type="dxa"/>
            <w:vAlign w:val="bottom"/>
            <w:tcBorders>
              <w:top w:val="single" w:sz="8" w:color="656769"/>
            </w:tcBorders>
          </w:tcPr>
          <w:p>
            <w:pPr>
              <w:spacing w:after="0"/>
              <w:rPr>
                <w:sz w:val="17"/>
                <w:szCs w:val="17"/>
                <w:color w:val="auto"/>
              </w:rPr>
            </w:pPr>
          </w:p>
        </w:tc>
        <w:tc>
          <w:tcPr>
            <w:tcW w:w="100" w:type="dxa"/>
            <w:vAlign w:val="bottom"/>
            <w:tcBorders>
              <w:top w:val="single" w:sz="8" w:color="656769"/>
            </w:tcBorders>
          </w:tcPr>
          <w:p>
            <w:pPr>
              <w:spacing w:after="0"/>
              <w:rPr>
                <w:sz w:val="17"/>
                <w:szCs w:val="17"/>
                <w:color w:val="auto"/>
              </w:rPr>
            </w:pPr>
          </w:p>
        </w:tc>
        <w:tc>
          <w:tcPr>
            <w:tcW w:w="180" w:type="dxa"/>
            <w:vAlign w:val="bottom"/>
            <w:tcBorders>
              <w:top w:val="single" w:sz="8" w:color="656769"/>
            </w:tcBorders>
          </w:tcPr>
          <w:p>
            <w:pPr>
              <w:spacing w:after="0"/>
              <w:rPr>
                <w:sz w:val="17"/>
                <w:szCs w:val="17"/>
                <w:color w:val="auto"/>
              </w:rPr>
            </w:pPr>
          </w:p>
        </w:tc>
        <w:tc>
          <w:tcPr>
            <w:tcW w:w="100" w:type="dxa"/>
            <w:vAlign w:val="bottom"/>
            <w:tcBorders>
              <w:top w:val="single" w:sz="8" w:color="656769"/>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10.15†</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Second Amended and Restated Convertible Promissory</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Borders>
              <w:top w:val="single" w:sz="8" w:color="656769"/>
            </w:tcBorders>
            <w:gridSpan w:val="25"/>
          </w:tcPr>
          <w:p>
            <w:pPr>
              <w:spacing w:after="0" w:line="210" w:lineRule="exact"/>
              <w:rPr>
                <w:sz w:val="20"/>
                <w:szCs w:val="20"/>
                <w:color w:val="auto"/>
              </w:rPr>
            </w:pPr>
            <w:r>
              <w:rPr>
                <w:rFonts w:ascii="Times New Roman" w:cs="Times New Roman" w:eastAsia="Times New Roman" w:hAnsi="Times New Roman"/>
                <w:sz w:val="20"/>
                <w:szCs w:val="20"/>
                <w:color w:val="656769"/>
              </w:rPr>
              <w:t>Note, by and between the Registrant and Google LLC,</w:t>
            </w:r>
          </w:p>
        </w:tc>
        <w:tc>
          <w:tcPr>
            <w:tcW w:w="440" w:type="dxa"/>
            <w:vAlign w:val="bottom"/>
            <w:gridSpan w:val="14"/>
          </w:tcPr>
          <w:p>
            <w:pPr>
              <w:spacing w:after="0" w:line="210" w:lineRule="exact"/>
              <w:rPr>
                <w:sz w:val="20"/>
                <w:szCs w:val="20"/>
                <w:color w:val="auto"/>
              </w:rPr>
            </w:pPr>
            <w:r>
              <w:rPr>
                <w:rFonts w:ascii="Times New Roman" w:cs="Times New Roman" w:eastAsia="Times New Roman" w:hAnsi="Times New Roman"/>
                <w:sz w:val="20"/>
                <w:szCs w:val="20"/>
                <w:color w:val="656769"/>
                <w:w w:val="96"/>
              </w:rPr>
              <w:t>dated</w:t>
            </w: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656769"/>
              <w:bottom w:val="single" w:sz="8" w:color="656769"/>
            </w:tcBorders>
            <w:gridSpan w:val="6"/>
          </w:tcPr>
          <w:p>
            <w:pPr>
              <w:spacing w:after="0" w:line="210" w:lineRule="exact"/>
              <w:rPr>
                <w:sz w:val="20"/>
                <w:szCs w:val="20"/>
                <w:color w:val="auto"/>
              </w:rPr>
            </w:pPr>
            <w:r>
              <w:rPr>
                <w:rFonts w:ascii="Times New Roman" w:cs="Times New Roman" w:eastAsia="Times New Roman" w:hAnsi="Times New Roman"/>
                <w:sz w:val="20"/>
                <w:szCs w:val="20"/>
                <w:color w:val="656769"/>
                <w:w w:val="98"/>
              </w:rPr>
              <w:t>February 22, 2025.</w:t>
            </w:r>
          </w:p>
        </w:tc>
        <w:tc>
          <w:tcPr>
            <w:tcW w:w="3320" w:type="dxa"/>
            <w:vAlign w:val="bottom"/>
            <w:tcBorders>
              <w:top w:val="single" w:sz="8" w:color="656769"/>
            </w:tcBorders>
            <w:gridSpan w:val="31"/>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5"/>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10.16†</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Amended and Restated Master Agreement, by and between</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tcBorders>
              <w:top w:val="single" w:sz="8" w:color="656769"/>
              <w:bottom w:val="single" w:sz="8" w:color="656769"/>
            </w:tcBorders>
            <w:gridSpan w:val="33"/>
          </w:tcPr>
          <w:p>
            <w:pPr>
              <w:spacing w:after="0" w:line="201" w:lineRule="exact"/>
              <w:rPr>
                <w:sz w:val="20"/>
                <w:szCs w:val="20"/>
                <w:color w:val="auto"/>
              </w:rPr>
            </w:pPr>
            <w:r>
              <w:rPr>
                <w:rFonts w:ascii="Times New Roman" w:cs="Times New Roman" w:eastAsia="Times New Roman" w:hAnsi="Times New Roman"/>
                <w:sz w:val="20"/>
                <w:szCs w:val="20"/>
                <w:color w:val="656769"/>
                <w:w w:val="98"/>
              </w:rPr>
              <w:t>the Registrant and Pathos AI, Inc., dated February 12, 2024.</w:t>
            </w:r>
          </w:p>
        </w:tc>
        <w:tc>
          <w:tcPr>
            <w:tcW w:w="20" w:type="dxa"/>
            <w:vAlign w:val="bottom"/>
            <w:tcBorders>
              <w:bottom w:val="single" w:sz="8" w:color="656769"/>
            </w:tcBorders>
          </w:tcPr>
          <w:p>
            <w:pPr>
              <w:spacing w:after="0"/>
              <w:rPr>
                <w:sz w:val="17"/>
                <w:szCs w:val="17"/>
                <w:color w:val="auto"/>
              </w:rPr>
            </w:pPr>
          </w:p>
        </w:tc>
        <w:tc>
          <w:tcPr>
            <w:tcW w:w="20" w:type="dxa"/>
            <w:vAlign w:val="bottom"/>
            <w:tcBorders>
              <w:bottom w:val="single" w:sz="8" w:color="656769"/>
            </w:tcBorders>
          </w:tcPr>
          <w:p>
            <w:pPr>
              <w:spacing w:after="0"/>
              <w:rPr>
                <w:sz w:val="17"/>
                <w:szCs w:val="17"/>
                <w:color w:val="auto"/>
              </w:rPr>
            </w:pPr>
          </w:p>
        </w:tc>
        <w:tc>
          <w:tcPr>
            <w:tcW w:w="0" w:type="dxa"/>
            <w:vAlign w:val="bottom"/>
            <w:tcBorders>
              <w:bottom w:val="single" w:sz="8" w:color="656769"/>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10.17†</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Master Services Agreement, by and between the Registrant</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top w:val="single" w:sz="8" w:color="656769"/>
            </w:tcBorders>
            <w:gridSpan w:val="31"/>
          </w:tcPr>
          <w:p>
            <w:pPr>
              <w:spacing w:after="0" w:line="201" w:lineRule="exact"/>
              <w:rPr>
                <w:sz w:val="20"/>
                <w:szCs w:val="20"/>
                <w:color w:val="auto"/>
              </w:rPr>
            </w:pPr>
            <w:r>
              <w:rPr>
                <w:rFonts w:ascii="Times New Roman" w:cs="Times New Roman" w:eastAsia="Times New Roman" w:hAnsi="Times New Roman"/>
                <w:sz w:val="20"/>
                <w:szCs w:val="20"/>
                <w:color w:val="656769"/>
              </w:rPr>
              <w:t>and AstraZeneca AB, dated November 17, 2021.</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640" w:type="dxa"/>
            <w:vAlign w:val="bottom"/>
            <w:gridSpan w:val="3"/>
            <w:shd w:val="clear" w:color="auto" w:fill="656769"/>
          </w:tcPr>
          <w:p>
            <w:pPr>
              <w:spacing w:after="0" w:line="20" w:lineRule="exact"/>
              <w:rPr>
                <w:sz w:val="1"/>
                <w:szCs w:val="1"/>
                <w:color w:val="auto"/>
              </w:rPr>
            </w:pPr>
          </w:p>
        </w:tc>
        <w:tc>
          <w:tcPr>
            <w:tcW w:w="1420" w:type="dxa"/>
            <w:vAlign w:val="bottom"/>
            <w:gridSpan w:val="3"/>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820" w:type="dxa"/>
            <w:vAlign w:val="bottom"/>
            <w:gridSpan w:val="3"/>
            <w:shd w:val="clear" w:color="auto" w:fill="656769"/>
          </w:tcPr>
          <w:p>
            <w:pPr>
              <w:spacing w:after="0" w:line="20" w:lineRule="exact"/>
              <w:rPr>
                <w:sz w:val="1"/>
                <w:szCs w:val="1"/>
                <w:color w:val="auto"/>
              </w:rPr>
            </w:pPr>
          </w:p>
        </w:tc>
        <w:tc>
          <w:tcPr>
            <w:tcW w:w="460" w:type="dxa"/>
            <w:vAlign w:val="bottom"/>
            <w:gridSpan w:val="6"/>
            <w:shd w:val="clear" w:color="auto" w:fill="65676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10.18+</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The Registrant’s 2024 Employee Stock Purchase</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Borders>
              <w:top w:val="single" w:sz="8" w:color="656769"/>
            </w:tcBorders>
            <w:gridSpan w:val="18"/>
          </w:tcPr>
          <w:p>
            <w:pPr>
              <w:spacing w:after="0" w:line="201" w:lineRule="exact"/>
              <w:rPr>
                <w:sz w:val="20"/>
                <w:szCs w:val="20"/>
                <w:color w:val="auto"/>
              </w:rPr>
            </w:pPr>
            <w:r>
              <w:rPr>
                <w:rFonts w:ascii="Times New Roman" w:cs="Times New Roman" w:eastAsia="Times New Roman" w:hAnsi="Times New Roman"/>
                <w:sz w:val="20"/>
                <w:szCs w:val="20"/>
                <w:color w:val="656769"/>
              </w:rPr>
              <w:t>Plan.</w:t>
            </w:r>
          </w:p>
        </w:tc>
        <w:tc>
          <w:tcPr>
            <w:tcW w:w="4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10.19†</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Strategic Collaboration Agreement, by and between the</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top w:val="single" w:sz="8" w:color="656769"/>
              <w:bottom w:val="single" w:sz="8" w:color="656769"/>
            </w:tcBorders>
            <w:gridSpan w:val="26"/>
          </w:tcPr>
          <w:p>
            <w:pPr>
              <w:spacing w:after="0" w:line="201" w:lineRule="exact"/>
              <w:rPr>
                <w:sz w:val="20"/>
                <w:szCs w:val="20"/>
                <w:color w:val="auto"/>
              </w:rPr>
            </w:pPr>
            <w:r>
              <w:rPr>
                <w:rFonts w:ascii="Times New Roman" w:cs="Times New Roman" w:eastAsia="Times New Roman" w:hAnsi="Times New Roman"/>
                <w:sz w:val="20"/>
                <w:szCs w:val="20"/>
                <w:color w:val="656769"/>
              </w:rPr>
              <w:t>Registrant and Glaxosmithkline LLC, dated August 1,</w:t>
            </w:r>
          </w:p>
        </w:tc>
        <w:tc>
          <w:tcPr>
            <w:tcW w:w="360" w:type="dxa"/>
            <w:vAlign w:val="bottom"/>
            <w:tcBorders>
              <w:bottom w:val="single" w:sz="8" w:color="656769"/>
            </w:tcBorders>
            <w:gridSpan w:val="11"/>
          </w:tcPr>
          <w:p>
            <w:pPr>
              <w:spacing w:after="0" w:line="201" w:lineRule="exact"/>
              <w:rPr>
                <w:sz w:val="20"/>
                <w:szCs w:val="20"/>
                <w:color w:val="auto"/>
              </w:rPr>
            </w:pPr>
            <w:r>
              <w:rPr>
                <w:rFonts w:ascii="Times New Roman" w:cs="Times New Roman" w:eastAsia="Times New Roman" w:hAnsi="Times New Roman"/>
                <w:sz w:val="20"/>
                <w:szCs w:val="20"/>
                <w:color w:val="656769"/>
                <w:w w:val="75"/>
              </w:rPr>
              <w:t>2022.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10.20††</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Credit Agreement, by and among the Registrant, the lenders</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top w:val="single" w:sz="8" w:color="656769"/>
            </w:tcBorders>
            <w:gridSpan w:val="34"/>
          </w:tcPr>
          <w:p>
            <w:pPr>
              <w:spacing w:after="0" w:line="201" w:lineRule="exact"/>
              <w:rPr>
                <w:sz w:val="20"/>
                <w:szCs w:val="20"/>
                <w:color w:val="auto"/>
              </w:rPr>
            </w:pPr>
            <w:r>
              <w:rPr>
                <w:rFonts w:ascii="Times New Roman" w:cs="Times New Roman" w:eastAsia="Times New Roman" w:hAnsi="Times New Roman"/>
                <w:sz w:val="20"/>
                <w:szCs w:val="20"/>
                <w:color w:val="656769"/>
              </w:rPr>
              <w:t>party thereto, Ares Capital Corporation and Ares Capital</w:t>
            </w:r>
          </w:p>
        </w:tc>
        <w:tc>
          <w:tcPr>
            <w:tcW w:w="20" w:type="dxa"/>
            <w:vAlign w:val="bottom"/>
          </w:tcPr>
          <w:p>
            <w:pPr>
              <w:spacing w:after="0"/>
              <w:rPr>
                <w:sz w:val="17"/>
                <w:szCs w:val="17"/>
                <w:color w:val="auto"/>
              </w:rPr>
            </w:pPr>
          </w:p>
        </w:tc>
        <w:tc>
          <w:tcPr>
            <w:tcW w:w="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656769"/>
            </w:tcBorders>
            <w:gridSpan w:val="28"/>
          </w:tcPr>
          <w:p>
            <w:pPr>
              <w:spacing w:after="0" w:line="201" w:lineRule="exact"/>
              <w:rPr>
                <w:sz w:val="20"/>
                <w:szCs w:val="20"/>
                <w:color w:val="auto"/>
              </w:rPr>
            </w:pPr>
            <w:r>
              <w:rPr>
                <w:rFonts w:ascii="Times New Roman" w:cs="Times New Roman" w:eastAsia="Times New Roman" w:hAnsi="Times New Roman"/>
                <w:sz w:val="20"/>
                <w:szCs w:val="20"/>
                <w:color w:val="656769"/>
              </w:rPr>
              <w:t>Management</w:t>
            </w:r>
          </w:p>
        </w:tc>
        <w:tc>
          <w:tcPr>
            <w:tcW w:w="1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656769"/>
              <w:bottom w:val="single" w:sz="8" w:color="656769"/>
            </w:tcBorders>
            <w:gridSpan w:val="4"/>
          </w:tcPr>
          <w:p>
            <w:pPr>
              <w:spacing w:after="0" w:line="201" w:lineRule="exact"/>
              <w:rPr>
                <w:sz w:val="20"/>
                <w:szCs w:val="20"/>
                <w:color w:val="auto"/>
              </w:rPr>
            </w:pPr>
            <w:r>
              <w:rPr>
                <w:rFonts w:ascii="Times New Roman" w:cs="Times New Roman" w:eastAsia="Times New Roman" w:hAnsi="Times New Roman"/>
                <w:sz w:val="20"/>
                <w:szCs w:val="20"/>
                <w:color w:val="656769"/>
              </w:rPr>
              <w:t>LLC, dated</w:t>
            </w:r>
          </w:p>
        </w:tc>
        <w:tc>
          <w:tcPr>
            <w:tcW w:w="1580" w:type="dxa"/>
            <w:vAlign w:val="bottom"/>
            <w:tcBorders>
              <w:bottom w:val="single" w:sz="8" w:color="656769"/>
            </w:tcBorders>
            <w:gridSpan w:val="4"/>
          </w:tcPr>
          <w:p>
            <w:pPr>
              <w:spacing w:after="0" w:line="201" w:lineRule="exact"/>
              <w:rPr>
                <w:sz w:val="20"/>
                <w:szCs w:val="20"/>
                <w:color w:val="auto"/>
              </w:rPr>
            </w:pPr>
            <w:r>
              <w:rPr>
                <w:rFonts w:ascii="Times New Roman" w:cs="Times New Roman" w:eastAsia="Times New Roman" w:hAnsi="Times New Roman"/>
                <w:sz w:val="20"/>
                <w:szCs w:val="20"/>
                <w:color w:val="656769"/>
                <w:w w:val="94"/>
              </w:rPr>
              <w:t>September 22, 2022.</w:t>
            </w:r>
          </w:p>
        </w:tc>
        <w:tc>
          <w:tcPr>
            <w:tcW w:w="2280" w:type="dxa"/>
            <w:vAlign w:val="bottom"/>
            <w:gridSpan w:val="31"/>
          </w:tcPr>
          <w:p>
            <w:pPr>
              <w:spacing w:after="0"/>
              <w:rPr>
                <w:sz w:val="17"/>
                <w:szCs w:val="17"/>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10.21††</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Limited Waiver and First Amendment to Credit Agreement,</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Borders>
              <w:top w:val="single" w:sz="8" w:color="656769"/>
            </w:tcBorders>
            <w:gridSpan w:val="35"/>
          </w:tcPr>
          <w:p>
            <w:pPr>
              <w:spacing w:after="0" w:line="201" w:lineRule="exact"/>
              <w:rPr>
                <w:sz w:val="20"/>
                <w:szCs w:val="20"/>
                <w:color w:val="auto"/>
              </w:rPr>
            </w:pPr>
            <w:r>
              <w:rPr>
                <w:rFonts w:ascii="Times New Roman" w:cs="Times New Roman" w:eastAsia="Times New Roman" w:hAnsi="Times New Roman"/>
                <w:sz w:val="20"/>
                <w:szCs w:val="20"/>
                <w:color w:val="656769"/>
              </w:rPr>
              <w:t>by and among the Registrant, the loan party signatories and</w:t>
            </w:r>
          </w:p>
        </w:tc>
        <w:tc>
          <w:tcPr>
            <w:tcW w:w="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top w:val="single" w:sz="8" w:color="656769"/>
            </w:tcBorders>
            <w:gridSpan w:val="32"/>
          </w:tcPr>
          <w:p>
            <w:pPr>
              <w:spacing w:after="0" w:line="201" w:lineRule="exact"/>
              <w:rPr>
                <w:sz w:val="20"/>
                <w:szCs w:val="20"/>
                <w:color w:val="auto"/>
              </w:rPr>
            </w:pPr>
            <w:r>
              <w:rPr>
                <w:rFonts w:ascii="Times New Roman" w:cs="Times New Roman" w:eastAsia="Times New Roman" w:hAnsi="Times New Roman"/>
                <w:sz w:val="20"/>
                <w:szCs w:val="20"/>
                <w:color w:val="656769"/>
              </w:rPr>
              <w:t>lenders party thereto, and Ares Capital Corporation as</w:t>
            </w:r>
          </w:p>
        </w:tc>
        <w:tc>
          <w:tcPr>
            <w:tcW w:w="1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top w:val="single" w:sz="8" w:color="656769"/>
              <w:bottom w:val="single" w:sz="8" w:color="656769"/>
            </w:tcBorders>
            <w:gridSpan w:val="11"/>
          </w:tcPr>
          <w:p>
            <w:pPr>
              <w:spacing w:after="0" w:line="201" w:lineRule="exact"/>
              <w:rPr>
                <w:sz w:val="20"/>
                <w:szCs w:val="20"/>
                <w:color w:val="auto"/>
              </w:rPr>
            </w:pPr>
            <w:r>
              <w:rPr>
                <w:rFonts w:ascii="Times New Roman" w:cs="Times New Roman" w:eastAsia="Times New Roman" w:hAnsi="Times New Roman"/>
                <w:sz w:val="20"/>
                <w:szCs w:val="20"/>
                <w:color w:val="656769"/>
                <w:w w:val="99"/>
              </w:rPr>
              <w:t>administrative agent, dated April 25, 2023.</w:t>
            </w:r>
          </w:p>
        </w:tc>
        <w:tc>
          <w:tcPr>
            <w:tcW w:w="880" w:type="dxa"/>
            <w:vAlign w:val="bottom"/>
            <w:tcBorders>
              <w:top w:val="single" w:sz="8" w:color="656769"/>
            </w:tcBorders>
            <w:gridSpan w:val="9"/>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60" w:type="dxa"/>
            <w:vAlign w:val="bottom"/>
            <w:gridSpan w:val="6"/>
          </w:tcPr>
          <w:p>
            <w:pPr>
              <w:spacing w:after="0"/>
              <w:rPr>
                <w:sz w:val="17"/>
                <w:szCs w:val="17"/>
                <w:color w:val="auto"/>
              </w:rPr>
            </w:pPr>
          </w:p>
        </w:tc>
        <w:tc>
          <w:tcPr>
            <w:tcW w:w="1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10.22††</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Second Amendment to Credit Agreement, by and among the</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top w:val="single" w:sz="8" w:color="656769"/>
            </w:tcBorders>
            <w:gridSpan w:val="38"/>
          </w:tcPr>
          <w:p>
            <w:pPr>
              <w:spacing w:after="0" w:line="201" w:lineRule="exact"/>
              <w:rPr>
                <w:sz w:val="20"/>
                <w:szCs w:val="20"/>
                <w:color w:val="auto"/>
              </w:rPr>
            </w:pPr>
            <w:r>
              <w:rPr>
                <w:rFonts w:ascii="Times New Roman" w:cs="Times New Roman" w:eastAsia="Times New Roman" w:hAnsi="Times New Roman"/>
                <w:sz w:val="20"/>
                <w:szCs w:val="20"/>
                <w:color w:val="656769"/>
              </w:rPr>
              <w:t>Registrant, the loan party signatories and lenders party</w:t>
            </w:r>
          </w:p>
        </w:tc>
        <w:tc>
          <w:tcPr>
            <w:tcW w:w="40" w:type="dxa"/>
            <w:vAlign w:val="bottom"/>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656769"/>
              <w:bottom w:val="single" w:sz="8" w:color="656769"/>
            </w:tcBorders>
            <w:gridSpan w:val="22"/>
          </w:tcPr>
          <w:p>
            <w:pPr>
              <w:spacing w:after="0" w:line="201" w:lineRule="exact"/>
              <w:rPr>
                <w:sz w:val="20"/>
                <w:szCs w:val="20"/>
                <w:color w:val="auto"/>
              </w:rPr>
            </w:pPr>
            <w:r>
              <w:rPr>
                <w:rFonts w:ascii="Times New Roman" w:cs="Times New Roman" w:eastAsia="Times New Roman" w:hAnsi="Times New Roman"/>
                <w:sz w:val="20"/>
                <w:szCs w:val="20"/>
                <w:color w:val="656769"/>
                <w:w w:val="98"/>
              </w:rPr>
              <w:t>thereto, and Ares Capital Corporation as administrative</w:t>
            </w:r>
          </w:p>
        </w:tc>
        <w:tc>
          <w:tcPr>
            <w:tcW w:w="60" w:type="dxa"/>
            <w:vAlign w:val="bottom"/>
            <w:tcBorders>
              <w:bottom w:val="single" w:sz="8" w:color="656769"/>
            </w:tcBorders>
            <w:gridSpan w:val="2"/>
          </w:tcPr>
          <w:p>
            <w:pPr>
              <w:spacing w:after="0"/>
              <w:rPr>
                <w:sz w:val="17"/>
                <w:szCs w:val="17"/>
                <w:color w:val="auto"/>
              </w:rPr>
            </w:pPr>
          </w:p>
        </w:tc>
        <w:tc>
          <w:tcPr>
            <w:tcW w:w="260" w:type="dxa"/>
            <w:vAlign w:val="bottom"/>
            <w:gridSpan w:val="6"/>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bottom w:val="single" w:sz="8" w:color="656769"/>
            </w:tcBorders>
            <w:gridSpan w:val="7"/>
          </w:tcPr>
          <w:p>
            <w:pPr>
              <w:spacing w:after="0" w:line="201" w:lineRule="exact"/>
              <w:rPr>
                <w:sz w:val="20"/>
                <w:szCs w:val="20"/>
                <w:color w:val="auto"/>
              </w:rPr>
            </w:pPr>
            <w:r>
              <w:rPr>
                <w:rFonts w:ascii="Times New Roman" w:cs="Times New Roman" w:eastAsia="Times New Roman" w:hAnsi="Times New Roman"/>
                <w:sz w:val="20"/>
                <w:szCs w:val="20"/>
                <w:color w:val="656769"/>
                <w:w w:val="99"/>
              </w:rPr>
              <w:t>agent, dated October 11, 2023.</w:t>
            </w:r>
          </w:p>
        </w:tc>
        <w:tc>
          <w:tcPr>
            <w:tcW w:w="1980" w:type="dxa"/>
            <w:vAlign w:val="bottom"/>
            <w:gridSpan w:val="17"/>
          </w:tcPr>
          <w:p>
            <w:pPr>
              <w:spacing w:after="0"/>
              <w:rPr>
                <w:sz w:val="17"/>
                <w:szCs w:val="17"/>
                <w:color w:val="auto"/>
              </w:rPr>
            </w:pPr>
          </w:p>
        </w:tc>
        <w:tc>
          <w:tcPr>
            <w:tcW w:w="260" w:type="dxa"/>
            <w:vAlign w:val="bottom"/>
            <w:gridSpan w:val="6"/>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231F20"/>
              </w:rPr>
              <w:t>10.23†</w:t>
            </w:r>
          </w:p>
        </w:tc>
        <w:tc>
          <w:tcPr>
            <w:tcW w:w="100" w:type="dxa"/>
            <w:vAlign w:val="bottom"/>
          </w:tcPr>
          <w:p>
            <w:pPr>
              <w:spacing w:after="0"/>
              <w:rPr>
                <w:sz w:val="24"/>
                <w:szCs w:val="24"/>
                <w:color w:val="auto"/>
              </w:rPr>
            </w:pPr>
          </w:p>
        </w:tc>
        <w:tc>
          <w:tcPr>
            <w:tcW w:w="4900" w:type="dxa"/>
            <w:vAlign w:val="bottom"/>
            <w:gridSpan w:val="39"/>
          </w:tcPr>
          <w:p>
            <w:pPr>
              <w:spacing w:after="0"/>
              <w:rPr>
                <w:sz w:val="20"/>
                <w:szCs w:val="20"/>
                <w:color w:val="auto"/>
              </w:rPr>
            </w:pPr>
            <w:r>
              <w:rPr>
                <w:rFonts w:ascii="Times New Roman" w:cs="Times New Roman" w:eastAsia="Times New Roman" w:hAnsi="Times New Roman"/>
                <w:sz w:val="20"/>
                <w:szCs w:val="20"/>
                <w:color w:val="656769"/>
              </w:rPr>
              <w:t>Master Agreement, by and between the Registrant and</w:t>
            </w:r>
          </w:p>
        </w:tc>
      </w:tr>
      <w:tr>
        <w:trPr>
          <w:trHeight w:val="201"/>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top w:val="single" w:sz="8" w:color="656769"/>
            </w:tcBorders>
            <w:gridSpan w:val="21"/>
          </w:tcPr>
          <w:p>
            <w:pPr>
              <w:spacing w:after="0" w:line="201" w:lineRule="exact"/>
              <w:rPr>
                <w:sz w:val="20"/>
                <w:szCs w:val="20"/>
                <w:color w:val="auto"/>
              </w:rPr>
            </w:pPr>
            <w:r>
              <w:rPr>
                <w:rFonts w:ascii="Times New Roman" w:cs="Times New Roman" w:eastAsia="Times New Roman" w:hAnsi="Times New Roman"/>
                <w:sz w:val="20"/>
                <w:szCs w:val="20"/>
                <w:color w:val="656769"/>
              </w:rPr>
              <w:t>Recursion Pharmaceuticals, Inc., dated November 3,</w:t>
            </w:r>
          </w:p>
        </w:tc>
        <w:tc>
          <w:tcPr>
            <w:tcW w:w="540" w:type="dxa"/>
            <w:vAlign w:val="bottom"/>
            <w:gridSpan w:val="18"/>
          </w:tcPr>
          <w:p>
            <w:pPr>
              <w:jc w:val="right"/>
              <w:ind w:right="200"/>
              <w:spacing w:after="0" w:line="201" w:lineRule="exact"/>
              <w:rPr>
                <w:sz w:val="20"/>
                <w:szCs w:val="20"/>
                <w:color w:val="auto"/>
              </w:rPr>
            </w:pPr>
            <w:r>
              <w:rPr>
                <w:rFonts w:ascii="Times New Roman" w:cs="Times New Roman" w:eastAsia="Times New Roman" w:hAnsi="Times New Roman"/>
                <w:sz w:val="20"/>
                <w:szCs w:val="20"/>
                <w:color w:val="656769"/>
                <w:w w:val="71"/>
              </w:rPr>
              <w:t>2023.</w:t>
            </w: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140" w:type="dxa"/>
            <w:vAlign w:val="bottom"/>
            <w:shd w:val="clear" w:color="auto" w:fill="656769"/>
          </w:tcPr>
          <w:p>
            <w:pPr>
              <w:spacing w:after="0" w:line="20" w:lineRule="exact"/>
              <w:rPr>
                <w:sz w:val="1"/>
                <w:szCs w:val="1"/>
                <w:color w:val="auto"/>
              </w:rPr>
            </w:pPr>
          </w:p>
        </w:tc>
        <w:tc>
          <w:tcPr>
            <w:tcW w:w="460" w:type="dxa"/>
            <w:vAlign w:val="bottom"/>
            <w:shd w:val="clear" w:color="auto" w:fill="656769"/>
          </w:tcPr>
          <w:p>
            <w:pPr>
              <w:spacing w:after="0" w:line="20" w:lineRule="exact"/>
              <w:rPr>
                <w:sz w:val="1"/>
                <w:szCs w:val="1"/>
                <w:color w:val="auto"/>
              </w:rPr>
            </w:pPr>
          </w:p>
        </w:tc>
        <w:tc>
          <w:tcPr>
            <w:tcW w:w="44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940" w:type="dxa"/>
            <w:vAlign w:val="bottom"/>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54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18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16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38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4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15240</wp:posOffset>
                </wp:positionV>
                <wp:extent cx="265938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2pt" to="209pt,1.2pt" o:allowincell="f" strokecolor="#231F20" strokeweight="0.5pt"/>
            </w:pict>
          </mc:Fallback>
        </mc:AlternateConten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Form</w:t>
            </w:r>
          </w:p>
        </w:tc>
        <w:tc>
          <w:tcPr>
            <w:tcW w:w="120" w:type="dxa"/>
            <w:vAlign w:val="bottom"/>
          </w:tcPr>
          <w:p>
            <w:pPr>
              <w:spacing w:after="0"/>
              <w:rPr>
                <w:sz w:val="17"/>
                <w:szCs w:val="17"/>
                <w:color w:val="auto"/>
              </w:rPr>
            </w:pPr>
          </w:p>
        </w:tc>
        <w:tc>
          <w:tcPr>
            <w:tcW w:w="1200" w:type="dxa"/>
            <w:vAlign w:val="bottom"/>
            <w:tcBorders>
              <w:bottom w:val="single" w:sz="8" w:color="231F20"/>
            </w:tcBorders>
          </w:tcPr>
          <w:p>
            <w:pPr>
              <w:ind w:left="32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00" w:type="dxa"/>
            <w:vAlign w:val="bottom"/>
          </w:tcPr>
          <w:p>
            <w:pPr>
              <w:spacing w:after="0"/>
              <w:rPr>
                <w:sz w:val="17"/>
                <w:szCs w:val="17"/>
                <w:color w:val="auto"/>
              </w:rPr>
            </w:pPr>
          </w:p>
        </w:tc>
        <w:tc>
          <w:tcPr>
            <w:tcW w:w="68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7"/>
                <w:szCs w:val="17"/>
                <w:color w:val="auto"/>
              </w:rPr>
            </w:pP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Filing Date</w:t>
            </w:r>
          </w:p>
        </w:tc>
        <w:tc>
          <w:tcPr>
            <w:tcW w:w="0" w:type="dxa"/>
            <w:vAlign w:val="bottom"/>
          </w:tcPr>
          <w:p>
            <w:pPr>
              <w:spacing w:after="0"/>
              <w:rPr>
                <w:sz w:val="1"/>
                <w:szCs w:val="1"/>
                <w:color w:val="auto"/>
              </w:rPr>
            </w:pPr>
          </w:p>
        </w:tc>
      </w:tr>
      <w:tr>
        <w:trPr>
          <w:trHeight w:val="605"/>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10.6</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August 8, 2025</w:t>
            </w:r>
          </w:p>
        </w:tc>
        <w:tc>
          <w:tcPr>
            <w:tcW w:w="0" w:type="dxa"/>
            <w:vAlign w:val="bottom"/>
          </w:tcPr>
          <w:p>
            <w:pPr>
              <w:spacing w:after="0"/>
              <w:rPr>
                <w:sz w:val="1"/>
                <w:szCs w:val="1"/>
                <w:color w:val="auto"/>
              </w:rPr>
            </w:pPr>
          </w:p>
        </w:tc>
      </w:tr>
      <w:tr>
        <w:trPr>
          <w:trHeight w:val="828"/>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10.8</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828"/>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10.9</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13"/>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10.10</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13"/>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10.11</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828"/>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10.23</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811"/>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10.12</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95"/>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10.13</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653"/>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001-42130</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10.15</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24,</w:t>
            </w:r>
          </w:p>
        </w:tc>
        <w:tc>
          <w:tcPr>
            <w:tcW w:w="0" w:type="dxa"/>
            <w:vAlign w:val="bottom"/>
          </w:tcPr>
          <w:p>
            <w:pPr>
              <w:spacing w:after="0"/>
              <w:rPr>
                <w:sz w:val="1"/>
                <w:szCs w:val="1"/>
                <w:color w:val="auto"/>
              </w:rPr>
            </w:pPr>
          </w:p>
        </w:tc>
      </w:tr>
      <w:tr>
        <w:trPr>
          <w:trHeight w:val="159"/>
        </w:trPr>
        <w:tc>
          <w:tcPr>
            <w:tcW w:w="58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2025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8"/>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S-1/A</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10.15</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5, 2024</w:t>
            </w:r>
          </w:p>
        </w:tc>
        <w:tc>
          <w:tcPr>
            <w:tcW w:w="0" w:type="dxa"/>
            <w:vAlign w:val="bottom"/>
          </w:tcPr>
          <w:p>
            <w:pPr>
              <w:spacing w:after="0"/>
              <w:rPr>
                <w:sz w:val="1"/>
                <w:szCs w:val="1"/>
                <w:color w:val="auto"/>
              </w:rPr>
            </w:pPr>
          </w:p>
        </w:tc>
      </w:tr>
      <w:tr>
        <w:trPr>
          <w:trHeight w:val="574"/>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10.16</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574"/>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10.17</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574"/>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10.18</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95"/>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10.19</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1016"/>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10.20</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1016"/>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10.21</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95"/>
        </w:trPr>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3"/>
              </w:rPr>
              <w:t>S-1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333-279558</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10.22</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bl>
    <w:p>
      <w:pPr>
        <w:spacing w:after="0" w:line="286" w:lineRule="exact"/>
        <w:rPr>
          <w:sz w:val="20"/>
          <w:szCs w:val="20"/>
          <w:color w:val="auto"/>
        </w:rPr>
      </w:pPr>
    </w:p>
    <w:p>
      <w:pPr>
        <w:sectPr>
          <w:pgSz w:w="11880" w:h="15480" w:orient="portrait"/>
          <w:cols w:equalWidth="0" w:num="2">
            <w:col w:w="5800" w:space="100"/>
            <w:col w:w="4180"/>
          </w:cols>
          <w:pgMar w:left="900" w:top="739" w:right="900" w:bottom="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188</w:t>
      </w:r>
    </w:p>
    <w:p>
      <w:pPr>
        <w:sectPr>
          <w:pgSz w:w="11880" w:h="15480" w:orient="portrait"/>
          <w:cols w:equalWidth="0" w:num="1">
            <w:col w:w="10080"/>
          </w:cols>
          <w:pgMar w:left="900" w:top="739" w:right="900" w:bottom="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203"/>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231F20"/>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2360" w:type="dxa"/>
            <w:vAlign w:val="bottom"/>
            <w:tcBorders>
              <w:bottom w:val="single" w:sz="8" w:color="231F20"/>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tc>
        <w:tc>
          <w:tcPr>
            <w:tcW w:w="11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Number</w:t>
            </w:r>
          </w:p>
        </w:tc>
        <w:tc>
          <w:tcPr>
            <w:tcW w:w="100" w:type="dxa"/>
            <w:vAlign w:val="bottom"/>
          </w:tcPr>
          <w:p>
            <w:pPr>
              <w:spacing w:after="0"/>
              <w:rPr>
                <w:sz w:val="17"/>
                <w:szCs w:val="17"/>
                <w:color w:val="auto"/>
              </w:rPr>
            </w:pPr>
          </w:p>
        </w:tc>
        <w:tc>
          <w:tcPr>
            <w:tcW w:w="4900" w:type="dxa"/>
            <w:vAlign w:val="bottom"/>
            <w:tcBorders>
              <w:bottom w:val="single" w:sz="8" w:color="231F20"/>
            </w:tcBorders>
          </w:tcPr>
          <w:p>
            <w:pPr>
              <w:ind w:left="168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100" w:type="dxa"/>
            <w:vAlign w:val="bottom"/>
          </w:tcPr>
          <w:p>
            <w:pPr>
              <w:spacing w:after="0"/>
              <w:rPr>
                <w:sz w:val="17"/>
                <w:szCs w:val="17"/>
                <w:color w:val="auto"/>
              </w:rPr>
            </w:pPr>
          </w:p>
        </w:tc>
        <w:tc>
          <w:tcPr>
            <w:tcW w:w="58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16"/>
                <w:szCs w:val="16"/>
                <w:b w:val="1"/>
                <w:bCs w:val="1"/>
                <w:color w:val="231F20"/>
              </w:rPr>
              <w:t>Form</w:t>
            </w:r>
          </w:p>
        </w:tc>
        <w:tc>
          <w:tcPr>
            <w:tcW w:w="120" w:type="dxa"/>
            <w:vAlign w:val="bottom"/>
          </w:tcPr>
          <w:p>
            <w:pPr>
              <w:spacing w:after="0"/>
              <w:rPr>
                <w:sz w:val="17"/>
                <w:szCs w:val="17"/>
                <w:color w:val="auto"/>
              </w:rPr>
            </w:pPr>
          </w:p>
        </w:tc>
        <w:tc>
          <w:tcPr>
            <w:tcW w:w="1200" w:type="dxa"/>
            <w:vAlign w:val="bottom"/>
            <w:tcBorders>
              <w:bottom w:val="single" w:sz="8" w:color="231F20"/>
            </w:tcBorders>
          </w:tcPr>
          <w:p>
            <w:pPr>
              <w:ind w:left="320"/>
              <w:spacing w:after="0"/>
              <w:rPr>
                <w:sz w:val="20"/>
                <w:szCs w:val="20"/>
                <w:color w:val="auto"/>
              </w:rPr>
            </w:pPr>
            <w:r>
              <w:rPr>
                <w:rFonts w:ascii="Times New Roman" w:cs="Times New Roman" w:eastAsia="Times New Roman" w:hAnsi="Times New Roman"/>
                <w:sz w:val="16"/>
                <w:szCs w:val="16"/>
                <w:b w:val="1"/>
                <w:bCs w:val="1"/>
                <w:color w:val="231F20"/>
              </w:rPr>
              <w:t>File No.</w:t>
            </w:r>
          </w:p>
        </w:tc>
        <w:tc>
          <w:tcPr>
            <w:tcW w:w="100" w:type="dxa"/>
            <w:vAlign w:val="bottom"/>
          </w:tcPr>
          <w:p>
            <w:pPr>
              <w:spacing w:after="0"/>
              <w:rPr>
                <w:sz w:val="17"/>
                <w:szCs w:val="17"/>
                <w:color w:val="auto"/>
              </w:rPr>
            </w:pPr>
          </w:p>
        </w:tc>
        <w:tc>
          <w:tcPr>
            <w:tcW w:w="680" w:type="dxa"/>
            <w:vAlign w:val="bottom"/>
            <w:tcBorders>
              <w:bottom w:val="single" w:sz="8" w:color="231F20"/>
            </w:tcBorders>
          </w:tcPr>
          <w:p>
            <w:pPr>
              <w:ind w:left="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6"/>
                <w:szCs w:val="16"/>
                <w:b w:val="1"/>
                <w:bCs w:val="1"/>
                <w:color w:val="231F20"/>
              </w:rPr>
              <w:t>Filing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739" w:right="900" w:bottom="0" w:gutter="0" w:footer="0" w:header="0"/>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10.24†</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Amendment to Master Services Agreement, by and between</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580" w:type="dxa"/>
            <w:vAlign w:val="bottom"/>
            <w:tcBorders>
              <w:top w:val="single" w:sz="8" w:color="656769"/>
              <w:bottom w:val="single" w:sz="8" w:color="656769"/>
            </w:tcBorders>
            <w:gridSpan w:val="28"/>
          </w:tcPr>
          <w:p>
            <w:pPr>
              <w:spacing w:after="0" w:line="201" w:lineRule="exact"/>
              <w:rPr>
                <w:sz w:val="20"/>
                <w:szCs w:val="20"/>
                <w:color w:val="auto"/>
              </w:rPr>
            </w:pPr>
            <w:r>
              <w:rPr>
                <w:rFonts w:ascii="Times New Roman" w:cs="Times New Roman" w:eastAsia="Times New Roman" w:hAnsi="Times New Roman"/>
                <w:sz w:val="20"/>
                <w:szCs w:val="20"/>
                <w:color w:val="656769"/>
                <w:w w:val="99"/>
              </w:rPr>
              <w:t>Registrant and AstraZeneca AB, dated October 29, 2022.</w:t>
            </w:r>
          </w:p>
        </w:tc>
        <w:tc>
          <w:tcPr>
            <w:tcW w:w="240" w:type="dxa"/>
            <w:vAlign w:val="bottom"/>
            <w:tcBorders>
              <w:top w:val="single" w:sz="8" w:color="656769"/>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10.25†</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Second Amendment to Master Services Agreement, by and</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740" w:type="dxa"/>
            <w:vAlign w:val="bottom"/>
            <w:tcBorders>
              <w:top w:val="single" w:sz="8" w:color="656769"/>
            </w:tcBorders>
            <w:gridSpan w:val="35"/>
          </w:tcPr>
          <w:p>
            <w:pPr>
              <w:spacing w:after="0" w:line="201" w:lineRule="exact"/>
              <w:rPr>
                <w:sz w:val="20"/>
                <w:szCs w:val="20"/>
                <w:color w:val="auto"/>
              </w:rPr>
            </w:pPr>
            <w:r>
              <w:rPr>
                <w:rFonts w:ascii="Times New Roman" w:cs="Times New Roman" w:eastAsia="Times New Roman" w:hAnsi="Times New Roman"/>
                <w:sz w:val="20"/>
                <w:szCs w:val="20"/>
                <w:color w:val="656769"/>
              </w:rPr>
              <w:t>between Registrant and AstraZeneca UK Ltd, dated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1520" w:type="dxa"/>
            <w:vAlign w:val="bottom"/>
            <w:tcBorders>
              <w:top w:val="single" w:sz="8" w:color="656769"/>
              <w:bottom w:val="single" w:sz="8" w:color="656769"/>
            </w:tcBorders>
            <w:gridSpan w:val="3"/>
          </w:tcPr>
          <w:p>
            <w:pPr>
              <w:spacing w:after="0" w:line="201" w:lineRule="exact"/>
              <w:rPr>
                <w:sz w:val="20"/>
                <w:szCs w:val="20"/>
                <w:color w:val="auto"/>
              </w:rPr>
            </w:pPr>
            <w:r>
              <w:rPr>
                <w:rFonts w:ascii="Times New Roman" w:cs="Times New Roman" w:eastAsia="Times New Roman" w:hAnsi="Times New Roman"/>
                <w:sz w:val="20"/>
                <w:szCs w:val="20"/>
                <w:color w:val="656769"/>
                <w:w w:val="98"/>
              </w:rPr>
              <w:t>February 21, 2023.</w:t>
            </w:r>
          </w:p>
        </w:tc>
        <w:tc>
          <w:tcPr>
            <w:tcW w:w="2620" w:type="dxa"/>
            <w:vAlign w:val="bottom"/>
            <w:tcBorders>
              <w:top w:val="single" w:sz="8" w:color="656769"/>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10.26†</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Third Amendment to Master Services Agreement, by and</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600" w:type="dxa"/>
            <w:vAlign w:val="bottom"/>
            <w:tcBorders>
              <w:top w:val="single" w:sz="8" w:color="656769"/>
              <w:bottom w:val="single" w:sz="8" w:color="656769"/>
            </w:tcBorders>
            <w:gridSpan w:val="29"/>
          </w:tcPr>
          <w:p>
            <w:pPr>
              <w:spacing w:after="0" w:line="201" w:lineRule="exact"/>
              <w:rPr>
                <w:sz w:val="20"/>
                <w:szCs w:val="20"/>
                <w:color w:val="auto"/>
              </w:rPr>
            </w:pPr>
            <w:r>
              <w:rPr>
                <w:rFonts w:ascii="Times New Roman" w:cs="Times New Roman" w:eastAsia="Times New Roman" w:hAnsi="Times New Roman"/>
                <w:sz w:val="20"/>
                <w:szCs w:val="20"/>
                <w:color w:val="656769"/>
                <w:w w:val="98"/>
              </w:rPr>
              <w:t>between Registrant and AstraZeneca AB, dated December</w:t>
            </w:r>
          </w:p>
        </w:tc>
        <w:tc>
          <w:tcPr>
            <w:tcW w:w="20" w:type="dxa"/>
            <w:vAlign w:val="bottom"/>
            <w:tcBorders>
              <w:bottom w:val="single" w:sz="8" w:color="656769"/>
            </w:tcBorders>
          </w:tcPr>
          <w:p>
            <w:pPr>
              <w:spacing w:after="0"/>
              <w:rPr>
                <w:sz w:val="17"/>
                <w:szCs w:val="17"/>
                <w:color w:val="auto"/>
              </w:rPr>
            </w:pPr>
          </w:p>
        </w:tc>
        <w:tc>
          <w:tcPr>
            <w:tcW w:w="20" w:type="dxa"/>
            <w:vAlign w:val="bottom"/>
            <w:tcBorders>
              <w:bottom w:val="single" w:sz="8" w:color="656769"/>
            </w:tcBorders>
          </w:tcPr>
          <w:p>
            <w:pPr>
              <w:spacing w:after="0"/>
              <w:rPr>
                <w:sz w:val="17"/>
                <w:szCs w:val="17"/>
                <w:color w:val="auto"/>
              </w:rPr>
            </w:pPr>
          </w:p>
        </w:tc>
        <w:tc>
          <w:tcPr>
            <w:tcW w:w="20" w:type="dxa"/>
            <w:vAlign w:val="bottom"/>
            <w:tcBorders>
              <w:bottom w:val="single" w:sz="8" w:color="656769"/>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740" w:type="dxa"/>
            <w:vAlign w:val="bottom"/>
            <w:tcBorders>
              <w:bottom w:val="single" w:sz="8" w:color="656769"/>
            </w:tcBorders>
            <w:gridSpan w:val="2"/>
          </w:tcPr>
          <w:p>
            <w:pPr>
              <w:spacing w:after="0" w:line="201" w:lineRule="exact"/>
              <w:rPr>
                <w:sz w:val="20"/>
                <w:szCs w:val="20"/>
                <w:color w:val="auto"/>
              </w:rPr>
            </w:pPr>
            <w:r>
              <w:rPr>
                <w:rFonts w:ascii="Times New Roman" w:cs="Times New Roman" w:eastAsia="Times New Roman" w:hAnsi="Times New Roman"/>
                <w:sz w:val="20"/>
                <w:szCs w:val="20"/>
                <w:color w:val="656769"/>
                <w:w w:val="95"/>
              </w:rPr>
              <w:t>18, 2023.</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10.27†</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Joint Venture Agreement, by and among Softbank Group</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580" w:type="dxa"/>
            <w:vAlign w:val="bottom"/>
            <w:tcBorders>
              <w:top w:val="single" w:sz="8" w:color="656769"/>
            </w:tcBorders>
            <w:gridSpan w:val="28"/>
          </w:tcPr>
          <w:p>
            <w:pPr>
              <w:spacing w:after="0" w:line="201" w:lineRule="exact"/>
              <w:rPr>
                <w:sz w:val="20"/>
                <w:szCs w:val="20"/>
                <w:color w:val="auto"/>
              </w:rPr>
            </w:pPr>
            <w:r>
              <w:rPr>
                <w:rFonts w:ascii="Times New Roman" w:cs="Times New Roman" w:eastAsia="Times New Roman" w:hAnsi="Times New Roman"/>
                <w:sz w:val="20"/>
                <w:szCs w:val="20"/>
                <w:color w:val="656769"/>
              </w:rPr>
              <w:t>Corporation, Softbank Group Japan Corporation, the</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220" w:type="dxa"/>
            <w:vAlign w:val="bottom"/>
            <w:tcBorders>
              <w:top w:val="single" w:sz="8" w:color="656769"/>
            </w:tcBorders>
            <w:gridSpan w:val="18"/>
          </w:tcPr>
          <w:p>
            <w:pPr>
              <w:spacing w:after="0" w:line="201" w:lineRule="exact"/>
              <w:rPr>
                <w:sz w:val="20"/>
                <w:szCs w:val="20"/>
                <w:color w:val="auto"/>
              </w:rPr>
            </w:pPr>
            <w:r>
              <w:rPr>
                <w:rFonts w:ascii="Times New Roman" w:cs="Times New Roman" w:eastAsia="Times New Roman" w:hAnsi="Times New Roman"/>
                <w:sz w:val="20"/>
                <w:szCs w:val="20"/>
                <w:color w:val="656769"/>
              </w:rPr>
              <w:t>Registrant and Pegasos Corp., dated May 18, 2024.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10.28†</w:t>
            </w:r>
          </w:p>
        </w:tc>
        <w:tc>
          <w:tcPr>
            <w:tcW w:w="4100" w:type="dxa"/>
            <w:vAlign w:val="bottom"/>
            <w:tcBorders>
              <w:top w:val="single" w:sz="8" w:color="656769"/>
            </w:tcBorders>
            <w:gridSpan w:val="16"/>
          </w:tcPr>
          <w:p>
            <w:pPr>
              <w:spacing w:after="0"/>
              <w:rPr>
                <w:sz w:val="20"/>
                <w:szCs w:val="20"/>
                <w:color w:val="auto"/>
              </w:rPr>
            </w:pPr>
            <w:r>
              <w:rPr>
                <w:rFonts w:ascii="Times New Roman" w:cs="Times New Roman" w:eastAsia="Times New Roman" w:hAnsi="Times New Roman"/>
                <w:sz w:val="20"/>
                <w:szCs w:val="20"/>
                <w:color w:val="656769"/>
              </w:rPr>
              <w:t>Data License Agreement by and between the</w:t>
            </w:r>
          </w:p>
        </w:tc>
        <w:tc>
          <w:tcPr>
            <w:tcW w:w="8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3580" w:type="dxa"/>
            <w:vAlign w:val="bottom"/>
            <w:tcBorders>
              <w:top w:val="single" w:sz="8" w:color="656769"/>
            </w:tcBorders>
            <w:gridSpan w:val="11"/>
          </w:tcPr>
          <w:p>
            <w:pPr>
              <w:spacing w:after="0" w:line="201" w:lineRule="exact"/>
              <w:rPr>
                <w:sz w:val="20"/>
                <w:szCs w:val="20"/>
                <w:color w:val="auto"/>
              </w:rPr>
            </w:pPr>
            <w:r>
              <w:rPr>
                <w:rFonts w:ascii="Times New Roman" w:cs="Times New Roman" w:eastAsia="Times New Roman" w:hAnsi="Times New Roman"/>
                <w:sz w:val="20"/>
                <w:szCs w:val="20"/>
                <w:color w:val="656769"/>
                <w:w w:val="98"/>
              </w:rPr>
              <w:t>Registrant and Pegasos Corp., dated May 18,</w:t>
            </w:r>
          </w:p>
        </w:tc>
        <w:tc>
          <w:tcPr>
            <w:tcW w:w="20" w:type="dxa"/>
            <w:vAlign w:val="bottom"/>
          </w:tcPr>
          <w:p>
            <w:pPr>
              <w:spacing w:after="0"/>
              <w:rPr>
                <w:sz w:val="17"/>
                <w:szCs w:val="17"/>
                <w:color w:val="auto"/>
              </w:rPr>
            </w:pPr>
          </w:p>
        </w:tc>
        <w:tc>
          <w:tcPr>
            <w:tcW w:w="640" w:type="dxa"/>
            <w:vAlign w:val="bottom"/>
            <w:gridSpan w:val="7"/>
          </w:tcPr>
          <w:p>
            <w:pPr>
              <w:jc w:val="right"/>
              <w:ind w:right="140"/>
              <w:spacing w:after="0" w:line="201" w:lineRule="exact"/>
              <w:rPr>
                <w:sz w:val="20"/>
                <w:szCs w:val="20"/>
                <w:color w:val="auto"/>
              </w:rPr>
            </w:pPr>
            <w:r>
              <w:rPr>
                <w:rFonts w:ascii="Times New Roman" w:cs="Times New Roman" w:eastAsia="Times New Roman" w:hAnsi="Times New Roman"/>
                <w:sz w:val="20"/>
                <w:szCs w:val="20"/>
                <w:color w:val="656769"/>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1240" w:type="dxa"/>
            <w:vAlign w:val="bottom"/>
            <w:gridSpan w:val="3"/>
            <w:shd w:val="clear" w:color="auto" w:fill="656769"/>
          </w:tcPr>
          <w:p>
            <w:pPr>
              <w:spacing w:after="0" w:line="20" w:lineRule="exact"/>
              <w:rPr>
                <w:sz w:val="1"/>
                <w:szCs w:val="1"/>
                <w:color w:val="auto"/>
              </w:rPr>
            </w:pPr>
          </w:p>
        </w:tc>
        <w:tc>
          <w:tcPr>
            <w:tcW w:w="120" w:type="dxa"/>
            <w:vAlign w:val="bottom"/>
            <w:shd w:val="clear" w:color="auto" w:fill="656769"/>
          </w:tcPr>
          <w:p>
            <w:pPr>
              <w:spacing w:after="0" w:line="20" w:lineRule="exact"/>
              <w:rPr>
                <w:sz w:val="1"/>
                <w:szCs w:val="1"/>
                <w:color w:val="auto"/>
              </w:rPr>
            </w:pPr>
          </w:p>
        </w:tc>
        <w:tc>
          <w:tcPr>
            <w:tcW w:w="120" w:type="dxa"/>
            <w:vAlign w:val="bottom"/>
            <w:shd w:val="clear" w:color="auto" w:fill="656769"/>
          </w:tcPr>
          <w:p>
            <w:pPr>
              <w:spacing w:after="0" w:line="20" w:lineRule="exact"/>
              <w:rPr>
                <w:sz w:val="1"/>
                <w:szCs w:val="1"/>
                <w:color w:val="auto"/>
              </w:rPr>
            </w:pPr>
          </w:p>
        </w:tc>
        <w:tc>
          <w:tcPr>
            <w:tcW w:w="100" w:type="dxa"/>
            <w:vAlign w:val="bottom"/>
            <w:shd w:val="clear" w:color="auto" w:fill="656769"/>
          </w:tcPr>
          <w:p>
            <w:pPr>
              <w:spacing w:after="0" w:line="20" w:lineRule="exact"/>
              <w:rPr>
                <w:sz w:val="1"/>
                <w:szCs w:val="1"/>
                <w:color w:val="auto"/>
              </w:rPr>
            </w:pPr>
          </w:p>
        </w:tc>
        <w:tc>
          <w:tcPr>
            <w:tcW w:w="200" w:type="dxa"/>
            <w:vAlign w:val="bottom"/>
            <w:shd w:val="clear" w:color="auto" w:fill="656769"/>
          </w:tcPr>
          <w:p>
            <w:pPr>
              <w:spacing w:after="0" w:line="20" w:lineRule="exact"/>
              <w:rPr>
                <w:sz w:val="1"/>
                <w:szCs w:val="1"/>
                <w:color w:val="auto"/>
              </w:rPr>
            </w:pPr>
          </w:p>
        </w:tc>
        <w:tc>
          <w:tcPr>
            <w:tcW w:w="820" w:type="dxa"/>
            <w:vAlign w:val="bottom"/>
            <w:shd w:val="clear" w:color="auto" w:fill="656769"/>
          </w:tcPr>
          <w:p>
            <w:pPr>
              <w:spacing w:after="0" w:line="20" w:lineRule="exact"/>
              <w:rPr>
                <w:sz w:val="1"/>
                <w:szCs w:val="1"/>
                <w:color w:val="auto"/>
              </w:rPr>
            </w:pPr>
          </w:p>
        </w:tc>
        <w:tc>
          <w:tcPr>
            <w:tcW w:w="240" w:type="dxa"/>
            <w:vAlign w:val="bottom"/>
            <w:shd w:val="clear" w:color="auto" w:fill="656769"/>
          </w:tcPr>
          <w:p>
            <w:pPr>
              <w:spacing w:after="0" w:line="20" w:lineRule="exact"/>
              <w:rPr>
                <w:sz w:val="1"/>
                <w:szCs w:val="1"/>
                <w:color w:val="auto"/>
              </w:rPr>
            </w:pPr>
          </w:p>
        </w:tc>
        <w:tc>
          <w:tcPr>
            <w:tcW w:w="360" w:type="dxa"/>
            <w:vAlign w:val="bottom"/>
            <w:gridSpan w:val="2"/>
            <w:shd w:val="clear" w:color="auto" w:fill="65676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10.29†</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Intellectual Property License Agreement, by and between</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400" w:type="dxa"/>
            <w:vAlign w:val="bottom"/>
            <w:tcBorders>
              <w:top w:val="single" w:sz="8" w:color="656769"/>
              <w:bottom w:val="single" w:sz="8" w:color="656769"/>
            </w:tcBorders>
            <w:gridSpan w:val="20"/>
          </w:tcPr>
          <w:p>
            <w:pPr>
              <w:spacing w:after="0" w:line="201" w:lineRule="exact"/>
              <w:rPr>
                <w:sz w:val="20"/>
                <w:szCs w:val="20"/>
                <w:color w:val="auto"/>
              </w:rPr>
            </w:pPr>
            <w:r>
              <w:rPr>
                <w:rFonts w:ascii="Times New Roman" w:cs="Times New Roman" w:eastAsia="Times New Roman" w:hAnsi="Times New Roman"/>
                <w:sz w:val="20"/>
                <w:szCs w:val="20"/>
                <w:color w:val="656769"/>
                <w:w w:val="99"/>
              </w:rPr>
              <w:t>the Registrant and Pegasos Corp., dated May 18, 2024.</w:t>
            </w:r>
          </w:p>
        </w:tc>
        <w:tc>
          <w:tcPr>
            <w:tcW w:w="220" w:type="dxa"/>
            <w:vAlign w:val="bottom"/>
            <w:tcBorders>
              <w:top w:val="single" w:sz="8" w:color="656769"/>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10.30†</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Amendment No. 1 to Strategic Collaboration Agreement, by</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880" w:type="dxa"/>
            <w:vAlign w:val="bottom"/>
            <w:tcBorders>
              <w:top w:val="single" w:sz="8" w:color="656769"/>
            </w:tcBorders>
            <w:gridSpan w:val="41"/>
          </w:tcPr>
          <w:p>
            <w:pPr>
              <w:spacing w:after="0" w:line="201" w:lineRule="exact"/>
              <w:rPr>
                <w:sz w:val="20"/>
                <w:szCs w:val="20"/>
                <w:color w:val="auto"/>
              </w:rPr>
            </w:pPr>
            <w:r>
              <w:rPr>
                <w:rFonts w:ascii="Times New Roman" w:cs="Times New Roman" w:eastAsia="Times New Roman" w:hAnsi="Times New Roman"/>
                <w:sz w:val="20"/>
                <w:szCs w:val="20"/>
                <w:color w:val="656769"/>
              </w:rPr>
              <w:t>and between the Registrant and GlaxoSmithKline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460" w:type="dxa"/>
            <w:vAlign w:val="bottom"/>
            <w:tcBorders>
              <w:top w:val="single" w:sz="8" w:color="656769"/>
            </w:tcBorders>
            <w:gridSpan w:val="23"/>
          </w:tcPr>
          <w:p>
            <w:pPr>
              <w:spacing w:after="0" w:line="201" w:lineRule="exact"/>
              <w:rPr>
                <w:sz w:val="20"/>
                <w:szCs w:val="20"/>
                <w:color w:val="auto"/>
              </w:rPr>
            </w:pPr>
            <w:r>
              <w:rPr>
                <w:rFonts w:ascii="Times New Roman" w:cs="Times New Roman" w:eastAsia="Times New Roman" w:hAnsi="Times New Roman"/>
                <w:sz w:val="20"/>
                <w:szCs w:val="20"/>
                <w:color w:val="656769"/>
              </w:rPr>
              <w:t>dated May 20, 2024.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1240" w:type="dxa"/>
            <w:vAlign w:val="bottom"/>
            <w:gridSpan w:val="3"/>
            <w:shd w:val="clear" w:color="auto" w:fill="65676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10.31††</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Securities Purchase Agreement, by and among the</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020" w:type="dxa"/>
            <w:vAlign w:val="bottom"/>
            <w:tcBorders>
              <w:top w:val="single" w:sz="8" w:color="656769"/>
            </w:tcBorders>
            <w:gridSpan w:val="15"/>
          </w:tcPr>
          <w:p>
            <w:pPr>
              <w:spacing w:after="0" w:line="201" w:lineRule="exact"/>
              <w:rPr>
                <w:sz w:val="20"/>
                <w:szCs w:val="20"/>
                <w:color w:val="auto"/>
              </w:rPr>
            </w:pPr>
            <w:r>
              <w:rPr>
                <w:rFonts w:ascii="Times New Roman" w:cs="Times New Roman" w:eastAsia="Times New Roman" w:hAnsi="Times New Roman"/>
                <w:sz w:val="20"/>
                <w:szCs w:val="20"/>
                <w:color w:val="656769"/>
                <w:w w:val="97"/>
              </w:rPr>
              <w:t>Registrant, REALM IDx, Inc. and Konica Minolta,</w:t>
            </w:r>
          </w:p>
        </w:tc>
        <w:tc>
          <w:tcPr>
            <w:tcW w:w="880" w:type="dxa"/>
            <w:vAlign w:val="bottom"/>
            <w:gridSpan w:val="27"/>
          </w:tcPr>
          <w:p>
            <w:pPr>
              <w:ind w:left="120"/>
              <w:spacing w:after="0" w:line="201" w:lineRule="exact"/>
              <w:rPr>
                <w:sz w:val="20"/>
                <w:szCs w:val="20"/>
                <w:color w:val="auto"/>
              </w:rPr>
            </w:pPr>
            <w:r>
              <w:rPr>
                <w:rFonts w:ascii="Times New Roman" w:cs="Times New Roman" w:eastAsia="Times New Roman" w:hAnsi="Times New Roman"/>
                <w:sz w:val="20"/>
                <w:szCs w:val="20"/>
                <w:color w:val="656769"/>
              </w:rPr>
              <w:t>Inc.,</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1980" w:type="dxa"/>
            <w:vAlign w:val="bottom"/>
            <w:tcBorders>
              <w:top w:val="single" w:sz="8" w:color="656769"/>
              <w:bottom w:val="single" w:sz="8" w:color="656769"/>
            </w:tcBorders>
            <w:gridSpan w:val="7"/>
          </w:tcPr>
          <w:p>
            <w:pPr>
              <w:spacing w:after="0" w:line="201" w:lineRule="exact"/>
              <w:rPr>
                <w:sz w:val="20"/>
                <w:szCs w:val="20"/>
                <w:color w:val="auto"/>
              </w:rPr>
            </w:pPr>
            <w:r>
              <w:rPr>
                <w:rFonts w:ascii="Times New Roman" w:cs="Times New Roman" w:eastAsia="Times New Roman" w:hAnsi="Times New Roman"/>
                <w:sz w:val="20"/>
                <w:szCs w:val="20"/>
                <w:color w:val="656769"/>
                <w:w w:val="99"/>
              </w:rPr>
              <w:t>dated November 4, 2024</w:t>
            </w:r>
          </w:p>
        </w:tc>
        <w:tc>
          <w:tcPr>
            <w:tcW w:w="2520" w:type="dxa"/>
            <w:vAlign w:val="bottom"/>
            <w:tcBorders>
              <w:top w:val="single" w:sz="8" w:color="656769"/>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10.32††</w:t>
            </w:r>
          </w:p>
        </w:tc>
        <w:tc>
          <w:tcPr>
            <w:tcW w:w="3940" w:type="dxa"/>
            <w:vAlign w:val="bottom"/>
            <w:tcBorders>
              <w:bottom w:val="single" w:sz="8" w:color="656769"/>
            </w:tcBorders>
            <w:gridSpan w:val="14"/>
          </w:tcPr>
          <w:p>
            <w:pPr>
              <w:spacing w:after="0"/>
              <w:rPr>
                <w:sz w:val="20"/>
                <w:szCs w:val="20"/>
                <w:color w:val="auto"/>
              </w:rPr>
            </w:pPr>
            <w:r>
              <w:rPr>
                <w:rFonts w:ascii="Times New Roman" w:cs="Times New Roman" w:eastAsia="Times New Roman" w:hAnsi="Times New Roman"/>
                <w:sz w:val="20"/>
                <w:szCs w:val="20"/>
                <w:color w:val="656769"/>
                <w:w w:val="99"/>
              </w:rPr>
              <w:t>Third Amendment to Credit Agreement and First</w:t>
            </w:r>
          </w:p>
        </w:tc>
        <w:tc>
          <w:tcPr>
            <w:tcW w:w="96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900" w:type="dxa"/>
            <w:vAlign w:val="bottom"/>
            <w:gridSpan w:val="42"/>
          </w:tcPr>
          <w:p>
            <w:pPr>
              <w:spacing w:after="0" w:line="201" w:lineRule="exact"/>
              <w:rPr>
                <w:sz w:val="20"/>
                <w:szCs w:val="20"/>
                <w:color w:val="auto"/>
              </w:rPr>
            </w:pPr>
            <w:r>
              <w:rPr>
                <w:rFonts w:ascii="Times New Roman" w:cs="Times New Roman" w:eastAsia="Times New Roman" w:hAnsi="Times New Roman"/>
                <w:sz w:val="20"/>
                <w:szCs w:val="20"/>
                <w:color w:val="656769"/>
              </w:rPr>
              <w:t>Amendment to Guarantee and Collateral Agreement, dated</w:t>
            </w: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720" w:type="dxa"/>
            <w:vAlign w:val="bottom"/>
            <w:tcBorders>
              <w:top w:val="single" w:sz="8" w:color="656769"/>
              <w:bottom w:val="single" w:sz="8" w:color="656769"/>
            </w:tcBorders>
            <w:gridSpan w:val="34"/>
          </w:tcPr>
          <w:p>
            <w:pPr>
              <w:spacing w:after="0" w:line="201" w:lineRule="exact"/>
              <w:rPr>
                <w:sz w:val="20"/>
                <w:szCs w:val="20"/>
                <w:color w:val="auto"/>
              </w:rPr>
            </w:pPr>
            <w:r>
              <w:rPr>
                <w:rFonts w:ascii="Times New Roman" w:cs="Times New Roman" w:eastAsia="Times New Roman" w:hAnsi="Times New Roman"/>
                <w:sz w:val="20"/>
                <w:szCs w:val="20"/>
                <w:color w:val="656769"/>
                <w:w w:val="97"/>
              </w:rPr>
              <w:t>as of February 3, 2025, by and among the Company, certain</w:t>
            </w:r>
          </w:p>
        </w:tc>
        <w:tc>
          <w:tcPr>
            <w:tcW w:w="60" w:type="dxa"/>
            <w:vAlign w:val="bottom"/>
            <w:tcBorders>
              <w:bottom w:val="single" w:sz="8" w:color="656769"/>
            </w:tcBorders>
            <w:gridSpan w:val="2"/>
          </w:tcPr>
          <w:p>
            <w:pPr>
              <w:spacing w:after="0"/>
              <w:rPr>
                <w:sz w:val="17"/>
                <w:szCs w:val="17"/>
                <w:color w:val="auto"/>
              </w:rPr>
            </w:pPr>
          </w:p>
        </w:tc>
        <w:tc>
          <w:tcPr>
            <w:tcW w:w="20" w:type="dxa"/>
            <w:vAlign w:val="bottom"/>
            <w:tcBorders>
              <w:bottom w:val="single" w:sz="8" w:color="656769"/>
            </w:tcBorders>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800" w:type="dxa"/>
            <w:vAlign w:val="bottom"/>
            <w:gridSpan w:val="37"/>
          </w:tcPr>
          <w:p>
            <w:pPr>
              <w:spacing w:after="0" w:line="201" w:lineRule="exact"/>
              <w:rPr>
                <w:sz w:val="20"/>
                <w:szCs w:val="20"/>
                <w:color w:val="auto"/>
              </w:rPr>
            </w:pPr>
            <w:r>
              <w:rPr>
                <w:rFonts w:ascii="Times New Roman" w:cs="Times New Roman" w:eastAsia="Times New Roman" w:hAnsi="Times New Roman"/>
                <w:sz w:val="20"/>
                <w:szCs w:val="20"/>
                <w:color w:val="656769"/>
                <w:w w:val="99"/>
              </w:rPr>
              <w:t>subsidiaries of the Company party thereto, the lenders party</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780" w:type="dxa"/>
            <w:vAlign w:val="bottom"/>
            <w:tcBorders>
              <w:top w:val="single" w:sz="8" w:color="656769"/>
            </w:tcBorders>
            <w:gridSpan w:val="36"/>
          </w:tcPr>
          <w:p>
            <w:pPr>
              <w:spacing w:after="0" w:line="201" w:lineRule="exact"/>
              <w:rPr>
                <w:sz w:val="20"/>
                <w:szCs w:val="20"/>
                <w:color w:val="auto"/>
              </w:rPr>
            </w:pPr>
            <w:r>
              <w:rPr>
                <w:rFonts w:ascii="Times New Roman" w:cs="Times New Roman" w:eastAsia="Times New Roman" w:hAnsi="Times New Roman"/>
                <w:sz w:val="20"/>
                <w:szCs w:val="20"/>
                <w:color w:val="656769"/>
              </w:rPr>
              <w:t>thereto, Ares Capital Corporation, as administrative agent</w:t>
            </w: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4640" w:type="dxa"/>
            <w:vAlign w:val="bottom"/>
            <w:tcBorders>
              <w:top w:val="single" w:sz="8" w:color="656769"/>
            </w:tcBorders>
            <w:gridSpan w:val="31"/>
          </w:tcPr>
          <w:p>
            <w:pPr>
              <w:spacing w:after="0" w:line="201" w:lineRule="exact"/>
              <w:rPr>
                <w:sz w:val="20"/>
                <w:szCs w:val="20"/>
                <w:color w:val="auto"/>
              </w:rPr>
            </w:pPr>
            <w:r>
              <w:rPr>
                <w:rFonts w:ascii="Times New Roman" w:cs="Times New Roman" w:eastAsia="Times New Roman" w:hAnsi="Times New Roman"/>
                <w:sz w:val="20"/>
                <w:szCs w:val="20"/>
                <w:color w:val="656769"/>
              </w:rPr>
              <w:t>and ACF Finco I LP, as revolving agent.</w:t>
            </w: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1360" w:type="dxa"/>
            <w:vAlign w:val="bottom"/>
            <w:gridSpan w:val="4"/>
            <w:shd w:val="clear" w:color="auto" w:fill="656769"/>
          </w:tcPr>
          <w:p>
            <w:pPr>
              <w:spacing w:after="0" w:line="20" w:lineRule="exact"/>
              <w:rPr>
                <w:sz w:val="1"/>
                <w:szCs w:val="1"/>
                <w:color w:val="auto"/>
              </w:rPr>
            </w:pPr>
          </w:p>
        </w:tc>
        <w:tc>
          <w:tcPr>
            <w:tcW w:w="120" w:type="dxa"/>
            <w:vAlign w:val="bottom"/>
            <w:shd w:val="clear" w:color="auto" w:fill="656769"/>
          </w:tcPr>
          <w:p>
            <w:pPr>
              <w:spacing w:after="0" w:line="20" w:lineRule="exact"/>
              <w:rPr>
                <w:sz w:val="1"/>
                <w:szCs w:val="1"/>
                <w:color w:val="auto"/>
              </w:rPr>
            </w:pPr>
          </w:p>
        </w:tc>
        <w:tc>
          <w:tcPr>
            <w:tcW w:w="300" w:type="dxa"/>
            <w:vAlign w:val="bottom"/>
            <w:gridSpan w:val="2"/>
            <w:shd w:val="clear" w:color="auto" w:fill="656769"/>
          </w:tcPr>
          <w:p>
            <w:pPr>
              <w:spacing w:after="0" w:line="20" w:lineRule="exact"/>
              <w:rPr>
                <w:sz w:val="1"/>
                <w:szCs w:val="1"/>
                <w:color w:val="auto"/>
              </w:rPr>
            </w:pPr>
          </w:p>
        </w:tc>
        <w:tc>
          <w:tcPr>
            <w:tcW w:w="820" w:type="dxa"/>
            <w:vAlign w:val="bottom"/>
            <w:shd w:val="clear" w:color="auto" w:fill="656769"/>
          </w:tcPr>
          <w:p>
            <w:pPr>
              <w:spacing w:after="0" w:line="20" w:lineRule="exact"/>
              <w:rPr>
                <w:sz w:val="1"/>
                <w:szCs w:val="1"/>
                <w:color w:val="auto"/>
              </w:rPr>
            </w:pPr>
          </w:p>
        </w:tc>
        <w:tc>
          <w:tcPr>
            <w:tcW w:w="240" w:type="dxa"/>
            <w:vAlign w:val="bottom"/>
            <w:shd w:val="clear" w:color="auto" w:fill="656769"/>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10.33</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Start-Up Agreement by and between the Registrant and</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40" w:type="dxa"/>
            <w:vAlign w:val="bottom"/>
            <w:tcBorders>
              <w:top w:val="single" w:sz="8" w:color="656769"/>
            </w:tcBorders>
            <w:gridSpan w:val="22"/>
          </w:tcPr>
          <w:p>
            <w:pPr>
              <w:spacing w:after="0" w:line="210" w:lineRule="exact"/>
              <w:rPr>
                <w:sz w:val="20"/>
                <w:szCs w:val="20"/>
                <w:color w:val="auto"/>
              </w:rPr>
            </w:pPr>
            <w:r>
              <w:rPr>
                <w:rFonts w:ascii="Times New Roman" w:cs="Times New Roman" w:eastAsia="Times New Roman" w:hAnsi="Times New Roman"/>
                <w:sz w:val="20"/>
                <w:szCs w:val="20"/>
                <w:color w:val="656769"/>
              </w:rPr>
              <w:t>Pathos AI, Inc., dated August 1, 2024</w:t>
            </w: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1360" w:type="dxa"/>
            <w:vAlign w:val="bottom"/>
            <w:gridSpan w:val="4"/>
            <w:shd w:val="clear" w:color="auto" w:fill="656769"/>
          </w:tcPr>
          <w:p>
            <w:pPr>
              <w:spacing w:after="0" w:line="20" w:lineRule="exact"/>
              <w:rPr>
                <w:sz w:val="1"/>
                <w:szCs w:val="1"/>
                <w:color w:val="auto"/>
              </w:rPr>
            </w:pPr>
          </w:p>
        </w:tc>
        <w:tc>
          <w:tcPr>
            <w:tcW w:w="120" w:type="dxa"/>
            <w:vAlign w:val="bottom"/>
            <w:shd w:val="clear" w:color="auto" w:fill="656769"/>
          </w:tcPr>
          <w:p>
            <w:pPr>
              <w:spacing w:after="0" w:line="20" w:lineRule="exact"/>
              <w:rPr>
                <w:sz w:val="1"/>
                <w:szCs w:val="1"/>
                <w:color w:val="auto"/>
              </w:rPr>
            </w:pPr>
          </w:p>
        </w:tc>
        <w:tc>
          <w:tcPr>
            <w:tcW w:w="300" w:type="dxa"/>
            <w:vAlign w:val="bottom"/>
            <w:gridSpan w:val="2"/>
            <w:shd w:val="clear" w:color="auto" w:fill="656769"/>
          </w:tcPr>
          <w:p>
            <w:pPr>
              <w:spacing w:after="0" w:line="20" w:lineRule="exact"/>
              <w:rPr>
                <w:sz w:val="1"/>
                <w:szCs w:val="1"/>
                <w:color w:val="auto"/>
              </w:rPr>
            </w:pPr>
          </w:p>
        </w:tc>
        <w:tc>
          <w:tcPr>
            <w:tcW w:w="820" w:type="dxa"/>
            <w:vAlign w:val="bottom"/>
            <w:shd w:val="clear" w:color="auto" w:fill="656769"/>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10.34</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Eighth Amendment to Agreement of Lease, dated as of June</w:t>
            </w: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860" w:type="dxa"/>
            <w:vAlign w:val="bottom"/>
            <w:tcBorders>
              <w:top w:val="single" w:sz="8" w:color="656769"/>
            </w:tcBorders>
            <w:gridSpan w:val="40"/>
          </w:tcPr>
          <w:p>
            <w:pPr>
              <w:spacing w:after="0" w:line="210" w:lineRule="exact"/>
              <w:rPr>
                <w:sz w:val="20"/>
                <w:szCs w:val="20"/>
                <w:color w:val="auto"/>
              </w:rPr>
            </w:pPr>
            <w:r>
              <w:rPr>
                <w:rFonts w:ascii="Times New Roman" w:cs="Times New Roman" w:eastAsia="Times New Roman" w:hAnsi="Times New Roman"/>
                <w:sz w:val="20"/>
                <w:szCs w:val="20"/>
                <w:color w:val="656769"/>
              </w:rPr>
              <w:t>18, 2024, by and between the Registrant and EQC 600 West</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840" w:type="dxa"/>
            <w:vAlign w:val="bottom"/>
            <w:tcBorders>
              <w:top w:val="single" w:sz="8" w:color="656769"/>
            </w:tcBorders>
            <w:gridSpan w:val="39"/>
          </w:tcPr>
          <w:p>
            <w:pPr>
              <w:spacing w:after="0" w:line="210" w:lineRule="exact"/>
              <w:rPr>
                <w:sz w:val="20"/>
                <w:szCs w:val="20"/>
                <w:color w:val="auto"/>
              </w:rPr>
            </w:pPr>
            <w:r>
              <w:rPr>
                <w:rFonts w:ascii="Times New Roman" w:cs="Times New Roman" w:eastAsia="Times New Roman" w:hAnsi="Times New Roman"/>
                <w:sz w:val="20"/>
                <w:szCs w:val="20"/>
                <w:color w:val="656769"/>
              </w:rPr>
              <w:t>Chicago Property LLC.</w:t>
            </w: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1360" w:type="dxa"/>
            <w:vAlign w:val="bottom"/>
            <w:gridSpan w:val="4"/>
            <w:shd w:val="clear" w:color="auto" w:fill="656769"/>
          </w:tcPr>
          <w:p>
            <w:pPr>
              <w:spacing w:after="0" w:line="20" w:lineRule="exact"/>
              <w:rPr>
                <w:sz w:val="1"/>
                <w:szCs w:val="1"/>
                <w:color w:val="auto"/>
              </w:rPr>
            </w:pPr>
          </w:p>
        </w:tc>
        <w:tc>
          <w:tcPr>
            <w:tcW w:w="120" w:type="dxa"/>
            <w:vAlign w:val="bottom"/>
            <w:shd w:val="clear" w:color="auto" w:fill="65676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10.35+</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Forms of Restricted Stock Award Grant Notice and Award</w:t>
            </w: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700" w:type="dxa"/>
            <w:vAlign w:val="bottom"/>
            <w:tcBorders>
              <w:top w:val="single" w:sz="8" w:color="656769"/>
            </w:tcBorders>
            <w:gridSpan w:val="33"/>
          </w:tcPr>
          <w:p>
            <w:pPr>
              <w:spacing w:after="0" w:line="210" w:lineRule="exact"/>
              <w:rPr>
                <w:sz w:val="20"/>
                <w:szCs w:val="20"/>
                <w:color w:val="auto"/>
              </w:rPr>
            </w:pPr>
            <w:r>
              <w:rPr>
                <w:rFonts w:ascii="Times New Roman" w:cs="Times New Roman" w:eastAsia="Times New Roman" w:hAnsi="Times New Roman"/>
                <w:sz w:val="20"/>
                <w:szCs w:val="20"/>
                <w:color w:val="656769"/>
              </w:rPr>
              <w:t>Agreement under the Registrant’s 2024 Equity Incentive</w:t>
            </w:r>
          </w:p>
        </w:tc>
        <w:tc>
          <w:tcPr>
            <w:tcW w:w="20" w:type="dxa"/>
            <w:vAlign w:val="bottom"/>
          </w:tcPr>
          <w:p>
            <w:pPr>
              <w:spacing w:after="0"/>
              <w:rPr>
                <w:sz w:val="18"/>
                <w:szCs w:val="18"/>
                <w:color w:val="auto"/>
              </w:rPr>
            </w:pPr>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40" w:type="dxa"/>
            <w:vAlign w:val="bottom"/>
            <w:tcBorders>
              <w:top w:val="single" w:sz="8" w:color="656769"/>
            </w:tcBorders>
            <w:gridSpan w:val="26"/>
          </w:tcPr>
          <w:p>
            <w:pPr>
              <w:spacing w:after="0" w:line="210" w:lineRule="exact"/>
              <w:rPr>
                <w:sz w:val="20"/>
                <w:szCs w:val="20"/>
                <w:color w:val="auto"/>
              </w:rPr>
            </w:pPr>
            <w:r>
              <w:rPr>
                <w:rFonts w:ascii="Times New Roman" w:cs="Times New Roman" w:eastAsia="Times New Roman" w:hAnsi="Times New Roman"/>
                <w:sz w:val="20"/>
                <w:szCs w:val="20"/>
                <w:color w:val="656769"/>
              </w:rPr>
              <w:t>Plan.</w:t>
            </w:r>
          </w:p>
        </w:tc>
        <w:tc>
          <w:tcPr>
            <w:tcW w:w="20" w:type="dxa"/>
            <w:vAlign w:val="bottom"/>
          </w:tcPr>
          <w:p>
            <w:pPr>
              <w:spacing w:after="0"/>
              <w:rPr>
                <w:sz w:val="18"/>
                <w:szCs w:val="18"/>
                <w:color w:val="auto"/>
              </w:rPr>
            </w:pPr>
          </w:p>
        </w:tc>
        <w:tc>
          <w:tcPr>
            <w:tcW w:w="160" w:type="dxa"/>
            <w:vAlign w:val="bottom"/>
            <w:gridSpan w:val="7"/>
          </w:tcPr>
          <w:p>
            <w:pPr>
              <w:spacing w:after="0"/>
              <w:rPr>
                <w:sz w:val="18"/>
                <w:szCs w:val="18"/>
                <w:color w:val="auto"/>
              </w:rPr>
            </w:pPr>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656769"/>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231F20"/>
              </w:rPr>
              <w:t>10.36</w:t>
            </w:r>
          </w:p>
        </w:tc>
        <w:tc>
          <w:tcPr>
            <w:tcW w:w="4240" w:type="dxa"/>
            <w:vAlign w:val="bottom"/>
            <w:tcBorders>
              <w:bottom w:val="single" w:sz="8" w:color="656769"/>
            </w:tcBorders>
            <w:gridSpan w:val="19"/>
          </w:tcPr>
          <w:p>
            <w:pPr>
              <w:spacing w:after="0"/>
              <w:rPr>
                <w:sz w:val="20"/>
                <w:szCs w:val="20"/>
                <w:color w:val="auto"/>
              </w:rPr>
            </w:pPr>
            <w:r>
              <w:rPr>
                <w:rFonts w:ascii="Times New Roman" w:cs="Times New Roman" w:eastAsia="Times New Roman" w:hAnsi="Times New Roman"/>
                <w:sz w:val="20"/>
                <w:szCs w:val="20"/>
                <w:color w:val="656769"/>
                <w:w w:val="99"/>
              </w:rPr>
              <w:t>Form of Confirmation for Capped Call Transactions.</w:t>
            </w:r>
          </w:p>
        </w:tc>
        <w:tc>
          <w:tcPr>
            <w:tcW w:w="6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4520" w:type="dxa"/>
            <w:vAlign w:val="bottom"/>
            <w:tcBorders>
              <w:bottom w:val="single" w:sz="8" w:color="656769"/>
            </w:tcBorders>
            <w:gridSpan w:val="25"/>
          </w:tcPr>
          <w:p>
            <w:pPr>
              <w:spacing w:after="0"/>
              <w:rPr>
                <w:sz w:val="20"/>
                <w:szCs w:val="20"/>
                <w:color w:val="auto"/>
              </w:rPr>
            </w:pPr>
            <w:r>
              <w:rPr>
                <w:rFonts w:ascii="Times New Roman" w:cs="Times New Roman" w:eastAsia="Times New Roman" w:hAnsi="Times New Roman"/>
                <w:sz w:val="20"/>
                <w:szCs w:val="20"/>
                <w:color w:val="656769"/>
                <w:w w:val="99"/>
              </w:rPr>
              <w:t>Fourth Amendment to Credit Agreement, by and among</w:t>
            </w:r>
          </w:p>
        </w:tc>
        <w:tc>
          <w:tcPr>
            <w:tcW w:w="3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10.37</w:t>
            </w:r>
          </w:p>
        </w:tc>
        <w:tc>
          <w:tcPr>
            <w:tcW w:w="4740" w:type="dxa"/>
            <w:vAlign w:val="bottom"/>
            <w:tcBorders>
              <w:bottom w:val="single" w:sz="8" w:color="656769"/>
            </w:tcBorders>
            <w:gridSpan w:val="35"/>
          </w:tcPr>
          <w:p>
            <w:pPr>
              <w:spacing w:after="0" w:line="210" w:lineRule="exact"/>
              <w:rPr>
                <w:sz w:val="20"/>
                <w:szCs w:val="20"/>
                <w:color w:val="auto"/>
              </w:rPr>
            </w:pPr>
            <w:r>
              <w:rPr>
                <w:rFonts w:ascii="Times New Roman" w:cs="Times New Roman" w:eastAsia="Times New Roman" w:hAnsi="Times New Roman"/>
                <w:sz w:val="20"/>
                <w:szCs w:val="20"/>
                <w:color w:val="656769"/>
                <w:w w:val="99"/>
              </w:rPr>
              <w:t>Tempus AI, Inc, the loan party signatories and lender party</w:t>
            </w:r>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4900" w:type="dxa"/>
            <w:vAlign w:val="bottom"/>
            <w:gridSpan w:val="42"/>
            <w:vMerge w:val="restart"/>
          </w:tcPr>
          <w:p>
            <w:pPr>
              <w:spacing w:after="0" w:line="210" w:lineRule="exact"/>
              <w:rPr>
                <w:sz w:val="20"/>
                <w:szCs w:val="20"/>
                <w:color w:val="auto"/>
              </w:rPr>
            </w:pPr>
            <w:r>
              <w:rPr>
                <w:rFonts w:ascii="Times New Roman" w:cs="Times New Roman" w:eastAsia="Times New Roman" w:hAnsi="Times New Roman"/>
                <w:sz w:val="20"/>
                <w:szCs w:val="20"/>
                <w:color w:val="656769"/>
              </w:rPr>
              <w:t>thereto, and Ares Capital Corporation as administrative</w:t>
            </w: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4900" w:type="dxa"/>
            <w:vAlign w:val="bottom"/>
            <w:gridSpan w:val="4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20" w:type="dxa"/>
            <w:vAlign w:val="bottom"/>
            <w:tcBorders>
              <w:top w:val="single" w:sz="8" w:color="656769"/>
            </w:tcBorders>
            <w:gridSpan w:val="21"/>
          </w:tcPr>
          <w:p>
            <w:pPr>
              <w:spacing w:after="0" w:line="210" w:lineRule="exact"/>
              <w:rPr>
                <w:sz w:val="20"/>
                <w:szCs w:val="20"/>
                <w:color w:val="auto"/>
              </w:rPr>
            </w:pPr>
            <w:r>
              <w:rPr>
                <w:rFonts w:ascii="Times New Roman" w:cs="Times New Roman" w:eastAsia="Times New Roman" w:hAnsi="Times New Roman"/>
                <w:sz w:val="20"/>
                <w:szCs w:val="20"/>
                <w:color w:val="656769"/>
              </w:rPr>
              <w:t>agent, dated June 30, 2025.</w:t>
            </w:r>
          </w:p>
        </w:tc>
        <w:tc>
          <w:tcPr>
            <w:tcW w:w="10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3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760" w:type="dxa"/>
            <w:vAlign w:val="bottom"/>
            <w:gridSpan w:val="5"/>
            <w:shd w:val="clear" w:color="auto" w:fill="656769"/>
          </w:tcPr>
          <w:p>
            <w:pPr>
              <w:spacing w:after="0" w:line="20" w:lineRule="exact"/>
              <w:rPr>
                <w:sz w:val="1"/>
                <w:szCs w:val="1"/>
                <w:color w:val="auto"/>
              </w:rPr>
            </w:pPr>
          </w:p>
        </w:tc>
        <w:tc>
          <w:tcPr>
            <w:tcW w:w="420" w:type="dxa"/>
            <w:vAlign w:val="bottom"/>
            <w:gridSpan w:val="3"/>
            <w:shd w:val="clear" w:color="auto" w:fill="656769"/>
          </w:tcPr>
          <w:p>
            <w:pPr>
              <w:spacing w:after="0" w:line="20" w:lineRule="exact"/>
              <w:rPr>
                <w:sz w:val="1"/>
                <w:szCs w:val="1"/>
                <w:color w:val="auto"/>
              </w:rPr>
            </w:pPr>
          </w:p>
        </w:tc>
        <w:tc>
          <w:tcPr>
            <w:tcW w:w="234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10.38††</w:t>
            </w:r>
          </w:p>
        </w:tc>
        <w:tc>
          <w:tcPr>
            <w:tcW w:w="4900" w:type="dxa"/>
            <w:vAlign w:val="bottom"/>
            <w:gridSpan w:val="42"/>
          </w:tcPr>
          <w:p>
            <w:pPr>
              <w:spacing w:after="0"/>
              <w:rPr>
                <w:sz w:val="20"/>
                <w:szCs w:val="20"/>
                <w:color w:val="auto"/>
              </w:rPr>
            </w:pPr>
            <w:r>
              <w:rPr>
                <w:rFonts w:ascii="Times New Roman" w:cs="Times New Roman" w:eastAsia="Times New Roman" w:hAnsi="Times New Roman"/>
                <w:sz w:val="20"/>
                <w:szCs w:val="20"/>
                <w:color w:val="656769"/>
              </w:rPr>
              <w:t>Controlled Equity OfferingSM Sales Agreement, by and</w:t>
            </w:r>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520" w:type="dxa"/>
            <w:vAlign w:val="bottom"/>
            <w:tcBorders>
              <w:top w:val="single" w:sz="8" w:color="656769"/>
              <w:bottom w:val="single" w:sz="8" w:color="656769"/>
            </w:tcBorders>
            <w:gridSpan w:val="25"/>
          </w:tcPr>
          <w:p>
            <w:pPr>
              <w:spacing w:after="0" w:line="210" w:lineRule="exact"/>
              <w:rPr>
                <w:sz w:val="20"/>
                <w:szCs w:val="20"/>
                <w:color w:val="auto"/>
              </w:rPr>
            </w:pPr>
            <w:r>
              <w:rPr>
                <w:rFonts w:ascii="Times New Roman" w:cs="Times New Roman" w:eastAsia="Times New Roman" w:hAnsi="Times New Roman"/>
                <w:sz w:val="20"/>
                <w:szCs w:val="20"/>
                <w:color w:val="656769"/>
                <w:w w:val="98"/>
              </w:rPr>
              <w:t>among the Registrant and the Sales Agents party thereto,</w:t>
            </w:r>
          </w:p>
        </w:tc>
        <w:tc>
          <w:tcPr>
            <w:tcW w:w="40" w:type="dxa"/>
            <w:vAlign w:val="bottom"/>
            <w:tcBorders>
              <w:bottom w:val="single" w:sz="8" w:color="656769"/>
            </w:tcBorders>
            <w:gridSpan w:val="2"/>
          </w:tcPr>
          <w:p>
            <w:pPr>
              <w:spacing w:after="0"/>
              <w:rPr>
                <w:sz w:val="18"/>
                <w:szCs w:val="18"/>
                <w:color w:val="auto"/>
              </w:rPr>
            </w:pPr>
          </w:p>
        </w:tc>
        <w:tc>
          <w:tcPr>
            <w:tcW w:w="3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760" w:type="dxa"/>
            <w:vAlign w:val="bottom"/>
            <w:tcBorders>
              <w:bottom w:val="single" w:sz="8" w:color="656769"/>
            </w:tcBorders>
            <w:gridSpan w:val="5"/>
          </w:tcPr>
          <w:p>
            <w:pPr>
              <w:spacing w:after="0" w:line="210" w:lineRule="exact"/>
              <w:rPr>
                <w:sz w:val="20"/>
                <w:szCs w:val="20"/>
                <w:color w:val="auto"/>
              </w:rPr>
            </w:pPr>
            <w:r>
              <w:rPr>
                <w:rFonts w:ascii="Times New Roman" w:cs="Times New Roman" w:eastAsia="Times New Roman" w:hAnsi="Times New Roman"/>
                <w:sz w:val="20"/>
                <w:szCs w:val="20"/>
                <w:color w:val="656769"/>
                <w:w w:val="98"/>
              </w:rPr>
              <w:t>dated August 8, 2025.</w:t>
            </w:r>
          </w:p>
        </w:tc>
        <w:tc>
          <w:tcPr>
            <w:tcW w:w="2800" w:type="dxa"/>
            <w:vAlign w:val="bottom"/>
            <w:gridSpan w:val="22"/>
          </w:tcPr>
          <w:p>
            <w:pPr>
              <w:spacing w:after="0"/>
              <w:rPr>
                <w:sz w:val="18"/>
                <w:szCs w:val="18"/>
                <w:color w:val="auto"/>
              </w:rPr>
            </w:pPr>
          </w:p>
        </w:tc>
        <w:tc>
          <w:tcPr>
            <w:tcW w:w="3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31F20"/>
                <w:w w:val="96"/>
              </w:rPr>
              <w:t>10.39+*</w:t>
            </w:r>
          </w:p>
        </w:tc>
        <w:tc>
          <w:tcPr>
            <w:tcW w:w="4840" w:type="dxa"/>
            <w:vAlign w:val="bottom"/>
            <w:gridSpan w:val="3"/>
          </w:tcPr>
          <w:p>
            <w:pPr>
              <w:spacing w:after="0"/>
              <w:rPr>
                <w:sz w:val="20"/>
                <w:szCs w:val="20"/>
                <w:color w:val="auto"/>
              </w:rPr>
            </w:pPr>
            <w:r>
              <w:rPr>
                <w:rFonts w:ascii="Times New Roman" w:cs="Times New Roman" w:eastAsia="Times New Roman" w:hAnsi="Times New Roman"/>
                <w:sz w:val="20"/>
                <w:szCs w:val="20"/>
                <w:color w:val="656769"/>
                <w:w w:val="99"/>
              </w:rPr>
              <w:t>Employment Agreement, by and between the Registrant and</w:t>
            </w:r>
          </w:p>
        </w:tc>
        <w:tc>
          <w:tcPr>
            <w:tcW w:w="0" w:type="dxa"/>
            <w:vAlign w:val="bottom"/>
          </w:tcPr>
          <w:p>
            <w:pPr>
              <w:spacing w:after="0"/>
              <w:rPr>
                <w:sz w:val="1"/>
                <w:szCs w:val="1"/>
                <w:color w:val="auto"/>
              </w:rPr>
            </w:pPr>
          </w:p>
        </w:tc>
      </w:tr>
      <w:tr>
        <w:trPr>
          <w:trHeight w:val="125"/>
        </w:trPr>
        <w:tc>
          <w:tcPr>
            <w:tcW w:w="900" w:type="dxa"/>
            <w:vAlign w:val="bottom"/>
            <w:vMerge w:val="continue"/>
          </w:tcPr>
          <w:p>
            <w:pPr>
              <w:spacing w:after="0"/>
              <w:rPr>
                <w:sz w:val="10"/>
                <w:szCs w:val="10"/>
                <w:color w:val="auto"/>
              </w:rPr>
            </w:pPr>
          </w:p>
        </w:tc>
        <w:tc>
          <w:tcPr>
            <w:tcW w:w="4820" w:type="dxa"/>
            <w:vAlign w:val="bottom"/>
            <w:tcBorders>
              <w:top w:val="single" w:sz="8" w:color="656769"/>
            </w:tcBorders>
            <w:gridSpan w:val="2"/>
            <w:vMerge w:val="restart"/>
          </w:tcPr>
          <w:p>
            <w:pPr>
              <w:spacing w:after="0" w:line="210" w:lineRule="exact"/>
              <w:rPr>
                <w:sz w:val="20"/>
                <w:szCs w:val="20"/>
                <w:color w:val="auto"/>
              </w:rPr>
            </w:pPr>
            <w:r>
              <w:rPr>
                <w:rFonts w:ascii="Times New Roman" w:cs="Times New Roman" w:eastAsia="Times New Roman" w:hAnsi="Times New Roman"/>
                <w:sz w:val="20"/>
                <w:szCs w:val="20"/>
                <w:color w:val="656769"/>
              </w:rPr>
              <w:t>Tom Schoenherr, dated February 24, 2026.</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900" w:type="dxa"/>
            <w:vAlign w:val="bottom"/>
          </w:tcPr>
          <w:p>
            <w:pPr>
              <w:spacing w:after="0"/>
              <w:rPr>
                <w:sz w:val="7"/>
                <w:szCs w:val="7"/>
                <w:color w:val="auto"/>
              </w:rPr>
            </w:pPr>
          </w:p>
        </w:tc>
        <w:tc>
          <w:tcPr>
            <w:tcW w:w="482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440" w:type="dxa"/>
            <w:vAlign w:val="bottom"/>
            <w:shd w:val="clear" w:color="auto" w:fill="65676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left="-99"/>
        <w:spacing w:after="0"/>
        <w:tabs>
          <w:tab w:leader="none" w:pos="380" w:val="left"/>
        </w:tabs>
        <w:rPr>
          <w:sz w:val="20"/>
          <w:szCs w:val="20"/>
          <w:color w:val="auto"/>
        </w:rPr>
      </w:pPr>
      <w:r>
        <w:rPr>
          <w:rFonts w:ascii="Times New Roman" w:cs="Times New Roman" w:eastAsia="Times New Roman" w:hAnsi="Times New Roman"/>
          <w:sz w:val="20"/>
          <w:szCs w:val="20"/>
          <w:color w:val="231F20"/>
        </w:rPr>
        <w:t>S-1</w:t>
      </w:r>
      <w:r>
        <w:rPr>
          <w:sz w:val="20"/>
          <w:szCs w:val="20"/>
          <w:color w:val="auto"/>
        </w:rPr>
        <w:tab/>
      </w:r>
      <w:r>
        <w:rPr>
          <w:rFonts w:ascii="Times New Roman" w:cs="Times New Roman" w:eastAsia="Times New Roman" w:hAnsi="Times New Roman"/>
          <w:sz w:val="19"/>
          <w:szCs w:val="19"/>
          <w:color w:val="231F20"/>
        </w:rPr>
        <w:t>333-279558</w:t>
      </w:r>
    </w:p>
    <w:p>
      <w:pPr>
        <w:spacing w:after="0" w:line="200" w:lineRule="exact"/>
        <w:rPr>
          <w:sz w:val="20"/>
          <w:szCs w:val="20"/>
          <w:color w:val="auto"/>
        </w:rPr>
      </w:pPr>
    </w:p>
    <w:p>
      <w:pPr>
        <w:spacing w:after="0" w:line="255" w:lineRule="exact"/>
        <w:rPr>
          <w:sz w:val="20"/>
          <w:szCs w:val="20"/>
          <w:color w:val="auto"/>
        </w:rPr>
      </w:pPr>
    </w:p>
    <w:p>
      <w:pPr>
        <w:jc w:val="center"/>
        <w:ind w:left="-99"/>
        <w:spacing w:after="0"/>
        <w:tabs>
          <w:tab w:leader="none" w:pos="380" w:val="left"/>
        </w:tabs>
        <w:rPr>
          <w:sz w:val="20"/>
          <w:szCs w:val="20"/>
          <w:color w:val="auto"/>
        </w:rPr>
      </w:pPr>
      <w:r>
        <w:rPr>
          <w:rFonts w:ascii="Times New Roman" w:cs="Times New Roman" w:eastAsia="Times New Roman" w:hAnsi="Times New Roman"/>
          <w:sz w:val="20"/>
          <w:szCs w:val="20"/>
          <w:color w:val="231F20"/>
        </w:rPr>
        <w:t>S-1</w:t>
      </w:r>
      <w:r>
        <w:rPr>
          <w:sz w:val="20"/>
          <w:szCs w:val="20"/>
          <w:color w:val="auto"/>
        </w:rPr>
        <w:tab/>
      </w:r>
      <w:r>
        <w:rPr>
          <w:rFonts w:ascii="Times New Roman" w:cs="Times New Roman" w:eastAsia="Times New Roman" w:hAnsi="Times New Roman"/>
          <w:sz w:val="19"/>
          <w:szCs w:val="19"/>
          <w:color w:val="231F20"/>
        </w:rPr>
        <w:t>333-279558</w:t>
      </w:r>
    </w:p>
    <w:p>
      <w:pPr>
        <w:spacing w:after="0" w:line="200" w:lineRule="exact"/>
        <w:rPr>
          <w:sz w:val="20"/>
          <w:szCs w:val="20"/>
          <w:color w:val="auto"/>
        </w:rPr>
      </w:pPr>
    </w:p>
    <w:p>
      <w:pPr>
        <w:spacing w:after="0" w:line="365" w:lineRule="exact"/>
        <w:rPr>
          <w:sz w:val="20"/>
          <w:szCs w:val="20"/>
          <w:color w:val="auto"/>
        </w:rPr>
      </w:pPr>
    </w:p>
    <w:p>
      <w:pPr>
        <w:jc w:val="center"/>
        <w:ind w:left="-99"/>
        <w:spacing w:after="0"/>
        <w:tabs>
          <w:tab w:leader="none" w:pos="380" w:val="left"/>
        </w:tabs>
        <w:rPr>
          <w:sz w:val="20"/>
          <w:szCs w:val="20"/>
          <w:color w:val="auto"/>
        </w:rPr>
      </w:pPr>
      <w:r>
        <w:rPr>
          <w:rFonts w:ascii="Times New Roman" w:cs="Times New Roman" w:eastAsia="Times New Roman" w:hAnsi="Times New Roman"/>
          <w:sz w:val="20"/>
          <w:szCs w:val="20"/>
          <w:color w:val="231F20"/>
        </w:rPr>
        <w:t>S-1</w:t>
      </w:r>
      <w:r>
        <w:rPr>
          <w:sz w:val="20"/>
          <w:szCs w:val="20"/>
          <w:color w:val="auto"/>
        </w:rPr>
        <w:tab/>
      </w:r>
      <w:r>
        <w:rPr>
          <w:rFonts w:ascii="Times New Roman" w:cs="Times New Roman" w:eastAsia="Times New Roman" w:hAnsi="Times New Roman"/>
          <w:sz w:val="19"/>
          <w:szCs w:val="19"/>
          <w:color w:val="231F20"/>
        </w:rPr>
        <w:t>333-279558</w:t>
      </w:r>
    </w:p>
    <w:p>
      <w:pPr>
        <w:spacing w:after="0" w:line="200" w:lineRule="exact"/>
        <w:rPr>
          <w:sz w:val="20"/>
          <w:szCs w:val="20"/>
          <w:color w:val="auto"/>
        </w:rPr>
      </w:pPr>
    </w:p>
    <w:p>
      <w:pPr>
        <w:spacing w:after="0" w:line="36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31F20"/>
        </w:rPr>
        <w:t>S-1/A</w:t>
      </w:r>
      <w:r>
        <w:rPr>
          <w:sz w:val="20"/>
          <w:szCs w:val="20"/>
          <w:color w:val="auto"/>
        </w:rPr>
        <w:tab/>
      </w:r>
      <w:r>
        <w:rPr>
          <w:rFonts w:ascii="Times New Roman" w:cs="Times New Roman" w:eastAsia="Times New Roman" w:hAnsi="Times New Roman"/>
          <w:sz w:val="19"/>
          <w:szCs w:val="19"/>
          <w:color w:val="231F20"/>
        </w:rPr>
        <w:t>333-279558</w:t>
      </w:r>
    </w:p>
    <w:p>
      <w:pPr>
        <w:spacing w:after="0" w:line="200" w:lineRule="exact"/>
        <w:rPr>
          <w:sz w:val="20"/>
          <w:szCs w:val="20"/>
          <w:color w:val="auto"/>
        </w:rPr>
      </w:pPr>
    </w:p>
    <w:p>
      <w:pPr>
        <w:spacing w:after="0" w:line="2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31F20"/>
        </w:rPr>
        <w:t>S-1/A</w:t>
      </w:r>
      <w:r>
        <w:rPr>
          <w:sz w:val="20"/>
          <w:szCs w:val="20"/>
          <w:color w:val="auto"/>
        </w:rPr>
        <w:tab/>
      </w:r>
      <w:r>
        <w:rPr>
          <w:rFonts w:ascii="Times New Roman" w:cs="Times New Roman" w:eastAsia="Times New Roman" w:hAnsi="Times New Roman"/>
          <w:sz w:val="19"/>
          <w:szCs w:val="19"/>
          <w:color w:val="231F20"/>
        </w:rPr>
        <w:t>333-279558</w:t>
      </w:r>
    </w:p>
    <w:p>
      <w:pPr>
        <w:spacing w:after="0" w:line="34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31F20"/>
        </w:rPr>
        <w:t>S-1/A</w:t>
      </w:r>
      <w:r>
        <w:rPr>
          <w:sz w:val="20"/>
          <w:szCs w:val="20"/>
          <w:color w:val="auto"/>
        </w:rPr>
        <w:tab/>
      </w:r>
      <w:r>
        <w:rPr>
          <w:rFonts w:ascii="Times New Roman" w:cs="Times New Roman" w:eastAsia="Times New Roman" w:hAnsi="Times New Roman"/>
          <w:sz w:val="19"/>
          <w:szCs w:val="19"/>
          <w:color w:val="231F20"/>
        </w:rPr>
        <w:t>333-279558</w:t>
      </w:r>
    </w:p>
    <w:p>
      <w:pPr>
        <w:spacing w:after="0" w:line="200" w:lineRule="exact"/>
        <w:rPr>
          <w:sz w:val="20"/>
          <w:szCs w:val="20"/>
          <w:color w:val="auto"/>
        </w:rPr>
      </w:pPr>
    </w:p>
    <w:p>
      <w:pPr>
        <w:spacing w:after="0" w:line="2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231F20"/>
        </w:rPr>
        <w:t>S-1/A</w:t>
      </w:r>
      <w:r>
        <w:rPr>
          <w:sz w:val="20"/>
          <w:szCs w:val="20"/>
          <w:color w:val="auto"/>
        </w:rPr>
        <w:tab/>
      </w:r>
      <w:r>
        <w:rPr>
          <w:rFonts w:ascii="Times New Roman" w:cs="Times New Roman" w:eastAsia="Times New Roman" w:hAnsi="Times New Roman"/>
          <w:sz w:val="19"/>
          <w:szCs w:val="19"/>
          <w:color w:val="231F20"/>
        </w:rPr>
        <w:t>333-279558</w:t>
      </w:r>
    </w:p>
    <w:p>
      <w:pPr>
        <w:spacing w:after="0" w:line="200" w:lineRule="exact"/>
        <w:rPr>
          <w:sz w:val="20"/>
          <w:szCs w:val="20"/>
          <w:color w:val="auto"/>
        </w:rPr>
      </w:pPr>
    </w:p>
    <w:p>
      <w:pPr>
        <w:spacing w:after="0" w:line="365"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231F20"/>
        </w:rPr>
        <w:t>8-K</w:t>
      </w:r>
      <w:r>
        <w:rPr>
          <w:sz w:val="20"/>
          <w:szCs w:val="20"/>
          <w:color w:val="auto"/>
        </w:rPr>
        <w:tab/>
      </w:r>
      <w:r>
        <w:rPr>
          <w:rFonts w:ascii="Times New Roman" w:cs="Times New Roman" w:eastAsia="Times New Roman" w:hAnsi="Times New Roman"/>
          <w:sz w:val="19"/>
          <w:szCs w:val="19"/>
          <w:color w:val="231F20"/>
        </w:rPr>
        <w:t>001-42130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231F20"/>
        </w:rPr>
        <w:t>8-K</w:t>
      </w:r>
      <w:r>
        <w:rPr>
          <w:sz w:val="20"/>
          <w:szCs w:val="20"/>
          <w:color w:val="auto"/>
        </w:rPr>
        <w:tab/>
      </w:r>
      <w:r>
        <w:rPr>
          <w:rFonts w:ascii="Times New Roman" w:cs="Times New Roman" w:eastAsia="Times New Roman" w:hAnsi="Times New Roman"/>
          <w:sz w:val="19"/>
          <w:szCs w:val="19"/>
          <w:color w:val="231F20"/>
        </w:rPr>
        <w:t>001-42130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19"/>
          <w:szCs w:val="19"/>
          <w:color w:val="231F20"/>
        </w:rPr>
        <w:t>001-42130</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231F20"/>
        </w:rPr>
        <w:t>10-K</w:t>
      </w:r>
      <w:r>
        <w:rPr>
          <w:sz w:val="20"/>
          <w:szCs w:val="20"/>
          <w:color w:val="auto"/>
        </w:rPr>
        <w:tab/>
      </w:r>
      <w:r>
        <w:rPr>
          <w:rFonts w:ascii="Times New Roman" w:cs="Times New Roman" w:eastAsia="Times New Roman" w:hAnsi="Times New Roman"/>
          <w:sz w:val="19"/>
          <w:szCs w:val="19"/>
          <w:color w:val="231F20"/>
        </w:rPr>
        <w:t>001-42130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19"/>
          <w:szCs w:val="19"/>
          <w:color w:val="231F20"/>
        </w:rPr>
        <w:t>001-42130</w:t>
      </w:r>
    </w:p>
    <w:p>
      <w:pPr>
        <w:spacing w:after="0" w:line="368"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231F20"/>
        </w:rPr>
        <w:t>8-K</w:t>
      </w:r>
      <w:r>
        <w:rPr>
          <w:sz w:val="20"/>
          <w:szCs w:val="20"/>
          <w:color w:val="auto"/>
        </w:rPr>
        <w:tab/>
      </w:r>
      <w:r>
        <w:rPr>
          <w:rFonts w:ascii="Times New Roman" w:cs="Times New Roman" w:eastAsia="Times New Roman" w:hAnsi="Times New Roman"/>
          <w:sz w:val="19"/>
          <w:szCs w:val="19"/>
          <w:color w:val="231F20"/>
        </w:rPr>
        <w:t>001-42130</w:t>
      </w: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20"/>
          <w:szCs w:val="20"/>
          <w:color w:val="231F20"/>
        </w:rPr>
        <w:t>8-K</w:t>
      </w:r>
      <w:r>
        <w:rPr>
          <w:sz w:val="20"/>
          <w:szCs w:val="20"/>
          <w:color w:val="auto"/>
        </w:rPr>
        <w:tab/>
      </w:r>
      <w:r>
        <w:rPr>
          <w:rFonts w:ascii="Times New Roman" w:cs="Times New Roman" w:eastAsia="Times New Roman" w:hAnsi="Times New Roman"/>
          <w:sz w:val="19"/>
          <w:szCs w:val="19"/>
          <w:color w:val="231F20"/>
        </w:rPr>
        <w:t>001-42130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19"/>
          <w:szCs w:val="19"/>
          <w:color w:val="231F20"/>
        </w:rPr>
        <w:t>001-42130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10.24</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685"/>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10.25</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95"/>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10.26</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rPr>
              <w:t>May 20, 2024</w:t>
            </w:r>
          </w:p>
        </w:tc>
        <w:tc>
          <w:tcPr>
            <w:tcW w:w="0" w:type="dxa"/>
            <w:vAlign w:val="bottom"/>
          </w:tcPr>
          <w:p>
            <w:pPr>
              <w:spacing w:after="0"/>
              <w:rPr>
                <w:sz w:val="1"/>
                <w:szCs w:val="1"/>
                <w:color w:val="auto"/>
              </w:rPr>
            </w:pPr>
          </w:p>
        </w:tc>
      </w:tr>
      <w:tr>
        <w:trPr>
          <w:trHeight w:val="795"/>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10.27</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June 5, 2024</w:t>
            </w:r>
          </w:p>
        </w:tc>
        <w:tc>
          <w:tcPr>
            <w:tcW w:w="0" w:type="dxa"/>
            <w:vAlign w:val="bottom"/>
          </w:tcPr>
          <w:p>
            <w:pPr>
              <w:spacing w:after="0"/>
              <w:rPr>
                <w:sz w:val="1"/>
                <w:szCs w:val="1"/>
                <w:color w:val="auto"/>
              </w:rPr>
            </w:pPr>
          </w:p>
        </w:tc>
      </w:tr>
      <w:tr>
        <w:trPr>
          <w:trHeight w:val="685"/>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10.28</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June 5, 2024</w:t>
            </w:r>
          </w:p>
        </w:tc>
        <w:tc>
          <w:tcPr>
            <w:tcW w:w="0" w:type="dxa"/>
            <w:vAlign w:val="bottom"/>
          </w:tcPr>
          <w:p>
            <w:pPr>
              <w:spacing w:after="0"/>
              <w:rPr>
                <w:sz w:val="1"/>
                <w:szCs w:val="1"/>
                <w:color w:val="auto"/>
              </w:rPr>
            </w:pPr>
          </w:p>
        </w:tc>
      </w:tr>
      <w:tr>
        <w:trPr>
          <w:trHeight w:val="574"/>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10.29</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June 5, 2024</w:t>
            </w:r>
          </w:p>
        </w:tc>
        <w:tc>
          <w:tcPr>
            <w:tcW w:w="0" w:type="dxa"/>
            <w:vAlign w:val="bottom"/>
          </w:tcPr>
          <w:p>
            <w:pPr>
              <w:spacing w:after="0"/>
              <w:rPr>
                <w:sz w:val="1"/>
                <w:szCs w:val="1"/>
                <w:color w:val="auto"/>
              </w:rPr>
            </w:pPr>
          </w:p>
        </w:tc>
      </w:tr>
      <w:tr>
        <w:trPr>
          <w:trHeight w:val="685"/>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10.30</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June 5, 2024</w:t>
            </w:r>
          </w:p>
        </w:tc>
        <w:tc>
          <w:tcPr>
            <w:tcW w:w="0" w:type="dxa"/>
            <w:vAlign w:val="bottom"/>
          </w:tcPr>
          <w:p>
            <w:pPr>
              <w:spacing w:after="0"/>
              <w:rPr>
                <w:sz w:val="1"/>
                <w:szCs w:val="1"/>
                <w:color w:val="auto"/>
              </w:rPr>
            </w:pPr>
          </w:p>
        </w:tc>
      </w:tr>
      <w:tr>
        <w:trPr>
          <w:trHeight w:val="639"/>
        </w:trPr>
        <w:tc>
          <w:tcPr>
            <w:tcW w:w="56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231F20"/>
              </w:rPr>
              <w:t>10.1</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9"/>
              </w:rPr>
              <w:t>November 5,</w:t>
            </w:r>
          </w:p>
        </w:tc>
        <w:tc>
          <w:tcPr>
            <w:tcW w:w="0" w:type="dxa"/>
            <w:vAlign w:val="bottom"/>
          </w:tcPr>
          <w:p>
            <w:pPr>
              <w:spacing w:after="0"/>
              <w:rPr>
                <w:sz w:val="1"/>
                <w:szCs w:val="1"/>
                <w:color w:val="auto"/>
              </w:rPr>
            </w:pPr>
          </w:p>
        </w:tc>
      </w:tr>
      <w:tr>
        <w:trPr>
          <w:trHeight w:val="156"/>
        </w:trPr>
        <w:tc>
          <w:tcPr>
            <w:tcW w:w="560" w:type="dxa"/>
            <w:vAlign w:val="bottom"/>
            <w:vMerge w:val="continue"/>
          </w:tcPr>
          <w:p>
            <w:pPr>
              <w:spacing w:after="0"/>
              <w:rPr>
                <w:sz w:val="13"/>
                <w:szCs w:val="13"/>
                <w:color w:val="auto"/>
              </w:rPr>
            </w:pPr>
          </w:p>
        </w:tc>
        <w:tc>
          <w:tcPr>
            <w:tcW w:w="1480" w:type="dxa"/>
            <w:vAlign w:val="bottom"/>
            <w:vMerge w:val="restart"/>
          </w:tcPr>
          <w:p>
            <w:pPr>
              <w:jc w:val="center"/>
              <w:ind w:left="20"/>
              <w:spacing w:after="0"/>
              <w:rPr>
                <w:sz w:val="20"/>
                <w:szCs w:val="20"/>
                <w:color w:val="auto"/>
              </w:rPr>
            </w:pPr>
            <w:r>
              <w:rPr>
                <w:rFonts w:ascii="Times New Roman" w:cs="Times New Roman" w:eastAsia="Times New Roman" w:hAnsi="Times New Roman"/>
                <w:sz w:val="20"/>
                <w:szCs w:val="20"/>
                <w:color w:val="231F20"/>
                <w:w w:val="99"/>
              </w:rPr>
              <w:t>2024</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6"/>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rPr>
              <w:t>10.1</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9"/>
              </w:rPr>
              <w:t>February 3, 2025</w:t>
            </w:r>
          </w:p>
        </w:tc>
        <w:tc>
          <w:tcPr>
            <w:tcW w:w="0" w:type="dxa"/>
            <w:vAlign w:val="bottom"/>
          </w:tcPr>
          <w:p>
            <w:pPr>
              <w:spacing w:after="0"/>
              <w:rPr>
                <w:sz w:val="1"/>
                <w:szCs w:val="1"/>
                <w:color w:val="auto"/>
              </w:rPr>
            </w:pPr>
          </w:p>
        </w:tc>
      </w:tr>
      <w:tr>
        <w:trPr>
          <w:trHeight w:val="877"/>
        </w:trPr>
        <w:tc>
          <w:tcPr>
            <w:tcW w:w="56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10.11</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9"/>
              </w:rPr>
              <w:t>November 5,</w:t>
            </w:r>
          </w:p>
        </w:tc>
        <w:tc>
          <w:tcPr>
            <w:tcW w:w="0" w:type="dxa"/>
            <w:vAlign w:val="bottom"/>
          </w:tcPr>
          <w:p>
            <w:pPr>
              <w:spacing w:after="0"/>
              <w:rPr>
                <w:sz w:val="1"/>
                <w:szCs w:val="1"/>
                <w:color w:val="auto"/>
              </w:rPr>
            </w:pPr>
          </w:p>
        </w:tc>
      </w:tr>
      <w:tr>
        <w:trPr>
          <w:trHeight w:val="151"/>
        </w:trPr>
        <w:tc>
          <w:tcPr>
            <w:tcW w:w="560" w:type="dxa"/>
            <w:vAlign w:val="bottom"/>
            <w:vMerge w:val="continue"/>
          </w:tcPr>
          <w:p>
            <w:pPr>
              <w:spacing w:after="0"/>
              <w:rPr>
                <w:sz w:val="13"/>
                <w:szCs w:val="13"/>
                <w:color w:val="auto"/>
              </w:rPr>
            </w:pPr>
          </w:p>
        </w:tc>
        <w:tc>
          <w:tcPr>
            <w:tcW w:w="1480" w:type="dxa"/>
            <w:vAlign w:val="bottom"/>
            <w:vMerge w:val="restart"/>
          </w:tcPr>
          <w:p>
            <w:pPr>
              <w:jc w:val="center"/>
              <w:ind w:left="20"/>
              <w:spacing w:after="0"/>
              <w:rPr>
                <w:sz w:val="20"/>
                <w:szCs w:val="20"/>
                <w:color w:val="auto"/>
              </w:rPr>
            </w:pPr>
            <w:r>
              <w:rPr>
                <w:rFonts w:ascii="Times New Roman" w:cs="Times New Roman" w:eastAsia="Times New Roman" w:hAnsi="Times New Roman"/>
                <w:sz w:val="20"/>
                <w:szCs w:val="20"/>
                <w:color w:val="231F20"/>
                <w:w w:val="99"/>
              </w:rPr>
              <w:t>2024</w:t>
            </w: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0"/>
        </w:trPr>
        <w:tc>
          <w:tcPr>
            <w:tcW w:w="56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231F20"/>
                <w:w w:val="97"/>
              </w:rPr>
              <w:t>10.34</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February 24,</w:t>
            </w:r>
          </w:p>
        </w:tc>
        <w:tc>
          <w:tcPr>
            <w:tcW w:w="0" w:type="dxa"/>
            <w:vAlign w:val="bottom"/>
          </w:tcPr>
          <w:p>
            <w:pPr>
              <w:spacing w:after="0"/>
              <w:rPr>
                <w:sz w:val="1"/>
                <w:szCs w:val="1"/>
                <w:color w:val="auto"/>
              </w:rPr>
            </w:pPr>
          </w:p>
        </w:tc>
      </w:tr>
      <w:tr>
        <w:trPr>
          <w:trHeight w:val="266"/>
        </w:trPr>
        <w:tc>
          <w:tcPr>
            <w:tcW w:w="560" w:type="dxa"/>
            <w:vAlign w:val="bottom"/>
            <w:vMerge w:val="continue"/>
          </w:tcPr>
          <w:p>
            <w:pPr>
              <w:spacing w:after="0"/>
              <w:rPr>
                <w:sz w:val="23"/>
                <w:szCs w:val="23"/>
                <w:color w:val="auto"/>
              </w:rPr>
            </w:pP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9"/>
              </w:rPr>
              <w:t>2025</w:t>
            </w:r>
          </w:p>
        </w:tc>
        <w:tc>
          <w:tcPr>
            <w:tcW w:w="0" w:type="dxa"/>
            <w:vAlign w:val="bottom"/>
          </w:tcPr>
          <w:p>
            <w:pPr>
              <w:spacing w:after="0"/>
              <w:rPr>
                <w:sz w:val="1"/>
                <w:szCs w:val="1"/>
                <w:color w:val="auto"/>
              </w:rPr>
            </w:pPr>
          </w:p>
        </w:tc>
      </w:tr>
      <w:tr>
        <w:trPr>
          <w:trHeight w:val="789"/>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rPr>
              <w:t>10.2</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rPr>
              <w:t>May 6, 2025</w:t>
            </w:r>
          </w:p>
        </w:tc>
        <w:tc>
          <w:tcPr>
            <w:tcW w:w="0" w:type="dxa"/>
            <w:vAlign w:val="bottom"/>
          </w:tcPr>
          <w:p>
            <w:pPr>
              <w:spacing w:after="0"/>
              <w:rPr>
                <w:sz w:val="1"/>
                <w:szCs w:val="1"/>
                <w:color w:val="auto"/>
              </w:rPr>
            </w:pPr>
          </w:p>
        </w:tc>
      </w:tr>
      <w:tr>
        <w:trPr>
          <w:trHeight w:val="598"/>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rPr>
              <w:t>10.1</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July 3, 2025</w:t>
            </w:r>
          </w:p>
        </w:tc>
        <w:tc>
          <w:tcPr>
            <w:tcW w:w="0" w:type="dxa"/>
            <w:vAlign w:val="bottom"/>
          </w:tcPr>
          <w:p>
            <w:pPr>
              <w:spacing w:after="0"/>
              <w:rPr>
                <w:sz w:val="1"/>
                <w:szCs w:val="1"/>
                <w:color w:val="auto"/>
              </w:rPr>
            </w:pPr>
          </w:p>
        </w:tc>
      </w:tr>
      <w:tr>
        <w:trPr>
          <w:trHeight w:val="713"/>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rPr>
              <w:t>10.2</w:t>
            </w: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July 3, 2025</w:t>
            </w:r>
          </w:p>
        </w:tc>
        <w:tc>
          <w:tcPr>
            <w:tcW w:w="0" w:type="dxa"/>
            <w:vAlign w:val="bottom"/>
          </w:tcPr>
          <w:p>
            <w:pPr>
              <w:spacing w:after="0"/>
              <w:rPr>
                <w:sz w:val="1"/>
                <w:szCs w:val="1"/>
                <w:color w:val="auto"/>
              </w:rPr>
            </w:pPr>
          </w:p>
        </w:tc>
      </w:tr>
      <w:tr>
        <w:trPr>
          <w:trHeight w:val="943"/>
        </w:trPr>
        <w:tc>
          <w:tcPr>
            <w:tcW w:w="56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231F20"/>
              </w:rPr>
              <w:t>10.3</w:t>
            </w:r>
          </w:p>
        </w:tc>
        <w:tc>
          <w:tcPr>
            <w:tcW w:w="14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rPr>
              <w:t>August 8, 2025</w:t>
            </w:r>
          </w:p>
        </w:tc>
        <w:tc>
          <w:tcPr>
            <w:tcW w:w="0" w:type="dxa"/>
            <w:vAlign w:val="bottom"/>
          </w:tcPr>
          <w:p>
            <w:pPr>
              <w:spacing w:after="0"/>
              <w:rPr>
                <w:sz w:val="1"/>
                <w:szCs w:val="1"/>
                <w:color w:val="auto"/>
              </w:rPr>
            </w:pPr>
          </w:p>
        </w:tc>
      </w:tr>
      <w:tr>
        <w:trPr>
          <w:trHeight w:val="1073"/>
        </w:trPr>
        <w:tc>
          <w:tcPr>
            <w:tcW w:w="560" w:type="dxa"/>
            <w:vAlign w:val="bottom"/>
          </w:tcPr>
          <w:p>
            <w:pPr>
              <w:spacing w:after="0"/>
              <w:rPr>
                <w:sz w:val="24"/>
                <w:szCs w:val="24"/>
                <w:color w:val="auto"/>
              </w:rPr>
            </w:pPr>
          </w:p>
        </w:tc>
        <w:tc>
          <w:tcPr>
            <w:tcW w:w="148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231F20"/>
                <w:w w:val="99"/>
              </w:rPr>
              <w:t>February 24,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3">
            <w:col w:w="5740" w:space="220"/>
            <w:col w:w="1720" w:space="340"/>
            <w:col w:w="2060"/>
          </w:cols>
          <w:pgMar w:left="900" w:top="739" w:right="900" w:bottom="0" w:gutter="0" w:footer="0" w:header="0"/>
          <w:type w:val="continuous"/>
        </w:sectPr>
      </w:pPr>
    </w:p>
    <w:p>
      <w:pPr>
        <w:spacing w:after="0"/>
        <w:tabs>
          <w:tab w:leader="none" w:pos="880" w:val="left"/>
          <w:tab w:leader="none" w:pos="5960" w:val="left"/>
          <w:tab w:leader="none" w:pos="6720" w:val="left"/>
        </w:tabs>
        <w:rPr>
          <w:sz w:val="20"/>
          <w:szCs w:val="20"/>
          <w:color w:val="auto"/>
        </w:rPr>
      </w:pPr>
      <w:r>
        <w:rPr>
          <w:rFonts w:ascii="Times New Roman" w:cs="Times New Roman" w:eastAsia="Times New Roman" w:hAnsi="Times New Roman"/>
          <w:sz w:val="20"/>
          <w:szCs w:val="20"/>
          <w:color w:val="231F20"/>
        </w:rPr>
        <w:t>19.1</w:t>
      </w:r>
      <w:r>
        <w:rPr>
          <w:sz w:val="20"/>
          <w:szCs w:val="20"/>
          <w:color w:val="auto"/>
        </w:rPr>
        <w:tab/>
      </w:r>
      <w:r>
        <w:rPr>
          <w:rFonts w:ascii="Times New Roman" w:cs="Times New Roman" w:eastAsia="Times New Roman" w:hAnsi="Times New Roman"/>
          <w:sz w:val="20"/>
          <w:szCs w:val="20"/>
          <w:u w:val="single" w:color="auto"/>
          <w:color w:val="656769"/>
        </w:rPr>
        <w:t>Insider Trading Policy.</w:t>
      </w:r>
      <w:r>
        <w:rPr>
          <w:sz w:val="20"/>
          <w:szCs w:val="20"/>
          <w:color w:val="auto"/>
        </w:rPr>
        <w:tab/>
      </w:r>
      <w:r>
        <w:rPr>
          <w:rFonts w:ascii="Times New Roman" w:cs="Times New Roman" w:eastAsia="Times New Roman" w:hAnsi="Times New Roman"/>
          <w:sz w:val="20"/>
          <w:szCs w:val="20"/>
          <w:color w:val="231F20"/>
        </w:rPr>
        <w:t>10-K</w:t>
      </w:r>
      <w:r>
        <w:rPr>
          <w:sz w:val="20"/>
          <w:szCs w:val="20"/>
          <w:color w:val="auto"/>
        </w:rPr>
        <w:tab/>
      </w:r>
      <w:r>
        <w:rPr>
          <w:rFonts w:ascii="Times New Roman" w:cs="Times New Roman" w:eastAsia="Times New Roman" w:hAnsi="Times New Roman"/>
          <w:sz w:val="20"/>
          <w:szCs w:val="20"/>
          <w:color w:val="231F20"/>
        </w:rPr>
        <w:t>001-42130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7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231F20"/>
                <w:w w:val="91"/>
              </w:rPr>
              <w:t>19.1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2025</w:t>
            </w:r>
          </w:p>
        </w:tc>
        <w:tc>
          <w:tcPr>
            <w:tcW w:w="0" w:type="dxa"/>
            <w:vAlign w:val="bottom"/>
          </w:tcPr>
          <w:p>
            <w:pPr>
              <w:spacing w:after="0"/>
              <w:rPr>
                <w:sz w:val="1"/>
                <w:szCs w:val="1"/>
                <w:color w:val="auto"/>
              </w:rPr>
            </w:pPr>
          </w:p>
        </w:tc>
      </w:tr>
      <w:tr>
        <w:trPr>
          <w:trHeight w:val="87"/>
        </w:trPr>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7620" w:space="440"/>
            <w:col w:w="2020"/>
          </w:cols>
          <w:pgMar w:left="900" w:top="739" w:right="900" w:bottom="0" w:gutter="0" w:footer="0" w:header="0"/>
          <w:type w:val="continuous"/>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189</w:t>
      </w:r>
    </w:p>
    <w:p>
      <w:pPr>
        <w:sectPr>
          <w:pgSz w:w="11880" w:h="15480" w:orient="portrait"/>
          <w:cols w:equalWidth="0" w:num="1">
            <w:col w:w="10080"/>
          </w:cols>
          <w:pgMar w:left="900" w:top="739" w:right="900" w:bottom="0" w:gutter="0" w:footer="0" w:header="0"/>
          <w:type w:val="continuous"/>
        </w:sectPr>
      </w:pPr>
    </w:p>
    <w:bookmarkStart w:id="197" w:name="page198"/>
    <w:bookmarkEnd w:id="19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Borders>
              <w:bottom w:val="single" w:sz="8" w:color="231F20"/>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00" w:type="dxa"/>
            <w:vAlign w:val="bottom"/>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4240" w:type="dxa"/>
            <w:vAlign w:val="bottom"/>
            <w:tcBorders>
              <w:bottom w:val="single" w:sz="8" w:color="231F20"/>
            </w:tcBorders>
            <w:gridSpan w:val="12"/>
          </w:tcPr>
          <w:p>
            <w:pPr>
              <w:ind w:left="1020"/>
              <w:spacing w:after="0"/>
              <w:rPr>
                <w:sz w:val="20"/>
                <w:szCs w:val="20"/>
                <w:color w:val="auto"/>
              </w:rPr>
            </w:pPr>
            <w:r>
              <w:rPr>
                <w:rFonts w:ascii="Times New Roman" w:cs="Times New Roman" w:eastAsia="Times New Roman" w:hAnsi="Times New Roman"/>
                <w:sz w:val="16"/>
                <w:szCs w:val="16"/>
                <w:b w:val="1"/>
                <w:bCs w:val="1"/>
                <w:color w:val="231F20"/>
              </w:rPr>
              <w:t>Description of Exhibit</w:t>
            </w:r>
          </w:p>
        </w:tc>
        <w:tc>
          <w:tcPr>
            <w:tcW w:w="0" w:type="dxa"/>
            <w:vAlign w:val="bottom"/>
          </w:tcPr>
          <w:p>
            <w:pPr>
              <w:spacing w:after="0"/>
              <w:rPr>
                <w:sz w:val="1"/>
                <w:szCs w:val="1"/>
                <w:color w:val="auto"/>
              </w:rPr>
            </w:pPr>
          </w:p>
        </w:tc>
      </w:tr>
      <w:tr>
        <w:trPr>
          <w:trHeight w:val="341"/>
        </w:trPr>
        <w:tc>
          <w:tcPr>
            <w:tcW w:w="800" w:type="dxa"/>
            <w:vAlign w:val="bottom"/>
          </w:tcPr>
          <w:p>
            <w:pPr>
              <w:jc w:val="right"/>
              <w:ind w:right="245"/>
              <w:spacing w:after="0"/>
              <w:rPr>
                <w:sz w:val="20"/>
                <w:szCs w:val="20"/>
                <w:color w:val="auto"/>
              </w:rPr>
            </w:pPr>
            <w:r>
              <w:rPr>
                <w:rFonts w:ascii="Times New Roman" w:cs="Times New Roman" w:eastAsia="Times New Roman" w:hAnsi="Times New Roman"/>
                <w:sz w:val="20"/>
                <w:szCs w:val="20"/>
                <w:color w:val="231F20"/>
                <w:w w:val="97"/>
              </w:rPr>
              <w:t>21.1*</w:t>
            </w:r>
          </w:p>
        </w:tc>
        <w:tc>
          <w:tcPr>
            <w:tcW w:w="100" w:type="dxa"/>
            <w:vAlign w:val="bottom"/>
          </w:tcPr>
          <w:p>
            <w:pPr>
              <w:spacing w:after="0"/>
              <w:rPr>
                <w:sz w:val="24"/>
                <w:szCs w:val="24"/>
                <w:color w:val="auto"/>
              </w:rPr>
            </w:pPr>
          </w:p>
        </w:tc>
        <w:tc>
          <w:tcPr>
            <w:tcW w:w="4900" w:type="dxa"/>
            <w:vAlign w:val="bottom"/>
            <w:gridSpan w:val="13"/>
          </w:tcPr>
          <w:p>
            <w:pPr>
              <w:spacing w:after="0"/>
              <w:rPr>
                <w:sz w:val="20"/>
                <w:szCs w:val="20"/>
                <w:color w:val="auto"/>
              </w:rPr>
            </w:pPr>
            <w:r>
              <w:rPr>
                <w:rFonts w:ascii="Times New Roman" w:cs="Times New Roman" w:eastAsia="Times New Roman" w:hAnsi="Times New Roman"/>
                <w:sz w:val="20"/>
                <w:szCs w:val="20"/>
                <w:color w:val="656769"/>
              </w:rPr>
              <w:t>List of subsidiaries of the Registrant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656769"/>
          </w:tcPr>
          <w:p>
            <w:pPr>
              <w:spacing w:after="0" w:line="20" w:lineRule="exact"/>
              <w:rPr>
                <w:sz w:val="1"/>
                <w:szCs w:val="1"/>
                <w:color w:val="auto"/>
              </w:rPr>
            </w:pPr>
          </w:p>
        </w:tc>
        <w:tc>
          <w:tcPr>
            <w:tcW w:w="2040" w:type="dxa"/>
            <w:vAlign w:val="bottom"/>
            <w:shd w:val="clear" w:color="auto" w:fill="656769"/>
          </w:tcPr>
          <w:p>
            <w:pPr>
              <w:spacing w:after="0" w:line="20" w:lineRule="exact"/>
              <w:rPr>
                <w:sz w:val="1"/>
                <w:szCs w:val="1"/>
                <w:color w:val="auto"/>
              </w:rPr>
            </w:pPr>
          </w:p>
        </w:tc>
        <w:tc>
          <w:tcPr>
            <w:tcW w:w="200" w:type="dxa"/>
            <w:vAlign w:val="bottom"/>
            <w:shd w:val="clear" w:color="auto" w:fill="65676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20"/>
                <w:szCs w:val="20"/>
                <w:color w:val="231F20"/>
                <w:w w:val="97"/>
              </w:rPr>
              <w:t>23.1*</w:t>
            </w:r>
          </w:p>
        </w:tc>
        <w:tc>
          <w:tcPr>
            <w:tcW w:w="100" w:type="dxa"/>
            <w:vAlign w:val="bottom"/>
          </w:tcPr>
          <w:p>
            <w:pPr>
              <w:spacing w:after="0"/>
              <w:rPr>
                <w:sz w:val="24"/>
                <w:szCs w:val="24"/>
                <w:color w:val="auto"/>
              </w:rPr>
            </w:pPr>
          </w:p>
        </w:tc>
        <w:tc>
          <w:tcPr>
            <w:tcW w:w="4400" w:type="dxa"/>
            <w:vAlign w:val="bottom"/>
            <w:tcBorders>
              <w:bottom w:val="single" w:sz="8" w:color="656769"/>
            </w:tcBorders>
            <w:gridSpan w:val="8"/>
          </w:tcPr>
          <w:p>
            <w:pPr>
              <w:spacing w:after="0"/>
              <w:rPr>
                <w:sz w:val="20"/>
                <w:szCs w:val="20"/>
                <w:color w:val="auto"/>
              </w:rPr>
            </w:pPr>
            <w:r>
              <w:rPr>
                <w:rFonts w:ascii="Times New Roman" w:cs="Times New Roman" w:eastAsia="Times New Roman" w:hAnsi="Times New Roman"/>
                <w:sz w:val="20"/>
                <w:szCs w:val="20"/>
                <w:color w:val="656769"/>
                <w:w w:val="99"/>
              </w:rPr>
              <w:t>Consent of PricewaterhouseCoopers LLP, independent</w:t>
            </w: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900" w:type="dxa"/>
            <w:vAlign w:val="bottom"/>
            <w:gridSpan w:val="13"/>
            <w:vMerge w:val="restart"/>
          </w:tcPr>
          <w:p>
            <w:pPr>
              <w:spacing w:after="0" w:line="210" w:lineRule="exact"/>
              <w:rPr>
                <w:sz w:val="20"/>
                <w:szCs w:val="20"/>
                <w:color w:val="auto"/>
              </w:rPr>
            </w:pPr>
            <w:r>
              <w:rPr>
                <w:rFonts w:ascii="Times New Roman" w:cs="Times New Roman" w:eastAsia="Times New Roman" w:hAnsi="Times New Roman"/>
                <w:sz w:val="20"/>
                <w:szCs w:val="20"/>
                <w:color w:val="656769"/>
              </w:rPr>
              <w:t>registered public accounting firm.</w:t>
            </w:r>
          </w:p>
        </w:tc>
        <w:tc>
          <w:tcPr>
            <w:tcW w:w="0" w:type="dxa"/>
            <w:vAlign w:val="bottom"/>
          </w:tcPr>
          <w:p>
            <w:pPr>
              <w:spacing w:after="0"/>
              <w:rPr>
                <w:sz w:val="1"/>
                <w:szCs w:val="1"/>
                <w:color w:val="auto"/>
              </w:rPr>
            </w:pPr>
          </w:p>
        </w:tc>
      </w:tr>
      <w:tr>
        <w:trPr>
          <w:trHeight w:val="82"/>
        </w:trPr>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90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656769"/>
          </w:tcPr>
          <w:p>
            <w:pPr>
              <w:spacing w:after="0" w:line="20" w:lineRule="exact"/>
              <w:rPr>
                <w:sz w:val="1"/>
                <w:szCs w:val="1"/>
                <w:color w:val="auto"/>
              </w:rPr>
            </w:pPr>
          </w:p>
        </w:tc>
        <w:tc>
          <w:tcPr>
            <w:tcW w:w="2040" w:type="dxa"/>
            <w:vAlign w:val="bottom"/>
            <w:shd w:val="clear" w:color="auto" w:fill="656769"/>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0" w:type="dxa"/>
            <w:vAlign w:val="bottom"/>
          </w:tcPr>
          <w:p>
            <w:pPr>
              <w:jc w:val="right"/>
              <w:ind w:right="245"/>
              <w:spacing w:after="0"/>
              <w:rPr>
                <w:sz w:val="20"/>
                <w:szCs w:val="20"/>
                <w:color w:val="auto"/>
              </w:rPr>
            </w:pPr>
            <w:r>
              <w:rPr>
                <w:rFonts w:ascii="Times New Roman" w:cs="Times New Roman" w:eastAsia="Times New Roman" w:hAnsi="Times New Roman"/>
                <w:sz w:val="20"/>
                <w:szCs w:val="20"/>
                <w:color w:val="231F20"/>
                <w:w w:val="97"/>
              </w:rPr>
              <w:t>24.1*</w:t>
            </w:r>
          </w:p>
        </w:tc>
        <w:tc>
          <w:tcPr>
            <w:tcW w:w="100" w:type="dxa"/>
            <w:vAlign w:val="bottom"/>
          </w:tcPr>
          <w:p>
            <w:pPr>
              <w:spacing w:after="0"/>
              <w:rPr>
                <w:sz w:val="24"/>
                <w:szCs w:val="24"/>
                <w:color w:val="auto"/>
              </w:rPr>
            </w:pPr>
          </w:p>
        </w:tc>
        <w:tc>
          <w:tcPr>
            <w:tcW w:w="4900" w:type="dxa"/>
            <w:vAlign w:val="bottom"/>
            <w:gridSpan w:val="13"/>
          </w:tcPr>
          <w:p>
            <w:pPr>
              <w:spacing w:after="0"/>
              <w:rPr>
                <w:sz w:val="20"/>
                <w:szCs w:val="20"/>
                <w:color w:val="auto"/>
              </w:rPr>
            </w:pPr>
            <w:r>
              <w:rPr>
                <w:rFonts w:ascii="Times New Roman" w:cs="Times New Roman" w:eastAsia="Times New Roman" w:hAnsi="Times New Roman"/>
                <w:sz w:val="20"/>
                <w:szCs w:val="20"/>
                <w:color w:val="656769"/>
              </w:rPr>
              <w:t>Power of Attorney (included on signature pages).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656769"/>
          </w:tcPr>
          <w:p>
            <w:pPr>
              <w:spacing w:after="0" w:line="20" w:lineRule="exact"/>
              <w:rPr>
                <w:sz w:val="1"/>
                <w:szCs w:val="1"/>
                <w:color w:val="auto"/>
              </w:rPr>
            </w:pPr>
          </w:p>
        </w:tc>
        <w:tc>
          <w:tcPr>
            <w:tcW w:w="3180" w:type="dxa"/>
            <w:vAlign w:val="bottom"/>
            <w:gridSpan w:val="3"/>
            <w:shd w:val="clear" w:color="auto" w:fill="656769"/>
          </w:tcPr>
          <w:p>
            <w:pPr>
              <w:spacing w:after="0" w:line="20" w:lineRule="exact"/>
              <w:rPr>
                <w:sz w:val="1"/>
                <w:szCs w:val="1"/>
                <w:color w:val="auto"/>
              </w:rPr>
            </w:pPr>
          </w:p>
        </w:tc>
        <w:tc>
          <w:tcPr>
            <w:tcW w:w="20" w:type="dxa"/>
            <w:vAlign w:val="bottom"/>
            <w:shd w:val="clear" w:color="auto" w:fill="656769"/>
          </w:tcPr>
          <w:p>
            <w:pPr>
              <w:spacing w:after="0" w:line="20" w:lineRule="exact"/>
              <w:rPr>
                <w:sz w:val="1"/>
                <w:szCs w:val="1"/>
                <w:color w:val="auto"/>
              </w:rPr>
            </w:pPr>
          </w:p>
        </w:tc>
        <w:tc>
          <w:tcPr>
            <w:tcW w:w="80" w:type="dxa"/>
            <w:vAlign w:val="bottom"/>
            <w:shd w:val="clear" w:color="auto" w:fill="65676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0" w:type="dxa"/>
            <w:vAlign w:val="bottom"/>
          </w:tcPr>
          <w:p>
            <w:pPr>
              <w:jc w:val="right"/>
              <w:ind w:right="245"/>
              <w:spacing w:after="0"/>
              <w:rPr>
                <w:sz w:val="20"/>
                <w:szCs w:val="20"/>
                <w:color w:val="auto"/>
              </w:rPr>
            </w:pPr>
            <w:r>
              <w:rPr>
                <w:rFonts w:ascii="Times New Roman" w:cs="Times New Roman" w:eastAsia="Times New Roman" w:hAnsi="Times New Roman"/>
                <w:sz w:val="20"/>
                <w:szCs w:val="20"/>
                <w:color w:val="231F20"/>
                <w:w w:val="97"/>
              </w:rPr>
              <w:t>31.1*</w:t>
            </w:r>
          </w:p>
        </w:tc>
        <w:tc>
          <w:tcPr>
            <w:tcW w:w="100" w:type="dxa"/>
            <w:vAlign w:val="bottom"/>
          </w:tcPr>
          <w:p>
            <w:pPr>
              <w:spacing w:after="0"/>
              <w:rPr>
                <w:sz w:val="24"/>
                <w:szCs w:val="24"/>
                <w:color w:val="auto"/>
              </w:rPr>
            </w:pPr>
          </w:p>
        </w:tc>
        <w:tc>
          <w:tcPr>
            <w:tcW w:w="4900" w:type="dxa"/>
            <w:vAlign w:val="bottom"/>
            <w:gridSpan w:val="13"/>
          </w:tcPr>
          <w:p>
            <w:pPr>
              <w:spacing w:after="0"/>
              <w:rPr>
                <w:sz w:val="20"/>
                <w:szCs w:val="20"/>
                <w:color w:val="auto"/>
              </w:rPr>
            </w:pPr>
            <w:r>
              <w:rPr>
                <w:rFonts w:ascii="Times New Roman" w:cs="Times New Roman" w:eastAsia="Times New Roman" w:hAnsi="Times New Roman"/>
                <w:sz w:val="20"/>
                <w:szCs w:val="20"/>
                <w:color w:val="656769"/>
              </w:rPr>
              <w:t>Certification of Principal Executive Officer pursuant to</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Borders>
              <w:top w:val="single" w:sz="8" w:color="656769"/>
              <w:bottom w:val="single" w:sz="8" w:color="656769"/>
            </w:tcBorders>
            <w:gridSpan w:val="5"/>
          </w:tcPr>
          <w:p>
            <w:pPr>
              <w:spacing w:after="0" w:line="210" w:lineRule="exact"/>
              <w:rPr>
                <w:sz w:val="20"/>
                <w:szCs w:val="20"/>
                <w:color w:val="auto"/>
              </w:rPr>
            </w:pPr>
            <w:r>
              <w:rPr>
                <w:rFonts w:ascii="Times New Roman" w:cs="Times New Roman" w:eastAsia="Times New Roman" w:hAnsi="Times New Roman"/>
                <w:sz w:val="20"/>
                <w:szCs w:val="20"/>
                <w:color w:val="656769"/>
                <w:w w:val="99"/>
              </w:rPr>
              <w:t>Section 302 of the Sarbanes-Oxley Act of 2002.</w:t>
            </w:r>
          </w:p>
        </w:tc>
        <w:tc>
          <w:tcPr>
            <w:tcW w:w="560" w:type="dxa"/>
            <w:vAlign w:val="bottom"/>
            <w:tcBorders>
              <w:top w:val="single" w:sz="8" w:color="656769"/>
            </w:tcBorders>
            <w:gridSpan w:val="4"/>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800" w:type="dxa"/>
            <w:vAlign w:val="bottom"/>
          </w:tcPr>
          <w:p>
            <w:pPr>
              <w:jc w:val="right"/>
              <w:ind w:right="245"/>
              <w:spacing w:after="0"/>
              <w:rPr>
                <w:sz w:val="20"/>
                <w:szCs w:val="20"/>
                <w:color w:val="auto"/>
              </w:rPr>
            </w:pPr>
            <w:r>
              <w:rPr>
                <w:rFonts w:ascii="Times New Roman" w:cs="Times New Roman" w:eastAsia="Times New Roman" w:hAnsi="Times New Roman"/>
                <w:sz w:val="20"/>
                <w:szCs w:val="20"/>
                <w:color w:val="231F20"/>
                <w:w w:val="97"/>
              </w:rPr>
              <w:t>31.2*</w:t>
            </w:r>
          </w:p>
        </w:tc>
        <w:tc>
          <w:tcPr>
            <w:tcW w:w="100" w:type="dxa"/>
            <w:vAlign w:val="bottom"/>
          </w:tcPr>
          <w:p>
            <w:pPr>
              <w:spacing w:after="0"/>
              <w:rPr>
                <w:sz w:val="24"/>
                <w:szCs w:val="24"/>
                <w:color w:val="auto"/>
              </w:rPr>
            </w:pPr>
          </w:p>
        </w:tc>
        <w:tc>
          <w:tcPr>
            <w:tcW w:w="4900" w:type="dxa"/>
            <w:vAlign w:val="bottom"/>
            <w:gridSpan w:val="13"/>
          </w:tcPr>
          <w:p>
            <w:pPr>
              <w:spacing w:after="0"/>
              <w:rPr>
                <w:sz w:val="20"/>
                <w:szCs w:val="20"/>
                <w:color w:val="auto"/>
              </w:rPr>
            </w:pPr>
            <w:r>
              <w:rPr>
                <w:rFonts w:ascii="Times New Roman" w:cs="Times New Roman" w:eastAsia="Times New Roman" w:hAnsi="Times New Roman"/>
                <w:sz w:val="20"/>
                <w:szCs w:val="20"/>
                <w:color w:val="656769"/>
              </w:rPr>
              <w:t>Certification of Principal Financial Officer pursuant to</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Borders>
              <w:top w:val="single" w:sz="8" w:color="656769"/>
            </w:tcBorders>
            <w:gridSpan w:val="7"/>
          </w:tcPr>
          <w:p>
            <w:pPr>
              <w:spacing w:after="0" w:line="210" w:lineRule="exact"/>
              <w:rPr>
                <w:sz w:val="20"/>
                <w:szCs w:val="20"/>
                <w:color w:val="auto"/>
              </w:rPr>
            </w:pPr>
            <w:r>
              <w:rPr>
                <w:rFonts w:ascii="Times New Roman" w:cs="Times New Roman" w:eastAsia="Times New Roman" w:hAnsi="Times New Roman"/>
                <w:sz w:val="20"/>
                <w:szCs w:val="20"/>
                <w:color w:val="656769"/>
              </w:rPr>
              <w:t>Section 302 of the Sarbanes-Oxley Act of 2002.</w:t>
            </w:r>
          </w:p>
        </w:tc>
        <w:tc>
          <w:tcPr>
            <w:tcW w:w="1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20"/>
                <w:szCs w:val="20"/>
                <w:color w:val="231F20"/>
                <w:w w:val="97"/>
              </w:rPr>
              <w:t>32.1#</w:t>
            </w:r>
          </w:p>
        </w:tc>
        <w:tc>
          <w:tcPr>
            <w:tcW w:w="100" w:type="dxa"/>
            <w:vAlign w:val="bottom"/>
          </w:tcPr>
          <w:p>
            <w:pPr>
              <w:spacing w:after="0" w:line="20" w:lineRule="exact"/>
              <w:rPr>
                <w:sz w:val="1"/>
                <w:szCs w:val="1"/>
                <w:color w:val="auto"/>
              </w:rPr>
            </w:pPr>
          </w:p>
        </w:tc>
        <w:tc>
          <w:tcPr>
            <w:tcW w:w="660" w:type="dxa"/>
            <w:vAlign w:val="bottom"/>
            <w:shd w:val="clear" w:color="auto" w:fill="656769"/>
          </w:tcPr>
          <w:p>
            <w:pPr>
              <w:spacing w:after="0" w:line="20" w:lineRule="exact"/>
              <w:rPr>
                <w:sz w:val="1"/>
                <w:szCs w:val="1"/>
                <w:color w:val="auto"/>
              </w:rPr>
            </w:pPr>
          </w:p>
        </w:tc>
        <w:tc>
          <w:tcPr>
            <w:tcW w:w="3180" w:type="dxa"/>
            <w:vAlign w:val="bottom"/>
            <w:gridSpan w:val="3"/>
            <w:shd w:val="clear" w:color="auto" w:fill="656769"/>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13"/>
          </w:tcPr>
          <w:p>
            <w:pPr>
              <w:spacing w:after="0"/>
              <w:rPr>
                <w:sz w:val="20"/>
                <w:szCs w:val="20"/>
                <w:color w:val="auto"/>
              </w:rPr>
            </w:pPr>
            <w:r>
              <w:rPr>
                <w:rFonts w:ascii="Times New Roman" w:cs="Times New Roman" w:eastAsia="Times New Roman" w:hAnsi="Times New Roman"/>
                <w:sz w:val="20"/>
                <w:szCs w:val="20"/>
                <w:color w:val="656769"/>
              </w:rPr>
              <w:t>Certification of Principal Executive Officer and Principal</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Borders>
              <w:top w:val="single" w:sz="8" w:color="656769"/>
            </w:tcBorders>
            <w:gridSpan w:val="11"/>
          </w:tcPr>
          <w:p>
            <w:pPr>
              <w:spacing w:after="0" w:line="210" w:lineRule="exact"/>
              <w:rPr>
                <w:sz w:val="20"/>
                <w:szCs w:val="20"/>
                <w:color w:val="auto"/>
              </w:rPr>
            </w:pPr>
            <w:r>
              <w:rPr>
                <w:rFonts w:ascii="Times New Roman" w:cs="Times New Roman" w:eastAsia="Times New Roman" w:hAnsi="Times New Roman"/>
                <w:sz w:val="20"/>
                <w:szCs w:val="20"/>
                <w:color w:val="656769"/>
              </w:rPr>
              <w:t>Financial Officer pursuant to 18 U.S.C Section 1350, as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Borders>
              <w:top w:val="single" w:sz="8" w:color="656769"/>
            </w:tcBorders>
            <w:gridSpan w:val="10"/>
          </w:tcPr>
          <w:p>
            <w:pPr>
              <w:spacing w:after="0" w:line="210" w:lineRule="exact"/>
              <w:rPr>
                <w:sz w:val="20"/>
                <w:szCs w:val="20"/>
                <w:color w:val="auto"/>
              </w:rPr>
            </w:pPr>
            <w:r>
              <w:rPr>
                <w:rFonts w:ascii="Times New Roman" w:cs="Times New Roman" w:eastAsia="Times New Roman" w:hAnsi="Times New Roman"/>
                <w:sz w:val="20"/>
                <w:szCs w:val="20"/>
                <w:color w:val="656769"/>
              </w:rPr>
              <w:t>adopted pursuant to Section 906 of the Sarbanes-Oxley</w:t>
            </w:r>
          </w:p>
        </w:tc>
        <w:tc>
          <w:tcPr>
            <w:tcW w:w="4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656769"/>
              </w:rPr>
              <w:t>Act</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Borders>
              <w:top w:val="single" w:sz="8" w:color="656769"/>
            </w:tcBorders>
            <w:gridSpan w:val="12"/>
          </w:tcPr>
          <w:p>
            <w:pPr>
              <w:spacing w:after="0" w:line="210" w:lineRule="exact"/>
              <w:rPr>
                <w:sz w:val="20"/>
                <w:szCs w:val="20"/>
                <w:color w:val="auto"/>
              </w:rPr>
            </w:pPr>
            <w:r>
              <w:rPr>
                <w:rFonts w:ascii="Times New Roman" w:cs="Times New Roman" w:eastAsia="Times New Roman" w:hAnsi="Times New Roman"/>
                <w:sz w:val="20"/>
                <w:szCs w:val="20"/>
                <w:color w:val="656769"/>
              </w:rPr>
              <w:t>of 2002.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656769"/>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900" w:hanging="900"/>
        <w:spacing w:after="0"/>
        <w:tabs>
          <w:tab w:leader="none" w:pos="900" w:val="left"/>
        </w:tabs>
        <w:numPr>
          <w:ilvl w:val="0"/>
          <w:numId w:val="8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u w:val="single" w:color="auto"/>
          <w:color w:val="656769"/>
        </w:rPr>
        <w:t>Incentive Compensation Recoupment Policy.</w:t>
      </w:r>
    </w:p>
    <w:p>
      <w:pPr>
        <w:spacing w:after="0" w:line="368" w:lineRule="exact"/>
        <w:rPr>
          <w:sz w:val="20"/>
          <w:szCs w:val="20"/>
          <w:color w:val="auto"/>
        </w:rPr>
      </w:pPr>
    </w:p>
    <w:p>
      <w:pPr>
        <w:ind w:left="900" w:right="40" w:hanging="897"/>
        <w:spacing w:after="0" w:line="258" w:lineRule="auto"/>
        <w:rPr>
          <w:sz w:val="20"/>
          <w:szCs w:val="20"/>
          <w:color w:val="auto"/>
        </w:rPr>
      </w:pPr>
      <w:r>
        <w:rPr>
          <w:rFonts w:ascii="Times New Roman" w:cs="Times New Roman" w:eastAsia="Times New Roman" w:hAnsi="Times New Roman"/>
          <w:sz w:val="20"/>
          <w:szCs w:val="20"/>
          <w:color w:val="231F20"/>
        </w:rPr>
        <w:t>101.INS* Inline XBRL Instance Document – the instance document does not appear in the Interactive Data File as its XBRL tags are embedded within the Inline XBRL document.</w:t>
      </w:r>
    </w:p>
    <w:p>
      <w:pPr>
        <w:spacing w:after="0" w:line="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231F20"/>
        </w:rPr>
        <w:t>101.SCH</w:t>
      </w:r>
      <w:r>
        <w:rPr>
          <w:sz w:val="20"/>
          <w:szCs w:val="20"/>
          <w:color w:val="auto"/>
        </w:rPr>
        <w:tab/>
      </w:r>
      <w:r>
        <w:rPr>
          <w:rFonts w:ascii="Times New Roman" w:cs="Times New Roman" w:eastAsia="Times New Roman" w:hAnsi="Times New Roman"/>
          <w:sz w:val="19"/>
          <w:szCs w:val="19"/>
          <w:color w:val="231F20"/>
        </w:rPr>
        <w:t>Inline XBRL Taxonomy Extension Schema with Embedded</w:t>
      </w:r>
    </w:p>
    <w:p>
      <w:pPr>
        <w:spacing w:after="0" w:line="28" w:lineRule="exact"/>
        <w:rPr>
          <w:sz w:val="20"/>
          <w:szCs w:val="20"/>
          <w:color w:val="auto"/>
        </w:rPr>
      </w:pPr>
    </w:p>
    <w:p>
      <w:pPr>
        <w:ind w:left="900" w:hanging="900"/>
        <w:spacing w:after="0"/>
        <w:tabs>
          <w:tab w:leader="none" w:pos="900" w:val="left"/>
        </w:tabs>
        <w:numPr>
          <w:ilvl w:val="0"/>
          <w:numId w:val="8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Linkbase Document.</w:t>
      </w:r>
    </w:p>
    <w:p>
      <w:pPr>
        <w:spacing w:after="0" w:line="110" w:lineRule="exact"/>
        <w:rPr>
          <w:sz w:val="20"/>
          <w:szCs w:val="20"/>
          <w:color w:val="auto"/>
        </w:rPr>
      </w:pPr>
    </w:p>
    <w:p>
      <w:pPr>
        <w:ind w:left="900" w:right="460" w:hanging="899"/>
        <w:spacing w:after="0" w:line="277" w:lineRule="auto"/>
        <w:tabs>
          <w:tab w:leader="none" w:pos="88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20"/>
          <w:szCs w:val="20"/>
          <w:color w:val="231F20"/>
        </w:rPr>
        <w:t>Cover Page formatted as inline XBRL and contained in Exhibit 101.</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6"/>
          <w:szCs w:val="16"/>
          <w:b w:val="1"/>
          <w:bCs w:val="1"/>
          <w:color w:val="231F20"/>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wp:posOffset>
                </wp:positionH>
                <wp:positionV relativeFrom="paragraph">
                  <wp:posOffset>15240</wp:posOffset>
                </wp:positionV>
                <wp:extent cx="265938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99pt,1.2pt" to="206pt,1.2pt" o:allowincell="f" strokecolor="#231F20" strokeweight="0.5pt"/>
            </w:pict>
          </mc:Fallback>
        </mc:AlternateContent>
      </w:r>
    </w:p>
    <w:p>
      <w:pPr>
        <w:spacing w:after="0" w:line="174" w:lineRule="exact"/>
        <w:rPr>
          <w:sz w:val="20"/>
          <w:szCs w:val="20"/>
          <w:color w:val="auto"/>
        </w:rPr>
      </w:pPr>
    </w:p>
    <w:p>
      <w:pPr>
        <w:ind w:left="40"/>
        <w:spacing w:after="0"/>
        <w:tabs>
          <w:tab w:leader="none" w:pos="940" w:val="left"/>
          <w:tab w:leader="none" w:pos="2000" w:val="left"/>
          <w:tab w:leader="none" w:pos="3020" w:val="left"/>
        </w:tabs>
        <w:rPr>
          <w:sz w:val="20"/>
          <w:szCs w:val="20"/>
          <w:color w:val="auto"/>
        </w:rPr>
      </w:pPr>
      <w:r>
        <w:rPr>
          <w:rFonts w:ascii="Times New Roman" w:cs="Times New Roman" w:eastAsia="Times New Roman" w:hAnsi="Times New Roman"/>
          <w:sz w:val="16"/>
          <w:szCs w:val="16"/>
          <w:b w:val="1"/>
          <w:bCs w:val="1"/>
          <w:color w:val="231F20"/>
        </w:rPr>
        <w:t>Form</w:t>
      </w:r>
      <w:r>
        <w:rPr>
          <w:sz w:val="20"/>
          <w:szCs w:val="20"/>
          <w:color w:val="auto"/>
        </w:rPr>
        <w:tab/>
      </w:r>
      <w:r>
        <w:rPr>
          <w:rFonts w:ascii="Times New Roman" w:cs="Times New Roman" w:eastAsia="Times New Roman" w:hAnsi="Times New Roman"/>
          <w:sz w:val="16"/>
          <w:szCs w:val="16"/>
          <w:b w:val="1"/>
          <w:bCs w:val="1"/>
          <w:color w:val="231F20"/>
        </w:rPr>
        <w:t>File No.</w:t>
      </w:r>
      <w:r>
        <w:rPr>
          <w:sz w:val="20"/>
          <w:szCs w:val="20"/>
          <w:color w:val="auto"/>
        </w:rPr>
        <w:tab/>
      </w:r>
      <w:r>
        <w:rPr>
          <w:rFonts w:ascii="Times New Roman" w:cs="Times New Roman" w:eastAsia="Times New Roman" w:hAnsi="Times New Roman"/>
          <w:sz w:val="16"/>
          <w:szCs w:val="16"/>
          <w:b w:val="1"/>
          <w:bCs w:val="1"/>
          <w:color w:val="231F20"/>
        </w:rPr>
        <w:t>Exhibit</w:t>
      </w:r>
      <w:r>
        <w:rPr>
          <w:sz w:val="20"/>
          <w:szCs w:val="20"/>
          <w:color w:val="auto"/>
        </w:rPr>
        <w:tab/>
      </w:r>
      <w:r>
        <w:rPr>
          <w:rFonts w:ascii="Times New Roman" w:cs="Times New Roman" w:eastAsia="Times New Roman" w:hAnsi="Times New Roman"/>
          <w:sz w:val="15"/>
          <w:szCs w:val="15"/>
          <w:b w:val="1"/>
          <w:bCs w:val="1"/>
          <w:color w:val="231F20"/>
        </w:rPr>
        <w:t>Filing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wp:posOffset>
                </wp:positionH>
                <wp:positionV relativeFrom="paragraph">
                  <wp:posOffset>15240</wp:posOffset>
                </wp:positionV>
                <wp:extent cx="37909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909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99pt,1.2pt" to="26.45pt,1.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400050</wp:posOffset>
                </wp:positionH>
                <wp:positionV relativeFrom="paragraph">
                  <wp:posOffset>15240</wp:posOffset>
                </wp:positionV>
                <wp:extent cx="76771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77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1.2pt" to="91.95pt,1.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1231900</wp:posOffset>
                </wp:positionH>
                <wp:positionV relativeFrom="paragraph">
                  <wp:posOffset>15240</wp:posOffset>
                </wp:positionV>
                <wp:extent cx="43370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70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pt,1.2pt" to="131.15pt,1.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1729105</wp:posOffset>
                </wp:positionH>
                <wp:positionV relativeFrom="paragraph">
                  <wp:posOffset>15240</wp:posOffset>
                </wp:positionV>
                <wp:extent cx="88709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09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15pt,1.2pt" to="206pt,1.2pt" o:allowincell="f" strokecolor="#231F2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10-K</w:t>
            </w:r>
          </w:p>
        </w:tc>
        <w:tc>
          <w:tcPr>
            <w:tcW w:w="132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001-42130</w:t>
            </w:r>
          </w:p>
        </w:tc>
        <w:tc>
          <w:tcPr>
            <w:tcW w:w="7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231F20"/>
              </w:rPr>
              <w:t>97</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February 24,</w:t>
            </w:r>
          </w:p>
        </w:tc>
        <w:tc>
          <w:tcPr>
            <w:tcW w:w="0" w:type="dxa"/>
            <w:vAlign w:val="bottom"/>
          </w:tcPr>
          <w:p>
            <w:pPr>
              <w:spacing w:after="0"/>
              <w:rPr>
                <w:sz w:val="1"/>
                <w:szCs w:val="1"/>
                <w:color w:val="auto"/>
              </w:rPr>
            </w:pPr>
          </w:p>
        </w:tc>
      </w:tr>
      <w:tr>
        <w:trPr>
          <w:trHeight w:val="151"/>
        </w:trPr>
        <w:tc>
          <w:tcPr>
            <w:tcW w:w="5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30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231F20"/>
              </w:rPr>
              <w:t>2025</w:t>
            </w:r>
          </w:p>
        </w:tc>
        <w:tc>
          <w:tcPr>
            <w:tcW w:w="0" w:type="dxa"/>
            <w:vAlign w:val="bottom"/>
          </w:tcPr>
          <w:p>
            <w:pPr>
              <w:spacing w:after="0"/>
              <w:rPr>
                <w:sz w:val="1"/>
                <w:szCs w:val="1"/>
                <w:color w:val="auto"/>
              </w:rPr>
            </w:pPr>
          </w:p>
        </w:tc>
      </w:tr>
      <w:tr>
        <w:trPr>
          <w:trHeight w:val="115"/>
        </w:trPr>
        <w:tc>
          <w:tcPr>
            <w:tcW w:w="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58" w:lineRule="exact"/>
        <w:rPr>
          <w:sz w:val="20"/>
          <w:szCs w:val="20"/>
          <w:color w:val="auto"/>
        </w:rPr>
      </w:pPr>
    </w:p>
    <w:p>
      <w:pPr>
        <w:sectPr>
          <w:pgSz w:w="11880" w:h="15480" w:orient="portrait"/>
          <w:cols w:equalWidth="0" w:num="2">
            <w:col w:w="5800" w:space="160"/>
            <w:col w:w="4120"/>
          </w:cols>
          <w:pgMar w:left="900" w:top="739" w:right="900" w:bottom="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Filed herewith</w:t>
      </w:r>
    </w:p>
    <w:p>
      <w:pPr>
        <w:spacing w:after="0" w:line="28" w:lineRule="exact"/>
        <w:rPr>
          <w:sz w:val="20"/>
          <w:szCs w:val="20"/>
          <w:color w:val="auto"/>
        </w:rPr>
      </w:pPr>
    </w:p>
    <w:p>
      <w:pPr>
        <w:ind w:right="400"/>
        <w:spacing w:after="0"/>
        <w:tabs>
          <w:tab w:leader="none" w:pos="150" w:val="left"/>
        </w:tabs>
        <w:numPr>
          <w:ilvl w:val="0"/>
          <w:numId w:val="9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Indicates management contract or compensatory plan or arrangement.</w:t>
      </w: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Certain portions of this exhibit (indicated by asterisks) have been omitted because they are not material and are the type that the registrant treats as private or confidential.</w:t>
      </w:r>
    </w:p>
    <w:p>
      <w:pPr>
        <w:ind w:right="140"/>
        <w:spacing w:after="0" w:line="248"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Certain schedules and exhibits to this exhibit have been omitted pursuant to Item 601(a)(5) of Regulation S-K. A copy of any omitted schedule and/or exhibit will be furnished to the SEC upon request.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080"/>
          </w:cols>
          <w:pgMar w:left="900" w:top="739"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190</w:t>
      </w:r>
    </w:p>
    <w:p>
      <w:pPr>
        <w:sectPr>
          <w:pgSz w:w="11880" w:h="15480" w:orient="portrait"/>
          <w:cols w:equalWidth="0" w:num="1">
            <w:col w:w="10080"/>
          </w:cols>
          <w:pgMar w:left="900" w:top="739" w:right="900" w:bottom="0" w:gutter="0" w:footer="0" w:header="0"/>
          <w:type w:val="continuous"/>
        </w:sectPr>
      </w:pPr>
    </w:p>
    <w:bookmarkStart w:id="198" w:name="page199"/>
    <w:bookmarkEnd w:id="198"/>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3"/>
                <w:szCs w:val="23"/>
                <w:color w:val="auto"/>
              </w:rPr>
            </w:pPr>
          </w:p>
        </w:tc>
        <w:tc>
          <w:tcPr>
            <w:tcW w:w="7420" w:type="dxa"/>
            <w:vAlign w:val="bottom"/>
            <w:gridSpan w:val="3"/>
          </w:tcPr>
          <w:p>
            <w:pPr>
              <w:ind w:left="2720"/>
              <w:spacing w:after="0"/>
              <w:rPr>
                <w:sz w:val="20"/>
                <w:szCs w:val="20"/>
                <w:color w:val="auto"/>
              </w:rPr>
            </w:pPr>
            <w:r>
              <w:rPr>
                <w:rFonts w:ascii="Times New Roman" w:cs="Times New Roman" w:eastAsia="Times New Roman" w:hAnsi="Times New Roman"/>
                <w:sz w:val="20"/>
                <w:szCs w:val="20"/>
                <w:b w:val="1"/>
                <w:bCs w:val="1"/>
                <w:color w:val="231F20"/>
              </w:rPr>
              <w:t>TEMPUS AI, INC.</w:t>
            </w:r>
          </w:p>
        </w:tc>
        <w:tc>
          <w:tcPr>
            <w:tcW w:w="0" w:type="dxa"/>
            <w:vAlign w:val="bottom"/>
          </w:tcPr>
          <w:p>
            <w:pPr>
              <w:spacing w:after="0"/>
              <w:rPr>
                <w:sz w:val="1"/>
                <w:szCs w:val="1"/>
                <w:color w:val="auto"/>
              </w:rPr>
            </w:pPr>
          </w:p>
        </w:tc>
      </w:tr>
      <w:tr>
        <w:trPr>
          <w:trHeight w:val="209"/>
        </w:trPr>
        <w:tc>
          <w:tcPr>
            <w:tcW w:w="3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Date: February 24, 2026</w:t>
            </w:r>
          </w:p>
        </w:tc>
        <w:tc>
          <w:tcPr>
            <w:tcW w:w="3080" w:type="dxa"/>
            <w:vAlign w:val="bottom"/>
            <w:vMerge w:val="restart"/>
          </w:tcPr>
          <w:p>
            <w:pPr>
              <w:ind w:left="2720"/>
              <w:spacing w:after="0"/>
              <w:rPr>
                <w:sz w:val="20"/>
                <w:szCs w:val="20"/>
                <w:color w:val="auto"/>
              </w:rPr>
            </w:pPr>
            <w:r>
              <w:rPr>
                <w:rFonts w:ascii="Times New Roman" w:cs="Times New Roman" w:eastAsia="Times New Roman" w:hAnsi="Times New Roman"/>
                <w:sz w:val="20"/>
                <w:szCs w:val="20"/>
                <w:color w:val="231F20"/>
              </w:rPr>
              <w:t>By:</w:t>
            </w:r>
          </w:p>
        </w:tc>
        <w:tc>
          <w:tcPr>
            <w:tcW w:w="1440" w:type="dxa"/>
            <w:vAlign w:val="bottom"/>
          </w:tcPr>
          <w:p>
            <w:pPr>
              <w:spacing w:after="0"/>
              <w:rPr>
                <w:sz w:val="18"/>
                <w:szCs w:val="18"/>
                <w:color w:val="auto"/>
              </w:rPr>
            </w:pPr>
          </w:p>
        </w:tc>
        <w:tc>
          <w:tcPr>
            <w:tcW w:w="29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vMerge w:val="continue"/>
          </w:tcPr>
          <w:p>
            <w:pPr>
              <w:spacing w:after="0"/>
              <w:rPr>
                <w:sz w:val="20"/>
                <w:szCs w:val="20"/>
                <w:color w:val="auto"/>
              </w:rPr>
            </w:pPr>
          </w:p>
        </w:tc>
        <w:tc>
          <w:tcPr>
            <w:tcW w:w="3080" w:type="dxa"/>
            <w:vAlign w:val="bottom"/>
            <w:vMerge w:val="continue"/>
          </w:tcPr>
          <w:p>
            <w:pPr>
              <w:spacing w:after="0"/>
              <w:rPr>
                <w:sz w:val="20"/>
                <w:szCs w:val="20"/>
                <w:color w:val="auto"/>
              </w:rPr>
            </w:pPr>
          </w:p>
        </w:tc>
        <w:tc>
          <w:tcPr>
            <w:tcW w:w="14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highlight w:val="white"/>
                <w:w w:val="98"/>
              </w:rPr>
              <w:t>/s/ Eric Lefkofsky</w:t>
            </w:r>
          </w:p>
        </w:tc>
        <w:tc>
          <w:tcPr>
            <w:tcW w:w="290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231F20"/>
              </w:rPr>
              <w:t>Eric Lefkofsky</w:t>
            </w: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Chief Executive Officer, Founder and Chairman</w:t>
            </w:r>
          </w:p>
        </w:tc>
        <w:tc>
          <w:tcPr>
            <w:tcW w:w="0" w:type="dxa"/>
            <w:vAlign w:val="bottom"/>
          </w:tcPr>
          <w:p>
            <w:pPr>
              <w:spacing w:after="0"/>
              <w:rPr>
                <w:sz w:val="1"/>
                <w:szCs w:val="1"/>
                <w:color w:val="auto"/>
              </w:rPr>
            </w:pPr>
          </w:p>
        </w:tc>
      </w:tr>
      <w:tr>
        <w:trPr>
          <w:trHeight w:val="264"/>
        </w:trPr>
        <w:tc>
          <w:tcPr>
            <w:tcW w:w="30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231F20"/>
              </w:rPr>
              <w:t>(Principal Executive Officer)</w:t>
            </w:r>
          </w:p>
        </w:tc>
        <w:tc>
          <w:tcPr>
            <w:tcW w:w="0" w:type="dxa"/>
            <w:vAlign w:val="bottom"/>
          </w:tcPr>
          <w:p>
            <w:pPr>
              <w:spacing w:after="0"/>
              <w:rPr>
                <w:sz w:val="1"/>
                <w:szCs w:val="1"/>
                <w:color w:val="auto"/>
              </w:rPr>
            </w:pPr>
          </w:p>
        </w:tc>
      </w:tr>
      <w:tr>
        <w:trPr>
          <w:trHeight w:val="464"/>
        </w:trPr>
        <w:tc>
          <w:tcPr>
            <w:tcW w:w="3020" w:type="dxa"/>
            <w:vAlign w:val="bottom"/>
          </w:tcPr>
          <w:p>
            <w:pPr>
              <w:spacing w:after="0"/>
              <w:rPr>
                <w:sz w:val="24"/>
                <w:szCs w:val="24"/>
                <w:color w:val="auto"/>
              </w:rPr>
            </w:pPr>
          </w:p>
        </w:tc>
        <w:tc>
          <w:tcPr>
            <w:tcW w:w="7420" w:type="dxa"/>
            <w:vAlign w:val="bottom"/>
            <w:gridSpan w:val="3"/>
          </w:tcPr>
          <w:p>
            <w:pPr>
              <w:ind w:left="1060"/>
              <w:spacing w:after="0"/>
              <w:rPr>
                <w:sz w:val="20"/>
                <w:szCs w:val="20"/>
                <w:color w:val="auto"/>
              </w:rPr>
            </w:pPr>
            <w:r>
              <w:rPr>
                <w:rFonts w:ascii="Times New Roman" w:cs="Times New Roman" w:eastAsia="Times New Roman" w:hAnsi="Times New Roman"/>
                <w:sz w:val="20"/>
                <w:szCs w:val="20"/>
                <w:b w:val="1"/>
                <w:bCs w:val="1"/>
                <w:color w:val="231F20"/>
              </w:rPr>
              <w:t>POWER OF ATTORNEY</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b w:val="1"/>
          <w:bCs w:val="1"/>
          <w:color w:val="231F20"/>
        </w:rPr>
        <w:t>KNOW ALL BY THESE PRESENTS</w:t>
      </w:r>
      <w:r>
        <w:rPr>
          <w:rFonts w:ascii="Times New Roman" w:cs="Times New Roman" w:eastAsia="Times New Roman" w:hAnsi="Times New Roman"/>
          <w:sz w:val="20"/>
          <w:szCs w:val="20"/>
          <w:color w:val="231F20"/>
        </w:rPr>
        <w:t>, that each person whose signature appears below constitutes and appoints Eric</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Lefkofsky, James Rogers and Andrew Polovin,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8" w:lineRule="exact"/>
        <w:rPr>
          <w:sz w:val="20"/>
          <w:szCs w:val="20"/>
          <w:color w:val="auto"/>
        </w:rPr>
      </w:pPr>
    </w:p>
    <w:p>
      <w:pPr>
        <w:ind w:right="64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by the following persons on behalf of the registrant and in the capacities and on the dates indicated.</w:t>
      </w:r>
    </w:p>
    <w:p>
      <w:pPr>
        <w:sectPr>
          <w:pgSz w:w="11880" w:h="15480" w:orient="portrait"/>
          <w:cols w:equalWidth="0" w:num="1">
            <w:col w:w="10440"/>
          </w:cols>
          <w:pgMar w:left="900" w:top="746" w:right="540"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231F20"/>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16510</wp:posOffset>
                </wp:positionV>
                <wp:extent cx="22891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3pt" to="186pt,1.3pt" o:allowincell="f" strokecolor="#231F20" strokeweight="1pt"/>
            </w:pict>
          </mc:Fallback>
        </mc:AlternateContent>
      </w: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Eric Lefkofsky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Eric Lefkofsky</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James Rogers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James Rogers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Ryan Bartolucci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Ryan Bartolucci</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Peter J. Barris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Peter J. Barris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Eric D. Belcher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Eric D. Belcher</w:t>
      </w:r>
    </w:p>
    <w:p>
      <w:pPr>
        <w:spacing w:after="0" w:line="224" w:lineRule="exact"/>
        <w:rPr>
          <w:sz w:val="20"/>
          <w:szCs w:val="20"/>
          <w:color w:val="auto"/>
        </w:rPr>
      </w:pPr>
    </w:p>
    <w:p>
      <w:pPr>
        <w:ind w:left="120" w:right="880"/>
        <w:spacing w:after="0" w:line="327" w:lineRule="auto"/>
        <w:rPr>
          <w:sz w:val="20"/>
          <w:szCs w:val="20"/>
          <w:color w:val="auto"/>
        </w:rPr>
      </w:pPr>
      <w:r>
        <w:rPr>
          <w:rFonts w:ascii="Times New Roman" w:cs="Times New Roman" w:eastAsia="Times New Roman" w:hAnsi="Times New Roman"/>
          <w:sz w:val="19"/>
          <w:szCs w:val="19"/>
          <w:color w:val="231F20"/>
        </w:rPr>
        <w:t>/s/ Jennifer A. Doudna Jennifer A. Doudna,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-212725</wp:posOffset>
                </wp:positionV>
                <wp:extent cx="228917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6.7499pt" to="186pt,-16.7499pt" o:allowincell="f" strokecolor="#231F20" strokeweight="1pt"/>
            </w:pict>
          </mc:Fallback>
        </mc:AlternateContent>
      </w:r>
    </w:p>
    <w:p>
      <w:pPr>
        <w:spacing w:after="0" w:line="1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David R. Epstein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David R. Epstein</w:t>
      </w:r>
    </w:p>
    <w:p>
      <w:pPr>
        <w:spacing w:after="0" w:line="214" w:lineRule="exact"/>
        <w:rPr>
          <w:sz w:val="20"/>
          <w:szCs w:val="20"/>
          <w:color w:val="auto"/>
        </w:rPr>
      </w:pPr>
    </w:p>
    <w:p>
      <w:pPr>
        <w:ind w:left="120" w:right="740"/>
        <w:spacing w:after="0" w:line="327" w:lineRule="auto"/>
        <w:rPr>
          <w:sz w:val="20"/>
          <w:szCs w:val="20"/>
          <w:color w:val="auto"/>
        </w:rPr>
      </w:pPr>
      <w:r>
        <w:rPr>
          <w:rFonts w:ascii="Times New Roman" w:cs="Times New Roman" w:eastAsia="Times New Roman" w:hAnsi="Times New Roman"/>
          <w:sz w:val="19"/>
          <w:szCs w:val="19"/>
          <w:color w:val="231F20"/>
        </w:rPr>
        <w:t>/s/ Wayne A.I. Frederick Wayne A.I. Frederick,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-212725</wp:posOffset>
                </wp:positionV>
                <wp:extent cx="228917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6.7499pt" to="186pt,-16.7499pt" o:allowincell="f" strokecolor="#231F20" strokeweight="1pt"/>
            </w:pict>
          </mc:Fallback>
        </mc:AlternateConten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Scott Gottlieb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Scott Gottlieb, M.D.</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/s/ Theodore J. Leonsis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18415</wp:posOffset>
                </wp:positionV>
                <wp:extent cx="228917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91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1.45pt" to="186pt,1.45pt" o:allowincell="f" strokecolor="#231F20" strokeweight="1pt"/>
            </w:pict>
          </mc:Fallback>
        </mc:AlternateConten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Theodore J. Leonsis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Borders>
              <w:bottom w:val="single" w:sz="8" w:color="231F20"/>
            </w:tcBorders>
          </w:tcPr>
          <w:p>
            <w:pPr>
              <w:ind w:left="2200"/>
              <w:spacing w:after="0"/>
              <w:rPr>
                <w:sz w:val="20"/>
                <w:szCs w:val="20"/>
                <w:color w:val="auto"/>
              </w:rPr>
            </w:pPr>
            <w:r>
              <w:rPr>
                <w:rFonts w:ascii="Times New Roman" w:cs="Times New Roman" w:eastAsia="Times New Roman" w:hAnsi="Times New Roman"/>
                <w:sz w:val="14"/>
                <w:szCs w:val="14"/>
                <w:b w:val="1"/>
                <w:bCs w:val="1"/>
                <w:color w:val="231F20"/>
              </w:rPr>
              <w:t>Title</w:t>
            </w:r>
          </w:p>
        </w:tc>
        <w:tc>
          <w:tcPr>
            <w:tcW w:w="2100" w:type="dxa"/>
            <w:vAlign w:val="bottom"/>
            <w:tcBorders>
              <w:bottom w:val="single" w:sz="8" w:color="231F20"/>
            </w:tcBorders>
          </w:tcPr>
          <w:p>
            <w:pPr>
              <w:ind w:left="1000"/>
              <w:spacing w:after="0"/>
              <w:rPr>
                <w:sz w:val="20"/>
                <w:szCs w:val="20"/>
                <w:color w:val="auto"/>
              </w:rPr>
            </w:pPr>
            <w:r>
              <w:rPr>
                <w:rFonts w:ascii="Times New Roman" w:cs="Times New Roman" w:eastAsia="Times New Roman" w:hAnsi="Times New Roman"/>
                <w:sz w:val="14"/>
                <w:szCs w:val="14"/>
                <w:b w:val="1"/>
                <w:bCs w:val="1"/>
                <w:color w:val="231F20"/>
              </w:rPr>
              <w:t>Date</w:t>
            </w:r>
          </w:p>
        </w:tc>
      </w:tr>
      <w:tr>
        <w:trPr>
          <w:trHeight w:val="484"/>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Chief Executive Officer, Founder and Chairman</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66"/>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Principal Executive Officer</w:t>
            </w:r>
            <w:r>
              <w:rPr>
                <w:rFonts w:ascii="Times New Roman" w:cs="Times New Roman" w:eastAsia="Times New Roman" w:hAnsi="Times New Roman"/>
                <w:sz w:val="20"/>
                <w:szCs w:val="20"/>
                <w:color w:val="231F20"/>
              </w:rPr>
              <w:t>)</w:t>
            </w:r>
          </w:p>
        </w:tc>
        <w:tc>
          <w:tcPr>
            <w:tcW w:w="2100" w:type="dxa"/>
            <w:vAlign w:val="bottom"/>
          </w:tcPr>
          <w:p>
            <w:pPr>
              <w:spacing w:after="0"/>
              <w:rPr>
                <w:sz w:val="23"/>
                <w:szCs w:val="23"/>
                <w:color w:val="auto"/>
              </w:rPr>
            </w:pPr>
          </w:p>
        </w:tc>
      </w:tr>
      <w:tr>
        <w:trPr>
          <w:trHeight w:val="454"/>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Chief Financial Officer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66"/>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Principal Financial Officer</w:t>
            </w:r>
            <w:r>
              <w:rPr>
                <w:rFonts w:ascii="Times New Roman" w:cs="Times New Roman" w:eastAsia="Times New Roman" w:hAnsi="Times New Roman"/>
                <w:sz w:val="20"/>
                <w:szCs w:val="20"/>
                <w:color w:val="231F20"/>
              </w:rPr>
              <w:t>)</w:t>
            </w:r>
          </w:p>
        </w:tc>
        <w:tc>
          <w:tcPr>
            <w:tcW w:w="2100" w:type="dxa"/>
            <w:vAlign w:val="bottom"/>
          </w:tcPr>
          <w:p>
            <w:pPr>
              <w:spacing w:after="0"/>
              <w:rPr>
                <w:sz w:val="23"/>
                <w:szCs w:val="23"/>
                <w:color w:val="auto"/>
              </w:rPr>
            </w:pPr>
          </w:p>
        </w:tc>
      </w:tr>
      <w:tr>
        <w:trPr>
          <w:trHeight w:val="454"/>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Chief Accounting Officer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66"/>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Principal Accounting Officer</w:t>
            </w:r>
            <w:r>
              <w:rPr>
                <w:rFonts w:ascii="Times New Roman" w:cs="Times New Roman" w:eastAsia="Times New Roman" w:hAnsi="Times New Roman"/>
                <w:sz w:val="20"/>
                <w:szCs w:val="20"/>
                <w:color w:val="231F20"/>
              </w:rPr>
              <w:t>)</w:t>
            </w:r>
          </w:p>
        </w:tc>
        <w:tc>
          <w:tcPr>
            <w:tcW w:w="2100" w:type="dxa"/>
            <w:vAlign w:val="bottom"/>
          </w:tcPr>
          <w:p>
            <w:pPr>
              <w:spacing w:after="0"/>
              <w:rPr>
                <w:sz w:val="23"/>
                <w:szCs w:val="23"/>
                <w:color w:val="auto"/>
              </w:rPr>
            </w:pPr>
          </w:p>
        </w:tc>
      </w:tr>
      <w:tr>
        <w:trPr>
          <w:trHeight w:val="49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2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2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2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1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1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710"/>
        </w:trPr>
        <w:tc>
          <w:tcPr>
            <w:tcW w:w="450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100" w:type="dxa"/>
            <w:vAlign w:val="bottom"/>
          </w:tcPr>
          <w:p>
            <w:pPr>
              <w:ind w:left="520"/>
              <w:spacing w:after="0"/>
              <w:rPr>
                <w:sz w:val="20"/>
                <w:szCs w:val="20"/>
                <w:color w:val="auto"/>
              </w:rPr>
            </w:pPr>
            <w:r>
              <w:rPr>
                <w:rFonts w:ascii="Times New Roman" w:cs="Times New Roman" w:eastAsia="Times New Roman" w:hAnsi="Times New Roman"/>
                <w:sz w:val="20"/>
                <w:szCs w:val="20"/>
                <w:color w:val="231F20"/>
              </w:rPr>
              <w:t>February 24, 2026</w:t>
            </w:r>
          </w:p>
        </w:tc>
      </w:tr>
    </w:tbl>
    <w:p>
      <w:pPr>
        <w:spacing w:after="0" w:line="409" w:lineRule="exact"/>
        <w:rPr>
          <w:sz w:val="20"/>
          <w:szCs w:val="20"/>
          <w:color w:val="auto"/>
        </w:rPr>
      </w:pPr>
    </w:p>
    <w:p>
      <w:pPr>
        <w:sectPr>
          <w:pgSz w:w="11880" w:h="15480" w:orient="portrait"/>
          <w:cols w:equalWidth="0" w:num="2">
            <w:col w:w="3120" w:space="720"/>
            <w:col w:w="6600"/>
          </w:cols>
          <w:pgMar w:left="900" w:top="746" w:right="540" w:bottom="0" w:gutter="0" w:footer="0" w:header="0"/>
          <w:type w:val="continuous"/>
        </w:sectPr>
      </w:pP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191</w:t>
      </w:r>
    </w:p>
    <w:p>
      <w:pPr>
        <w:sectPr>
          <w:pgSz w:w="11880" w:h="15480" w:orient="portrait"/>
          <w:cols w:equalWidth="0" w:num="1">
            <w:col w:w="10440"/>
          </w:cols>
          <w:pgMar w:left="900" w:top="746" w:right="540" w:bottom="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177"/>
        </w:trPr>
        <w:tc>
          <w:tcPr>
            <w:tcW w:w="36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4"/>
                <w:szCs w:val="14"/>
                <w:b w:val="1"/>
                <w:bCs w:val="1"/>
                <w:color w:val="231F20"/>
              </w:rPr>
              <w:t>Signature</w:t>
            </w:r>
          </w:p>
        </w:tc>
        <w:tc>
          <w:tcPr>
            <w:tcW w:w="120" w:type="dxa"/>
            <w:vAlign w:val="bottom"/>
          </w:tcPr>
          <w:p>
            <w:pPr>
              <w:spacing w:after="0"/>
              <w:rPr>
                <w:sz w:val="15"/>
                <w:szCs w:val="15"/>
                <w:color w:val="auto"/>
              </w:rPr>
            </w:pPr>
          </w:p>
        </w:tc>
        <w:tc>
          <w:tcPr>
            <w:tcW w:w="1480" w:type="dxa"/>
            <w:vAlign w:val="bottom"/>
            <w:tcBorders>
              <w:bottom w:val="single" w:sz="8" w:color="231F20"/>
            </w:tcBorders>
          </w:tcPr>
          <w:p>
            <w:pPr>
              <w:spacing w:after="0"/>
              <w:rPr>
                <w:sz w:val="15"/>
                <w:szCs w:val="15"/>
                <w:color w:val="auto"/>
              </w:rPr>
            </w:pPr>
          </w:p>
        </w:tc>
        <w:tc>
          <w:tcPr>
            <w:tcW w:w="2260" w:type="dxa"/>
            <w:vAlign w:val="bottom"/>
            <w:tcBorders>
              <w:bottom w:val="single" w:sz="8" w:color="231F20"/>
            </w:tcBorders>
          </w:tcPr>
          <w:p>
            <w:pPr>
              <w:ind w:left="720"/>
              <w:spacing w:after="0"/>
              <w:rPr>
                <w:sz w:val="20"/>
                <w:szCs w:val="20"/>
                <w:color w:val="auto"/>
              </w:rPr>
            </w:pPr>
            <w:r>
              <w:rPr>
                <w:rFonts w:ascii="Times New Roman" w:cs="Times New Roman" w:eastAsia="Times New Roman" w:hAnsi="Times New Roman"/>
                <w:sz w:val="14"/>
                <w:szCs w:val="14"/>
                <w:b w:val="1"/>
                <w:bCs w:val="1"/>
                <w:color w:val="231F20"/>
              </w:rPr>
              <w:t>Title</w:t>
            </w:r>
          </w:p>
        </w:tc>
        <w:tc>
          <w:tcPr>
            <w:tcW w:w="2860" w:type="dxa"/>
            <w:vAlign w:val="bottom"/>
            <w:tcBorders>
              <w:bottom w:val="single" w:sz="8" w:color="231F20"/>
            </w:tcBorders>
          </w:tcPr>
          <w:p>
            <w:pPr>
              <w:ind w:left="1760"/>
              <w:spacing w:after="0"/>
              <w:rPr>
                <w:sz w:val="20"/>
                <w:szCs w:val="20"/>
                <w:color w:val="auto"/>
              </w:rPr>
            </w:pPr>
            <w:r>
              <w:rPr>
                <w:rFonts w:ascii="Times New Roman" w:cs="Times New Roman" w:eastAsia="Times New Roman" w:hAnsi="Times New Roman"/>
                <w:sz w:val="14"/>
                <w:szCs w:val="14"/>
                <w:b w:val="1"/>
                <w:bCs w:val="1"/>
                <w:color w:val="231F20"/>
              </w:rPr>
              <w:t>Date</w:t>
            </w:r>
          </w:p>
        </w:tc>
      </w:tr>
      <w:tr>
        <w:trPr>
          <w:trHeight w:val="474"/>
        </w:trPr>
        <w:tc>
          <w:tcPr>
            <w:tcW w:w="36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/s/ Nadja West</w:t>
            </w:r>
          </w:p>
        </w:tc>
        <w:tc>
          <w:tcPr>
            <w:tcW w:w="12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2260" w:type="dxa"/>
            <w:vAlign w:val="bottom"/>
          </w:tcPr>
          <w:p>
            <w:pPr>
              <w:spacing w:after="0"/>
              <w:rPr>
                <w:sz w:val="24"/>
                <w:szCs w:val="24"/>
                <w:color w:val="auto"/>
              </w:rPr>
            </w:pPr>
          </w:p>
        </w:tc>
        <w:tc>
          <w:tcPr>
            <w:tcW w:w="2860" w:type="dxa"/>
            <w:vAlign w:val="bottom"/>
          </w:tcPr>
          <w:p>
            <w:pPr>
              <w:ind w:left="1280"/>
              <w:spacing w:after="0"/>
              <w:rPr>
                <w:sz w:val="20"/>
                <w:szCs w:val="20"/>
                <w:color w:val="auto"/>
              </w:rPr>
            </w:pPr>
            <w:r>
              <w:rPr>
                <w:rFonts w:ascii="Times New Roman" w:cs="Times New Roman" w:eastAsia="Times New Roman" w:hAnsi="Times New Roman"/>
                <w:sz w:val="20"/>
                <w:szCs w:val="20"/>
                <w:color w:val="231F20"/>
              </w:rPr>
              <w:t>February 24, 2026</w:t>
            </w:r>
          </w:p>
        </w:tc>
      </w:tr>
      <w:tr>
        <w:trPr>
          <w:trHeight w:val="266"/>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231F20"/>
              </w:rPr>
              <w:t>Nadja West, M.D.</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320"/>
          </w:cols>
          <w:pgMar w:left="1020" w:top="7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192</w:t>
      </w:r>
    </w:p>
    <w:p>
      <w:pPr>
        <w:sectPr>
          <w:pgSz w:w="11880" w:h="15480" w:orient="portrait"/>
          <w:cols w:equalWidth="0" w:num="1">
            <w:col w:w="10320"/>
          </w:cols>
          <w:pgMar w:left="1020" w:top="753" w:right="540" w:bottom="0" w:gutter="0" w:footer="0" w:header="0"/>
          <w:type w:val="continuous"/>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3"/>
          <w:szCs w:val="23"/>
          <w:color w:val="454546"/>
        </w:rPr>
        <w:t>(This page intentionally left blank)</w:t>
      </w:r>
    </w:p>
    <w:p>
      <w:pPr>
        <w:sectPr>
          <w:pgSz w:w="11880" w:h="15480" w:orient="portrait"/>
          <w:cols w:equalWidth="0" w:num="1">
            <w:col w:w="9000"/>
          </w:cols>
          <w:pgMar w:left="1440" w:top="1440" w:right="1440" w:bottom="1440" w:gutter="0" w:footer="0" w:header="0"/>
        </w:sectPr>
      </w:pPr>
    </w:p>
    <w:bookmarkStart w:id="201" w:name="page202"/>
    <w:bookmarkEnd w:id="20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02" w:name="page203"/>
    <w:bookmarkEnd w:id="202"/>
    <w:p>
      <w:pPr>
        <w:ind w:left="40"/>
        <w:spacing w:after="0" w:line="264" w:lineRule="exact"/>
        <w:rPr>
          <w:sz w:val="20"/>
          <w:szCs w:val="20"/>
          <w:color w:val="auto"/>
        </w:rPr>
      </w:pPr>
      <w:r>
        <w:rPr>
          <w:rFonts w:ascii="PMingLiU" w:cs="PMingLiU" w:eastAsia="PMingLiU" w:hAnsi="PMingLiU"/>
          <w:sz w:val="22"/>
          <w:szCs w:val="22"/>
          <w:b w:val="1"/>
          <w:bCs w:val="1"/>
          <w:color w:val="231F20"/>
        </w:rPr>
        <w:t>%RDUG RI 'LUHFWRUV</w:t>
      </w:r>
    </w:p>
    <w:p>
      <w:pPr>
        <w:spacing w:after="0" w:line="49"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b w:val="1"/>
          <w:bCs w:val="1"/>
          <w:color w:val="231F20"/>
        </w:rPr>
        <w:t>(ULF /HINRIVN\</w:t>
      </w:r>
    </w:p>
    <w:p>
      <w:pPr>
        <w:spacing w:after="0" w:line="24" w:lineRule="exact"/>
        <w:rPr>
          <w:sz w:val="20"/>
          <w:szCs w:val="20"/>
          <w:color w:val="auto"/>
        </w:rPr>
      </w:pPr>
    </w:p>
    <w:p>
      <w:pPr>
        <w:ind w:left="40" w:right="100"/>
        <w:spacing w:after="0" w:line="253" w:lineRule="exact"/>
        <w:rPr>
          <w:sz w:val="20"/>
          <w:szCs w:val="20"/>
          <w:color w:val="auto"/>
        </w:rPr>
      </w:pPr>
      <w:r>
        <w:rPr>
          <w:rFonts w:ascii="PMingLiU" w:cs="PMingLiU" w:eastAsia="PMingLiU" w:hAnsi="PMingLiU"/>
          <w:sz w:val="22"/>
          <w:szCs w:val="22"/>
          <w:i w:val="1"/>
          <w:iCs w:val="1"/>
          <w:color w:val="231F20"/>
        </w:rPr>
        <w:t>0DQDJLQJ 0HPEHU *HQHUDO 3DUWQHU /LJKWEDQN //&amp;</w:t>
      </w:r>
    </w:p>
    <w:p>
      <w:pPr>
        <w:spacing w:after="0" w:line="1" w:lineRule="exact"/>
        <w:rPr>
          <w:sz w:val="20"/>
          <w:szCs w:val="20"/>
          <w:color w:val="auto"/>
        </w:rPr>
      </w:pPr>
    </w:p>
    <w:p>
      <w:pPr>
        <w:ind w:left="40" w:right="340"/>
        <w:spacing w:after="0" w:line="257" w:lineRule="exact"/>
        <w:rPr>
          <w:sz w:val="20"/>
          <w:szCs w:val="20"/>
          <w:color w:val="auto"/>
        </w:rPr>
      </w:pPr>
      <w:r>
        <w:rPr>
          <w:rFonts w:ascii="PMingLiU" w:cs="PMingLiU" w:eastAsia="PMingLiU" w:hAnsi="PMingLiU"/>
          <w:sz w:val="16"/>
          <w:szCs w:val="16"/>
          <w:i w:val="1"/>
          <w:iCs w:val="1"/>
          <w:color w:val="231F20"/>
        </w:rPr>
        <w:t>&amp;R)RXQGHU *URXSRQ ,QF 3DWKRV $, ,QF 'LUHFWRU 1RUWKZHVWHUQ 0HPRULDO +HDOWKFDUH</w:t>
      </w:r>
    </w:p>
    <w:p>
      <w:pPr>
        <w:spacing w:after="0" w:line="200" w:lineRule="exact"/>
        <w:rPr>
          <w:sz w:val="20"/>
          <w:szCs w:val="20"/>
          <w:color w:val="auto"/>
        </w:rPr>
      </w:pPr>
    </w:p>
    <w:p>
      <w:pPr>
        <w:spacing w:after="0" w:line="250"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b w:val="1"/>
          <w:bCs w:val="1"/>
          <w:color w:val="231F20"/>
        </w:rPr>
        <w:t>3HWHU - %DUULV</w:t>
      </w:r>
    </w:p>
    <w:p>
      <w:pPr>
        <w:spacing w:after="0" w:line="13"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i w:val="1"/>
          <w:iCs w:val="1"/>
          <w:color w:val="231F20"/>
        </w:rPr>
        <w:t>'LUHFWRU 6SURXW 6RFLDO ,QF</w:t>
      </w:r>
    </w:p>
    <w:p>
      <w:pPr>
        <w:ind w:left="40" w:right="60"/>
        <w:spacing w:after="0" w:line="258" w:lineRule="exact"/>
        <w:rPr>
          <w:sz w:val="20"/>
          <w:szCs w:val="20"/>
          <w:color w:val="auto"/>
        </w:rPr>
      </w:pPr>
      <w:r>
        <w:rPr>
          <w:rFonts w:ascii="PMingLiU" w:cs="PMingLiU" w:eastAsia="PMingLiU" w:hAnsi="PMingLiU"/>
          <w:sz w:val="22"/>
          <w:szCs w:val="22"/>
          <w:i w:val="1"/>
          <w:iCs w:val="1"/>
          <w:color w:val="231F20"/>
        </w:rPr>
        <w:t>&amp;KDLUPDQ (PHULWXV 1HZ (QWHUSULVH $VVRFLDWHV ,QF</w:t>
      </w:r>
    </w:p>
    <w:p>
      <w:pPr>
        <w:spacing w:after="0" w:line="200" w:lineRule="exact"/>
        <w:rPr>
          <w:sz w:val="20"/>
          <w:szCs w:val="20"/>
          <w:color w:val="auto"/>
        </w:rPr>
      </w:pPr>
    </w:p>
    <w:p>
      <w:pPr>
        <w:spacing w:after="0" w:line="249"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b w:val="1"/>
          <w:bCs w:val="1"/>
          <w:color w:val="231F20"/>
        </w:rPr>
        <w:t>(ULF ' %HOFKHU</w:t>
      </w:r>
    </w:p>
    <w:p>
      <w:pPr>
        <w:spacing w:after="0" w:line="24" w:lineRule="exact"/>
        <w:rPr>
          <w:sz w:val="20"/>
          <w:szCs w:val="20"/>
          <w:color w:val="auto"/>
        </w:rPr>
      </w:pPr>
    </w:p>
    <w:p>
      <w:pPr>
        <w:ind w:left="40" w:right="480"/>
        <w:spacing w:after="0" w:line="258" w:lineRule="exact"/>
        <w:rPr>
          <w:sz w:val="20"/>
          <w:szCs w:val="20"/>
          <w:color w:val="auto"/>
        </w:rPr>
      </w:pPr>
      <w:r>
        <w:rPr>
          <w:rFonts w:ascii="PMingLiU" w:cs="PMingLiU" w:eastAsia="PMingLiU" w:hAnsi="PMingLiU"/>
          <w:sz w:val="22"/>
          <w:szCs w:val="22"/>
          <w:i w:val="1"/>
          <w:iCs w:val="1"/>
          <w:color w:val="231F20"/>
        </w:rPr>
        <w:t>&amp;KLHI ([HFXWLYH 2IILFHU 0DUNHW 7UDFN //&amp; GED 1XPHUDWRU</w:t>
      </w:r>
    </w:p>
    <w:p>
      <w:pPr>
        <w:spacing w:after="0" w:line="200" w:lineRule="exact"/>
        <w:rPr>
          <w:sz w:val="20"/>
          <w:szCs w:val="20"/>
          <w:color w:val="auto"/>
        </w:rPr>
      </w:pPr>
    </w:p>
    <w:p>
      <w:pPr>
        <w:spacing w:after="0" w:line="249" w:lineRule="exact"/>
        <w:rPr>
          <w:sz w:val="20"/>
          <w:szCs w:val="20"/>
          <w:color w:val="auto"/>
        </w:rPr>
      </w:pPr>
    </w:p>
    <w:p>
      <w:pPr>
        <w:ind w:left="40" w:right="880"/>
        <w:spacing w:after="0" w:line="268" w:lineRule="exact"/>
        <w:rPr>
          <w:sz w:val="20"/>
          <w:szCs w:val="20"/>
          <w:color w:val="auto"/>
        </w:rPr>
      </w:pPr>
      <w:r>
        <w:rPr>
          <w:rFonts w:ascii="PMingLiU" w:cs="PMingLiU" w:eastAsia="PMingLiU" w:hAnsi="PMingLiU"/>
          <w:sz w:val="21"/>
          <w:szCs w:val="21"/>
          <w:b w:val="1"/>
          <w:bCs w:val="1"/>
          <w:color w:val="231F20"/>
        </w:rPr>
        <w:t xml:space="preserve">-HQQLIHU $ 'RXGQD 3K' </w:t>
      </w:r>
      <w:r>
        <w:rPr>
          <w:rFonts w:ascii="PMingLiU" w:cs="PMingLiU" w:eastAsia="PMingLiU" w:hAnsi="PMingLiU"/>
          <w:sz w:val="21"/>
          <w:szCs w:val="21"/>
          <w:i w:val="1"/>
          <w:iCs w:val="1"/>
          <w:color w:val="231F20"/>
        </w:rPr>
        <w:t>'LUHFWRU - RKQVRQ -RKQVRQ ,QF &amp;KHPLVWU\ 1REHO 3UL]H 5HFLSLHQW </w:t>
      </w:r>
    </w:p>
    <w:p>
      <w:pPr>
        <w:spacing w:after="0" w:line="200" w:lineRule="exact"/>
        <w:rPr>
          <w:sz w:val="20"/>
          <w:szCs w:val="20"/>
          <w:color w:val="auto"/>
        </w:rPr>
      </w:pPr>
    </w:p>
    <w:p>
      <w:pPr>
        <w:spacing w:after="0" w:line="249"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b w:val="1"/>
          <w:bCs w:val="1"/>
          <w:color w:val="231F20"/>
        </w:rPr>
        <w:t>'DYLG 5 (SVWHLQ</w:t>
      </w:r>
    </w:p>
    <w:p>
      <w:pPr>
        <w:spacing w:after="0" w:line="57" w:lineRule="exact"/>
        <w:rPr>
          <w:sz w:val="20"/>
          <w:szCs w:val="20"/>
          <w:color w:val="auto"/>
        </w:rPr>
      </w:pPr>
    </w:p>
    <w:p>
      <w:pPr>
        <w:ind w:left="40" w:right="380"/>
        <w:spacing w:after="0" w:line="268" w:lineRule="exact"/>
        <w:rPr>
          <w:sz w:val="20"/>
          <w:szCs w:val="20"/>
          <w:color w:val="auto"/>
        </w:rPr>
      </w:pPr>
      <w:r>
        <w:rPr>
          <w:rFonts w:ascii="PMingLiU" w:cs="PMingLiU" w:eastAsia="PMingLiU" w:hAnsi="PMingLiU"/>
          <w:sz w:val="22"/>
          <w:szCs w:val="22"/>
          <w:i w:val="1"/>
          <w:iCs w:val="1"/>
          <w:color w:val="231F20"/>
        </w:rPr>
        <w:t>&amp;KDLUPDQ</w:t>
      </w:r>
      <w:r>
        <w:rPr>
          <w:sz w:val="20"/>
          <w:szCs w:val="20"/>
          <w:color w:val="auto"/>
        </w:rPr>
        <w:t xml:space="preserve"> </w:t>
      </w:r>
      <w:r>
        <w:rPr>
          <w:rFonts w:ascii="PMingLiU" w:cs="PMingLiU" w:eastAsia="PMingLiU" w:hAnsi="PMingLiU"/>
          <w:sz w:val="22"/>
          <w:szCs w:val="22"/>
          <w:i w:val="1"/>
          <w:iCs w:val="1"/>
          <w:color w:val="231F20"/>
        </w:rPr>
        <w:t>&amp;KLHI ([HFXWLYH 2IILFHU 2WWLPR 3KDUPD /LPLWHG</w:t>
      </w:r>
    </w:p>
    <w:p>
      <w:pPr>
        <w:ind w:left="40" w:right="1100"/>
        <w:spacing w:after="0" w:line="258" w:lineRule="exact"/>
        <w:rPr>
          <w:sz w:val="20"/>
          <w:szCs w:val="20"/>
          <w:color w:val="auto"/>
        </w:rPr>
      </w:pPr>
      <w:r>
        <w:rPr>
          <w:rFonts w:ascii="PMingLiU" w:cs="PMingLiU" w:eastAsia="PMingLiU" w:hAnsi="PMingLiU"/>
          <w:sz w:val="22"/>
          <w:szCs w:val="22"/>
          <w:i w:val="1"/>
          <w:iCs w:val="1"/>
          <w:color w:val="231F20"/>
        </w:rPr>
        <w:t>'LUHFWRU 9DOR +HDOWK //&amp; $JRPDE 7KHUDSHXWLFV 19</w:t>
      </w:r>
    </w:p>
    <w:p>
      <w:pPr>
        <w:spacing w:after="0" w:line="388" w:lineRule="exact"/>
        <w:rPr>
          <w:sz w:val="20"/>
          <w:szCs w:val="20"/>
          <w:color w:val="auto"/>
        </w:rPr>
      </w:pPr>
    </w:p>
    <w:p>
      <w:pPr>
        <w:ind w:left="240"/>
        <w:spacing w:after="0" w:line="264" w:lineRule="exact"/>
        <w:rPr>
          <w:sz w:val="20"/>
          <w:szCs w:val="20"/>
          <w:color w:val="auto"/>
        </w:rPr>
      </w:pPr>
      <w:r>
        <w:rPr>
          <w:rFonts w:ascii="PMingLiU" w:cs="PMingLiU" w:eastAsia="PMingLiU" w:hAnsi="PMingLiU"/>
          <w:sz w:val="22"/>
          <w:szCs w:val="22"/>
          <w:b w:val="1"/>
          <w:bCs w:val="1"/>
          <w:color w:val="231F20"/>
        </w:rPr>
        <w:t>D\QH $, )UHGHULFN 0'</w:t>
      </w:r>
    </w:p>
    <w:p>
      <w:pPr>
        <w:spacing w:after="0" w:line="25" w:lineRule="exact"/>
        <w:rPr>
          <w:sz w:val="20"/>
          <w:szCs w:val="20"/>
          <w:color w:val="auto"/>
        </w:rPr>
      </w:pPr>
    </w:p>
    <w:p>
      <w:pPr>
        <w:ind w:left="40" w:right="80"/>
        <w:spacing w:after="0" w:line="252" w:lineRule="exact"/>
        <w:rPr>
          <w:sz w:val="20"/>
          <w:szCs w:val="20"/>
          <w:color w:val="auto"/>
        </w:rPr>
      </w:pPr>
      <w:r>
        <w:rPr>
          <w:rFonts w:ascii="PMingLiU" w:cs="PMingLiU" w:eastAsia="PMingLiU" w:hAnsi="PMingLiU"/>
          <w:sz w:val="22"/>
          <w:szCs w:val="22"/>
          <w:i w:val="1"/>
          <w:iCs w:val="1"/>
          <w:color w:val="231F20"/>
        </w:rPr>
        <w:t>'LUHFWRU :RUNGD\ ,QF ,QVXOHW &amp;RUS +XPDQD ,QF</w:t>
      </w:r>
    </w:p>
    <w:p>
      <w:pPr>
        <w:spacing w:after="0" w:line="2" w:lineRule="exact"/>
        <w:rPr>
          <w:sz w:val="20"/>
          <w:szCs w:val="20"/>
          <w:color w:val="auto"/>
        </w:rPr>
      </w:pPr>
    </w:p>
    <w:p>
      <w:pPr>
        <w:ind w:left="40"/>
        <w:spacing w:after="0" w:line="228" w:lineRule="exact"/>
        <w:rPr>
          <w:sz w:val="20"/>
          <w:szCs w:val="20"/>
          <w:color w:val="auto"/>
        </w:rPr>
      </w:pPr>
      <w:r>
        <w:rPr>
          <w:rFonts w:ascii="PMingLiU" w:cs="PMingLiU" w:eastAsia="PMingLiU" w:hAnsi="PMingLiU"/>
          <w:sz w:val="19"/>
          <w:szCs w:val="19"/>
          <w:i w:val="1"/>
          <w:iCs w:val="1"/>
          <w:color w:val="231F20"/>
        </w:rPr>
        <w:t>3UHVLGHQW (PHULWXV +RZDUG 8QLYHUVLW\</w:t>
      </w:r>
    </w:p>
    <w:p>
      <w:pPr>
        <w:spacing w:after="0" w:line="200" w:lineRule="exact"/>
        <w:rPr>
          <w:sz w:val="20"/>
          <w:szCs w:val="20"/>
          <w:color w:val="auto"/>
        </w:rPr>
      </w:pPr>
    </w:p>
    <w:p>
      <w:pPr>
        <w:spacing w:after="0" w:line="227"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b w:val="1"/>
          <w:bCs w:val="1"/>
          <w:color w:val="231F20"/>
        </w:rPr>
        <w:t>6FRWW *RWWOLHE 0'</w:t>
      </w:r>
    </w:p>
    <w:p>
      <w:pPr>
        <w:spacing w:after="0" w:line="15"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i w:val="1"/>
          <w:iCs w:val="1"/>
          <w:color w:val="231F20"/>
        </w:rPr>
        <w:t>'LUHFWRU 3IL]HU ,QF ,OOXPLQD ,QF</w:t>
      </w:r>
    </w:p>
    <w:p>
      <w:pPr>
        <w:ind w:left="40"/>
        <w:spacing w:after="0" w:line="262" w:lineRule="exact"/>
        <w:rPr>
          <w:sz w:val="20"/>
          <w:szCs w:val="20"/>
          <w:color w:val="auto"/>
        </w:rPr>
      </w:pPr>
      <w:r>
        <w:rPr>
          <w:rFonts w:ascii="PMingLiU" w:cs="PMingLiU" w:eastAsia="PMingLiU" w:hAnsi="PMingLiU"/>
          <w:sz w:val="22"/>
          <w:szCs w:val="22"/>
          <w:i w:val="1"/>
          <w:iCs w:val="1"/>
          <w:color w:val="231F20"/>
        </w:rPr>
        <w:t>8QLWHG+HDOWK *URXS</w:t>
      </w:r>
    </w:p>
    <w:p>
      <w:pPr>
        <w:spacing w:after="0" w:line="200" w:lineRule="exact"/>
        <w:rPr>
          <w:sz w:val="20"/>
          <w:szCs w:val="20"/>
          <w:color w:val="auto"/>
        </w:rPr>
      </w:pPr>
    </w:p>
    <w:p>
      <w:pPr>
        <w:spacing w:after="0" w:line="249" w:lineRule="exact"/>
        <w:rPr>
          <w:sz w:val="20"/>
          <w:szCs w:val="20"/>
          <w:color w:val="auto"/>
        </w:rPr>
      </w:pPr>
    </w:p>
    <w:p>
      <w:pPr>
        <w:ind w:left="40"/>
        <w:spacing w:after="0" w:line="264" w:lineRule="exact"/>
        <w:rPr>
          <w:sz w:val="20"/>
          <w:szCs w:val="20"/>
          <w:color w:val="auto"/>
        </w:rPr>
      </w:pPr>
      <w:r>
        <w:rPr>
          <w:rFonts w:ascii="PMingLiU" w:cs="PMingLiU" w:eastAsia="PMingLiU" w:hAnsi="PMingLiU"/>
          <w:sz w:val="22"/>
          <w:szCs w:val="22"/>
          <w:b w:val="1"/>
          <w:bCs w:val="1"/>
          <w:color w:val="231F20"/>
        </w:rPr>
        <w:t>7KHRGRUH - /HRQVLV</w:t>
      </w:r>
    </w:p>
    <w:p>
      <w:pPr>
        <w:spacing w:after="0" w:line="24"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i w:val="1"/>
          <w:iCs w:val="1"/>
          <w:color w:val="231F20"/>
        </w:rPr>
        <w:t>*HQHUDO 3DUWQHU 5HYROXWLRQ *URZWK</w:t>
      </w:r>
    </w:p>
    <w:p>
      <w:pPr>
        <w:spacing w:after="0" w:line="3" w:lineRule="exact"/>
        <w:rPr>
          <w:sz w:val="20"/>
          <w:szCs w:val="20"/>
          <w:color w:val="auto"/>
        </w:rPr>
      </w:pPr>
    </w:p>
    <w:p>
      <w:pPr>
        <w:ind w:left="40"/>
        <w:spacing w:after="0" w:line="264" w:lineRule="exact"/>
        <w:tabs>
          <w:tab w:leader="none" w:pos="2040" w:val="left"/>
        </w:tabs>
        <w:rPr>
          <w:sz w:val="20"/>
          <w:szCs w:val="20"/>
          <w:color w:val="auto"/>
        </w:rPr>
      </w:pPr>
      <w:r>
        <w:rPr>
          <w:rFonts w:ascii="PMingLiU" w:cs="PMingLiU" w:eastAsia="PMingLiU" w:hAnsi="PMingLiU"/>
          <w:sz w:val="22"/>
          <w:szCs w:val="22"/>
          <w:i w:val="1"/>
          <w:iCs w:val="1"/>
          <w:color w:val="231F20"/>
        </w:rPr>
        <w:t>)RXQGHU &amp;KDLUPDQ</w:t>
      </w:r>
      <w:r>
        <w:rPr>
          <w:sz w:val="20"/>
          <w:szCs w:val="20"/>
          <w:color w:val="auto"/>
        </w:rPr>
        <w:tab/>
      </w:r>
      <w:r>
        <w:rPr>
          <w:rFonts w:ascii="PMingLiU" w:cs="PMingLiU" w:eastAsia="PMingLiU" w:hAnsi="PMingLiU"/>
          <w:sz w:val="16"/>
          <w:szCs w:val="16"/>
          <w:i w:val="1"/>
          <w:iCs w:val="1"/>
          <w:color w:val="231F20"/>
        </w:rPr>
        <w:t>&amp;KLHI ([HFXWLYH 2IILFHU</w:t>
      </w:r>
    </w:p>
    <w:p>
      <w:pPr>
        <w:ind w:left="40"/>
        <w:spacing w:after="0" w:line="253" w:lineRule="exact"/>
        <w:tabs>
          <w:tab w:leader="none" w:pos="2020" w:val="left"/>
        </w:tabs>
        <w:rPr>
          <w:sz w:val="20"/>
          <w:szCs w:val="20"/>
          <w:color w:val="auto"/>
        </w:rPr>
      </w:pPr>
      <w:r>
        <w:rPr>
          <w:rFonts w:ascii="PMingLiU" w:cs="PMingLiU" w:eastAsia="PMingLiU" w:hAnsi="PMingLiU"/>
          <w:sz w:val="22"/>
          <w:szCs w:val="22"/>
          <w:i w:val="1"/>
          <w:iCs w:val="1"/>
          <w:color w:val="231F20"/>
        </w:rPr>
        <w:t>0RQXPHQWDO 6SRUWV</w:t>
      </w:r>
      <w:r>
        <w:rPr>
          <w:sz w:val="20"/>
          <w:szCs w:val="20"/>
          <w:color w:val="auto"/>
        </w:rPr>
        <w:tab/>
      </w:r>
      <w:r>
        <w:rPr>
          <w:rFonts w:ascii="PMingLiU" w:cs="PMingLiU" w:eastAsia="PMingLiU" w:hAnsi="PMingLiU"/>
          <w:sz w:val="16"/>
          <w:szCs w:val="16"/>
          <w:i w:val="1"/>
          <w:iCs w:val="1"/>
          <w:color w:val="231F20"/>
        </w:rPr>
        <w:t>(QWHUWDLQPHQW //&amp;</w:t>
      </w:r>
    </w:p>
    <w:p>
      <w:pPr>
        <w:ind w:left="40"/>
        <w:spacing w:after="0" w:line="228" w:lineRule="exact"/>
        <w:rPr>
          <w:sz w:val="20"/>
          <w:szCs w:val="20"/>
          <w:color w:val="auto"/>
        </w:rPr>
      </w:pPr>
      <w:r>
        <w:rPr>
          <w:rFonts w:ascii="PMingLiU" w:cs="PMingLiU" w:eastAsia="PMingLiU" w:hAnsi="PMingLiU"/>
          <w:sz w:val="19"/>
          <w:szCs w:val="19"/>
          <w:i w:val="1"/>
          <w:iCs w:val="1"/>
          <w:color w:val="231F20"/>
        </w:rPr>
        <w:t>'LUHFWRU $PHULFDQ ([SUHVV &amp;R *URXSRQ ,QF</w:t>
      </w:r>
    </w:p>
    <w:p>
      <w:pPr>
        <w:spacing w:after="0" w:line="200" w:lineRule="exact"/>
        <w:rPr>
          <w:sz w:val="20"/>
          <w:szCs w:val="20"/>
          <w:color w:val="auto"/>
        </w:rPr>
      </w:pPr>
    </w:p>
    <w:p>
      <w:pPr>
        <w:spacing w:after="0" w:line="282" w:lineRule="exact"/>
        <w:rPr>
          <w:sz w:val="20"/>
          <w:szCs w:val="20"/>
          <w:color w:val="auto"/>
        </w:rPr>
      </w:pPr>
    </w:p>
    <w:p>
      <w:pPr>
        <w:ind w:left="40"/>
        <w:spacing w:after="0" w:line="264" w:lineRule="exact"/>
        <w:tabs>
          <w:tab w:leader="none" w:pos="840" w:val="left"/>
        </w:tabs>
        <w:rPr>
          <w:sz w:val="20"/>
          <w:szCs w:val="20"/>
          <w:color w:val="auto"/>
        </w:rPr>
      </w:pPr>
      <w:r>
        <w:rPr>
          <w:rFonts w:ascii="PMingLiU" w:cs="PMingLiU" w:eastAsia="PMingLiU" w:hAnsi="PMingLiU"/>
          <w:sz w:val="22"/>
          <w:szCs w:val="22"/>
          <w:b w:val="1"/>
          <w:bCs w:val="1"/>
          <w:color w:val="231F20"/>
        </w:rPr>
        <w:t>1DGMD</w:t>
        <w:tab/>
        <w:t>HVW 0'</w:t>
      </w:r>
    </w:p>
    <w:p>
      <w:pPr>
        <w:spacing w:after="0" w:line="15" w:lineRule="exact"/>
        <w:rPr>
          <w:sz w:val="20"/>
          <w:szCs w:val="20"/>
          <w:color w:val="auto"/>
        </w:rPr>
      </w:pPr>
    </w:p>
    <w:p>
      <w:pPr>
        <w:ind w:left="40"/>
        <w:spacing w:after="0" w:line="264" w:lineRule="exact"/>
        <w:tabs>
          <w:tab w:leader="none" w:pos="1860" w:val="left"/>
        </w:tabs>
        <w:rPr>
          <w:sz w:val="20"/>
          <w:szCs w:val="20"/>
          <w:color w:val="auto"/>
        </w:rPr>
      </w:pPr>
      <w:r>
        <w:rPr>
          <w:rFonts w:ascii="PMingLiU" w:cs="PMingLiU" w:eastAsia="PMingLiU" w:hAnsi="PMingLiU"/>
          <w:sz w:val="22"/>
          <w:szCs w:val="22"/>
          <w:i w:val="1"/>
          <w:iCs w:val="1"/>
          <w:color w:val="231F20"/>
        </w:rPr>
        <w:t>'LUHFWRU -RKQVRQ</w:t>
      </w:r>
      <w:r>
        <w:rPr>
          <w:sz w:val="20"/>
          <w:szCs w:val="20"/>
          <w:color w:val="auto"/>
        </w:rPr>
        <w:tab/>
      </w:r>
      <w:r>
        <w:rPr>
          <w:rFonts w:ascii="PMingLiU" w:cs="PMingLiU" w:eastAsia="PMingLiU" w:hAnsi="PMingLiU"/>
          <w:sz w:val="18"/>
          <w:szCs w:val="18"/>
          <w:i w:val="1"/>
          <w:iCs w:val="1"/>
          <w:color w:val="231F20"/>
        </w:rPr>
        <w:t>-RKQVRQ ,QF 7HQHW</w:t>
      </w:r>
    </w:p>
    <w:p>
      <w:pPr>
        <w:ind w:left="40"/>
        <w:spacing w:after="0" w:line="240" w:lineRule="exact"/>
        <w:rPr>
          <w:sz w:val="20"/>
          <w:szCs w:val="20"/>
          <w:color w:val="auto"/>
        </w:rPr>
      </w:pPr>
      <w:r>
        <w:rPr>
          <w:rFonts w:ascii="PMingLiU" w:cs="PMingLiU" w:eastAsia="PMingLiU" w:hAnsi="PMingLiU"/>
          <w:sz w:val="20"/>
          <w:szCs w:val="20"/>
          <w:i w:val="1"/>
          <w:iCs w:val="1"/>
          <w:color w:val="231F20"/>
        </w:rPr>
        <w:t>+HDOWKFDUH &amp;RUS 1XFRU &amp;RUSRUDWLRQ</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264" w:lineRule="exact"/>
        <w:rPr>
          <w:sz w:val="20"/>
          <w:szCs w:val="20"/>
          <w:color w:val="auto"/>
        </w:rPr>
      </w:pPr>
      <w:r>
        <w:rPr>
          <w:rFonts w:ascii="PMingLiU" w:cs="PMingLiU" w:eastAsia="PMingLiU" w:hAnsi="PMingLiU"/>
          <w:sz w:val="22"/>
          <w:szCs w:val="22"/>
          <w:b w:val="1"/>
          <w:bCs w:val="1"/>
          <w:color w:val="231F20"/>
        </w:rPr>
        <w:t>([HFXWLYH 2IILFHUV</w:t>
      </w:r>
    </w:p>
    <w:p>
      <w:pPr>
        <w:spacing w:after="0" w:line="49" w:lineRule="exact"/>
        <w:rPr>
          <w:sz w:val="20"/>
          <w:szCs w:val="20"/>
          <w:color w:val="auto"/>
        </w:rPr>
      </w:pPr>
    </w:p>
    <w:p>
      <w:pPr>
        <w:spacing w:after="0" w:line="264" w:lineRule="exact"/>
        <w:rPr>
          <w:sz w:val="20"/>
          <w:szCs w:val="20"/>
          <w:color w:val="auto"/>
        </w:rPr>
      </w:pPr>
      <w:r>
        <w:rPr>
          <w:rFonts w:ascii="PMingLiU" w:cs="PMingLiU" w:eastAsia="PMingLiU" w:hAnsi="PMingLiU"/>
          <w:sz w:val="22"/>
          <w:szCs w:val="22"/>
          <w:b w:val="1"/>
          <w:bCs w:val="1"/>
          <w:color w:val="231F20"/>
        </w:rPr>
        <w:t>(ULF /HINRIVN\</w:t>
      </w:r>
    </w:p>
    <w:p>
      <w:pPr>
        <w:spacing w:after="0" w:line="25" w:lineRule="exact"/>
        <w:rPr>
          <w:sz w:val="20"/>
          <w:szCs w:val="20"/>
          <w:color w:val="auto"/>
        </w:rPr>
      </w:pPr>
    </w:p>
    <w:p>
      <w:pPr>
        <w:jc w:val="center"/>
        <w:ind w:right="740"/>
        <w:spacing w:after="0" w:line="192" w:lineRule="exact"/>
        <w:rPr>
          <w:sz w:val="20"/>
          <w:szCs w:val="20"/>
          <w:color w:val="auto"/>
        </w:rPr>
      </w:pPr>
      <w:r>
        <w:rPr>
          <w:rFonts w:ascii="PMingLiU" w:cs="PMingLiU" w:eastAsia="PMingLiU" w:hAnsi="PMingLiU"/>
          <w:sz w:val="16"/>
          <w:szCs w:val="16"/>
          <w:i w:val="1"/>
          <w:iCs w:val="1"/>
          <w:color w:val="231F20"/>
        </w:rPr>
        <w:t>&amp;KLHI ([HFXWLYH 2IILFHU DQG )RXQGHU</w:t>
      </w:r>
    </w:p>
    <w:p>
      <w:pPr>
        <w:spacing w:after="0" w:line="200" w:lineRule="exact"/>
        <w:rPr>
          <w:sz w:val="20"/>
          <w:szCs w:val="20"/>
          <w:color w:val="auto"/>
        </w:rPr>
      </w:pPr>
    </w:p>
    <w:p>
      <w:pPr>
        <w:spacing w:after="0" w:line="319" w:lineRule="exact"/>
        <w:rPr>
          <w:sz w:val="20"/>
          <w:szCs w:val="20"/>
          <w:color w:val="auto"/>
        </w:rPr>
      </w:pPr>
    </w:p>
    <w:p>
      <w:pPr>
        <w:spacing w:after="0" w:line="264" w:lineRule="exact"/>
        <w:rPr>
          <w:sz w:val="20"/>
          <w:szCs w:val="20"/>
          <w:color w:val="auto"/>
        </w:rPr>
      </w:pPr>
      <w:r>
        <w:rPr>
          <w:rFonts w:ascii="PMingLiU" w:cs="PMingLiU" w:eastAsia="PMingLiU" w:hAnsi="PMingLiU"/>
          <w:sz w:val="22"/>
          <w:szCs w:val="22"/>
          <w:b w:val="1"/>
          <w:bCs w:val="1"/>
          <w:color w:val="231F20"/>
        </w:rPr>
        <w:t>5\DQ )XNXVKLPD</w:t>
      </w:r>
    </w:p>
    <w:p>
      <w:pPr>
        <w:spacing w:after="0" w:line="23" w:lineRule="exact"/>
        <w:rPr>
          <w:sz w:val="20"/>
          <w:szCs w:val="20"/>
          <w:color w:val="auto"/>
        </w:rPr>
      </w:pPr>
    </w:p>
    <w:p>
      <w:pPr>
        <w:spacing w:after="0" w:line="264" w:lineRule="exact"/>
        <w:rPr>
          <w:sz w:val="20"/>
          <w:szCs w:val="20"/>
          <w:color w:val="auto"/>
        </w:rPr>
      </w:pPr>
      <w:r>
        <w:rPr>
          <w:rFonts w:ascii="PMingLiU" w:cs="PMingLiU" w:eastAsia="PMingLiU" w:hAnsi="PMingLiU"/>
          <w:sz w:val="22"/>
          <w:szCs w:val="22"/>
          <w:i w:val="1"/>
          <w:iCs w:val="1"/>
          <w:color w:val="231F20"/>
        </w:rPr>
        <w:t>&amp;KLHI ([HFXWLYH 2IILFHU 'DWD</w:t>
      </w:r>
    </w:p>
    <w:p>
      <w:pPr>
        <w:spacing w:after="0" w:line="200" w:lineRule="exact"/>
        <w:rPr>
          <w:sz w:val="20"/>
          <w:szCs w:val="20"/>
          <w:color w:val="auto"/>
        </w:rPr>
      </w:pPr>
    </w:p>
    <w:p>
      <w:pPr>
        <w:spacing w:after="0" w:line="248" w:lineRule="exact"/>
        <w:rPr>
          <w:sz w:val="20"/>
          <w:szCs w:val="20"/>
          <w:color w:val="auto"/>
        </w:rPr>
      </w:pPr>
    </w:p>
    <w:p>
      <w:pPr>
        <w:spacing w:after="0" w:line="264" w:lineRule="exact"/>
        <w:rPr>
          <w:sz w:val="20"/>
          <w:szCs w:val="20"/>
          <w:color w:val="auto"/>
        </w:rPr>
      </w:pPr>
      <w:r>
        <w:rPr>
          <w:rFonts w:ascii="PMingLiU" w:cs="PMingLiU" w:eastAsia="PMingLiU" w:hAnsi="PMingLiU"/>
          <w:sz w:val="22"/>
          <w:szCs w:val="22"/>
          <w:b w:val="1"/>
          <w:bCs w:val="1"/>
          <w:color w:val="231F20"/>
        </w:rPr>
        <w:t>$QGUHZ 3RORYLQ</w:t>
      </w:r>
    </w:p>
    <w:p>
      <w:pPr>
        <w:spacing w:after="0" w:line="25" w:lineRule="exact"/>
        <w:rPr>
          <w:sz w:val="20"/>
          <w:szCs w:val="20"/>
          <w:color w:val="auto"/>
        </w:rPr>
      </w:pPr>
    </w:p>
    <w:p>
      <w:pPr>
        <w:spacing w:after="0" w:line="258" w:lineRule="exact"/>
        <w:rPr>
          <w:sz w:val="20"/>
          <w:szCs w:val="20"/>
          <w:color w:val="auto"/>
        </w:rPr>
      </w:pPr>
      <w:r>
        <w:rPr>
          <w:rFonts w:ascii="PMingLiU" w:cs="PMingLiU" w:eastAsia="PMingLiU" w:hAnsi="PMingLiU"/>
          <w:sz w:val="22"/>
          <w:szCs w:val="22"/>
          <w:i w:val="1"/>
          <w:iCs w:val="1"/>
          <w:color w:val="231F20"/>
        </w:rPr>
        <w:t>([HFXWLYH 9LFH 3UHVLGHQW &amp;KLHI /HJDO 2IILFHU DQG 6HFUHWDU\</w:t>
      </w:r>
    </w:p>
    <w:p>
      <w:pPr>
        <w:spacing w:after="0" w:line="200" w:lineRule="exact"/>
        <w:rPr>
          <w:sz w:val="20"/>
          <w:szCs w:val="20"/>
          <w:color w:val="auto"/>
        </w:rPr>
      </w:pPr>
    </w:p>
    <w:p>
      <w:pPr>
        <w:spacing w:after="0" w:line="248" w:lineRule="exact"/>
        <w:rPr>
          <w:sz w:val="20"/>
          <w:szCs w:val="20"/>
          <w:color w:val="auto"/>
        </w:rPr>
      </w:pPr>
    </w:p>
    <w:p>
      <w:pPr>
        <w:spacing w:after="0" w:line="264" w:lineRule="exact"/>
        <w:rPr>
          <w:sz w:val="20"/>
          <w:szCs w:val="20"/>
          <w:color w:val="auto"/>
        </w:rPr>
      </w:pPr>
      <w:r>
        <w:rPr>
          <w:rFonts w:ascii="PMingLiU" w:cs="PMingLiU" w:eastAsia="PMingLiU" w:hAnsi="PMingLiU"/>
          <w:sz w:val="22"/>
          <w:szCs w:val="22"/>
          <w:b w:val="1"/>
          <w:bCs w:val="1"/>
          <w:color w:val="231F20"/>
        </w:rPr>
        <w:t>-DPHV 5RJHUV</w:t>
      </w:r>
    </w:p>
    <w:p>
      <w:pPr>
        <w:spacing w:after="0" w:line="23" w:lineRule="exact"/>
        <w:rPr>
          <w:sz w:val="20"/>
          <w:szCs w:val="20"/>
          <w:color w:val="auto"/>
        </w:rPr>
      </w:pPr>
    </w:p>
    <w:p>
      <w:pPr>
        <w:spacing w:after="0" w:line="264" w:lineRule="exact"/>
        <w:rPr>
          <w:sz w:val="20"/>
          <w:szCs w:val="20"/>
          <w:color w:val="auto"/>
        </w:rPr>
      </w:pPr>
      <w:r>
        <w:rPr>
          <w:rFonts w:ascii="PMingLiU" w:cs="PMingLiU" w:eastAsia="PMingLiU" w:hAnsi="PMingLiU"/>
          <w:sz w:val="22"/>
          <w:szCs w:val="22"/>
          <w:i w:val="1"/>
          <w:iCs w:val="1"/>
          <w:color w:val="231F20"/>
        </w:rPr>
        <w:t>&amp;KLHI )LQDQFLDO 2IILFHU</w:t>
      </w:r>
    </w:p>
    <w:p>
      <w:pPr>
        <w:spacing w:after="0" w:line="200" w:lineRule="exact"/>
        <w:rPr>
          <w:sz w:val="20"/>
          <w:szCs w:val="20"/>
          <w:color w:val="auto"/>
        </w:rPr>
      </w:pPr>
    </w:p>
    <w:p>
      <w:pPr>
        <w:spacing w:after="0" w:line="249" w:lineRule="exact"/>
        <w:rPr>
          <w:sz w:val="20"/>
          <w:szCs w:val="20"/>
          <w:color w:val="auto"/>
        </w:rPr>
      </w:pPr>
    </w:p>
    <w:p>
      <w:pPr>
        <w:spacing w:after="0" w:line="264" w:lineRule="exact"/>
        <w:rPr>
          <w:sz w:val="20"/>
          <w:szCs w:val="20"/>
          <w:color w:val="auto"/>
        </w:rPr>
      </w:pPr>
      <w:r>
        <w:rPr>
          <w:rFonts w:ascii="PMingLiU" w:cs="PMingLiU" w:eastAsia="PMingLiU" w:hAnsi="PMingLiU"/>
          <w:sz w:val="22"/>
          <w:szCs w:val="22"/>
          <w:b w:val="1"/>
          <w:bCs w:val="1"/>
          <w:color w:val="231F20"/>
        </w:rPr>
        <w:t>7RP 6FKRHQKHUU</w:t>
      </w:r>
    </w:p>
    <w:p>
      <w:pPr>
        <w:spacing w:after="0" w:line="2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231F20"/>
        </w:rPr>
        <w:t>&amp;KLHI ([HFXWLYH 2IILFHU 'LDJQRVWLFV</w:t>
      </w:r>
    </w:p>
    <w:p>
      <w:pPr>
        <w:sectPr>
          <w:pgSz w:w="11880" w:h="15480" w:orient="portrait"/>
          <w:cols w:equalWidth="0" w:num="2">
            <w:col w:w="4360" w:space="720"/>
            <w:col w:w="4000"/>
          </w:cols>
          <w:pgMar w:left="1440" w:top="945" w:right="1360" w:bottom="891" w:gutter="0" w:footer="0" w:header="0"/>
        </w:sectPr>
      </w:pPr>
    </w:p>
    <w:bookmarkStart w:id="203" w:name="page204"/>
    <w:bookmarkEnd w:id="20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A6D8D3C"/>
    <w:multiLevelType w:val="hybridMultilevel"/>
    <w:lvl w:ilvl="0">
      <w:lvlJc w:val="left"/>
      <w:lvlText w:val="Ɣ"/>
      <w:numFmt w:val="bullet"/>
      <w:start w:val="1"/>
    </w:lvl>
  </w:abstractNum>
  <w:abstractNum w:abstractNumId="1">
    <w:nsid w:val="4B588F54"/>
    <w:multiLevelType w:val="hybridMultilevel"/>
    <w:lvl w:ilvl="0">
      <w:lvlJc w:val="left"/>
      <w:lvlText w:val="%1."/>
      <w:numFmt w:val="decimal"/>
      <w:start w:val="1"/>
    </w:lvl>
  </w:abstractNum>
  <w:abstractNum w:abstractNumId="2">
    <w:nsid w:val="542289EC"/>
    <w:multiLevelType w:val="hybridMultilevel"/>
    <w:lvl w:ilvl="0">
      <w:lvlJc w:val="left"/>
      <w:lvlText w:val="%1."/>
      <w:numFmt w:val="decimal"/>
      <w:start w:val="3"/>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lowerRoman"/>
      <w:start w:val="3"/>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lowerRoman"/>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lowerRoman"/>
      <w:start w:val="10"/>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lowerRoman"/>
      <w:start w:val="3"/>
    </w:lvl>
  </w:abstractNum>
  <w:abstractNum w:abstractNumId="56">
    <w:nsid w:val="661E3F1E"/>
    <w:multiLevelType w:val="hybridMultilevel"/>
    <w:lvl w:ilvl="0">
      <w:lvlJc w:val="left"/>
      <w:lvlText w:val="(%1)"/>
      <w:numFmt w:val="lowerRoman"/>
      <w:start w:val="1"/>
    </w:lvl>
  </w:abstractNum>
  <w:abstractNum w:abstractNumId="57">
    <w:nsid w:val="5DC79EA8"/>
    <w:multiLevelType w:val="hybridMultilevel"/>
    <w:lvl w:ilvl="0">
      <w:lvlJc w:val="left"/>
      <w:lvlText w:val="(%1)"/>
      <w:numFmt w:val="lowerRoman"/>
      <w:start w:val="1"/>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2"/>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3"/>
    </w:lvl>
  </w:abstractNum>
  <w:abstractNum w:abstractNumId="66">
    <w:nsid w:val="8F2B15E"/>
    <w:multiLevelType w:val="hybridMultilevel"/>
    <w:lvl w:ilvl="0">
      <w:lvlJc w:val="left"/>
      <w:lvlText w:val="%1."/>
      <w:numFmt w:val="decimal"/>
      <w:start w:val="4"/>
    </w:lvl>
  </w:abstractNum>
  <w:abstractNum w:abstractNumId="67">
    <w:nsid w:val="1A32234B"/>
    <w:multiLevelType w:val="hybridMultilevel"/>
    <w:lvl w:ilvl="0">
      <w:lvlJc w:val="left"/>
      <w:lvlText w:val="%1."/>
      <w:numFmt w:val="decimal"/>
      <w:start w:val="5"/>
    </w:lvl>
  </w:abstractNum>
  <w:abstractNum w:abstractNumId="68">
    <w:nsid w:val="3B0FD379"/>
    <w:multiLevelType w:val="hybridMultilevel"/>
    <w:lvl w:ilvl="0">
      <w:lvlJc w:val="left"/>
      <w:lvlText w:val="%1."/>
      <w:numFmt w:val="decimal"/>
      <w:start w:val="6"/>
    </w:lvl>
  </w:abstractNum>
  <w:abstractNum w:abstractNumId="69">
    <w:nsid w:val="68EB2F63"/>
    <w:multiLevelType w:val="hybridMultilevel"/>
    <w:lvl w:ilvl="0">
      <w:lvlJc w:val="left"/>
      <w:lvlText w:val="%1."/>
      <w:numFmt w:val="decimal"/>
      <w:start w:val="7"/>
    </w:lvl>
  </w:abstractNum>
  <w:abstractNum w:abstractNumId="70">
    <w:nsid w:val="4962813B"/>
    <w:multiLevelType w:val="hybridMultilevel"/>
    <w:lvl w:ilvl="0">
      <w:lvlJc w:val="left"/>
      <w:lvlText w:val="%1."/>
      <w:numFmt w:val="decimal"/>
      <w:start w:val="8"/>
    </w:lvl>
  </w:abstractNum>
  <w:abstractNum w:abstractNumId="71">
    <w:nsid w:val="60B6DF70"/>
    <w:multiLevelType w:val="hybridMultilevel"/>
    <w:lvl w:ilvl="0">
      <w:lvlJc w:val="left"/>
      <w:lvlText w:val="%1."/>
      <w:numFmt w:val="decimal"/>
      <w:start w:val="9"/>
    </w:lvl>
  </w:abstractNum>
  <w:abstractNum w:abstractNumId="72">
    <w:nsid w:val="6A5EE64"/>
    <w:multiLevelType w:val="hybridMultilevel"/>
    <w:lvl w:ilvl="0">
      <w:lvlJc w:val="left"/>
      <w:lvlText w:val="%1."/>
      <w:numFmt w:val="decimal"/>
      <w:start w:val="10"/>
    </w:lvl>
  </w:abstractNum>
  <w:abstractNum w:abstractNumId="73">
    <w:nsid w:val="14330624"/>
    <w:multiLevelType w:val="hybridMultilevel"/>
    <w:lvl w:ilvl="0">
      <w:lvlJc w:val="left"/>
      <w:lvlText w:val="%1."/>
      <w:numFmt w:val="decimal"/>
      <w:start w:val="11"/>
    </w:lvl>
  </w:abstractNum>
  <w:abstractNum w:abstractNumId="74">
    <w:nsid w:val="7FFFCA11"/>
    <w:multiLevelType w:val="hybridMultilevel"/>
    <w:lvl w:ilvl="0">
      <w:lvlJc w:val="left"/>
      <w:lvlText w:val="%1."/>
      <w:numFmt w:val="decimal"/>
      <w:start w:val="12"/>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3"/>
    </w:lvl>
  </w:abstractNum>
  <w:abstractNum w:abstractNumId="77">
    <w:nsid w:val="100F59DC"/>
    <w:multiLevelType w:val="hybridMultilevel"/>
    <w:lvl w:ilvl="0">
      <w:lvlJc w:val="left"/>
      <w:lvlText w:val="%1."/>
      <w:numFmt w:val="decimal"/>
      <w:start w:val="13"/>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14"/>
    </w:lvl>
  </w:abstractNum>
  <w:abstractNum w:abstractNumId="80">
    <w:nsid w:val="6F6DD9AC"/>
    <w:multiLevelType w:val="hybridMultilevel"/>
    <w:lvl w:ilvl="0">
      <w:lvlJc w:val="left"/>
      <w:lvlText w:val="%1."/>
      <w:numFmt w:val="decimal"/>
      <w:start w:val="15"/>
    </w:lvl>
  </w:abstractNum>
  <w:abstractNum w:abstractNumId="81">
    <w:nsid w:val="94211F2"/>
    <w:multiLevelType w:val="hybridMultilevel"/>
    <w:lvl w:ilvl="0">
      <w:lvlJc w:val="left"/>
      <w:lvlText w:val="%1."/>
      <w:numFmt w:val="decimal"/>
      <w:start w:val="16"/>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97"/>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2026-04-07T15:12:59Z</dcterms:created>
  <dcterms:modified xsi:type="dcterms:W3CDTF">2026-04-07T15:12:59Z</dcterms:modified>
</cp:coreProperties>
</file>