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January 13, 2023.</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This draft registration statement has not been publicly filed with the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 and all information herein remains strictly confidential.</w:t>
      </w:r>
    </w:p>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127635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Tempus Labs,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160020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2"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00" w:type="dxa"/>
            <w:vAlign w:val="bottom"/>
          </w:tcPr>
          <w:p>
            <w:pPr>
              <w:jc w:val="center"/>
              <w:ind w:right="2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3"/>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5"/>
                <w:szCs w:val="15"/>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213"/>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8"/>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8"/>
                <w:szCs w:val="18"/>
                <w:color w:val="auto"/>
              </w:rPr>
            </w:pPr>
          </w:p>
        </w:tc>
      </w:tr>
      <w:tr>
        <w:trPr>
          <w:trHeight w:val="144"/>
        </w:trPr>
        <w:tc>
          <w:tcPr>
            <w:tcW w:w="250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227"/>
        </w:trPr>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8"/>
        </w:trPr>
        <w:tc>
          <w:tcPr>
            <w:tcW w:w="2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3"/>
        </w:trPr>
        <w:tc>
          <w:tcPr>
            <w:tcW w:w="250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Eric Jensen</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Executive Vice President and</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Administrative and Legal Officer</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0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110 N. Wacker Drive, Suite 4200</w:t>
            </w:r>
          </w:p>
        </w:tc>
        <w:tc>
          <w:tcPr>
            <w:tcW w:w="3520" w:type="dxa"/>
            <w:vAlign w:val="bottom"/>
            <w:gridSpan w:val="2"/>
          </w:tcPr>
          <w:p>
            <w:pPr>
              <w:jc w:val="center"/>
              <w:ind w:left="1073"/>
              <w:spacing w:after="0" w:line="145"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60606</w:t>
            </w:r>
          </w:p>
        </w:tc>
        <w:tc>
          <w:tcPr>
            <w:tcW w:w="1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50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(312) 881-6500</w:t>
            </w: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140335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126365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3"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9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9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DE1A1E"/>
        </w:rPr>
        <w:t>Issued</w:t>
      </w:r>
      <w:r>
        <w:rPr>
          <w:sz w:val="20"/>
          <w:szCs w:val="20"/>
          <w:color w:val="auto"/>
        </w:rPr>
        <w:tab/>
      </w:r>
      <w:r>
        <w:rPr>
          <w:rFonts w:ascii="Times New Roman" w:cs="Times New Roman" w:eastAsia="Times New Roman" w:hAnsi="Times New Roman"/>
          <w:sz w:val="18"/>
          <w:szCs w:val="18"/>
          <w:i w:val="1"/>
          <w:iCs w:val="1"/>
          <w:color w:val="DE1A1E"/>
        </w:rPr>
        <w:t>, 2023</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142240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51" w:lineRule="exact"/>
        <w:rPr>
          <w:sz w:val="20"/>
          <w:szCs w:val="20"/>
          <w:color w:val="auto"/>
        </w:rPr>
      </w:pPr>
    </w:p>
    <w:p>
      <w:pPr>
        <w:spacing w:after="0"/>
        <w:tabs>
          <w:tab w:leader="none" w:pos="7440" w:val="left"/>
        </w:tabs>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Labs, Inc. We are offering</w:t>
      </w:r>
      <w:r>
        <w:rPr>
          <w:sz w:val="20"/>
          <w:szCs w:val="20"/>
          <w:color w:val="auto"/>
        </w:rPr>
        <w:tab/>
      </w:r>
      <w:r>
        <w:rPr>
          <w:rFonts w:ascii="Times New Roman" w:cs="Times New Roman" w:eastAsia="Times New Roman" w:hAnsi="Times New Roman"/>
          <w:sz w:val="15"/>
          <w:szCs w:val="15"/>
          <w:b w:val="1"/>
          <w:bCs w:val="1"/>
          <w:i w:val="1"/>
          <w:iCs w:val="1"/>
          <w:color w:val="auto"/>
        </w:rPr>
        <w:t>shares of our Class A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w:t>
      </w:r>
    </w:p>
    <w:p>
      <w:pPr>
        <w:spacing w:after="0" w:line="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 share.</w:t>
      </w:r>
    </w:p>
    <w:p>
      <w:pPr>
        <w:spacing w:after="0" w:line="52"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6"/>
          <w:szCs w:val="16"/>
          <w:b w:val="1"/>
          <w:bCs w:val="1"/>
          <w:i w:val="1"/>
          <w:iCs w:val="1"/>
          <w:color w:val="auto"/>
        </w:rPr>
        <w:t>The selling stockholders identified in this prospectus have granted the underwriters the option to purchase up to an additional</w:t>
      </w:r>
      <w:r>
        <w:rPr>
          <w:sz w:val="20"/>
          <w:szCs w:val="20"/>
          <w:color w:val="auto"/>
        </w:rPr>
        <w:tab/>
      </w:r>
      <w:r>
        <w:rPr>
          <w:rFonts w:ascii="Times New Roman" w:cs="Times New Roman" w:eastAsia="Times New Roman" w:hAnsi="Times New Roman"/>
          <w:sz w:val="15"/>
          <w:szCs w:val="15"/>
          <w:b w:val="1"/>
          <w:bCs w:val="1"/>
          <w:i w:val="1"/>
          <w:iCs w:val="1"/>
          <w:color w:val="auto"/>
        </w:rPr>
        <w:t>shares of Class A common stock on</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the same terms as set forth above within 30 days from the date of this prospectus to cover over-allotments, if any. We will not receive any proceeds from any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95250</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on the date that our Chief Executive Officer, Founder and Chairman (i) ceases to serve as an executive officer or member of our Board of Directors or (ii)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104775</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applied to list our Class A common stock on the Nasdaq Global Select Market under the symbol “TL.”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136525</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124460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0"/>
          <w:szCs w:val="20"/>
          <w:color w:val="auto"/>
        </w:rPr>
      </w:pPr>
    </w:p>
    <w:p>
      <w:pPr>
        <w:ind w:left="9420"/>
        <w:spacing w:after="0"/>
        <w:tabs>
          <w:tab w:leader="none" w:pos="10960" w:val="left"/>
        </w:tabs>
        <w:rPr>
          <w:sz w:val="20"/>
          <w:szCs w:val="20"/>
          <w:color w:val="auto"/>
        </w:rPr>
      </w:pPr>
      <w:r>
        <w:rPr>
          <w:rFonts w:ascii="Times New Roman" w:cs="Times New Roman" w:eastAsia="Times New Roman" w:hAnsi="Times New Roman"/>
          <w:sz w:val="14"/>
          <w:szCs w:val="14"/>
          <w:b w:val="1"/>
          <w:bCs w:val="1"/>
          <w:i w:val="1"/>
          <w:iCs w:val="1"/>
          <w:color w:val="auto"/>
        </w:rPr>
        <w:t>Per Share</w:t>
      </w:r>
      <w:r>
        <w:rPr>
          <w:sz w:val="20"/>
          <w:szCs w:val="20"/>
          <w:color w:val="auto"/>
        </w:rPr>
        <w:tab/>
      </w:r>
      <w:r>
        <w:rPr>
          <w:rFonts w:ascii="Times New Roman" w:cs="Times New Roman" w:eastAsia="Times New Roman" w:hAnsi="Times New Roman"/>
          <w:sz w:val="13"/>
          <w:szCs w:val="13"/>
          <w:b w:val="1"/>
          <w:bCs w:val="1"/>
          <w:i w:val="1"/>
          <w:iCs w:val="1"/>
          <w:color w:val="auto"/>
        </w:rPr>
        <w:t>Total</w:t>
      </w:r>
    </w:p>
    <w:p>
      <w:pPr>
        <w:sectPr>
          <w:pgSz w:w="11900" w:h="16838" w:orient="portrait"/>
          <w:cols w:equalWidth="0" w:num="1">
            <w:col w:w="11340"/>
          </w:cols>
          <w:pgMar w:left="320" w:top="448" w:right="2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public offering price</w:t>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Underwriting discounts and commissions </w:t>
      </w:r>
      <w:r>
        <w:rPr>
          <w:rFonts w:ascii="Times New Roman" w:cs="Times New Roman" w:eastAsia="Times New Roman" w:hAnsi="Times New Roman"/>
          <w:sz w:val="23"/>
          <w:szCs w:val="23"/>
          <w:i w:val="1"/>
          <w:iCs w:val="1"/>
          <w:color w:val="auto"/>
          <w:vertAlign w:val="superscript"/>
        </w:rPr>
        <w:t>(1)</w:t>
      </w:r>
    </w:p>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Tempus Labs,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Proceeds, before expenses, to the selling stockholders </w:t>
      </w:r>
      <w:r>
        <w:rPr>
          <w:rFonts w:ascii="Times New Roman" w:cs="Times New Roman" w:eastAsia="Times New Roman" w:hAnsi="Times New Roman"/>
          <w:sz w:val="23"/>
          <w:szCs w:val="23"/>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(1)</w:t>
            </w:r>
          </w:p>
        </w:tc>
        <w:tc>
          <w:tcPr>
            <w:tcW w:w="85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See “Underwriting” for additional information regarding compensation payable to the underwriters.</w:t>
            </w:r>
          </w:p>
        </w:tc>
      </w:tr>
      <w:tr>
        <w:trPr>
          <w:trHeight w:val="185"/>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(2)</w:t>
            </w: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Assumes the exercise in full of the underwriters’ option to purchase</w:t>
            </w:r>
          </w:p>
        </w:tc>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w w:val="99"/>
              </w:rPr>
              <w:t>additional shares of Class A common stock from the selling stockholders.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Borders>
              <w:top w:val="single" w:sz="8" w:color="auto"/>
            </w:tcBorders>
          </w:tcPr>
          <w:p>
            <w:pPr>
              <w:jc w:val="right"/>
              <w:ind w:right="421"/>
              <w:spacing w:after="0" w:line="175" w:lineRule="exact"/>
              <w:rPr>
                <w:sz w:val="20"/>
                <w:szCs w:val="20"/>
                <w:color w:val="auto"/>
              </w:rPr>
            </w:pPr>
            <w:r>
              <w:rPr>
                <w:rFonts w:ascii="Times New Roman" w:cs="Times New Roman" w:eastAsia="Times New Roman" w:hAnsi="Times New Roman"/>
                <w:sz w:val="16"/>
                <w:szCs w:val="16"/>
                <w:i w:val="1"/>
                <w:iCs w:val="1"/>
                <w:color w:val="auto"/>
                <w:w w:val="74"/>
              </w:rPr>
              <w:t>$</w:t>
            </w:r>
          </w:p>
        </w:tc>
        <w:tc>
          <w:tcPr>
            <w:tcW w:w="980" w:type="dxa"/>
            <w:vAlign w:val="bottom"/>
          </w:tcPr>
          <w:p>
            <w:pPr>
              <w:spacing w:after="0"/>
              <w:rPr>
                <w:sz w:val="15"/>
                <w:szCs w:val="15"/>
                <w:color w:val="auto"/>
              </w:rPr>
            </w:pPr>
          </w:p>
        </w:tc>
        <w:tc>
          <w:tcPr>
            <w:tcW w:w="300" w:type="dxa"/>
            <w:vAlign w:val="bottom"/>
            <w:tcBorders>
              <w:top w:val="single" w:sz="8" w:color="auto"/>
            </w:tcBorders>
          </w:tcPr>
          <w:p>
            <w:pPr>
              <w:jc w:val="right"/>
              <w:ind w:right="61"/>
              <w:spacing w:after="0" w:line="175" w:lineRule="exact"/>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08"/>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bl>
    <w:p>
      <w:pPr>
        <w:spacing w:after="0" w:line="513" w:lineRule="exact"/>
        <w:rPr>
          <w:sz w:val="20"/>
          <w:szCs w:val="20"/>
          <w:color w:val="auto"/>
        </w:rPr>
      </w:pPr>
    </w:p>
    <w:p>
      <w:pPr>
        <w:sectPr>
          <w:pgSz w:w="11900" w:h="16838" w:orient="portrait"/>
          <w:cols w:equalWidth="0" w:num="2">
            <w:col w:w="8800" w:space="620"/>
            <w:col w:w="1920"/>
          </w:cols>
          <w:pgMar w:left="320" w:top="448" w:right="239" w:bottom="1440" w:gutter="0" w:footer="0" w:header="0"/>
          <w:type w:val="continuous"/>
        </w:sect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111125</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4" w:lineRule="exact"/>
        <w:rPr>
          <w:sz w:val="20"/>
          <w:szCs w:val="20"/>
          <w:color w:val="auto"/>
        </w:rPr>
      </w:pPr>
    </w:p>
    <w:p>
      <w:pPr>
        <w:spacing w:after="0"/>
        <w:tabs>
          <w:tab w:leader="none" w:pos="5120" w:val="left"/>
          <w:tab w:leader="none" w:pos="7700" w:val="left"/>
        </w:tabs>
        <w:rPr>
          <w:sz w:val="20"/>
          <w:szCs w:val="20"/>
          <w:color w:val="auto"/>
        </w:rPr>
      </w:pPr>
      <w:r>
        <w:rPr>
          <w:rFonts w:ascii="Times New Roman" w:cs="Times New Roman" w:eastAsia="Times New Roman" w:hAnsi="Times New Roman"/>
          <w:sz w:val="21"/>
          <w:szCs w:val="21"/>
          <w:i w:val="1"/>
          <w:iCs w:val="1"/>
          <w:color w:val="auto"/>
        </w:rPr>
        <w:t>MORGAN STANLEY</w:t>
      </w:r>
      <w:r>
        <w:rPr>
          <w:sz w:val="20"/>
          <w:szCs w:val="20"/>
          <w:color w:val="auto"/>
        </w:rPr>
        <w:tab/>
      </w:r>
      <w:r>
        <w:rPr>
          <w:rFonts w:ascii="Times New Roman" w:cs="Times New Roman" w:eastAsia="Times New Roman" w:hAnsi="Times New Roman"/>
          <w:sz w:val="21"/>
          <w:szCs w:val="21"/>
          <w:i w:val="1"/>
          <w:iCs w:val="1"/>
          <w:color w:val="auto"/>
        </w:rPr>
        <w:t>J.P. MORGAN</w:t>
      </w:r>
      <w:r>
        <w:rPr>
          <w:sz w:val="20"/>
          <w:szCs w:val="20"/>
          <w:color w:val="auto"/>
        </w:rPr>
        <w:tab/>
      </w:r>
      <w:r>
        <w:rPr>
          <w:rFonts w:ascii="Times New Roman" w:cs="Times New Roman" w:eastAsia="Times New Roman" w:hAnsi="Times New Roman"/>
          <w:sz w:val="20"/>
          <w:szCs w:val="20"/>
          <w:i w:val="1"/>
          <w:iCs w:val="1"/>
          <w:color w:val="auto"/>
        </w:rPr>
        <w:t>ALLEN &amp; COMPANY LLC</w:t>
      </w:r>
    </w:p>
    <w:p>
      <w:pPr>
        <w:spacing w:after="0" w:line="34" w:lineRule="exact"/>
        <w:rPr>
          <w:sz w:val="20"/>
          <w:szCs w:val="20"/>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i w:val="1"/>
          <w:iCs w:val="1"/>
          <w:color w:val="auto"/>
        </w:rPr>
        <w:t>BofA SECURITIES</w:t>
      </w:r>
      <w:r>
        <w:rPr>
          <w:sz w:val="20"/>
          <w:szCs w:val="20"/>
          <w:color w:val="auto"/>
        </w:rPr>
        <w:tab/>
      </w:r>
      <w:r>
        <w:rPr>
          <w:rFonts w:ascii="Times New Roman" w:cs="Times New Roman" w:eastAsia="Times New Roman" w:hAnsi="Times New Roman"/>
          <w:sz w:val="16"/>
          <w:szCs w:val="16"/>
          <w:i w:val="1"/>
          <w:iCs w:val="1"/>
          <w:color w:val="auto"/>
        </w:rPr>
        <w:t>COWEN</w:t>
      </w:r>
    </w:p>
    <w:p>
      <w:pPr>
        <w:spacing w:after="0" w:line="215" w:lineRule="auto"/>
        <w:tabs>
          <w:tab w:leader="none" w:pos="7700" w:val="left"/>
        </w:tabs>
        <w:rPr>
          <w:sz w:val="20"/>
          <w:szCs w:val="20"/>
          <w:color w:val="auto"/>
        </w:rPr>
      </w:pPr>
      <w:r>
        <w:rPr>
          <w:rFonts w:ascii="Times New Roman" w:cs="Times New Roman" w:eastAsia="Times New Roman" w:hAnsi="Times New Roman"/>
          <w:sz w:val="14"/>
          <w:szCs w:val="14"/>
          <w:i w:val="1"/>
          <w:iCs w:val="1"/>
          <w:color w:val="auto"/>
        </w:rPr>
        <w:t>STIFEL</w:t>
      </w:r>
      <w:r>
        <w:rPr>
          <w:sz w:val="20"/>
          <w:szCs w:val="20"/>
          <w:color w:val="auto"/>
        </w:rPr>
        <w:tab/>
      </w:r>
      <w:r>
        <w:rPr>
          <w:rFonts w:ascii="Times New Roman" w:cs="Times New Roman" w:eastAsia="Times New Roman" w:hAnsi="Times New Roman"/>
          <w:sz w:val="14"/>
          <w:szCs w:val="14"/>
          <w:i w:val="1"/>
          <w:iCs w:val="1"/>
          <w:color w:val="auto"/>
        </w:rPr>
        <w:t>WILLIAM BLAIR</w:t>
      </w:r>
    </w:p>
    <w:p>
      <w:pPr>
        <w:spacing w:after="0"/>
        <w:tabs>
          <w:tab w:leader="none" w:pos="7700" w:val="left"/>
        </w:tabs>
        <w:rPr>
          <w:sz w:val="20"/>
          <w:szCs w:val="20"/>
          <w:color w:val="auto"/>
        </w:rPr>
      </w:pPr>
      <w:r>
        <w:rPr>
          <w:rFonts w:ascii="Times New Roman" w:cs="Times New Roman" w:eastAsia="Times New Roman" w:hAnsi="Times New Roman"/>
          <w:sz w:val="14"/>
          <w:szCs w:val="14"/>
          <w:i w:val="1"/>
          <w:iCs w:val="1"/>
          <w:color w:val="auto"/>
        </w:rPr>
        <w:t>LOOP CAPITAL MARKETS</w:t>
      </w:r>
      <w:r>
        <w:rPr>
          <w:sz w:val="20"/>
          <w:szCs w:val="20"/>
          <w:color w:val="auto"/>
        </w:rPr>
        <w:tab/>
      </w:r>
      <w:r>
        <w:rPr>
          <w:rFonts w:ascii="Times New Roman" w:cs="Times New Roman" w:eastAsia="Times New Roman" w:hAnsi="Times New Roman"/>
          <w:sz w:val="13"/>
          <w:szCs w:val="13"/>
          <w:i w:val="1"/>
          <w:iCs w:val="1"/>
          <w:color w:val="auto"/>
        </w:rPr>
        <w:t>NEEDHAM &amp; COMPANY</w:t>
      </w:r>
    </w:p>
    <w:p>
      <w:pPr>
        <w:spacing w:after="0" w:line="27" w:lineRule="exact"/>
        <w:rPr>
          <w:sz w:val="20"/>
          <w:szCs w:val="20"/>
          <w:color w:val="auto"/>
        </w:rPr>
      </w:pPr>
    </w:p>
    <w:p>
      <w:pPr>
        <w:ind w:left="4600"/>
        <w:spacing w:after="0"/>
        <w:tabs>
          <w:tab w:leader="none" w:pos="6300" w:val="left"/>
        </w:tabs>
        <w:rPr>
          <w:sz w:val="20"/>
          <w:szCs w:val="20"/>
          <w:color w:val="auto"/>
        </w:rPr>
      </w:pPr>
      <w:r>
        <w:rPr>
          <w:rFonts w:ascii="Times New Roman" w:cs="Times New Roman" w:eastAsia="Times New Roman" w:hAnsi="Times New Roman"/>
          <w:sz w:val="16"/>
          <w:szCs w:val="16"/>
          <w:i w:val="1"/>
          <w:iCs w:val="1"/>
          <w:color w:val="auto"/>
        </w:rPr>
        <w:t>Prospectus dated</w:t>
      </w:r>
      <w:r>
        <w:rPr>
          <w:sz w:val="20"/>
          <w:szCs w:val="20"/>
          <w:color w:val="auto"/>
        </w:rPr>
        <w:tab/>
      </w:r>
      <w:r>
        <w:rPr>
          <w:rFonts w:ascii="Times New Roman" w:cs="Times New Roman" w:eastAsia="Times New Roman" w:hAnsi="Times New Roman"/>
          <w:sz w:val="15"/>
          <w:szCs w:val="15"/>
          <w:i w:val="1"/>
          <w:iCs w:val="1"/>
          <w:color w:val="auto"/>
        </w:rPr>
        <w:t>, 2023.</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3"/>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96</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99</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of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of Our Class A Common Stock</w:t>
            </w:r>
          </w:p>
        </w:tc>
        <w:tc>
          <w:tcPr>
            <w:tcW w:w="250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107</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129</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195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81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55816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Labs,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laboratory tests, an Intelligent Diagnostic contextualizes the laboratory test result to a specific patient, by incorporating an individual’s longitudinal clinical data into the result.</w:t>
      </w:r>
    </w:p>
    <w:p>
      <w:pPr>
        <w:spacing w:after="0" w:line="184"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throughout every aspect of diagnostic testing to enable physicians and researchers to make personalized, data-driven decisions that improve patient care. We started in oncology in 2016 and have expanded into neuropsychology, infectious diseases, and cardiology, with aspirations to eventually be in all major disease areas.</w:t>
      </w:r>
    </w:p>
    <w:p>
      <w:pPr>
        <w:spacing w:after="0" w:line="187" w:lineRule="exact"/>
        <w:rPr>
          <w:sz w:val="20"/>
          <w:szCs w:val="20"/>
          <w:color w:val="auto"/>
        </w:rPr>
      </w:pPr>
    </w:p>
    <w:p>
      <w:pPr>
        <w:jc w:val="both"/>
        <w:ind w:left="200" w:firstLine="438"/>
        <w:spacing w:after="0" w:line="288" w:lineRule="auto"/>
        <w:rPr>
          <w:sz w:val="20"/>
          <w:szCs w:val="20"/>
          <w:color w:val="auto"/>
        </w:rPr>
      </w:pPr>
      <w:r>
        <w:rPr>
          <w:rFonts w:ascii="Times New Roman" w:cs="Times New Roman" w:eastAsia="Times New Roman" w:hAnsi="Times New Roman"/>
          <w:sz w:val="16"/>
          <w:szCs w:val="16"/>
          <w:color w:val="auto"/>
        </w:rPr>
        <w:t>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56"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oncology, and other diseases, in the United States. Our Platform connects multiple stakeholders within the larger healthcare ecosystem, often in near real time, to assemble and integrate the data we collect, thereby providing an opportunity for physicians to</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048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50482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make data-driven decisions in the clinic and for researchers to discover and develop therapeutics. We aim to help doctors find the best therapies for their patients, help pharmaceutical and biotechnology companies make the best drugs possible, and enable patients to access emerging therapies and clinical trials when appropriate.</w:t>
      </w:r>
    </w:p>
    <w:p>
      <w:pPr>
        <w:spacing w:after="0" w:line="18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81" w:lineRule="auto"/>
        <w:rPr>
          <w:sz w:val="20"/>
          <w:szCs w:val="20"/>
          <w:color w:val="auto"/>
        </w:rPr>
      </w:pPr>
      <w:r>
        <w:rPr>
          <w:rFonts w:ascii="Times New Roman" w:cs="Times New Roman" w:eastAsia="Times New Roman" w:hAnsi="Times New Roman"/>
          <w:sz w:val="16"/>
          <w:szCs w:val="16"/>
          <w:color w:val="auto"/>
        </w:rPr>
        <w:t>Our Platform includes proprietary software and dedicated data pipelines that create a network of healthcare institutions through more than 300 unique data connections, many of which supply us with complex multimodal data in near real time, across over 1,850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We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and to increase the effectiveness of our clinical trial matching services. In certain circumstances, we may cover the actual direct costs associated with the technical integrations needed to create a data connection.</w:t>
      </w:r>
    </w:p>
    <w:p>
      <w:pPr>
        <w:spacing w:after="0" w:line="16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have launched a suite of different products derived from our Platform, which have gained significant traction over the past five years. In 2020 alone, we performed more than one million diagnostic laboratory tests, and our clinical NGS volume in oncology rose from approximately 31,000 samples in 2018 to approximately 145,000 in 2021. Through September 30, 2022, our offerings have been used by more than 5,000 physicians across hundreds of provider networks, including more than half of all academic medical centers in the United States. Our database of multi-modal, de-identified records has grown to be approximately 28 times the size of The Cancer Genome Atlas, the largest public genomic dataset that we know of in oncology, as we now have approximately 70 petabytes of connected clinical and molecular data. Between our sequencing and data collection efforts, we are connected in some way to more than 40% of all oncologists practicing in the United States.</w:t>
      </w:r>
    </w:p>
    <w:p>
      <w:pPr>
        <w:spacing w:after="0" w:line="189"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revenues. Even though our cancer business was at an early stage, we next expanded into neuropsychology, as we believed our model was extensible across disease areas. Having gained early traction in depression, we moved into infectious disease, which was largely prioritized due to the COVID-19 pandemic. Our next category is in cardiology. Each time we enter a new disease area we look to expand upon the model we deployed in oncology by developing Intelligent Diagnostics connected to clinical data, and by amassing large amounts of de-identified data to advance patient care and accelerate drug discovery and development. Once we obtain sufficient data, we also expect to deploy our AI and machine learning capabilities to build algorithmic diagnostics at scale across diseases.</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415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74155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more than 1,800 employees, including hundreds with diverse expertise across genetics, molecular and computational biology, bioinformatics, regulatory affairs, medical, product and engineering, and data science. Roughly one-third of our team is technical, with approximately 200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generated total revenue of $188.0 million and $257.9 million in the years ended December 31, 2020 and 2021, respectively, and $184.5 million and $220.0 million in the nine months ended September 30, 2021 and 2022, respectively. Revenue generated from COVID-19 testing was $89.5 million, or 47.6% of our total revenue, $94.7 million, or 36.7% of our total revenue for the years ended December 31, 2020 and 2021, and $84.9 million, or 46.0% of our total revenue, and $17.5 million, or 7.9% of our total revenue, for the nine months ended September 30, 2021 and 2022, respectively. We anticipate that demand for, and revenue from, our COVID-19 testing products will continue to decrease in future periods due to the lower prevalence of COVID-19 from successful containment efforts and increased vaccination rates of a substantial majority of Americans, reduced testing needs of many of our clients, and the entrance of other testing providers into the market. We incurred net losses of $209.9 million and $259.2 million in the years ended December 31, 2020 and 2021, respectively, and $200.2 million and $223.7 million in the nine months ended September 30, 2021 and 2022, respectively.</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348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73488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their data warehouse, or their third-party data provider to pull relevant structured and unstructured data that the provider has agreed to make available to us, including longitudinal follow-up data in certain circumstances. We have established relationships with hundreds of provider networks in the United States, including approximately half of all academic medical centers. In addition, we work with numerous industry associations, including the American Society of Clinical Oncology, or ASCO, to structure and distribute the cancer data that they collect as part of CancerLinq, which is their oncology data effort. We also generate data in our three high-throughput diagnostic testing labs in Chicago, Atlanta, and Raleigh, the last of which became operational in 2022 and from which we began offering commercial laboratory tests in the second half of 2022.</w:t>
      </w:r>
    </w:p>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to streamline and help secure this process. Once appropriately de-identified, we store the data in our multimodal database.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8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6581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700 million documents and more than 6.0 million de-identified patient records, including over 1,000,000 with imaging data, more than 660,000 with matched clinical records linked with genomic information, and over 100,000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also retain the rights to broadly commercialize the de-identified data we collect. As our database continues to grow from its current size of approximately 70 petabytes, we believe new AI applications and opportunities will emerge that are only possible with scale that will drive further innovations in patient treatment. The graph below shows our historical database growth and its composition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Algos, in the clinical setting.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48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62484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 We describe below our three product lines— Genomics, Data, and Algos. Genomics revenue was $27.9 million, $151.9 million and $195.0 million for the years ended December 31, 2019, 2020 and 2021, respectively, and $154.5 million and $140.1 million for the nine months ended September 30, 2021 and 2022, respectively. Data revenue was $34.2 million, $36.1 million and $62.8 million for the years ended December 31, 2019, 2020 and 2021, respectively, and $30.0 million and $80.0 million for the nine months ended September 30, 2021 and 2022, respectively. For the years ended December 31, 2019, 2020 and 2021, Genomics represented 45%, 81% and 76%, respectively, and Data represented 55%, 19% and 24%, respectively, of our total revenue. For the years ended December 31, 2020 and 2021, and the nine months ended September 30, 2021 and 2022, revenue generated from Algos was less than $1.0 million and was reported within our Data and other product line.</w:t>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0"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product line leverages our laboratories to provide NGS diagnostics, polymerase chain reaction, or PCR, profiling, molecular genotyping, and other anatomic and molecular pathology testing to healthcare providers, life sciences companies, researchers, and other third parties. We operate robotic sequencing labs in Chicago and Atlanta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In 2022, we operationalized an additional sequencing lab in Raleigh, North Carolina.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72"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neuropsychology;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 – PCR test for COVID-19</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expanded 523 gene panel covering additional fusions and copy number variants, or CNVs, as well as blood tumor mutational burden, or bTMB, and microsatellite instability high, or MSI-H; and</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w:t>
      </w:r>
    </w:p>
    <w:p>
      <w:pPr>
        <w:spacing w:after="0" w:line="213" w:lineRule="exact"/>
        <w:rPr>
          <w:sz w:val="20"/>
          <w:szCs w:val="20"/>
          <w:color w:val="auto"/>
        </w:rPr>
      </w:pPr>
    </w:p>
    <w:p>
      <w:pPr>
        <w:ind w:left="200" w:right="3360" w:firstLine="438"/>
        <w:spacing w:after="0" w:line="267" w:lineRule="auto"/>
        <w:rPr>
          <w:sz w:val="20"/>
          <w:szCs w:val="20"/>
          <w:color w:val="auto"/>
        </w:rPr>
      </w:pPr>
      <w:r>
        <w:rPr>
          <w:rFonts w:ascii="Times New Roman" w:cs="Times New Roman" w:eastAsia="Times New Roman" w:hAnsi="Times New Roman"/>
          <w:sz w:val="18"/>
          <w:szCs w:val="18"/>
          <w:color w:val="auto"/>
        </w:rPr>
        <w:t>We are also currently validating xM, a high coverage methylation sequencing assay for monitoring for cancer recurrence and minimal residual disease.</w:t>
      </w:r>
    </w:p>
    <w:p>
      <w:pPr>
        <w:spacing w:after="0" w:line="170"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As we have continued to expand our laboratory testing offerings and scale, in addition to increasing reimbursement for our tests, we have achieved continued improved margins. Genomics margin, adjusted for the</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790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77908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impact of COVID-19 testing, was (42%), (21%), 4% and 25% for the years ended December 31, 2019, 2020, 2021 and the nine months ended September 30, 2022, respectively.</w:t>
      </w:r>
    </w:p>
    <w:p>
      <w:pPr>
        <w:spacing w:after="0" w:line="17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clinical and molecular oncology datasets in the world, which we make available to physicians and life sciences companies. Because our Platform is designed to be extensible across disease areas, we hope, over time, to have similar success in neuropsychology, cardiology, infectious disease, and the other disease categories in which we choose to expand.</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w:t>
      </w:r>
      <w:r>
        <w:rPr>
          <w:rFonts w:ascii="Times New Roman" w:cs="Times New Roman" w:eastAsia="Times New Roman" w:hAnsi="Times New Roman"/>
          <w:sz w:val="18"/>
          <w:szCs w:val="18"/>
          <w:i w:val="1"/>
          <w:iCs w:val="1"/>
          <w:color w:val="auto"/>
        </w:rPr>
        <w:t>Insights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xml:space="preserve">. Through our </w:t>
      </w:r>
      <w:r>
        <w:rPr>
          <w:rFonts w:ascii="Times New Roman" w:cs="Times New Roman" w:eastAsia="Times New Roman" w:hAnsi="Times New Roman"/>
          <w:sz w:val="18"/>
          <w:szCs w:val="18"/>
          <w:i w:val="1"/>
          <w:iCs w:val="1"/>
          <w:color w:val="auto"/>
        </w:rPr>
        <w:t>Insights</w:t>
      </w:r>
      <w:r>
        <w:rPr>
          <w:rFonts w:ascii="Times New Roman" w:cs="Times New Roman" w:eastAsia="Times New Roman" w:hAnsi="Times New Roman"/>
          <w:sz w:val="18"/>
          <w:szCs w:val="18"/>
          <w:color w:val="auto"/>
        </w:rPr>
        <w:t xml:space="preserve">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 from discovery, research and development, to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200" w:firstLine="438"/>
        <w:spacing w:after="0" w:line="293" w:lineRule="auto"/>
        <w:rPr>
          <w:sz w:val="20"/>
          <w:szCs w:val="20"/>
          <w:color w:val="auto"/>
        </w:rPr>
      </w:pPr>
      <w:r>
        <w:rPr>
          <w:rFonts w:ascii="Times New Roman" w:cs="Times New Roman" w:eastAsia="Times New Roman" w:hAnsi="Times New Roman"/>
          <w:sz w:val="16"/>
          <w:szCs w:val="16"/>
          <w:color w:val="auto"/>
        </w:rPr>
        <w:t>Customers either pay us on a per file basis or through multi-year data licensing agreements to access our de-identified database of clinical records. At present, we work with 16 of the 20 largest public pharmaceutical companies based on 2020 revenue, and as of September 30, 2022 and December 31, 2022, we have signed contracts with a remaining total contract value of $713 million and greater than $800 million, respectively. a majority of which we expect to deliver over the next several years. See “Business” for additional discussion regarding our remaining total contract value.</w:t>
      </w:r>
    </w:p>
    <w:p>
      <w:pPr>
        <w:sectPr>
          <w:pgSz w:w="11900" w:h="16838" w:orient="portrait"/>
          <w:cols w:equalWidth="0" w:num="1">
            <w:col w:w="11160"/>
          </w:cols>
          <w:pgMar w:left="320" w:top="448" w:right="419" w:bottom="1440" w:gutter="0" w:footer="0" w:header="0"/>
        </w:sectPr>
      </w:pP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60"/>
          </w:cols>
          <w:pgMar w:left="320" w:top="448" w:right="4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84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38474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over time, the value of a single de-identified record can increase over time.</w:t>
      </w:r>
    </w:p>
    <w:p>
      <w:pPr>
        <w:spacing w:after="0" w:line="18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other in the Consolidated Statement of Operations. Cost of revenues, data and other were $7.1 million and $11.9 million for the years ended December 31, 2020 and 2021, respectively. These costs represent 19.6% and 19.0% of data and other revenue for the years ended December 31, 2020 and 2021, respectively.</w:t>
      </w:r>
    </w:p>
    <w:p>
      <w:pPr>
        <w:spacing w:after="0" w:line="194"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2018, the first full year that we operated a laboratory, we sequenced samples from approximately 7,500 patients. From that 2018 cohort of sequenced patients, through September 30, 2022, we generated $56.6 million of combined revenue from sequencing, data licensing of de-identified data derived from those records, and clinical trials matching, which is approximately 6.3 times the revenue we received from sequencing at the onset.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September 30, 2022, the 2018 “Cohort Lifetime Value” for this cohort was $39.2 million. We maintained similar trends for the 2019, 2020 and 2021 cohorts. As of September 30, 2022, the 2019 “Cohort Lifetime Value” was $42.6 million, the 2020 “Cohort Lifetime Value” was $36.2 million and the 2021 “Cohort Lifetime Value” was $38.3 million.</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448"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798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67989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“Cohort Lifetime Value” for the 2018, 2019, 2020 and 2021 data cohorts is illustrated in the graphs below. Figures shown in “2022 Data Revenue” represent revenue through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320" w:top="448"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8265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8265795"/>
                    </a:xfrm>
                    <a:prstGeom prst="rect">
                      <a:avLst/>
                    </a:prstGeom>
                    <a:noFill/>
                  </pic:spPr>
                </pic:pic>
              </a:graphicData>
            </a:graphic>
          </wp:anchor>
        </w:drawing>
      </w:r>
    </w:p>
    <w:p>
      <w:pPr>
        <w:sectPr>
          <w:pgSz w:w="11900" w:h="16838" w:orient="portrait"/>
          <w:cols w:equalWidth="0" w:num="1">
            <w:col w:w="11160"/>
          </w:cols>
          <w:pgMar w:left="320" w:top="44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 xml:space="preserve">Our second product within our Data product line,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is designed to leverage the broad network of physicians we work with in oncology to provide clinical trial matching services for pharmaceutical companies that are looking to reach hard-to-find and underserved patient populations. Our clinical trial matching product is built on top of our near real-time data feeds and harnesses AI to accelerate the connection between patients, clinical trial providers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2,600 oncologists fully enrolled, more than 175 clinical trials signed into the network, and more than 15,000 patients were identified for potential enrollment into clinical trials in our network, as of September 30, 2022.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0" w:lineRule="exact"/>
        <w:rPr>
          <w:sz w:val="20"/>
          <w:szCs w:val="20"/>
          <w:color w:val="auto"/>
        </w:rPr>
      </w:pPr>
    </w:p>
    <w:p>
      <w:pPr>
        <w:jc w:val="both"/>
        <w:ind w:left="200" w:firstLine="438"/>
        <w:spacing w:after="0" w:line="270" w:lineRule="auto"/>
        <w:rPr>
          <w:sz w:val="20"/>
          <w:szCs w:val="20"/>
          <w:color w:val="auto"/>
        </w:rPr>
      </w:pPr>
      <w:r>
        <w:rPr>
          <w:rFonts w:ascii="Times New Roman" w:cs="Times New Roman" w:eastAsia="Times New Roman" w:hAnsi="Times New Roman"/>
          <w:sz w:val="18"/>
          <w:szCs w:val="18"/>
          <w:color w:val="auto"/>
        </w:rPr>
        <w:t xml:space="preserve">Our newest product line,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focuses on developing and providing diagnostics that are algorithmic in nature. Algos are tests that can be run without additional chemistry or biology; they are simply 0’s and 1’s</w:t>
      </w:r>
    </w:p>
    <w:p>
      <w:pPr>
        <w:sectPr>
          <w:pgSz w:w="11900" w:h="16838" w:orient="portrait"/>
          <w:cols w:equalWidth="0" w:num="1">
            <w:col w:w="11160"/>
          </w:cols>
          <w:pgMar w:left="320" w:top="448" w:right="419" w:bottom="1440" w:gutter="0" w:footer="0" w:header="0"/>
          <w:type w:val="continuous"/>
        </w:sectPr>
      </w:pP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81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59817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running on digitized data derived from a laboratory test. Algos leverage AI-driven insights to produce clinically validated and actionable information for physicians.</w:t>
      </w:r>
    </w:p>
    <w:p>
      <w:pPr>
        <w:spacing w:after="0" w:line="17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currently offer three algorithmic tests in oncology: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(CPIC).</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are also developing Algos in other disease areas. In cardiology, for example, we are also developing algorithmic models that aid clinicians in identifying patients at increased risk of developing atrial fibrillation, or AFib, along with a variety of other cardiac conditions. These Algos are trained using de-identified data derived from approximately 3.2 million electrocardiograms, or ECGs, across approximately 600,000 patients, with decades of longitudinal connected clinical data, including outcome and response data. As part of this initiative, the U.S. Food and Drug Administration, or FDA, recently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w:t>
      </w:r>
    </w:p>
    <w:p>
      <w:pPr>
        <w:spacing w:after="0" w:line="186"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Algos product line represents an emerging category of diagnostics and has the potential to be highly disruptive across diagnostic tests in a broad set of disease areas. We believe that as our database grows, we will be able to expand our Algos offering, representing a significant long-term opportunity that may be substantially larger than our other existing product lines. We believe our ability to launch Algos at scale could be a unique differentiator of our Platform. For Algos, we use data the same way legacy diagnostic companies use chemistry in the battle against disease, improving patient care by learning from the patients who have come before, and tailoring test results based on a patient’s unique profile. While we only have three commercially deployed Algos tests at present, we have a goal of launching at least 50 Algos by year end 2025. Some Algos will likely yield little to no reimbursement until their clinical utility is well established, and some may obtain reimbursement at prevailing rates for comparable tests. Through December 31, 2022, our Algos have been ordered approximately 20,000 times and have generated approximately $100 per test on average.</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and infectious diseases, in which there is over $4 trillion of economic burden according to publicly available sources.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981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69818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third party research for “real world evidence”, as estimated according to Mordor Intelligence and our internal estimates. Over time, we believe that the potential market opportunity for our Algos product line could be substantially larger than our other product lines combined.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product line is powered by dedicated, near real-time data pipelines that we believe are increasingly difficult to replicate; and our proprietary technology has allowed us to scale where others have been unable. As we are now connected to more than 40% of all oncologists practicing in the United States in some way, and a growing number of neuropsychiatric, infectious disease,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06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59067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a glimpse into how these technologies might influence care over time:</w:t>
      </w:r>
    </w:p>
    <w:p>
      <w:pPr>
        <w:spacing w:after="0" w:line="211" w:lineRule="exact"/>
        <w:rPr>
          <w:sz w:val="20"/>
          <w:szCs w:val="20"/>
          <w:color w:val="auto"/>
        </w:rPr>
      </w:pPr>
    </w:p>
    <w:p>
      <w:pPr>
        <w:jc w:val="both"/>
        <w:ind w:left="200" w:firstLine="438"/>
        <w:spacing w:after="0" w:line="256" w:lineRule="auto"/>
        <w:rPr>
          <w:sz w:val="20"/>
          <w:szCs w:val="20"/>
          <w:color w:val="auto"/>
        </w:rPr>
      </w:pPr>
      <w:r>
        <w:rPr>
          <w:rFonts w:ascii="Times New Roman" w:cs="Times New Roman" w:eastAsia="Times New Roman" w:hAnsi="Times New Roman"/>
          <w:sz w:val="18"/>
          <w:szCs w:val="18"/>
          <w:i w:val="1"/>
          <w:iCs w:val="1"/>
          <w:color w:val="auto"/>
        </w:rPr>
        <w:t>Imagine the world as it exists today. A 44 year old female feels a lump in her left breast. She sees her gynecologist, who orders a biopsy. The patient is diagnosed with triple negative breast cancer, which has metastasized to her lung. The patient is prescribed chemotherapy (paclitaxel), but her tumors don’t respond. Despite another course of chemotherapy (capecitabine), the patient’s survival rate is limited to approximately a year.</w:t>
      </w:r>
    </w:p>
    <w:p>
      <w:pPr>
        <w:spacing w:after="0" w:line="178" w:lineRule="exact"/>
        <w:rPr>
          <w:sz w:val="20"/>
          <w:szCs w:val="20"/>
          <w:color w:val="auto"/>
        </w:rPr>
      </w:pPr>
    </w:p>
    <w:p>
      <w:pPr>
        <w:jc w:val="both"/>
        <w:ind w:left="200" w:firstLine="438"/>
        <w:spacing w:after="0" w:line="256" w:lineRule="auto"/>
        <w:rPr>
          <w:sz w:val="20"/>
          <w:szCs w:val="20"/>
          <w:color w:val="auto"/>
        </w:rPr>
      </w:pPr>
      <w:r>
        <w:rPr>
          <w:rFonts w:ascii="Times New Roman" w:cs="Times New Roman" w:eastAsia="Times New Roman" w:hAnsi="Times New Roman"/>
          <w:sz w:val="18"/>
          <w:szCs w:val="18"/>
          <w:i w:val="1"/>
          <w:iCs w:val="1"/>
          <w:color w:val="auto"/>
        </w:rPr>
        <w:t>Now imagine a future world, where artificial intelligence and technology combine at scale to revolutionize treatment options. Not only does the same 44 year old patient receive a biopsy and scans, but her physician has access to a wealth of clinically relevant information including her clinical history, pathology images, germline, and tumor molecular profile to better inform precision care:</w:t>
      </w:r>
    </w:p>
    <w:p>
      <w:pPr>
        <w:spacing w:after="0" w:line="204" w:lineRule="exact"/>
        <w:rPr>
          <w:sz w:val="20"/>
          <w:szCs w:val="20"/>
          <w:color w:val="auto"/>
        </w:rPr>
      </w:pPr>
    </w:p>
    <w:p>
      <w:pPr>
        <w:jc w:val="both"/>
        <w:ind w:left="1160" w:right="20" w:hanging="268"/>
        <w:spacing w:after="0" w:line="256" w:lineRule="auto"/>
        <w:tabs>
          <w:tab w:leader="none" w:pos="1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Once the patient receives a biopsy, her diagnostic pathology slides are automatically connected to Tempus’ cloud platform. Within minutes, dozens of diagnostic algorithms run on her pathology images. Of note, the algorithm suggests the patient has HRD and an overexpression of c-Met protein.</w:t>
      </w:r>
    </w:p>
    <w:p>
      <w:pPr>
        <w:spacing w:after="0" w:line="204" w:lineRule="exact"/>
        <w:rPr>
          <w:rFonts w:ascii="Times New Roman" w:cs="Times New Roman" w:eastAsia="Times New Roman" w:hAnsi="Times New Roman"/>
          <w:sz w:val="18"/>
          <w:szCs w:val="18"/>
          <w:i w:val="1"/>
          <w:iCs w:val="1"/>
          <w:color w:val="auto"/>
        </w:rPr>
      </w:pPr>
    </w:p>
    <w:p>
      <w:pPr>
        <w:jc w:val="both"/>
        <w:ind w:left="1160" w:hanging="268"/>
        <w:spacing w:after="0" w:line="256" w:lineRule="auto"/>
        <w:tabs>
          <w:tab w:leader="none" w:pos="1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patient’s physician orders molecular profiling of her tumor using Tempus’ whole genome &amp; whole transcriptome assay. The results confirm the patient is HRD positive and c-Met amplified. Sequencing also reveals the patient has high expression levels of CD4O along with loss of heterozygosity for HLA A*01:01 in her tumor and is eligible for an immunotherapy trial targeting CD40.</w:t>
      </w:r>
    </w:p>
    <w:p>
      <w:pPr>
        <w:spacing w:after="0" w:line="204" w:lineRule="exact"/>
        <w:rPr>
          <w:rFonts w:ascii="Times New Roman" w:cs="Times New Roman" w:eastAsia="Times New Roman" w:hAnsi="Times New Roman"/>
          <w:sz w:val="18"/>
          <w:szCs w:val="18"/>
          <w:i w:val="1"/>
          <w:iCs w:val="1"/>
          <w:color w:val="auto"/>
        </w:rPr>
      </w:pPr>
    </w:p>
    <w:p>
      <w:pPr>
        <w:jc w:val="both"/>
        <w:ind w:left="1160" w:right="20" w:hanging="268"/>
        <w:spacing w:after="0" w:line="256" w:lineRule="auto"/>
        <w:tabs>
          <w:tab w:leader="none" w:pos="1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Tempus automatically scans the patient’s clinical history, which reveals that the patient had an ECG at her last visit. Tempus runs a body of cardiology-focused algorithms against the ECG and detects a high probability of developing atrial fibrillation, a potentially serious condition the patient and physician were unaware of.</w:t>
      </w:r>
    </w:p>
    <w:p>
      <w:pPr>
        <w:spacing w:after="0" w:line="178"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With access to both multimodal data and artificial intelligence, the physician prescribes a different course of treatment. Her oncologist starts with a PARP inhibitor to address her HRD status, and surgical ablation to address her atrial fibrillation. The patient also enrolls in an immunotherapy clinical trial, which begins after chemotherapy, with an immunotherapy drug targeting CD40. The patient responds well, having a complete radiologic response with no tumors in her breast or lung. Her physician orders quarterly minimal residual disease testing using Tempus’ cell free DNA assay, and the patient is routinely monitored on an annual basis thereafter.</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5580" w:right="200" w:hanging="4688"/>
        <w:spacing w:after="0" w:line="648" w:lineRule="auto"/>
        <w:tabs>
          <w:tab w:leader="none" w:pos="11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both a technology company and a healthcare company, allowing us to harness the advantages of both to advance precision medicine. 13</w:t>
      </w:r>
    </w:p>
    <w:p>
      <w:pPr>
        <w:sectPr>
          <w:pgSz w:w="11900" w:h="16838" w:orient="portrait"/>
          <w:cols w:equalWidth="0" w:num="1">
            <w:col w:w="11160"/>
          </w:cols>
          <w:pgMar w:left="320" w:top="44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89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5989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Algos at scale.</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neuropsychology, infectious disease,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w:t>
      </w:r>
    </w:p>
    <w:p>
      <w:pPr>
        <w:spacing w:after="0" w:line="88"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65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59651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our tests, our business, financial condition and results of operations will be negatively affected.</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88" w:lineRule="exact"/>
        <w:rPr>
          <w:rFonts w:ascii="Times New Roman" w:cs="Times New Roman" w:eastAsia="Times New Roman" w:hAnsi="Times New Roman"/>
          <w:sz w:val="18"/>
          <w:szCs w:val="18"/>
          <w:color w:val="auto"/>
        </w:rPr>
      </w:pPr>
    </w:p>
    <w:p>
      <w:pPr>
        <w:jc w:val="both"/>
        <w:ind w:left="1160" w:right="20" w:hanging="268"/>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and any future debt may affect our flexibility in operating and developing our business and our ability to satisfy our obligations.</w:t>
      </w: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We were originally formed under the name Bioin LLC in Delaware in August 2015 and we converted to a Delaware corporation in September 2015 under the name Bioin Inc. We changed our name to Tempus Health,</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447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34474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1" w:lineRule="auto"/>
        <w:rPr>
          <w:sz w:val="20"/>
          <w:szCs w:val="20"/>
          <w:color w:val="auto"/>
        </w:rPr>
      </w:pPr>
      <w:r>
        <w:rPr>
          <w:rFonts w:ascii="Times New Roman" w:cs="Times New Roman" w:eastAsia="Times New Roman" w:hAnsi="Times New Roman"/>
          <w:sz w:val="18"/>
          <w:szCs w:val="18"/>
          <w:color w:val="auto"/>
        </w:rPr>
        <w:t>Inc. later in 2015 and in 2016, we changed our name to Tempus Labs,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84"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Labs, Inc. or our subsidiaries. Other trade names, trademarks and service marks used in this prospectus are the property of their respective owners.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$1.235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98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7981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642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the selling stockholders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22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net proceeds from the sale of our Class A common</w:t>
      </w:r>
    </w:p>
    <w:p>
      <w:pPr>
        <w:spacing w:after="0" w:line="21"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stock that we are offering will be approximately $</w:t>
      </w:r>
      <w:r>
        <w:rPr>
          <w:sz w:val="20"/>
          <w:szCs w:val="20"/>
          <w:color w:val="auto"/>
        </w:rPr>
        <w:tab/>
      </w:r>
      <w:r>
        <w:rPr>
          <w:rFonts w:ascii="Times New Roman" w:cs="Times New Roman" w:eastAsia="Times New Roman" w:hAnsi="Times New Roman"/>
          <w:sz w:val="16"/>
          <w:szCs w:val="16"/>
          <w:color w:val="auto"/>
        </w:rPr>
        <w:t>million,</w:t>
      </w:r>
    </w:p>
    <w:p>
      <w:pPr>
        <w:spacing w:after="0" w:line="3"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assuming an initial public offering price of $</w:t>
      </w:r>
      <w:r>
        <w:rPr>
          <w:sz w:val="20"/>
          <w:szCs w:val="20"/>
          <w:color w:val="auto"/>
        </w:rPr>
        <w:tab/>
      </w:r>
      <w:r>
        <w:rPr>
          <w:rFonts w:ascii="Times New Roman" w:cs="Times New Roman" w:eastAsia="Times New Roman" w:hAnsi="Times New Roman"/>
          <w:sz w:val="18"/>
          <w:szCs w:val="18"/>
          <w:color w:val="auto"/>
        </w:rPr>
        <w:t>per share, the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 common stock will automatically convert into shares of Class A common stock in certain circumstances,</w:t>
      </w:r>
    </w:p>
    <w:p>
      <w:pPr>
        <w:spacing w:after="0" w:line="200" w:lineRule="exact"/>
        <w:rPr>
          <w:sz w:val="20"/>
          <w:szCs w:val="20"/>
          <w:color w:val="auto"/>
        </w:rPr>
      </w:pPr>
    </w:p>
    <w:p>
      <w:pPr>
        <w:sectPr>
          <w:pgSz w:w="11900" w:h="16838" w:orient="portrait"/>
          <w:cols w:equalWidth="0" w:num="2">
            <w:col w:w="5620" w:space="280"/>
            <w:col w:w="5260"/>
          </w:cols>
          <w:pgMar w:left="320" w:top="448" w:right="419" w:bottom="1440" w:gutter="0" w:footer="0" w:header="0"/>
          <w:type w:val="continuous"/>
        </w:sectPr>
      </w:pP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364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53644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including on the date that Eric Lefkofsky, our Chief Executive Officer,</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Founder and Chairman (1) ceases to serve as an executive officer or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member of our Board of Directors or (2) ceases to own, together with 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controlled entities, at least 10,000,000 shares of our capital stock (as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adjusted for stock splits, stock dividends, combinations, subdivisions and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8"/>
              </w:rPr>
              <w:t>generally vote together as a single class, unless otherwise required by law</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7"/>
              </w:rPr>
              <w:t>Founder and Chairman, Eric Lefkofsky, will beneficially own 100% of our</w:t>
            </w:r>
          </w:p>
        </w:tc>
      </w:tr>
      <w:tr>
        <w:trPr>
          <w:trHeight w:val="210"/>
        </w:trPr>
        <w:tc>
          <w:tcPr>
            <w:tcW w:w="3720" w:type="dxa"/>
            <w:vAlign w:val="bottom"/>
          </w:tcPr>
          <w:p>
            <w:pPr>
              <w:spacing w:after="0"/>
              <w:rPr>
                <w:sz w:val="18"/>
                <w:szCs w:val="18"/>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outstanding Class B common stock and will hold approximately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9"/>
              </w:rPr>
              <w:t>outcome of matters submitted to our stockholders for approval, including</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transaction. See the sections titled “Principal and Selling Stockholders”</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tc>
        <w:tc>
          <w:tcPr>
            <w:tcW w:w="500" w:type="dxa"/>
            <w:vAlign w:val="bottom"/>
          </w:tcPr>
          <w:p>
            <w:pPr>
              <w:spacing w:after="0"/>
              <w:rPr>
                <w:sz w:val="19"/>
                <w:szCs w:val="19"/>
                <w:color w:val="auto"/>
              </w:rPr>
            </w:pPr>
          </w:p>
        </w:tc>
      </w:tr>
      <w:tr>
        <w:trPr>
          <w:trHeight w:val="27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You should carefully read the section titled “Risk Factors” beginning on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page 24 and the other information included in this prospectus for a</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discussion of facts that you should consider before deciding to invest in</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shares of our Class A common stock.</w:t>
            </w:r>
          </w:p>
        </w:tc>
        <w:tc>
          <w:tcPr>
            <w:tcW w:w="500" w:type="dxa"/>
            <w:vAlign w:val="bottom"/>
          </w:tcPr>
          <w:p>
            <w:pPr>
              <w:spacing w:after="0"/>
              <w:rPr>
                <w:sz w:val="19"/>
                <w:szCs w:val="19"/>
                <w:color w:val="auto"/>
              </w:rPr>
            </w:pPr>
          </w:p>
        </w:tc>
      </w:tr>
      <w:tr>
        <w:trPr>
          <w:trHeight w:val="27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Proposed trading symbol</w:t>
            </w: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“TL”</w:t>
            </w:r>
          </w:p>
        </w:tc>
        <w:tc>
          <w:tcPr>
            <w:tcW w:w="500" w:type="dxa"/>
            <w:vAlign w:val="bottom"/>
          </w:tcPr>
          <w:p>
            <w:pPr>
              <w:spacing w:after="0"/>
              <w:rPr>
                <w:sz w:val="23"/>
                <w:szCs w:val="23"/>
                <w:color w:val="auto"/>
              </w:rPr>
            </w:pPr>
          </w:p>
        </w:tc>
      </w:tr>
    </w:tbl>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w:t>
      </w:r>
    </w:p>
    <w:p>
      <w:pPr>
        <w:spacing w:after="0" w:line="4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18"/>
          <w:szCs w:val="18"/>
          <w:color w:val="auto"/>
        </w:rPr>
        <w:t>based on shares of Class A common stock and 5,374,899 shares of Class B common stock outstanding as of (assuming the conversion of all outstanding shares of redeemable convertible preferred stock, other than our Series B redeemable convertible preferred stock and non-voting common stock into Class A common stock and all outstanding shares of Series B redeemable convertible preferred stock into Class B common stock as described below) and excludes:</w:t>
      </w:r>
    </w:p>
    <w:p>
      <w:pPr>
        <w:spacing w:after="0" w:line="99" w:lineRule="exact"/>
        <w:rPr>
          <w:sz w:val="20"/>
          <w:szCs w:val="20"/>
          <w:color w:val="auto"/>
        </w:rPr>
      </w:pPr>
    </w:p>
    <w:p>
      <w:pPr>
        <w:jc w:val="both"/>
        <w:ind w:left="1160" w:hanging="535"/>
        <w:spacing w:after="0" w:line="281" w:lineRule="auto"/>
        <w:tabs>
          <w:tab w:leader="none" w:pos="170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restricted stock units, or RSUs, outstanding as of September 30, 2022 under our Third Amended and Restated 2015 Stock Plan, as amended, or 2015 Plan, for which the performance-based vesting condition will be satisfied in connection with this offering, but for which the service-based vesting condition will not be satisfied on or before</w:t>
      </w:r>
    </w:p>
    <w:p>
      <w:pPr>
        <w:spacing w:after="0" w:line="1" w:lineRule="exact"/>
        <w:rPr>
          <w:rFonts w:ascii="Times New Roman" w:cs="Times New Roman" w:eastAsia="Times New Roman" w:hAnsi="Times New Roman"/>
          <w:sz w:val="16"/>
          <w:szCs w:val="16"/>
          <w:color w:val="auto"/>
        </w:rPr>
      </w:pPr>
    </w:p>
    <w:p>
      <w:pPr>
        <w:ind w:left="1780" w:hanging="92"/>
        <w:spacing w:after="0"/>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w:t>
      </w:r>
    </w:p>
    <w:p>
      <w:pPr>
        <w:spacing w:after="0" w:line="103" w:lineRule="exact"/>
        <w:rPr>
          <w:rFonts w:ascii="Times New Roman" w:cs="Times New Roman" w:eastAsia="Times New Roman" w:hAnsi="Times New Roman"/>
          <w:sz w:val="18"/>
          <w:szCs w:val="18"/>
          <w:color w:val="auto"/>
        </w:rPr>
      </w:pPr>
    </w:p>
    <w:p>
      <w:pPr>
        <w:ind w:left="1160" w:hanging="535"/>
        <w:spacing w:after="0" w:line="267" w:lineRule="auto"/>
        <w:tabs>
          <w:tab w:leader="none" w:pos="17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that may become issuable upon the vesting and settlement of Performance-Vesting Restricted Stock Units, or PSUs, outstanding as of September 30, 2022 under our</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39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61398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2015 Plan, for which the performance-based vesting condition may be satisfied in connection with this offering, but for which the service-</w:t>
      </w:r>
    </w:p>
    <w:p>
      <w:pPr>
        <w:spacing w:after="0" w:line="21" w:lineRule="exact"/>
        <w:rPr>
          <w:sz w:val="20"/>
          <w:szCs w:val="20"/>
          <w:color w:val="auto"/>
        </w:rPr>
      </w:pPr>
    </w:p>
    <w:tbl>
      <w:tblPr>
        <w:tblLayout w:type="fixed"/>
        <w:tblInd w:w="1180" w:type="dxa"/>
        <w:tblCellMar>
          <w:top w:w="0" w:type="dxa"/>
          <w:left w:w="0" w:type="dxa"/>
          <w:bottom w:w="0" w:type="dxa"/>
          <w:right w:w="0" w:type="dxa"/>
        </w:tblCellMar>
      </w:tblP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jc w:val="both"/>
        <w:ind w:left="1160" w:right="20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Equity Incentive Plan, or 2022 Plan, as well as any future increases, including annual automatic evergreen increases, in the number of shares of Class A common stock reserved for issuance under the 2022 Plan;</w:t>
      </w:r>
    </w:p>
    <w:p>
      <w:pPr>
        <w:spacing w:after="0" w:line="88" w:lineRule="exact"/>
        <w:rPr>
          <w:rFonts w:ascii="Times New Roman" w:cs="Times New Roman" w:eastAsia="Times New Roman" w:hAnsi="Times New Roman"/>
          <w:sz w:val="18"/>
          <w:szCs w:val="18"/>
          <w:color w:val="auto"/>
        </w:rPr>
      </w:pPr>
    </w:p>
    <w:p>
      <w:pPr>
        <w:jc w:val="both"/>
        <w:ind w:left="1160" w:right="18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our 2022 Employee Stock Purchase Plan, or the ESPP, as well as any future increases, including annual automatic evergreen increases,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160" w:right="18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September 30, 2022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right="200" w:hanging="535"/>
        <w:spacing w:after="0" w:line="249"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$228.0 million as of September 30, 2022)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AB with an exercise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equal to the initial public offering price, as more fully described in the section of this prospectus titled “Business—Operations—Our Strategic</w:t>
            </w:r>
          </w:p>
        </w:tc>
      </w:tr>
      <w:tr>
        <w:trPr>
          <w:trHeight w:val="228"/>
        </w:trPr>
        <w:tc>
          <w:tcPr>
            <w:tcW w:w="300" w:type="dxa"/>
            <w:vAlign w:val="bottom"/>
          </w:tcPr>
          <w:p>
            <w:pPr>
              <w:spacing w:after="0"/>
              <w:rPr>
                <w:sz w:val="19"/>
                <w:szCs w:val="19"/>
                <w:color w:val="auto"/>
              </w:rPr>
            </w:pPr>
          </w:p>
        </w:tc>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with AstraZeneca”;</w:t>
            </w:r>
          </w:p>
        </w:tc>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w:t>
            </w:r>
          </w:p>
        </w:tc>
      </w:tr>
    </w:tbl>
    <w:p>
      <w:pPr>
        <w:jc w:val="both"/>
        <w:ind w:left="1160" w:right="180"/>
        <w:spacing w:after="0" w:line="245"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issuable to one of our stockholders pursuant to a contingent payment right, which payment may be made in cash or shares of Class A common stock, upon mutual agreement of the Company and such stockholder; and</w:t>
      </w:r>
    </w:p>
    <w:p>
      <w:pPr>
        <w:spacing w:after="0" w:line="97" w:lineRule="exact"/>
        <w:rPr>
          <w:sz w:val="20"/>
          <w:szCs w:val="20"/>
          <w:color w:val="auto"/>
        </w:rPr>
      </w:pPr>
    </w:p>
    <w:p>
      <w:pPr>
        <w:jc w:val="both"/>
        <w:ind w:left="1160" w:right="180" w:hanging="535"/>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80" w:lineRule="exact"/>
        <w:rPr>
          <w:sz w:val="20"/>
          <w:szCs w:val="20"/>
          <w:color w:val="auto"/>
        </w:rPr>
      </w:pPr>
    </w:p>
    <w:p>
      <w:pPr>
        <w:ind w:left="200" w:right="18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0" w:hanging="535"/>
        <w:spacing w:after="0" w:line="26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right="200" w:hanging="535"/>
        <w:spacing w:after="0" w:line="26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redeemable convertible preferred stock, other than our Series B redeemable convertible preferred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into an aggregate of</w:t>
            </w:r>
          </w:p>
        </w:tc>
        <w:tc>
          <w:tcPr>
            <w:tcW w:w="63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per share, the</w:t>
            </w:r>
          </w:p>
        </w:tc>
      </w:tr>
      <w:tr>
        <w:trPr>
          <w:trHeight w:val="228"/>
        </w:trPr>
        <w:tc>
          <w:tcPr>
            <w:tcW w:w="920" w:type="dxa"/>
            <w:vAlign w:val="bottom"/>
          </w:tcPr>
          <w:p>
            <w:pPr>
              <w:spacing w:after="0"/>
              <w:rPr>
                <w:sz w:val="19"/>
                <w:szCs w:val="19"/>
                <w:color w:val="auto"/>
              </w:rPr>
            </w:pPr>
          </w:p>
        </w:tc>
        <w:tc>
          <w:tcPr>
            <w:tcW w:w="10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which will occur upon the closing of this offering;</w:t>
            </w:r>
          </w:p>
        </w:tc>
      </w:tr>
      <w:tr>
        <w:trPr>
          <w:trHeight w:val="310"/>
        </w:trPr>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7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additional shares of Class A common stock, which we refer to as the Additional Class A Conversion Shares, upon the</w:t>
            </w:r>
          </w:p>
        </w:tc>
      </w:tr>
      <w:tr>
        <w:trPr>
          <w:trHeight w:val="228"/>
        </w:trPr>
        <w:tc>
          <w:tcPr>
            <w:tcW w:w="920" w:type="dxa"/>
            <w:vAlign w:val="bottom"/>
          </w:tcPr>
          <w:p>
            <w:pPr>
              <w:spacing w:after="0"/>
              <w:rPr>
                <w:sz w:val="19"/>
                <w:szCs w:val="19"/>
                <w:color w:val="auto"/>
              </w:rPr>
            </w:pPr>
          </w:p>
        </w:tc>
        <w:tc>
          <w:tcPr>
            <w:tcW w:w="8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conversion of all outstanding shares of our</w:t>
            </w:r>
          </w:p>
        </w:tc>
        <w:tc>
          <w:tcPr>
            <w:tcW w:w="1520" w:type="dxa"/>
            <w:vAlign w:val="bottom"/>
          </w:tcPr>
          <w:p>
            <w:pPr>
              <w:spacing w:after="0"/>
              <w:rPr>
                <w:sz w:val="19"/>
                <w:szCs w:val="19"/>
                <w:color w:val="auto"/>
              </w:rPr>
            </w:pPr>
          </w:p>
        </w:tc>
      </w:tr>
      <w:tr>
        <w:trPr>
          <w:trHeight w:val="168"/>
        </w:trPr>
        <w:tc>
          <w:tcPr>
            <w:tcW w:w="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351"/>
        </w:trPr>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60" w:type="dxa"/>
            <w:vAlign w:val="bottom"/>
          </w:tcPr>
          <w:p>
            <w:pPr>
              <w:jc w:val="right"/>
              <w:ind w:right="3972"/>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5897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45897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redeemable convertible preferred stock upon the closing of this offering, pursuant to provisions of our certificate of incorporation as currently</w:t>
      </w:r>
    </w:p>
    <w:p>
      <w:pPr>
        <w:spacing w:after="0" w:line="44" w:lineRule="exact"/>
        <w:rPr>
          <w:sz w:val="20"/>
          <w:szCs w:val="20"/>
          <w:color w:val="auto"/>
        </w:rPr>
      </w:pPr>
    </w:p>
    <w:p>
      <w:pPr>
        <w:ind w:left="1180" w:right="180"/>
        <w:spacing w:after="0" w:line="247" w:lineRule="auto"/>
        <w:rPr>
          <w:sz w:val="20"/>
          <w:szCs w:val="20"/>
          <w:color w:val="auto"/>
        </w:rPr>
      </w:pPr>
      <w:r>
        <w:rPr>
          <w:rFonts w:ascii="Times New Roman" w:cs="Times New Roman" w:eastAsia="Times New Roman" w:hAnsi="Times New Roman"/>
          <w:sz w:val="18"/>
          <w:szCs w:val="18"/>
          <w:color w:val="auto"/>
        </w:rPr>
        <w:t>in effect, assuming an initial public offering price of $ per share, the midpoint of the estimated price range set forth on the cover page of this prospectus;</w:t>
      </w:r>
    </w:p>
    <w:p>
      <w:pPr>
        <w:sectPr>
          <w:pgSz w:w="11900" w:h="16838" w:orient="portrait"/>
          <w:cols w:equalWidth="0" w:num="1">
            <w:col w:w="11340"/>
          </w:cols>
          <w:pgMar w:left="320" w:top="448" w:right="239" w:bottom="1440" w:gutter="0" w:footer="0" w:header="0"/>
        </w:sectPr>
      </w:pP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the issuance of shares of Class A common stock upon the settlement of RSUs outstanding as of September 30, 2022 under our 2015 Plan for which the performance-based vesting condition will be satisfied in connection with this offering and for which any service-based vesting condition was satisfied on or before , 2023, which settlement will be effected upon the expiration of the lock-up period in connection with this offering;</w:t>
      </w:r>
    </w:p>
    <w:p>
      <w:pPr>
        <w:spacing w:after="0" w:line="92" w:lineRule="exact"/>
        <w:rPr>
          <w:sz w:val="20"/>
          <w:szCs w:val="20"/>
          <w:color w:val="auto"/>
        </w:rPr>
      </w:pPr>
    </w:p>
    <w:p>
      <w:pPr>
        <w:sectPr>
          <w:pgSz w:w="11900" w:h="16838" w:orient="portrait"/>
          <w:cols w:equalWidth="0" w:num="2">
            <w:col w:w="680" w:space="480"/>
            <w:col w:w="10180"/>
          </w:cols>
          <w:pgMar w:left="320" w:top="448" w:right="239" w:bottom="1440" w:gutter="0" w:footer="0" w:header="0"/>
          <w:type w:val="continuous"/>
        </w:sectPr>
      </w:pPr>
    </w:p>
    <w:p>
      <w:pPr>
        <w:ind w:left="1160" w:right="200" w:hanging="535"/>
        <w:spacing w:after="0" w:line="267"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4,612,450 shares of Class A common stock, which will occur upon the closing of this offering;</w:t>
      </w:r>
    </w:p>
    <w:p>
      <w:pPr>
        <w:sectPr>
          <w:pgSz w:w="11900" w:h="16838" w:orient="portrait"/>
          <w:cols w:equalWidth="0" w:num="1">
            <w:col w:w="11340"/>
          </w:cols>
          <w:pgMar w:left="320" w:top="448" w:right="239" w:bottom="1440" w:gutter="0" w:footer="0" w:header="0"/>
          <w:type w:val="continuous"/>
        </w:sectPr>
      </w:pP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no exercise of the underwriters’ option to purchase up to this offering to cover over-allotments, if any;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shares of Class A common stock from the selling stockholders in</w:t>
      </w:r>
    </w:p>
    <w:p>
      <w:pPr>
        <w:spacing w:after="0" w:line="354" w:lineRule="exact"/>
        <w:rPr>
          <w:sz w:val="20"/>
          <w:szCs w:val="20"/>
          <w:color w:val="auto"/>
        </w:rPr>
      </w:pPr>
    </w:p>
    <w:p>
      <w:pPr>
        <w:sectPr>
          <w:pgSz w:w="11900" w:h="16838" w:orient="portrait"/>
          <w:cols w:equalWidth="0" w:num="3">
            <w:col w:w="680" w:space="480"/>
            <w:col w:w="3980" w:space="720"/>
            <w:col w:w="5480"/>
          </w:cols>
          <w:pgMar w:left="320" w:top="448" w:right="239" w:bottom="1440" w:gutter="0" w:footer="0" w:header="0"/>
          <w:type w:val="continuous"/>
        </w:sectPr>
      </w:pPr>
    </w:p>
    <w:p>
      <w:pPr>
        <w:ind w:left="1160" w:hanging="53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except as described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right="180" w:firstLine="438"/>
        <w:spacing w:after="0" w:line="285"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stock. As of the date of this prospectus, shares of redeemable convertible preferred stock have accrued approximately $ million in unpaid dividends, which we expect to pay in shares of our Class A common stock. As a result, at the closing of this offering, we expect to issue the Additional Class A Conversion Shares to holders of shares of our redeemable convertible preferred stock. The number of Additional Class A Conversion Shares to be</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issued depends on the initial public offering price of our Class A common stock. Based on an assumed initial public offering price of $ per share, the midpoint of the estimated price range set forth on the cover page of this prospectus, we will issue Additional Class A Conversion Shares</w:t>
      </w:r>
    </w:p>
    <w:p>
      <w:pPr>
        <w:spacing w:after="0" w:line="1" w:lineRule="exact"/>
        <w:rPr>
          <w:sz w:val="20"/>
          <w:szCs w:val="20"/>
          <w:color w:val="auto"/>
        </w:rPr>
      </w:pPr>
    </w:p>
    <w:p>
      <w:pPr>
        <w:jc w:val="both"/>
        <w:ind w:left="200" w:right="180"/>
        <w:spacing w:after="0" w:line="245" w:lineRule="auto"/>
        <w:rPr>
          <w:sz w:val="20"/>
          <w:szCs w:val="20"/>
          <w:color w:val="auto"/>
        </w:rPr>
      </w:pPr>
      <w:r>
        <w:rPr>
          <w:rFonts w:ascii="Times New Roman" w:cs="Times New Roman" w:eastAsia="Times New Roman" w:hAnsi="Times New Roman"/>
          <w:sz w:val="18"/>
          <w:szCs w:val="18"/>
          <w:color w:val="auto"/>
        </w:rPr>
        <w:t>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0" w:type="dxa"/>
            <w:vAlign w:val="bottom"/>
          </w:tcPr>
          <w:p>
            <w:pPr>
              <w:spacing w:after="0"/>
              <w:rPr>
                <w:sz w:val="1"/>
                <w:szCs w:val="1"/>
                <w:color w:val="auto"/>
              </w:rPr>
            </w:pPr>
          </w:p>
        </w:tc>
      </w:tr>
      <w:tr>
        <w:trPr>
          <w:trHeight w:val="144"/>
        </w:trPr>
        <w:tc>
          <w:tcPr>
            <w:tcW w:w="5240" w:type="dxa"/>
            <w:vAlign w:val="bottom"/>
            <w:gridSpan w:val="3"/>
            <w:vMerge w:val="restart"/>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9"/>
              </w:rPr>
              <w:t>Assumed Initial Public</w:t>
            </w: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Class A</w:t>
            </w:r>
          </w:p>
        </w:tc>
        <w:tc>
          <w:tcPr>
            <w:tcW w:w="2100" w:type="dxa"/>
            <w:vAlign w:val="bottom"/>
            <w:gridSpan w:val="2"/>
          </w:tcPr>
          <w:p>
            <w:pPr>
              <w:jc w:val="center"/>
              <w:ind w:right="1000"/>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3"/>
        </w:trPr>
        <w:tc>
          <w:tcPr>
            <w:tcW w:w="5240" w:type="dxa"/>
            <w:vAlign w:val="bottom"/>
            <w:gridSpan w:val="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2100" w:type="dxa"/>
            <w:vAlign w:val="bottom"/>
            <w:gridSpan w:val="2"/>
          </w:tcPr>
          <w:p>
            <w:pPr>
              <w:jc w:val="center"/>
              <w:ind w:right="10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080" w:type="dxa"/>
            <w:vAlign w:val="bottom"/>
            <w:gridSpan w:val="2"/>
          </w:tcPr>
          <w:p>
            <w:pPr>
              <w:jc w:val="center"/>
              <w:ind w:right="30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Offering 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40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Conversion Shares</w:t>
            </w:r>
          </w:p>
        </w:tc>
        <w:tc>
          <w:tcPr>
            <w:tcW w:w="2100" w:type="dxa"/>
            <w:vAlign w:val="bottom"/>
            <w:gridSpan w:val="2"/>
          </w:tcPr>
          <w:p>
            <w:pPr>
              <w:jc w:val="center"/>
              <w:ind w:right="10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8"/>
                <w:szCs w:val="18"/>
                <w:color w:val="auto"/>
              </w:rPr>
              <w:t>20</w:t>
            </w: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14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55149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right="180" w:firstLine="438"/>
        <w:spacing w:after="0" w:line="246"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2020 and 2021 have been derived from our audited consolidated financial statements included elsewhere in this prospectus. The summary consolidated statement of operations data for the nine months ended September 30, 2021 and 2022 and the summary consolidated balance sheet data as of September 30, 2022 have been derived from our unaudited interim consolidated financial statements included elsewhere in this prospectus. The unaudited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0" w:type="dxa"/>
            <w:vAlign w:val="bottom"/>
          </w:tcPr>
          <w:p>
            <w:pPr>
              <w:spacing w:after="0"/>
              <w:rPr>
                <w:sz w:val="13"/>
                <w:szCs w:val="13"/>
                <w:color w:val="auto"/>
              </w:rPr>
            </w:pPr>
          </w:p>
        </w:tc>
        <w:tc>
          <w:tcPr>
            <w:tcW w:w="20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4"/>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3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151,911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195,012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154,514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140,055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36,093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30,029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79,987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184,543</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8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152,198</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129,283</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108,835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11,933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7,948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29,503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45,861</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49,543</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58,258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45,415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42,526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61,552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130,892</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199,004</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144,158</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168,939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381,458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373,458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427,087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(193,454</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(243,711</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(188,915</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(207,045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(18,929)</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(11,351)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(211,354)</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(258,588)</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(199,757)</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(223,271)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(209,854)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(259,192)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(200,211)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(223,735)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6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(7,381)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(34,420)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(35,758)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(26,595)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(253,905)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(297,736)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(228,916)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(256,576)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8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6980" w:type="dxa"/>
            <w:vAlign w:val="bottom"/>
            <w:gridSpan w:val="2"/>
          </w:tcPr>
          <w:p>
            <w:pPr>
              <w:jc w:val="right"/>
              <w:ind w:right="11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48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574802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0" w:type="dxa"/>
            <w:vAlign w:val="bottom"/>
          </w:tcPr>
          <w:p>
            <w:pPr>
              <w:spacing w:after="0"/>
              <w:rPr>
                <w:sz w:val="13"/>
                <w:szCs w:val="13"/>
                <w:color w:val="auto"/>
              </w:rPr>
            </w:pPr>
          </w:p>
        </w:tc>
        <w:tc>
          <w:tcPr>
            <w:tcW w:w="190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68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4"/>
          </w:tcPr>
          <w:p>
            <w:pPr>
              <w:jc w:val="center"/>
              <w:ind w:right="15"/>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2"/>
        </w:trPr>
        <w:tc>
          <w:tcPr>
            <w:tcW w:w="680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9"/>
                <w:szCs w:val="19"/>
                <w:color w:val="auto"/>
              </w:rPr>
            </w:pPr>
          </w:p>
        </w:tc>
        <w:tc>
          <w:tcPr>
            <w:tcW w:w="9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62,706</w:t>
            </w:r>
          </w:p>
        </w:tc>
        <w:tc>
          <w:tcPr>
            <w:tcW w:w="120" w:type="dxa"/>
            <w:vAlign w:val="bottom"/>
          </w:tcPr>
          <w:p>
            <w:pPr>
              <w:spacing w:after="0"/>
              <w:rPr>
                <w:sz w:val="19"/>
                <w:szCs w:val="19"/>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62,975</w:t>
            </w:r>
          </w:p>
        </w:tc>
        <w:tc>
          <w:tcPr>
            <w:tcW w:w="140" w:type="dxa"/>
            <w:vAlign w:val="bottom"/>
          </w:tcPr>
          <w:p>
            <w:pPr>
              <w:spacing w:after="0"/>
              <w:rPr>
                <w:sz w:val="19"/>
                <w:szCs w:val="19"/>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62,973</w:t>
            </w:r>
          </w:p>
        </w:tc>
        <w:tc>
          <w:tcPr>
            <w:tcW w:w="140" w:type="dxa"/>
            <w:vAlign w:val="bottom"/>
          </w:tcPr>
          <w:p>
            <w:pPr>
              <w:spacing w:after="0"/>
              <w:rPr>
                <w:sz w:val="19"/>
                <w:szCs w:val="19"/>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62,980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w w:val="96"/>
              </w:rPr>
              <w:t>(209,854)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w w:val="96"/>
              </w:rPr>
              <w:t>(259,192)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w w:val="96"/>
              </w:rPr>
              <w:t>(200,211)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(223,735)</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(209,856</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(259,202</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(200,196</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(223,638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620" w:right="200" w:hanging="428"/>
        <w:spacing w:after="0" w:line="253"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11 to our consolidated financial statements included elsewhere in this prospectus for an explanation of the calculations of our basic and diluted net loss per share attributable to common stockholders.</w:t>
      </w:r>
    </w:p>
    <w:p>
      <w:pPr>
        <w:spacing w:after="0" w:line="1" w:lineRule="exact"/>
        <w:rPr>
          <w:rFonts w:ascii="Times New Roman" w:cs="Times New Roman" w:eastAsia="Times New Roman" w:hAnsi="Times New Roman"/>
          <w:sz w:val="18"/>
          <w:szCs w:val="18"/>
          <w:color w:val="auto"/>
        </w:rPr>
      </w:pPr>
    </w:p>
    <w:p>
      <w:pPr>
        <w:ind w:left="620" w:hanging="428"/>
        <w:spacing w:after="0"/>
        <w:tabs>
          <w:tab w:leader="none" w:pos="6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net loss per share gives effect to (a) the automatic conversion of all of our outstanding shares of Series B redeemable convertible preferred</w:t>
      </w:r>
    </w:p>
    <w:p>
      <w:pPr>
        <w:spacing w:after="0" w:line="26" w:lineRule="exact"/>
        <w:rPr>
          <w:rFonts w:ascii="Times New Roman" w:cs="Times New Roman" w:eastAsia="Times New Roman" w:hAnsi="Times New Roman"/>
          <w:sz w:val="16"/>
          <w:szCs w:val="16"/>
          <w:color w:val="auto"/>
        </w:rPr>
      </w:pP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stock into 5,374,899 shares of Class B common stock, which will occur upon the closing of this offering, (b) the automatic conversion of all of our</w:t>
      </w:r>
    </w:p>
    <w:p>
      <w:pPr>
        <w:spacing w:after="0" w:line="218" w:lineRule="exact"/>
        <w:rPr>
          <w:sz w:val="20"/>
          <w:szCs w:val="20"/>
          <w:color w:val="auto"/>
        </w:rPr>
      </w:pPr>
    </w:p>
    <w:p>
      <w:pPr>
        <w:ind w:left="620" w:right="180"/>
        <w:spacing w:after="0" w:line="248" w:lineRule="auto"/>
        <w:rPr>
          <w:sz w:val="20"/>
          <w:szCs w:val="20"/>
          <w:color w:val="auto"/>
        </w:rPr>
      </w:pPr>
      <w:r>
        <w:rPr>
          <w:rFonts w:ascii="Times New Roman" w:cs="Times New Roman" w:eastAsia="Times New Roman" w:hAnsi="Times New Roman"/>
          <w:sz w:val="18"/>
          <w:szCs w:val="18"/>
          <w:color w:val="auto"/>
        </w:rPr>
        <w:t>outstanding shares of redeemable convertible preferred stock, other than our Series B preferred stock, into shares of Class A common stock, which will occur upon the closing of this offering, assuming an initial public offering price of $ per share, the midpoint of the estimated price range set forth on the cover page of this prospectus, (c) the issuance of Additional Class A Conversion Shares, assuming an initial public offering price of $ per share, the midpoint of the estimated price range set forth on the cover page of this prospectus, which will occur</w:t>
      </w:r>
    </w:p>
    <w:p>
      <w:pPr>
        <w:spacing w:after="0" w:line="3" w:lineRule="exact"/>
        <w:rPr>
          <w:sz w:val="20"/>
          <w:szCs w:val="20"/>
          <w:color w:val="auto"/>
        </w:rPr>
      </w:pPr>
    </w:p>
    <w:p>
      <w:pPr>
        <w:jc w:val="both"/>
        <w:ind w:left="620" w:right="200"/>
        <w:spacing w:after="0" w:line="274" w:lineRule="auto"/>
        <w:rPr>
          <w:sz w:val="20"/>
          <w:szCs w:val="20"/>
          <w:color w:val="auto"/>
        </w:rPr>
      </w:pPr>
      <w:r>
        <w:rPr>
          <w:rFonts w:ascii="Times New Roman" w:cs="Times New Roman" w:eastAsia="Times New Roman" w:hAnsi="Times New Roman"/>
          <w:sz w:val="16"/>
          <w:szCs w:val="16"/>
          <w:color w:val="auto"/>
        </w:rPr>
        <w:t>upon the conversion of all outstanding shares of our redeemable convertible preferred stock and upon the closing of this offering, (d) the automatic conversion of all of our nonvoting common stock into 4,612,450 shares of Class A common stock, which will occur upon the closing of this offering,</w:t>
      </w:r>
    </w:p>
    <w:tbl>
      <w:tblPr>
        <w:tblLayout w:type="fixed"/>
        <w:tblInd w:w="620" w:type="dxa"/>
        <w:tblCellMar>
          <w:top w:w="0" w:type="dxa"/>
          <w:left w:w="0" w:type="dxa"/>
          <w:bottom w:w="0" w:type="dxa"/>
          <w:right w:w="0" w:type="dxa"/>
        </w:tblCellMar>
      </w:tblPr>
      <w:tr>
        <w:trPr>
          <w:trHeight w:val="192"/>
        </w:trPr>
        <w:tc>
          <w:tcPr>
            <w:tcW w:w="13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(e) the issuance of</w:t>
            </w:r>
          </w:p>
        </w:tc>
        <w:tc>
          <w:tcPr>
            <w:tcW w:w="916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rPr>
              <w:t>shares of Class A common stock upon settlement of RSUs for which the service-based vesting condition was satisfied</w:t>
            </w:r>
          </w:p>
        </w:tc>
      </w:t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on or before</w:t>
            </w:r>
          </w:p>
        </w:tc>
        <w:tc>
          <w:tcPr>
            <w:tcW w:w="9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 2023 and for which the performance-based vesting condition will be satisfied in connection with this offering, which settlement</w:t>
            </w: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will occur upon the expiration of the lock-up period in connection with this offering, (f) the issuance of</w:t>
            </w:r>
          </w:p>
        </w:tc>
        <w:tc>
          <w:tcPr>
            <w:tcW w:w="68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w:t>
            </w: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settlement of PSUs for which any service-based vesting condition was satisfied on or before</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 2023 and for which the performance-based</w:t>
            </w:r>
          </w:p>
        </w:tc>
      </w:tr>
      <w:tr>
        <w:trPr>
          <w:trHeight w:val="210"/>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vesting condition will be satisfied in connection with this offering, (g) stock-based compensation expense of approximately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related</w:t>
            </w:r>
          </w:p>
        </w:tc>
      </w:tr>
      <w:tr>
        <w:trPr>
          <w:trHeight w:val="228"/>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the vesting of RSUs and PSUs for which the service-based vesting condition was satisfied on or before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 and for which the</w:t>
            </w:r>
          </w:p>
        </w:tc>
      </w:tr>
    </w:tbl>
    <w:p>
      <w:pPr>
        <w:jc w:val="both"/>
        <w:ind w:left="620" w:right="200"/>
        <w:spacing w:after="0" w:line="285" w:lineRule="auto"/>
        <w:rPr>
          <w:sz w:val="20"/>
          <w:szCs w:val="20"/>
          <w:color w:val="auto"/>
        </w:rPr>
      </w:pPr>
      <w:r>
        <w:rPr>
          <w:rFonts w:ascii="Times New Roman" w:cs="Times New Roman" w:eastAsia="Times New Roman" w:hAnsi="Times New Roman"/>
          <w:sz w:val="16"/>
          <w:szCs w:val="16"/>
          <w:color w:val="auto"/>
        </w:rPr>
        <w:t>performance-based vesting condition will be satisfied in connection with this offering, as further described in Note 9 to our consolidated financial statements included elsewhere in this prospectus, and (h)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540" w:type="dxa"/>
            <w:vAlign w:val="bottom"/>
          </w:tcPr>
          <w:p>
            <w:pPr>
              <w:spacing w:after="0"/>
              <w:rPr>
                <w:sz w:val="9"/>
                <w:szCs w:val="9"/>
                <w:color w:val="auto"/>
              </w:rPr>
            </w:pPr>
          </w:p>
        </w:tc>
        <w:tc>
          <w:tcPr>
            <w:tcW w:w="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1060" w:type="dxa"/>
            <w:vAlign w:val="bottom"/>
          </w:tcPr>
          <w:p>
            <w:pPr>
              <w:ind w:left="180"/>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(2)(3)</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ind w:left="22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4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369,831</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648,487</w:t>
            </w:r>
          </w:p>
        </w:tc>
        <w:tc>
          <w:tcPr>
            <w:tcW w:w="12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4"/>
                <w:szCs w:val="24"/>
                <w:color w:val="auto"/>
                <w:vertAlign w:val="superscript"/>
              </w:rPr>
              <w:t>(4)</w:t>
            </w:r>
          </w:p>
        </w:tc>
        <w:tc>
          <w:tcPr>
            <w:tcW w:w="4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337,889</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4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1,016,987</w:t>
            </w:r>
          </w:p>
        </w:tc>
        <w:tc>
          <w:tcPr>
            <w:tcW w:w="12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(1,061,845)</w:t>
            </w: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8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54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6310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hanging="42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(a) the automatic conversion of all of our outstanding shares of Series B redeemable</w:t>
      </w:r>
    </w:p>
    <w:p>
      <w:pPr>
        <w:spacing w:after="0" w:line="2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stock into 5,374,899 shares of Class B common stock, which will occur upon the closing of this offering, (b) the automatic</w:t>
      </w:r>
    </w:p>
    <w:p>
      <w:pPr>
        <w:spacing w:after="0" w:line="213"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conversion of all of our outstanding shares of redeemable convertible preferred stock, other than our Series B preferred stock, into shares of Class A common stock, assuming an initial public offering price of $ per share, the midpoint of the estimated price range set forth on the cover</w:t>
      </w:r>
    </w:p>
    <w:p>
      <w:pPr>
        <w:spacing w:after="0" w:line="2" w:lineRule="exact"/>
        <w:rPr>
          <w:sz w:val="20"/>
          <w:szCs w:val="20"/>
          <w:color w:val="auto"/>
        </w:rPr>
      </w:pPr>
    </w:p>
    <w:p>
      <w:pPr>
        <w:jc w:val="both"/>
        <w:ind w:left="620" w:right="20"/>
        <w:spacing w:after="0" w:line="274" w:lineRule="auto"/>
        <w:rPr>
          <w:sz w:val="20"/>
          <w:szCs w:val="20"/>
          <w:color w:val="auto"/>
        </w:rPr>
      </w:pPr>
      <w:r>
        <w:rPr>
          <w:rFonts w:ascii="Times New Roman" w:cs="Times New Roman" w:eastAsia="Times New Roman" w:hAnsi="Times New Roman"/>
          <w:sz w:val="16"/>
          <w:szCs w:val="16"/>
          <w:color w:val="auto"/>
        </w:rPr>
        <w:t>page of this prospectus, which will occur upon the closing of this offering, (c) the issuance of the Additional Class A Conversion Shares, which will occur upon the conversion of all outstanding shares of our redeemable convertible preferred stock and upon the closing of this offering, assuming an</w:t>
      </w:r>
    </w:p>
    <w:p>
      <w:pPr>
        <w:jc w:val="both"/>
        <w:ind w:left="620"/>
        <w:spacing w:after="0" w:line="486" w:lineRule="auto"/>
        <w:rPr>
          <w:sz w:val="20"/>
          <w:szCs w:val="20"/>
          <w:color w:val="auto"/>
        </w:rPr>
      </w:pPr>
      <w:r>
        <w:rPr>
          <w:rFonts w:ascii="Times New Roman" w:cs="Times New Roman" w:eastAsia="Times New Roman" w:hAnsi="Times New Roman"/>
          <w:sz w:val="18"/>
          <w:szCs w:val="18"/>
          <w:color w:val="auto"/>
        </w:rPr>
        <w:t>initial public offering price of $ per share, the midpoint of the estimated price range set forth on the cover page of this prospectus, (d) the automatic conversion of all of our nonvoting common stock into 4,612,450 shares of Class A common stock, which will occur upon the closing of this offering, (e) the filing and effectiveness of our amended and restated certificate of incorporation, which will occur upon the closing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spacing w:after="0" w:line="248" w:lineRule="auto"/>
        <w:rPr>
          <w:sz w:val="20"/>
          <w:szCs w:val="20"/>
          <w:color w:val="auto"/>
        </w:rPr>
      </w:pPr>
      <w:r>
        <w:rPr>
          <w:rFonts w:ascii="Times New Roman" w:cs="Times New Roman" w:eastAsia="Times New Roman" w:hAnsi="Times New Roman"/>
          <w:sz w:val="18"/>
          <w:szCs w:val="18"/>
          <w:color w:val="auto"/>
        </w:rPr>
        <w:t>offering, (f) the issuance of shares of Class A common stock upon settlement of RSUs for which the service-based vesting condition was satisfied on or before , 2023 and for which the performance-based vesting condition will be satisfied in connection with this offering, which settlement will occur upon the expiration of the lock-up period in connection with this offering, and (g) the issuance of shares of Class A common stock upon settlement of PSUs for which the service-based vesting condition was satisfied on or before , 2023 and for which the</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performance-based vesting condition will be satisifed in connection with this offering, which settlement will occur upon the expiration of the lock-up</w:t>
      </w:r>
    </w:p>
    <w:p>
      <w:pPr>
        <w:spacing w:after="0" w:line="376"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period in connection with this offering, and (h) stock-based compensation expense of approximately $ million related to the vesting of RSUs and PSUs for which the service-based vesting condition was satisfied on or before , 2023 and for which the performance-based vesting</w:t>
      </w:r>
    </w:p>
    <w:p>
      <w:pPr>
        <w:spacing w:after="0" w:line="2"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8"/>
          <w:szCs w:val="18"/>
          <w:color w:val="auto"/>
        </w:rPr>
        <w:t>condition will be satisfied in connection with this offering, as further described in Note 9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 w:lineRule="exact"/>
        <w:rPr>
          <w:sz w:val="20"/>
          <w:szCs w:val="20"/>
          <w:color w:val="auto"/>
        </w:rPr>
      </w:pPr>
    </w:p>
    <w:p>
      <w:pPr>
        <w:ind w:left="620" w:hanging="428"/>
        <w:spacing w:after="0"/>
        <w:tabs>
          <w:tab w:leader="none" w:pos="6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and (b) our receipt of</w:t>
      </w:r>
    </w:p>
    <w:p>
      <w:pPr>
        <w:spacing w:after="0" w:line="26" w:lineRule="exact"/>
        <w:rPr>
          <w:sz w:val="20"/>
          <w:szCs w:val="20"/>
          <w:color w:val="auto"/>
        </w:rPr>
      </w:pPr>
    </w:p>
    <w:p>
      <w:pPr>
        <w:ind w:left="1440" w:hanging="815"/>
        <w:spacing w:after="0"/>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in net proceeds from the sale of shares of Class A common stock that we are offering at an assumed initial public offering price of</w:t>
      </w:r>
    </w:p>
    <w:p>
      <w:pPr>
        <w:spacing w:after="0" w:line="26" w:lineRule="exact"/>
        <w:rPr>
          <w:sz w:val="20"/>
          <w:szCs w:val="20"/>
          <w:color w:val="auto"/>
        </w:rPr>
      </w:pPr>
    </w:p>
    <w:p>
      <w:pPr>
        <w:ind w:left="620" w:right="20" w:firstLine="5"/>
        <w:spacing w:after="0" w:line="243" w:lineRule="auto"/>
        <w:tabs>
          <w:tab w:leader="none" w:pos="17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after deducting the estimated underwriting discounts and commissions and estimated offering expenses payable by us.</w:t>
      </w:r>
    </w:p>
    <w:p>
      <w:pPr>
        <w:spacing w:after="0" w:line="1" w:lineRule="exact"/>
        <w:rPr>
          <w:sz w:val="20"/>
          <w:szCs w:val="20"/>
          <w:color w:val="auto"/>
        </w:rPr>
      </w:pPr>
    </w:p>
    <w:p>
      <w:pPr>
        <w:jc w:val="both"/>
        <w:ind w:left="620" w:right="20" w:hanging="419"/>
        <w:spacing w:after="0" w:line="243" w:lineRule="auto"/>
        <w:tabs>
          <w:tab w:leader="none" w:pos="600" w:val="left"/>
        </w:tabs>
        <w:rPr>
          <w:sz w:val="20"/>
          <w:szCs w:val="20"/>
          <w:color w:val="auto"/>
        </w:rPr>
      </w:pPr>
      <w:r>
        <w:rPr>
          <w:rFonts w:ascii="Times New Roman" w:cs="Times New Roman" w:eastAsia="Times New Roman" w:hAnsi="Times New Roman"/>
          <w:sz w:val="18"/>
          <w:szCs w:val="18"/>
          <w:color w:val="auto"/>
        </w:rPr>
        <w:t>(3)</w:t>
        <w:tab/>
        <w:t>Each $1.00 increase (decrease) in the assumed initial public offering price of $          per share of Class A common stock, the midpoint of the estimated price range set forth on the cover page of this prospectus, would increase (decrease) each of our pro forma as adjusted cash, cash</w:t>
      </w:r>
    </w:p>
    <w:p>
      <w:pPr>
        <w:spacing w:after="0" w:line="1" w:lineRule="exact"/>
        <w:rPr>
          <w:sz w:val="20"/>
          <w:szCs w:val="20"/>
          <w:color w:val="auto"/>
        </w:rPr>
      </w:pPr>
    </w:p>
    <w:p>
      <w:pPr>
        <w:jc w:val="both"/>
        <w:ind w:left="620"/>
        <w:spacing w:after="0" w:line="1711" w:lineRule="auto"/>
        <w:rPr>
          <w:sz w:val="20"/>
          <w:szCs w:val="20"/>
          <w:color w:val="auto"/>
        </w:rPr>
      </w:pPr>
      <w:r>
        <w:rPr>
          <w:rFonts w:ascii="Times New Roman" w:cs="Times New Roman" w:eastAsia="Times New Roman" w:hAnsi="Times New Roman"/>
          <w:sz w:val="16"/>
          <w:szCs w:val="16"/>
          <w:color w:val="auto"/>
        </w:rPr>
        <w:t>equivalents and restricted cash, total 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total stockholders’ (deficit) equity by $ million, assuming the assumed initial public offering price of $ per share of Class A common stock remains the same, and after deducting the estimated underwriting discounts and commissions.</w:t>
      </w:r>
    </w:p>
    <w:p>
      <w:pPr>
        <w:spacing w:after="0" w:line="2" w:lineRule="exact"/>
        <w:rPr>
          <w:sz w:val="20"/>
          <w:szCs w:val="20"/>
          <w:color w:val="auto"/>
        </w:rPr>
      </w:pPr>
    </w:p>
    <w:p>
      <w:pPr>
        <w:ind w:left="620" w:hanging="42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320" w:top="44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incurred significant losses since our inception. For the years ended December 31, 2020 and 2021 and the nine months ended September 30, 2021 and 2022, we incurred net losses of $209.9 million, $259.2 million, $200.2 million, and $223.7 million, respectively. As of September 30, 2022, we had an accumulated deficit of $1.1 billion. To date, we have financed our operations principally from the sale of stock and convertible securities, and revenue from precision oncology and COVID-19 testing in our Genomics business, and from our Insights product in our Data business.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87"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w:t>
      </w:r>
    </w:p>
    <w:p>
      <w:pPr>
        <w:spacing w:after="0" w:line="72"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currently offer reverse transcription polymerase chain reaction, or PCR, diagnostic tests for the qualitative detection of nucleic acid from the SARS-CoV-2 virus in nasopharyngeal swab specimens from individuals suspected of having COVID-19. We anticipate that demand for our COVID-19 testing products will decrease in future periods due to successful containment efforts, the successful vaccination of a majority of Americans, the prevalence of other COVID-19 test providers in the market, and other factors, and such decreases would have an adverse effect on our results of operations. Revenue from COVID-19 testing accounted for $89.5 million, or 47.6%, of our revenue in the year ended December 31, 2020 and $94.7 million, or 36.7%, of our revenue in the year ended December 31, 2021, of which $32.3 million and $11.3 million and $45.2 million and $71.0 million, was derived from contracts with the Illinois Department of Public Health, or IDPH, and CVS Pharmacy, Inc., or CVS, respectively. Our agreement with IDPH, which accounted for 17.2% and 4.4% of our revenue in the years ended December 31, 2020 and 2021, respectively, expired in April 2022. Our first agreement with CVS, which accounted for 24.0% of our revenue for the year ended December 31, 2020, expired in July 2021. Effective October 2021, we entered into a substantially similar agreement with CVS, under which CVS has agreed to purchase certain COVID-19 testing products and services from us without a minimum purchase commitment. The second agreement with CVS terminated in July 2022. Sales of COVID-19 testing products and services to CVS accounted for 27.5% of our revenue for the year ended December 31, 2021. We similarly expect revenue from other customers seeking COVID-19 testing products to decrease substantially over time.</w:t>
      </w:r>
    </w:p>
    <w:p>
      <w:pPr>
        <w:spacing w:after="0" w:line="37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currently provide our COVID-19 testing products under emergency use authorizations, or EUAs, issued by the Food &amp; Drug Administration, or FDA, to us or our licensor, permitting us to offer these tests without having completed the normally applicable FDA review and clearance or approval process for marketing authorization (with the related standards that would apply to demonstrate safety and effectiveness)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320" w:top="4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some cases, as an LDT. Although the FDA has waived certain regulatory requirements for the duration of the EUAs, we remain subject to specific conditions of the authorizations, including ensuring appropriate labeling as approved by the FDA specifically for purposes of the EUAs, maintaining records of distribution to authorized laboratories, collecting data on occurrences of any false positives or false negatives, and tracking any adverse events. As with other FDA-regulated products, compliance or product performance issues could emerge during the course of the marketing and use of our products under an EUA, that could impact our ability to continue the sale and distribution of these products.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EUAs or those of our licensors could be terminated or revoked at any time, including if the FDA determines the criteria for issuance are no longer met or other circumstances make such revocation appropriate to protect public health or safety, which could harm our future business prospects. Once an EUA is revoked or terminated, we will be required to stop marketing the applicable COVID-19 test immediately unless we can obtain FDA clearance for that COVID-19 test under a traditional regulatory pathway, which is lengthy and expensive, and which we may never receive. We also would be subject to the full and usual regulatory obligations for device manufacturers, including the FDA’s quality system regulations.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including diagnostic tests in oncology and infectious diseases,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Algos tests.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Algos diagnostic tests, including new product offerings as they become available;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Algos diagnostic tests by clinicians, pharmaceutical and biotechnology companies, KOLs, and advocacy groups;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Algos,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infectious disease, neuropsychology and other indications;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build and maintain robust data sets with respect to patient populations in geographic regions that we may seek to enter in the future;</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 including reduced demand for our COVID-19 tests, which may result in, among other things, write-downs of inventory;</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Algos diagnostic testing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 between Russia and Ukraine), terrorism, and political unrest, epidemics or pandemics, boycotts, curtailment of trade and other business restrictions;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high and rising inflation rates, and other factors, including factors unrelated to our operating performance or the operating performance of our competitors.</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an extremely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320" w:top="44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 between Russia and Ukraine), the political climate and the ongoing impact of the COVID-19 pandemic;</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including delays caused by these customers’ reducing activities in response to the COVID-19 pandemic. Further, many of our data licensing agreements allow us to deliver data to our customers over a period of time, which can span a year or longer. Revenue pursuant to our data licensing agreements is recognized upon delivery of the data to the customer. The actual timing of data deliveries can be based on a variety of factors, including, but not limited to, the customer’s requirements and/or our technological, operational, and human capital capacity.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is critical to our ability to offer our Data and Algos products and services. We have historically generated more revenue from the sale of products and services that leverage our de-identified data than we have from the provision of the underlying Genomics test related to such data, and we expect this trend to continue.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ability to maintain, expand and monetize our datasets are subject to a number of factors, many of which are outside of our control. With respect to data included in our Data and Algos products, we rely on a combination of the statutory rights available to us as a HIPAA covered entity and as a HIPAA business associate. As a HIPAA covered entity, we utilize data generated through our provision of Genomic tests. As a HIPAA business associate, we rely on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QCCA, NCCA, Geisinger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of sales of our tests. If we are unable to achieve commercial success for our tests, our business, financial condition and results of operations would be materially and adversely affected. We are also particularly dependent on our oncology tests, which accounted for 27% and 32% of our revenue in the years ended December 31, 2020 and 2021, respectively. We cannot assure that our oncology tests will continue to maintain or gain market acceptance, and any failure to do so would materially harm our business, financial condition and results of operations.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scope and robustness of the Data products and Algos that we can offer our customers also depend significantly on the continued success of our Genomics product line, as the data that we collect through genomic testing is an essential component of our Data products and Algos. Further, we believe that growth in the use of our Data products will help drive awareness and adoption of our Genomics product line, which in turn will drive further growth within our Data and Algos product lines. However, there can be no assurance that we will realize these synergies.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Algos product line is nascent.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December 31, 2021, we had only three commercialized Algos. While we have a number of additional Algos in development, we may not be successful in developing and commercializing these or future Algos, or in attaining our Algo development targets. Further, the scope and robustness of the Algos that we can offer our customers depend significantly on the continued success of our Genomics product line and access to third-party data, of which there can be no assurance. We also cannot accurately estimate how our future Algos will be priced, whether reimbursement can be obtained or whether we will generate any revenue from such Algos. Further, the use of diagnostics that are entirely algorithmic in nature is novel and today represent only a small proportion of the diagnostics market. While we believe Algos represent a significant long-term opportunity for us, there can be no assurances that a robust and sustained market for such diagnostics will develop or that we will successfully compete in any such market.</w:t>
      </w:r>
    </w:p>
    <w:p>
      <w:pPr>
        <w:spacing w:after="0" w:line="290"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Algos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Algos business, and we may exert limited or no control over such development efforts.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2021, we had developed eight genomics diagnostics tests across oncology, infectious diseases, and neuropsychology, and four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2021, our products have been mentioned in 59 peer-reviewed articles published in major journals, including 40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may negatively impact our prospects.</w:t>
      </w:r>
    </w:p>
    <w:p>
      <w:pPr>
        <w:spacing w:after="0" w:line="200" w:lineRule="exact"/>
        <w:rPr>
          <w:sz w:val="20"/>
          <w:szCs w:val="20"/>
          <w:color w:val="auto"/>
        </w:rPr>
      </w:pPr>
    </w:p>
    <w:p>
      <w:pPr>
        <w:spacing w:after="0" w:line="278"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Genomics and Algos products depends in part on patients’, physicians’ and third-party payers’ confidence that our Platform can provide reliable, high-quality intelligent diagnostics that will improve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clinical outcomes and lower healthcare costs, as well as our ability to comply with applicable privacy and data security requirements. We believe that patients, physicians and third-party payers are likely to be particularly sensitive to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90"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81"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including commercial payers and government healthcare programs, do not provide coverage of, or adequate reimbursement for, our tests, our business, financial condition and results of operations will be negatively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across all payors performed from January 1, 2020 through June 30, 2021. We calculated this metric on a trailing two-quarter basis based on payor adjudication timing. However, we continued to perform our NGS tests through December 31, 2021. For the years ended December 31, 2020 and 2021, our average reimbursement for NGS tests billed to insurance in oncology was approximately $1,100. In addition, we receive a substantial portion of our diagnostic revenue from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 limited number of third-party commercial payers, most of which have not contracted with us to be a participating provider. We also receive reimbursement from Medicare for claims submitted with respect to our various diagnostic tests. Approximately 29% of our clinical tests were for Medicare beneficiaries in the years 2020 and 2021,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because our Genomics and Algos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Although we are a participating provider with an extremely small number of commercial payers, other large, national commercial payers, including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Anthem, Aetna and Humana, have issued non-coverage policies that consider tissue and liquid comprehensive genomic profile testing, including certain of our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Genomics tests, as experimental or investigational. If we are not successful in obtaining coverage from such payers, or if other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payers issue similar non-coverage policies, our business, financial condition and results of operations could be materially and adversely affected.</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Medicare’s NCD for next generation sequencing, 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National Government Services, Inc., or the Local MAC, is the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are in the process of appealing these denials. The process is typically slow and costly, and multiple levels of appeal may be required for adjudication of outstanding claims.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February 10, 2022, the Local MAC jurisdiction issued a revised LCD (L37810), and a corresponding Billing and Coding update (A56867). The increased scope of coverage provided for in the revised LCD will result in the CPT code they instructed us to begin billing in July 2021 being reimbursed at the prevailing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are in the process of assessing the impact of the LCD on any claims submitted after April 1, 2022, as well as monitoring any impact the LCD has on the claims currently in the appeal process. Initial indications suggest that the LCD has had a favorable impact on reimbursement for claims submitted after April 1, 2022.</w:t>
      </w:r>
    </w:p>
    <w:p>
      <w:pPr>
        <w:spacing w:after="0" w:line="15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Beginning in the second quarter of 2021, we estimated the reimbursement rate for tests performed within our contractual allowances with a significantly reduced percent expected reimbursement for these tests, equating to $0 for the second quarter of 2021, $0.4 million for the third quarter of 2021, and $1.1 million for the fourth quarter of 2021. These estimates were guided by the updated Local MAC guidance and appeal outcomes through December 31, 2021. During the fourth quarter of 2021, we began receiving favorable results on outstanding level 2 claims that were adjudicated and have received payment on a subset of these claims as a result of the appeal process. As of December 31, 2021, Medicare claims represent 29% of our clinical testing volume.</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0"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71" w:lineRule="exact"/>
        <w:rPr>
          <w:sz w:val="20"/>
          <w:szCs w:val="20"/>
          <w:color w:val="auto"/>
        </w:rPr>
      </w:pPr>
    </w:p>
    <w:p>
      <w:pPr>
        <w:ind w:left="460" w:right="2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Artificial intelligence is enabled by or integrated into our Platform and, as a result, our diagnostic and data products and is a significant element of our current business and our future strategy. As with many developing technologies, artificial intelligence presents risks and challenges that could affect its further development, adoption, and use, and therefore our business.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recommendations, forecasts or analyses that our Platform’s artificial intelligence applications assist in producing are deficient or inaccurate, we could be subjected to competitive harm, potential legal liability and brand or reputational harm.</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inappropriate or controversial data practices by data scientists, engineers and end-users of our or our competitors’ products could impair the acceptance of artificial intelligence products. Though our business practices are designed to mitigate many of these risks, if we enable or offer artificial intelligence products that are controversial because of their purported or real impact on human rights, privacy, employment, or other social issues, we may experience brand or reputational harm. Additionally, regulation in the artificial intelligence space is constantly changing and increasing, and may make it difficult for us to continue using our artificial intelligence approach to diagnostics and data analysis.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our Platform does not function reliably, fails to meet expectations in terms of performance, or cannot be fully utilized due to increasing regulation or reputational concerns, we may be unable to provide or our customers may stop using our products.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8"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artificial intelligence-driven data platforms and diagnostic products.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currently marketed precision oncology tests, and legacy diagnostic laboratories, such as Quest and LabCorp. In addition, our competitors for our pharmacogenetic test in neuropsychology include Myriad Genetics, Inc. and Genomind, Inc.</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Data products include Flatiron Health, Inc., IQVIA Holdings Inc., and ConcertAI, among others. Furthermore, our Data products also face competition from CROs, such as Covance, ICON, Syneos, PPD, and others, who provide data and clinical trial matching services to pharmaceutical and biotechnology companies.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Algos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and Eko Devices, Inc. In addition, we are aware that academic medical centers may be developing their own Algos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artificial intelligence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artificial intelligence,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7"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Algos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tests to clinicians and hospital systems in the United States through our own sales organization, and we sell our Data products to pharmaceutical and biotechnology companies through our business development team.</w:t>
      </w:r>
    </w:p>
    <w:p>
      <w:pPr>
        <w:spacing w:after="0" w:line="17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Each of our target markets is large, distinctive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3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Sales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2021, we derived $35.4 million, or approximately 56%, of our Data product line revenue from three customers. After removing the impact of COVID-19 testing revenue, we derived $34.1 million, or approximately 21%, of total revenue from the same three customers for the year ended December 31, 2021. We expect to continue to derive a significant portion of our Data product line revenues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5"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products after the license ends, and many of our contracts may be terminated or reduced in scope either immediately or upon notice. In addition, our customers may negotiate terms less advantageous to us upon renewal, which may reduce our revenues from these customers. Factors that are not within our control may contribute to a reduction in our Data product line revenues.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revenues may decline and our future revenues may be constrained.</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product line revenues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 significant portion of our current Data products sales are to customers in the life sciences industry, in particular the pharmaceutical and biotechnology industry. Demand for our Data products could be affected by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87"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288"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23%, 25%, 24%, and 38% of total vendor payments for the year ended December 31, 2020 and 2021, and the nine months ended September 30, 2021 and 2022, respectively. Amounts due to this supplier approximated $5.3 million, $0.9 million, $1.0 million, and $5.4 million at December 31, 2020 and 2021, and September 30, 2021 and 2022,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84"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 (including the armed conflict between Russia and Ukraine), civil unrest, acts of terrorism or other interruptions to or difficulties in the employment of labor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90"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currently derive nearly all of our diagnostic revenue from tests performed at laboratory facilities located in Chicago, Illinois and Atlanta, Georgia, and these facilities generally do not have redundant capabilities. Further, while we are currently in the process of validating additional diagnostic tests within our new laboratory facility in Raleigh, North Carolina, there is no assurance that we will successfully complete such validation in a timely manner or at all, and we will not be able to operationalize this facility until such validation is complete.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w:t>
      </w:r>
    </w:p>
    <w:p>
      <w:pPr>
        <w:spacing w:after="0" w:line="15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or Atlanta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If we cannot provide quality technical support and services for our Data products, we could lose customers and our business and prospects will suffer.</w:t>
      </w:r>
    </w:p>
    <w:p>
      <w:pPr>
        <w:spacing w:after="0" w:line="13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have in the past, and may in the future, become more or less pronounced over time, and have in the past materially affected, and may in the future materially affect, our business, financial condition and results of operations. Additionally, impacts of the COVID-19 pandemic could cause unpredictable temporary or permanent fluctuations in seasonal or cyclical variations, including seasonal demand for COVID-19 tests.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86"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no findings of violations or no penalties imposed, can consume company resources and impact our business and, if public, harm our reputation.</w:t>
      </w:r>
    </w:p>
    <w:p>
      <w:pPr>
        <w:spacing w:after="0" w:line="213"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Data privacy remains an evolving landscape at both the domestic and international level, with new regulations coming into effect. For example,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came into effect on January 1, 2020, and creates new data privacy rights for users. For example,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it is anticipated that the CCPA will be expanded on January 1, 2023, when the California Privacy Rights Act of 2020, or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become effective in 2023.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38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84"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laboratory resides.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39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the decision in Schrems II and subsequent draft guidance from the European Data Protection Board, or EDPB, may require the parties to that transfer to implement certain supplementary technical, organizational and/or contractual measures to rely on the standard contractual clauses as a GDPR-compliant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Schrems II on relevant powers of U.S. public authorities and commentary in that draft EDPB guidance, include the United States in certain circumstances (e.g., where Section 702 of the US Foreign Intelligence Surveillance Act applies). If we are unable to implement a valid compliance mechanism for cross-border personal data transfers, we may face increased exposure to regulatory actions, substantial fines and injunctions against processing or transferring personal data from Europe.</w:t>
      </w:r>
    </w:p>
    <w:p>
      <w:pPr>
        <w:spacing w:after="0" w:line="374"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form the EEA to the United Kingdom to continue.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87"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artificial intelligence in analyzing data, including data in healthcare related areas;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artificial intelligence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8"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market some of our tests as LDTs. While we believe that we are in material compliance with applicable laws and regulations, we cannot assure that the FDA will agree with us.</w:t>
      </w:r>
    </w:p>
    <w:p>
      <w:pPr>
        <w:spacing w:after="0" w:line="17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 and deliver the results of the LDTs) in a way that would subject our products marketed as LDTs to the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enforcement of regulatory requirements. If such changes to the regulatory framework occur, we could be subject to enforcement of regulatory requirements as a device manufacturer such as registration and listing requirements, 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The FDA has also largely refrained from regulating pharmacogenomic tests like those we perform in our neuropsychology business.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a PMA is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would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90"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in the event of material deficiencies or defects in design or manufacture. We may also, on our own initiative, recall a product. The FDA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and promotion of medical devices to ensure that their promotional claims made are consistent with the applicable marketing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8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the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a version of our Tempus|xT test has been approved by NYSDOH. We will need to seek NYSDOH approval of any future LDTs we develop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4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left="1020"/>
        <w:spacing w:after="0" w:line="247" w:lineRule="auto"/>
        <w:rPr>
          <w:sz w:val="20"/>
          <w:szCs w:val="20"/>
          <w:color w:val="auto"/>
        </w:rPr>
      </w:pPr>
      <w:r>
        <w:rPr>
          <w:rFonts w:ascii="Times New Roman" w:cs="Times New Roman" w:eastAsia="Times New Roman" w:hAnsi="Times New Roman"/>
          <w:sz w:val="18"/>
          <w:szCs w:val="18"/>
          <w:color w:val="auto"/>
        </w:rPr>
        <w:t xml:space="preserve">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99" w:lineRule="exact"/>
        <w:rPr>
          <w:sz w:val="20"/>
          <w:szCs w:val="20"/>
          <w:color w:val="auto"/>
        </w:rPr>
      </w:pPr>
    </w:p>
    <w:p>
      <w:pPr>
        <w:jc w:val="both"/>
        <w:ind w:left="1000" w:hanging="549"/>
        <w:spacing w:after="0" w:line="245"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and teaching hospitals, and, beginning in 2022, payments and other transfers of value provided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physician assistants, nurse practitioners, clinical nurse specialists, certified registered nurse anesthetists and certified nurse midwives during the previous year;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95" w:lineRule="exact"/>
        <w:rPr>
          <w:sz w:val="20"/>
          <w:szCs w:val="20"/>
          <w:color w:val="auto"/>
        </w:rPr>
      </w:pPr>
    </w:p>
    <w:p>
      <w:pPr>
        <w:jc w:val="both"/>
        <w:ind w:left="1000" w:hanging="549"/>
        <w:spacing w:after="0" w:line="24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higher than what is charged to other payers; or employing, exercising control over or splitting fees with licensed medical professionals; and</w:t>
      </w:r>
    </w:p>
    <w:p>
      <w:pPr>
        <w:spacing w:after="0" w:line="121" w:lineRule="exact"/>
        <w:rPr>
          <w:sz w:val="20"/>
          <w:szCs w:val="20"/>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5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from our customers have been collected from patients, subjects or participants who have provided the necessary informed consent for purposes that extend to our development activities. In many instances, this requires the physician or hospital system ordering the diagnostic system to obtain the consent of the patient.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under a large number of different legal systems.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97"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87"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tests and the reimbursement rates of payers;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4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no CPT code comprehensively describes our NGS oncology tests, so we have historically submitted claims using individual codes or combinations of codes based on the cancer subtype profiled. However, providers, such as the Local MAC,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are currently disputing denials of a substantial number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290"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revenues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 and our business.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 Further, it is possible that additional governmental action will be taken in response to the COVID-19 pandemic.</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37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37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00" w:lineRule="exact"/>
        <w:rPr>
          <w:sz w:val="20"/>
          <w:szCs w:val="20"/>
          <w:color w:val="auto"/>
        </w:rPr>
      </w:pPr>
    </w:p>
    <w:p>
      <w:pPr>
        <w:spacing w:after="0" w:line="279"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6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28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artificial intelligence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85"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288"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or right to our owned or licensed patents, trade secrets or other intellectual property. For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92"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5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04"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COVID-19 global pandemic and the worldwide attempts to contain it could harm our business and our results of operations have been and could continue to be adversely impacted by such pandemic.</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COVID-19 global pandemic and the various attempts throughout the world to contain it, have created significant volatility, uncertainty and disruption. In response to government directives and guidelines, health care advisories and employee and customer concerns, we altered certain aspects of our operations. Many of our employees worked remotely from home and those on site followed social distance guidelines, which have impacted their productivity. Any resurgence of COVID-19 could cause us or government authorities to reimpose these operating restrictions.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continues to cause or again causes severe disruption, vendors of equipment and reagents for our operations could also reduce production or even go out of business, resulting in supply constraints for us. The COVID-19 pandemic has resulted in, and could continue to cause, increased costs or delays to production and development of our products.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full extent to which the COVID-19 pandemic and the various responses to it impacts our business, operations and financial results will depend on numerous evolving factors that we may not be able to accurately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predict, including: the duration and scope of the pandemic, including any resurgence in the United States; governmental, business and individuals’ actions that have been and continue to be taken in response to the pandemic; the availability, cost to access and effectiveness of COVID-19 tests, vaccines and medicines; the effect on our customers and customer demand for and ability to pay for our tests; restrictions on our employees’ ability to work and travel; disruptions related to the distribution of our tests, including impacts on logistics of shipping and receiving blood collection kits; and any stoppages, disruptions or increased costs associated with development, production and marketing of our products. During the COVID-19 pandemic, we may not be able to maintain the same level of customer outreach and service, which could negatively impact our customers’ perception of us. We will continue to actively monitor the issues raised by the COVID-19 pandemic and may take further actions that alter our operations, as may be required by federal, state, local or foreign authorities, or that we determine are in the best interests of our employees, customers and stockholders. It is not clear what the potential effects any such alterations or modifications may have on our business, including the effects on our financial results.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revenues, operating margins, cash flows, tests performed, and other financial and operating metrics, may not be indicative of our results for future periods. For example, we expect our COVID-19 diagnostic testing revenue to decline substantially over time as the COVID-19 pandemic wanes and demand for testing subsides. In addition,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 In addition to the impacts to our business, the global economy is likely to be significantly weakened as a result of actions taken in response to the COVID-19 pandemic. To the extent that such a weakened global economy impacts customers’ ability or willingness to pay for our tests, our business, financial condition and results of operations could be negatively impacted.</w:t>
      </w:r>
    </w:p>
    <w:p>
      <w:pPr>
        <w:spacing w:after="0" w:line="290"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We also may pursue strategic alliances and additional joint ventures that leverage our Platform and 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These changes may adversely affect our future cash flow.</w:t>
      </w:r>
    </w:p>
    <w:p>
      <w:pPr>
        <w:spacing w:after="0" w:line="296"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For example, in connection with adopting and implementing the new revenue recognition standard,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management has made and will continue to make judgments and assumptions based on our interpretation of the new standard. The new revenue recognition standard is principle-based and interpretation of those principles may vary from company to company based on their unique circumstances. It is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281"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member of the board of directors of Groupon, Inc., which he co-founded.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individual and collective efforts of Mr. Lefkofsky and our other employees will be important as we continue to develop our Platform and additional products, and as we expand our commercial activities. The loss or incapacity of existing members of our executive management team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89"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w:t>
      </w:r>
    </w:p>
    <w:p>
      <w:pPr>
        <w:spacing w:after="0" w:line="15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This material weakness did not result in a material misstatement to the financial statements. However, this material weakness could result in material misstatements potentially impacting one or more of the financial statement accounts and disclosures that would not be prevented or detected.</w:t>
      </w:r>
    </w:p>
    <w:p>
      <w:pPr>
        <w:spacing w:after="0" w:line="17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have taken steps to remediate this material weakness by hiring a Chief Accounting Officer and other key technical accounting and financial reporting roles to further develop and document our accounting policies and financial reporting procedures, including ongoing senior management review. Management will continue to work to remediate this material weakness by hiring additional qualified accounting and financial reporting personnel, training existing personnel, and further evolving our accounting processes. At this time, we do not anticipate the costs associated with remediating this material weakness will be material. We expect that completion of the remediation of the material weakness could extend beyond December 31, 2022. There is no assurance that we will be able to remediate the material weakness in a timely manner or that in the future additional material weaknesses will not exist or otherwise be discovered. If we are not able to remedy this material weakness, we may not be able to manage our business effectively or accurately report our financial performance on a timely basis, which could cause a decline in our common stock price and adversely affect our business, financial condition, and results of operations.</w:t>
      </w:r>
    </w:p>
    <w:p>
      <w:pPr>
        <w:spacing w:after="0" w:line="262"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 and to remediate our material weakness described above.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we are unable to remediate our material weakness described above, or if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controls and procedures, no matter how well-conceived and operated, can provide only reasonable, not absolute, assurance that the objectives of the control system are met.</w:t>
      </w:r>
    </w:p>
    <w:p>
      <w:pPr>
        <w:spacing w:after="0" w:line="17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47"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depend on information technology and telecommunications systems for significant elements of our operations, including our laboratory information management system, our computational biology system, our artificial intelligence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00" w:lineRule="exact"/>
        <w:rPr>
          <w:sz w:val="20"/>
          <w:szCs w:val="20"/>
          <w:color w:val="auto"/>
        </w:rPr>
      </w:pPr>
    </w:p>
    <w:p>
      <w:pPr>
        <w:spacing w:after="0" w:line="39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8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6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9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302"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including regulations that limit our ability to collect and distribute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 between Russia and Ukraine),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damage or disrupt international commerce and the global economy, and could have a material adverse effect on our business and results of operations. While our business and operations are currently not impacted, it is not possible to predict the broader or longer-term consequences of this crisis. Consequences of the crisis could include further sanctions, embargoes, regional instability, geopolitical shifts and adverse effects on macroeconomic conditions, security conditions, currency exchange rates and financial markets. There can be no assurance that the Russia-Ukraine crisis, including any resulting sanctions, export controls or other restrictive actions, will not have a material adverse impact on our future operations and results.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September 30, 2022, we had indebtedness of $403.0 million, comprised of $228.0 million under the convertible promissory note, or, as amended, the Amended Note, that we issued to Google LLC, or Google, and $175.0 million pursuant to a credit agreement with Ares Capital Corporation, or Ares, for a senior secured loan, or the Term Loan Facility. Our current and future indebtedness, including the Amended Note and the Term Loan Facility may have significant negative effects on our operations, including:</w:t>
      </w:r>
    </w:p>
    <w:p>
      <w:pPr>
        <w:spacing w:after="0" w:line="92" w:lineRule="exact"/>
        <w:rPr>
          <w:sz w:val="20"/>
          <w:szCs w:val="20"/>
          <w:color w:val="auto"/>
        </w:rPr>
      </w:pPr>
    </w:p>
    <w:p>
      <w:pPr>
        <w:jc w:val="both"/>
        <w:ind w:left="1000" w:hanging="549"/>
        <w:spacing w:after="0" w:line="255"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 and</w:t>
      </w:r>
    </w:p>
    <w:p>
      <w:pPr>
        <w:spacing w:after="0" w:line="59"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material adverse effect on our business, financial condition and results of operations. We could also suffer severe penalties, including criminal and civil penalties, disgorgement and other remedial measures.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common stock, will beneficially own shares representing approximately %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or to pay down existing or future debt obligations.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w:t>
      </w:r>
    </w:p>
    <w:p>
      <w:pPr>
        <w:spacing w:after="0" w:line="180" w:lineRule="exact"/>
        <w:rPr>
          <w:sz w:val="20"/>
          <w:szCs w:val="20"/>
          <w:color w:val="auto"/>
        </w:rPr>
      </w:pPr>
    </w:p>
    <w:p>
      <w:pPr>
        <w:jc w:val="both"/>
        <w:ind w:firstLine="454"/>
        <w:spacing w:after="0" w:line="231" w:lineRule="auto"/>
        <w:rPr>
          <w:sz w:val="20"/>
          <w:szCs w:val="20"/>
          <w:color w:val="auto"/>
        </w:rPr>
      </w:pPr>
      <w:r>
        <w:rPr>
          <w:rFonts w:ascii="Times New Roman" w:cs="Times New Roman" w:eastAsia="Times New Roman" w:hAnsi="Times New Roman"/>
          <w:sz w:val="18"/>
          <w:szCs w:val="18"/>
          <w:color w:val="auto"/>
        </w:rPr>
        <w:t>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 publicly disclose an intention to, during the period ending o</w:t>
      </w:r>
      <w:r>
        <w:rPr>
          <w:rFonts w:ascii="Times New Roman" w:cs="Times New Roman" w:eastAsia="Times New Roman" w:hAnsi="Times New Roman"/>
          <w:sz w:val="26"/>
          <w:szCs w:val="26"/>
          <w:color w:val="auto"/>
          <w:vertAlign w:val="superscript"/>
        </w:rPr>
        <w:t>n</w:t>
      </w:r>
      <w:r>
        <w:rPr>
          <w:rFonts w:ascii="Times New Roman" w:cs="Times New Roman" w:eastAsia="Times New Roman" w:hAnsi="Times New Roman"/>
          <w:sz w:val="18"/>
          <w:szCs w:val="18"/>
          <w:color w:val="auto"/>
        </w:rPr>
        <w:t xml:space="preserve"> the 180th day after the date of this prospectus,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stock or any securities convertible into or exchangeable for or that represent the right to receive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September 30, 2022 and 12,009,970 shares of Class A common stock issuable upon the vesting and settlement of restricted stock units outstanding as of September 30, 2022. The shares of Class A common stock will become eligible for sale in the public market to the extent such options are exercised or restricted stock units vested and settled, subject to the lock-up agreements described above and compliance with applicable securities laws. We intend to register all of the shares of Class A common stock issuable upon the vesting and settlement of outstanding restricted stock units, and other equity incentives we may grant in the future, for public resale under the Securities Act.</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Further, based on shares outstanding as of September 30, 2022, holders of approximately shares of Class A common stock (assuming the issuance of the Additional Class A Conversion Shares, as discussed under “Prospectus Summary” above, and assuming no exercise of the underwriters’ option to purchase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 shares) and approximately shares of Class B common stock,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w:t>
      </w:r>
    </w:p>
    <w:tbl>
      <w:tblPr>
        <w:tblLayout w:type="fixed"/>
        <w:tblInd w:w="0" w:type="dxa"/>
        <w:tblCellMar>
          <w:top w:w="0" w:type="dxa"/>
          <w:left w:w="0" w:type="dxa"/>
          <w:bottom w:w="0" w:type="dxa"/>
          <w:right w:w="0" w:type="dxa"/>
        </w:tblCellMar>
      </w:tblPr>
      <w:tr>
        <w:trPr>
          <w:trHeight w:val="194"/>
        </w:trPr>
        <w:tc>
          <w:tcPr>
            <w:tcW w:w="7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per share, or $</w:t>
            </w:r>
          </w:p>
        </w:tc>
        <w:tc>
          <w:tcPr>
            <w:tcW w:w="88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per share if the underwriters exercise their option to purchase additional shares in full, representing the difference between our</w:t>
            </w:r>
          </w:p>
        </w:tc>
      </w:tr>
      <w:tr>
        <w:trPr>
          <w:trHeight w:val="21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 after giving effect to the sale of Class A common stock in this offering and the</w:t>
            </w:r>
          </w:p>
        </w:tc>
      </w:tr>
      <w:tr>
        <w:trPr>
          <w:trHeight w:val="21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assumed public offering price of $</w:t>
            </w:r>
          </w:p>
        </w:tc>
        <w:tc>
          <w:tcPr>
            <w:tcW w:w="8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 of this prospectus. See the section titled</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4"/>
              </w:rPr>
              <w:t>“Dilution.”</w:t>
            </w:r>
          </w:p>
        </w:tc>
        <w:tc>
          <w:tcPr>
            <w:tcW w:w="1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520" w:type="dxa"/>
            <w:vAlign w:val="bottom"/>
          </w:tcPr>
          <w:p>
            <w:pPr>
              <w:spacing w:after="0"/>
              <w:rPr>
                <w:sz w:val="19"/>
                <w:szCs w:val="19"/>
                <w:color w:val="auto"/>
              </w:rPr>
            </w:pPr>
          </w:p>
        </w:tc>
      </w:tr>
    </w:tbl>
    <w:p>
      <w:pPr>
        <w:spacing w:after="0" w:line="293"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6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as well as the anticipation of lock-up releases;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5"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Algos;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2020, Outlook to 2026, July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September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2020: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2020 database, 2020: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September 2018</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40"/>
          </w:cols>
          <w:pgMar w:left="320" w:top="448"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2019-2021, 2019</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44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ind w:left="460"/>
        <w:spacing w:after="0"/>
        <w:tabs>
          <w:tab w:leader="none" w:pos="7140" w:val="left"/>
        </w:tabs>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w:t>
      </w:r>
      <w:r>
        <w:rPr>
          <w:sz w:val="20"/>
          <w:szCs w:val="20"/>
          <w:color w:val="auto"/>
        </w:rPr>
        <w:tab/>
      </w:r>
      <w:r>
        <w:rPr>
          <w:rFonts w:ascii="Times New Roman" w:cs="Times New Roman" w:eastAsia="Times New Roman" w:hAnsi="Times New Roman"/>
          <w:sz w:val="16"/>
          <w:szCs w:val="16"/>
          <w:color w:val="auto"/>
        </w:rPr>
        <w:t>million based on an assumed initial public offering price of</w:t>
      </w:r>
    </w:p>
    <w:p>
      <w:pPr>
        <w:spacing w:after="0" w:line="21" w:lineRule="exact"/>
        <w:rPr>
          <w:sz w:val="20"/>
          <w:szCs w:val="20"/>
          <w:color w:val="auto"/>
        </w:rPr>
      </w:pPr>
    </w:p>
    <w:p>
      <w:pPr>
        <w:jc w:val="both"/>
        <w:ind w:firstLine="5"/>
        <w:spacing w:after="0" w:line="244" w:lineRule="auto"/>
        <w:tabs>
          <w:tab w:leader="none" w:pos="8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w:t>
      </w:r>
    </w:p>
    <w:p>
      <w:pPr>
        <w:spacing w:after="0" w:line="19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w:t>
      </w:r>
    </w:p>
    <w:p>
      <w:pPr>
        <w:spacing w:after="0" w:line="2" w:lineRule="exact"/>
        <w:rPr>
          <w:sz w:val="20"/>
          <w:szCs w:val="20"/>
          <w:color w:val="auto"/>
        </w:rPr>
      </w:pPr>
    </w:p>
    <w:p>
      <w:pPr>
        <w:ind w:left="1060" w:hanging="1055"/>
        <w:spacing w:after="0"/>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estimated underwriting discounts and commissions. Similarly, each increase (decrease) of 1,000,000 shares in the number of shares of Class A common stock</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or to pay down existing debt obligations. At this time, we do not have agreements or commitments to enter into any material acquisitions.</w:t>
      </w:r>
    </w:p>
    <w:p>
      <w:pPr>
        <w:spacing w:after="0" w:line="15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September 30, 2022, there was $175.0 million gross principal amount outstanding under the Term Loan Facility. As of September 30, 2022, the interest rate on the Term Loan Facility was 10.5%. The Term Loan Facility was entered into in September 2022 to provide working capital and for general corporate purposes, including to finance growth initiatives and pay for operating expenses.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Since our incorporation in 2015, we have paid an aggregate of $26.8 million in cash dividends to holders of our preferred stock in satisfaction of dividend obligations accruing pursuant to our certificate of incorporation in effect prior to this offering. As of the date of this prospectus, shares of our convertible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8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September 30, 2022:</w:t>
      </w:r>
    </w:p>
    <w:p>
      <w:pPr>
        <w:spacing w:after="0" w:line="121" w:lineRule="exact"/>
        <w:rPr>
          <w:sz w:val="20"/>
          <w:szCs w:val="20"/>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85" w:lineRule="auto"/>
        <w:tabs>
          <w:tab w:leader="none" w:pos="10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giving effect to (1) the automatic conversion of all of our outstanding shares of Series B redeemable convertible preferred stock into 5,374,899 shares of Class B common stock, which will occur upon the closing of this offering; (2) the automatic conversion of all of our</w:t>
      </w:r>
    </w:p>
    <w:tbl>
      <w:tblPr>
        <w:tblLayout w:type="fixed"/>
        <w:tblInd w:w="460" w:type="dxa"/>
        <w:tblCellMar>
          <w:top w:w="0" w:type="dxa"/>
          <w:left w:w="0" w:type="dxa"/>
          <w:bottom w:w="0" w:type="dxa"/>
          <w:right w:w="0" w:type="dxa"/>
        </w:tblCellMar>
      </w:tblPr>
      <w:tr>
        <w:trPr>
          <w:trHeight w:val="193"/>
        </w:trPr>
        <w:tc>
          <w:tcPr>
            <w:tcW w:w="300" w:type="dxa"/>
            <w:vAlign w:val="bottom"/>
          </w:tcPr>
          <w:p>
            <w:pPr>
              <w:spacing w:after="0"/>
              <w:rPr>
                <w:sz w:val="16"/>
                <w:szCs w:val="16"/>
                <w:color w:val="auto"/>
              </w:rPr>
            </w:pPr>
          </w:p>
        </w:tc>
        <w:tc>
          <w:tcPr>
            <w:tcW w:w="7820" w:type="dxa"/>
            <w:vAlign w:val="bottom"/>
            <w:gridSpan w:val="4"/>
          </w:tcPr>
          <w:p>
            <w:pPr>
              <w:ind w:left="240"/>
              <w:spacing w:after="0" w:line="194" w:lineRule="exact"/>
              <w:rPr>
                <w:sz w:val="20"/>
                <w:szCs w:val="20"/>
                <w:color w:val="auto"/>
              </w:rPr>
            </w:pPr>
            <w:r>
              <w:rPr>
                <w:rFonts w:ascii="Times New Roman" w:cs="Times New Roman" w:eastAsia="Times New Roman" w:hAnsi="Times New Roman"/>
                <w:sz w:val="18"/>
                <w:szCs w:val="18"/>
                <w:color w:val="auto"/>
                <w:w w:val="98"/>
              </w:rPr>
              <w:t>outstanding shares of redeemable convertible preferred stock, other than our Series B preferred stock, into</w:t>
            </w:r>
          </w:p>
        </w:tc>
        <w:tc>
          <w:tcPr>
            <w:tcW w:w="27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shares of Class A common</w:t>
            </w:r>
          </w:p>
        </w:tc>
      </w:tr>
      <w:tr>
        <w:trPr>
          <w:trHeight w:val="210"/>
        </w:trPr>
        <w:tc>
          <w:tcPr>
            <w:tcW w:w="30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assuming an initial public offering price of $</w:t>
            </w: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 range set forth on the cover page of this</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prospectus, which will occur upon the closing of this offering, which will occur upon the closing of this offering; (3) the issuance of</w:t>
            </w:r>
          </w:p>
        </w:tc>
      </w:tr>
      <w:tr>
        <w:trPr>
          <w:trHeight w:val="210"/>
        </w:trPr>
        <w:tc>
          <w:tcPr>
            <w:tcW w:w="300" w:type="dxa"/>
            <w:vAlign w:val="bottom"/>
          </w:tcPr>
          <w:p>
            <w:pPr>
              <w:spacing w:after="0"/>
              <w:rPr>
                <w:sz w:val="18"/>
                <w:szCs w:val="18"/>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Additional Class A Conversion Shares, assuming an initial public offering price of $</w:t>
            </w:r>
          </w:p>
        </w:tc>
        <w:tc>
          <w:tcPr>
            <w:tcW w:w="3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per share, the midpoint of the estimated price range</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set forth on the cover page of this prospectus, which will occur upon the conversion of all outstanding shares of our redeemable convertible</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8"/>
              </w:rPr>
              <w:t>preferred stock and upon the closing of this offering; (4) the automatic conversion of all of our nonvoting common stock into 4,612,450 shares of</w:t>
            </w:r>
          </w:p>
        </w:tc>
      </w:tr>
      <w:tr>
        <w:trPr>
          <w:trHeight w:val="210"/>
        </w:trPr>
        <w:tc>
          <w:tcPr>
            <w:tcW w:w="300" w:type="dxa"/>
            <w:vAlign w:val="bottom"/>
          </w:tcPr>
          <w:p>
            <w:pPr>
              <w:spacing w:after="0"/>
              <w:rPr>
                <w:sz w:val="18"/>
                <w:szCs w:val="18"/>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Class A common stock, which will occur upon the closing of this offering; (5) the issuance of</w:t>
            </w:r>
          </w:p>
        </w:tc>
        <w:tc>
          <w:tcPr>
            <w:tcW w:w="88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shares of Class A common stock upon</w:t>
            </w:r>
          </w:p>
        </w:tc>
      </w:tr>
      <w:tr>
        <w:trPr>
          <w:trHeight w:val="210"/>
        </w:trPr>
        <w:tc>
          <w:tcPr>
            <w:tcW w:w="300" w:type="dxa"/>
            <w:vAlign w:val="bottom"/>
          </w:tcPr>
          <w:p>
            <w:pPr>
              <w:spacing w:after="0"/>
              <w:rPr>
                <w:sz w:val="18"/>
                <w:szCs w:val="18"/>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settlement of RSUs for which the service-based vesting condition was satisfied on or before</w:t>
            </w:r>
          </w:p>
        </w:tc>
        <w:tc>
          <w:tcPr>
            <w:tcW w:w="3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 and for which the performance-based</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vesting condition will be satisfied in connection with this offering, which settlement will occur upon the expiration of the lock-up period in</w:t>
            </w:r>
          </w:p>
        </w:tc>
      </w:tr>
      <w:tr>
        <w:trPr>
          <w:trHeight w:val="210"/>
        </w:trPr>
        <w:tc>
          <w:tcPr>
            <w:tcW w:w="30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connection with this offering; (6), the issuance of</w:t>
            </w: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upon settlement of PSUs for which the service-based</w:t>
            </w:r>
          </w:p>
        </w:tc>
      </w:tr>
      <w:tr>
        <w:trPr>
          <w:trHeight w:val="210"/>
        </w:trPr>
        <w:tc>
          <w:tcPr>
            <w:tcW w:w="30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condition will be satisfied on or before</w:t>
            </w:r>
          </w:p>
        </w:tc>
        <w:tc>
          <w:tcPr>
            <w:tcW w:w="520" w:type="dxa"/>
            <w:vAlign w:val="bottom"/>
          </w:tcPr>
          <w:p>
            <w:pPr>
              <w:spacing w:after="0"/>
              <w:rPr>
                <w:sz w:val="18"/>
                <w:szCs w:val="18"/>
                <w:color w:val="auto"/>
              </w:rPr>
            </w:pP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2023 and for which the performance-based vesting condition will be satisfied in</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connection with this offering, which settlement will occur upon the expiration of the lock-up period in connection with this offering; (7) stock-</w:t>
            </w:r>
          </w:p>
        </w:tc>
      </w:tr>
      <w:tr>
        <w:trPr>
          <w:trHeight w:val="210"/>
        </w:trPr>
        <w:tc>
          <w:tcPr>
            <w:tcW w:w="30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based compensation expense of approximately $</w:t>
            </w: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million related to the vesting of RSUs and PSUs for which the service-based vesting</w:t>
            </w:r>
          </w:p>
        </w:tc>
      </w:tr>
      <w:tr>
        <w:trPr>
          <w:trHeight w:val="210"/>
        </w:trPr>
        <w:tc>
          <w:tcPr>
            <w:tcW w:w="30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 was satisfied on or before</w:t>
            </w:r>
          </w:p>
        </w:tc>
        <w:tc>
          <w:tcPr>
            <w:tcW w:w="6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8"/>
              </w:rPr>
              <w:t>, 2023 and for which the performance-based vesting condition will be satisfied in connection with</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9"/>
              </w:rPr>
              <w:t>this offering, as further described in Note 9 to our consolidated financial statements included elsewhere in this prospectus; and (8) the filing and</w:t>
            </w:r>
          </w:p>
        </w:tc>
      </w:tr>
      <w:tr>
        <w:trPr>
          <w:trHeight w:val="228"/>
        </w:trPr>
        <w:tc>
          <w:tcPr>
            <w:tcW w:w="300" w:type="dxa"/>
            <w:vAlign w:val="bottom"/>
          </w:tcPr>
          <w:p>
            <w:pPr>
              <w:spacing w:after="0"/>
              <w:rPr>
                <w:sz w:val="19"/>
                <w:szCs w:val="19"/>
                <w:color w:val="auto"/>
              </w:rPr>
            </w:pPr>
          </w:p>
        </w:tc>
        <w:tc>
          <w:tcPr>
            <w:tcW w:w="9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effectiveness of our amended and restated certificate of incorporation, which will occur upon the closing of this offering; and</w:t>
            </w:r>
          </w:p>
        </w:tc>
        <w:tc>
          <w:tcPr>
            <w:tcW w:w="12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on a pro forma as adjusted basis, giving effect to (1) the pro forma adjustments set forth above and (2) our receipt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net</w:t>
            </w:r>
          </w:p>
        </w:tc>
      </w:tr>
      <w:tr>
        <w:trPr>
          <w:trHeight w:val="210"/>
        </w:trPr>
        <w:tc>
          <w:tcPr>
            <w:tcW w:w="300" w:type="dxa"/>
            <w:vAlign w:val="bottom"/>
          </w:tcPr>
          <w:p>
            <w:pPr>
              <w:spacing w:after="0"/>
              <w:rPr>
                <w:sz w:val="18"/>
                <w:szCs w:val="18"/>
                <w:color w:val="auto"/>
              </w:rPr>
            </w:pPr>
          </w:p>
        </w:tc>
        <w:tc>
          <w:tcPr>
            <w:tcW w:w="9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proceeds from the sale of shares of Class A common stock that we are offering at an assumed initial public offering price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after deducting the estimated underwriting discounts and</w:t>
            </w:r>
          </w:p>
        </w:tc>
      </w:tr>
      <w:tr>
        <w:trPr>
          <w:trHeight w:val="228"/>
        </w:trPr>
        <w:tc>
          <w:tcPr>
            <w:tcW w:w="300" w:type="dxa"/>
            <w:vAlign w:val="bottom"/>
          </w:tcPr>
          <w:p>
            <w:pPr>
              <w:spacing w:after="0"/>
              <w:rPr>
                <w:sz w:val="19"/>
                <w:szCs w:val="19"/>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320" w:top="44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w w:val="99"/>
              </w:rPr>
              <w:t>As of September 30, 2022</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360" w:type="dxa"/>
            <w:vAlign w:val="bottom"/>
            <w:tcBorders>
              <w:top w:val="single" w:sz="8" w:color="auto"/>
            </w:tcBorders>
            <w:gridSpan w:val="5"/>
          </w:tcPr>
          <w:p>
            <w:pPr>
              <w:jc w:val="center"/>
              <w:ind w:right="113"/>
              <w:spacing w:after="0" w:line="138" w:lineRule="exact"/>
              <w:rPr>
                <w:sz w:val="20"/>
                <w:szCs w:val="20"/>
                <w:color w:val="auto"/>
              </w:rPr>
            </w:pPr>
            <w:r>
              <w:rPr>
                <w:rFonts w:ascii="Times New Roman" w:cs="Times New Roman" w:eastAsia="Times New Roman" w:hAnsi="Times New Roman"/>
                <w:sz w:val="14"/>
                <w:szCs w:val="14"/>
                <w:b w:val="1"/>
                <w:bCs w:val="1"/>
                <w:color w:val="auto"/>
                <w:w w:val="99"/>
              </w:rPr>
              <w:t>(in thousands except share and per share amounts)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369,831</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228,015</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168,075</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76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65,441,289 shares authorized, 62,692,927</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no shares authorized, issued and outstanding, pro forma and pro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as adjusted</w:t>
            </w: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1,016,987</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760" w:type="dxa"/>
            <w:vAlign w:val="bottom"/>
            <w:gridSpan w:val="4"/>
          </w:tcPr>
          <w:p>
            <w:pPr>
              <w:ind w:left="360"/>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and outstanding, actual; 20,000,000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7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shares authorized, no shares issued and outstanding, pro forma and pro forma as adjusted</w:t>
            </w:r>
          </w:p>
        </w:tc>
        <w:tc>
          <w:tcPr>
            <w:tcW w:w="18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760" w:type="dxa"/>
            <w:vAlign w:val="bottom"/>
            <w:gridSpan w:val="4"/>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63,946,627 shares authorized, 4,612,450 shares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6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actual; no shares authorized, issued and outstanding, pro forma and pro</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forma as adjusted</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760" w:type="dxa"/>
            <w:vAlign w:val="bottom"/>
            <w:gridSpan w:val="4"/>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$0.0001 par value, 181,700,285 shares authorized, 58,367,961 shares issued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and outstanding, actual; 1,000,000,000 shares authorized,</w:t>
            </w:r>
          </w:p>
        </w:tc>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pro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forma and shares issued and outstanding, pro forma as adjusted</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760" w:type="dxa"/>
            <w:vAlign w:val="bottom"/>
            <w:gridSpan w:val="4"/>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$0.0001 par value, 5,374,899 shares authorized, no shares issued and</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 5,500,000 shares authorized,</w:t>
            </w:r>
          </w:p>
        </w:tc>
        <w:tc>
          <w:tcPr>
            <w:tcW w:w="36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(1,061,937)</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(1,061,845)</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capitalization</w:t>
            </w: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351,232</w:t>
            </w:r>
          </w:p>
        </w:tc>
        <w:tc>
          <w:tcPr>
            <w:tcW w:w="44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510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w w:val="98"/>
              </w:rPr>
              <w:t>per share of Class A common stock, the midpoint of the estimated</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price range set forth on the cover page of this prospectus, would increase (decrease) each of our pro forma as adjusted cash, cash equivalents and restricted cash,</w:t>
      </w:r>
    </w:p>
    <w:p>
      <w:pPr>
        <w:spacing w:after="0" w:line="2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3"/>
          <w:szCs w:val="13"/>
          <w:color w:val="auto"/>
        </w:rPr>
        <w:t>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w:t>
      </w:r>
    </w:p>
    <w:p>
      <w:pPr>
        <w:spacing w:after="0" w:line="4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on shares of Class A common stock and 5,374,899 shares of Class B common stock outstanding as of (after giving effect to the Series G-3 Financing (as defined in “Management’s Discussion and Analysis of Financial Condition and Results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Operations—Liquidity and Capital Resources—Series G-3 Financing”) and assuming the conversion of all outstanding shares of redeemable convertible preferred stock, other than our Series B redeemable convertible preferred stock and non-voting common stock into Class A common stock, assuming an initial</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public offering price of $ per share, the midpoint of the estimated price range set forth on the cover page of this prospectus, which will occur upon the closing of this offering,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85" w:lineRule="auto"/>
        <w:tabs>
          <w:tab w:leader="none" w:pos="169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September 30, 2022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ind w:left="1600" w:hanging="1149"/>
        <w:spacing w:after="0"/>
        <w:tabs>
          <w:tab w:leader="none" w:pos="16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September 30, 2022</w:t>
      </w:r>
    </w:p>
    <w:p>
      <w:pPr>
        <w:spacing w:after="0" w:line="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under our 2015 Plan, for which the performance-based vesting condition may be satisfied in connection with this offering, but for which the</w:t>
      </w:r>
    </w:p>
    <w:p>
      <w:pPr>
        <w:spacing w:after="0" w:line="3"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2023 Plan, as well as any future increases, including annual automatic evergreen increases, in the number of shares of Class A common stock reserved for issuance under the 2023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September 30, 2022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$228.0 million as of September 30, 2022)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bl>
    <w:p>
      <w:pPr>
        <w:ind w:left="1000"/>
        <w:spacing w:after="0" w:line="247" w:lineRule="auto"/>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 which payment may be made in cash or shares of Class A common stock, upon mutual agreement of the Company and such stockholder;</w:t>
      </w:r>
    </w:p>
    <w:p>
      <w:pPr>
        <w:spacing w:after="0" w:line="94" w:lineRule="exact"/>
        <w:rPr>
          <w:sz w:val="20"/>
          <w:szCs w:val="20"/>
          <w:color w:val="auto"/>
        </w:rPr>
      </w:pPr>
    </w:p>
    <w:p>
      <w:pPr>
        <w:jc w:val="both"/>
        <w:ind w:left="1000" w:hanging="549"/>
        <w:spacing w:after="0" w:line="255"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historical net tangible book value (deficit) as of September 30, 2022 was $(1,149.0) million, or $(18.24)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62,980,411 shares of common stock outstanding as of September 30, 2022. Our pro</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forma net tangible book value as of September 30, 2022 was $ million, or $ per share. Our pro forma net tangible book value per share represents the amount of our total tangible assets less our total liabilities, divided by the number of our shares of common stock outstanding as of September 30, 2022, after giving effect to (1) the automatic conversion of all outstanding shares of our Series B redeemable preferred stock into 5,374,899 shares of Class B common stock, which will occur upon the closing of this offering; (2) the automatic conversion of all outstanding shares of our redeemable convertible preferred</w:t>
      </w:r>
    </w:p>
    <w:p>
      <w:pPr>
        <w:spacing w:after="0" w:line="2"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8"/>
          <w:szCs w:val="18"/>
          <w:color w:val="auto"/>
        </w:rPr>
        <w:t>stock, other than our Series B preferred stock, into an aggregate of</w:t>
      </w:r>
      <w:r>
        <w:rPr>
          <w:sz w:val="20"/>
          <w:szCs w:val="20"/>
          <w:color w:val="auto"/>
        </w:rPr>
        <w:tab/>
      </w:r>
      <w:r>
        <w:rPr>
          <w:rFonts w:ascii="Times New Roman" w:cs="Times New Roman" w:eastAsia="Times New Roman" w:hAnsi="Times New Roman"/>
          <w:sz w:val="16"/>
          <w:szCs w:val="16"/>
          <w:color w:val="auto"/>
        </w:rPr>
        <w:t>shares of Class A common stock, assuming an initial public offering price of</w:t>
      </w:r>
    </w:p>
    <w:p>
      <w:pPr>
        <w:spacing w:after="0" w:line="3" w:lineRule="exact"/>
        <w:rPr>
          <w:sz w:val="20"/>
          <w:szCs w:val="20"/>
          <w:color w:val="auto"/>
        </w:rPr>
      </w:pPr>
    </w:p>
    <w:p>
      <w:pPr>
        <w:ind w:left="760" w:hanging="755"/>
        <w:spacing w:after="0"/>
        <w:tabs>
          <w:tab w:leader="none" w:pos="7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the midpoint of the estimated price range set forth on the cover page of this prospectus, which will occur upon the closing of this offering;</w:t>
      </w:r>
    </w:p>
    <w:p>
      <w:pPr>
        <w:spacing w:after="0" w:line="26" w:lineRule="exact"/>
        <w:rPr>
          <w:sz w:val="20"/>
          <w:szCs w:val="20"/>
          <w:color w:val="auto"/>
        </w:rPr>
      </w:pPr>
    </w:p>
    <w:p>
      <w:pPr>
        <w:jc w:val="both"/>
        <w:spacing w:after="0" w:line="180" w:lineRule="auto"/>
        <w:rPr>
          <w:sz w:val="20"/>
          <w:szCs w:val="20"/>
          <w:color w:val="auto"/>
        </w:rPr>
      </w:pPr>
      <w:r>
        <w:rPr>
          <w:rFonts w:ascii="Times New Roman" w:cs="Times New Roman" w:eastAsia="Times New Roman" w:hAnsi="Times New Roman"/>
          <w:sz w:val="12"/>
          <w:szCs w:val="12"/>
          <w:color w:val="auto"/>
        </w:rPr>
        <w:t>(3) the issuance of Additional Class A Conversion Shares, assuming an initial public offering price of $ per share, the midpoint of the estimated price range set forth on the cover page of this prospectus, which will occur upon the conversion of all outstanding shares of our redeemable convertible preferred stock and upon the closing of this offering; (4) the automatic conversion of all of our nonvoting common stock into 4,612,450 shares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common stock, which will occur upon the closing of this offering; (5) the issuance of shares of Class A common stock upon settlement of RSUs for which the service-based vesting condition was satisfied on or before , 2023 and for which the performance-based vesting condition will be satisfied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this offering, which settlement will occur upon the expiration of the lock-up period in connection with this offering; (6), the issuance of</w:t>
      </w:r>
    </w:p>
    <w:p>
      <w:pPr>
        <w:spacing w:after="0" w:line="3"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upon settlement of PSUs for which the service-based vesting condition will be satisfied on or before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rPr>
          <w:sz w:val="20"/>
          <w:szCs w:val="20"/>
          <w:color w:val="auto"/>
        </w:rPr>
      </w:pPr>
      <w:r>
        <w:rPr>
          <w:rFonts w:ascii="Times New Roman" w:cs="Times New Roman" w:eastAsia="Times New Roman" w:hAnsi="Times New Roman"/>
          <w:sz w:val="16"/>
          <w:szCs w:val="16"/>
          <w:color w:val="auto"/>
        </w:rPr>
        <w:t>and for which the performance-based vesting condition will be satisfied in connection with this offering, which settlement will occur upon the expiration of the</w:t>
      </w:r>
    </w:p>
    <w:p>
      <w:pPr>
        <w:spacing w:after="0" w:line="3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lock-up period in connection with this offering; (7) stock-based compensation expense of approximately $ million related to the vesting of RSUs and PSUs for which the service-based vesting condition was satisfied on or before , 2023 and for which the performance-based vesting condition will be</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satisfied in connection with this offering, as further described in Note 9 to our consolidated financial statements included elsewhere in this prospectus; and (8) the filing and effectiveness of our amended and restated certificate of incorporation, which will occur upon the closing of this offering. See “Prospectus Summary— The Offering” for a description of the Additional Class A Conversion Shares, as the number of Additional Class A Conversion Shares that will be issued depends on the initial public offering price of our Class A common stock.</w:t>
      </w:r>
    </w:p>
    <w:p>
      <w:pPr>
        <w:spacing w:after="0" w:line="191" w:lineRule="exact"/>
        <w:rPr>
          <w:sz w:val="20"/>
          <w:szCs w:val="20"/>
          <w:color w:val="auto"/>
        </w:rPr>
      </w:pPr>
    </w:p>
    <w:p>
      <w:pPr>
        <w:ind w:left="460"/>
        <w:spacing w:after="0"/>
        <w:tabs>
          <w:tab w:leader="none" w:pos="4460" w:val="left"/>
        </w:tabs>
        <w:rPr>
          <w:sz w:val="20"/>
          <w:szCs w:val="20"/>
          <w:color w:val="auto"/>
        </w:rPr>
      </w:pPr>
      <w:r>
        <w:rPr>
          <w:rFonts w:ascii="Times New Roman" w:cs="Times New Roman" w:eastAsia="Times New Roman" w:hAnsi="Times New Roman"/>
          <w:sz w:val="18"/>
          <w:szCs w:val="18"/>
          <w:color w:val="auto"/>
        </w:rPr>
        <w:t>After giving effect to the sale by us of</w:t>
      </w:r>
      <w:r>
        <w:rPr>
          <w:sz w:val="20"/>
          <w:szCs w:val="20"/>
          <w:color w:val="auto"/>
        </w:rPr>
        <w:tab/>
      </w:r>
      <w:r>
        <w:rPr>
          <w:rFonts w:ascii="Times New Roman" w:cs="Times New Roman" w:eastAsia="Times New Roman" w:hAnsi="Times New Roman"/>
          <w:sz w:val="18"/>
          <w:szCs w:val="18"/>
          <w:color w:val="auto"/>
        </w:rPr>
        <w:t>shares of Class A common stock in this offering at an assumed initial public offering price of</w:t>
      </w:r>
    </w:p>
    <w:p>
      <w:pPr>
        <w:spacing w:after="0" w:line="21" w:lineRule="exact"/>
        <w:rPr>
          <w:sz w:val="20"/>
          <w:szCs w:val="20"/>
          <w:color w:val="auto"/>
        </w:rPr>
      </w:pPr>
    </w:p>
    <w:p>
      <w:pPr>
        <w:ind w:left="900" w:hanging="895"/>
        <w:spacing w:after="0"/>
        <w:tabs>
          <w:tab w:leader="none" w:pos="9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the midpoint of the estimated price range set forth on the cover page of this prospectus, after deducting estimated underwriting discounts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commissions and estimated offering expenses payable by us, our pro forma as adjusted net tangible book value as of September 30, 2022 would have been</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million, or $ per share. This amount represents an immediate increase in pro forma as adjusted net tangible book value of $ per share to our existing stockholders and an immediate dilution of $ per share to new investors purchasing Class A common stock in this offering. We determine dilution by subtracting the pro forma as adjusted net tangible book value per share after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September 30, 2022</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$(18.24)</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2022</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purchasing shares in this offering</w:t>
            </w: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88"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following table summarizes, as of September 30, 2022, on a pro forma as adjusted basis as described above, the aggregate number of shares of our Class A common stock and Class B common stock, the total consideration and the average price per share (1) paid to us by existing stockholders, and (2) to be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140" w:type="dxa"/>
            <w:vAlign w:val="bottom"/>
            <w:gridSpan w:val="4"/>
            <w:vMerge w:val="restart"/>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80" w:type="dxa"/>
            <w:vAlign w:val="bottom"/>
            <w:gridSpan w:val="4"/>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2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60" w:type="dxa"/>
            <w:vAlign w:val="bottom"/>
          </w:tcPr>
          <w:p>
            <w:pPr>
              <w:spacing w:after="0"/>
              <w:rPr>
                <w:sz w:val="11"/>
                <w:szCs w:val="11"/>
                <w:color w:val="auto"/>
              </w:rPr>
            </w:pPr>
          </w:p>
        </w:tc>
        <w:tc>
          <w:tcPr>
            <w:tcW w:w="680" w:type="dxa"/>
            <w:vAlign w:val="bottom"/>
            <w:tcBorders>
              <w:top w:val="single" w:sz="8" w:color="auto"/>
            </w:tcBorders>
          </w:tcPr>
          <w:p>
            <w:pPr>
              <w:jc w:val="right"/>
              <w:ind w:right="24"/>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43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7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CCEEFF"/>
            </w:tcBorders>
            <w:gridSpan w:val="2"/>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4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12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Sales by the selling stockholders upon the exercise in full of the underwriters’ option to purchase additional shares to cover over-allotments, if any, would</w:t>
      </w:r>
    </w:p>
    <w:p>
      <w:pPr>
        <w:spacing w:after="0" w:line="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w:t>
      </w:r>
    </w:p>
    <w:p>
      <w:pPr>
        <w:spacing w:after="0" w:line="188" w:lineRule="exact"/>
        <w:rPr>
          <w:sz w:val="20"/>
          <w:szCs w:val="20"/>
          <w:color w:val="auto"/>
        </w:rPr>
      </w:pPr>
    </w:p>
    <w:p>
      <w:pPr>
        <w:ind w:left="460"/>
        <w:spacing w:after="0"/>
        <w:tabs>
          <w:tab w:leader="none" w:pos="6800" w:val="left"/>
        </w:tabs>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w:t>
      </w:r>
    </w:p>
    <w:p>
      <w:pPr>
        <w:spacing w:after="0" w:line="21" w:lineRule="exact"/>
        <w:rPr>
          <w:sz w:val="20"/>
          <w:szCs w:val="20"/>
          <w:color w:val="auto"/>
        </w:rPr>
      </w:pPr>
    </w:p>
    <w:p>
      <w:pPr>
        <w:jc w:val="center"/>
        <w:ind w:right="400"/>
        <w:spacing w:after="0" w:line="414" w:lineRule="auto"/>
        <w:rPr>
          <w:sz w:val="20"/>
          <w:szCs w:val="20"/>
          <w:color w:val="auto"/>
        </w:rPr>
      </w:pPr>
      <w:r>
        <w:rPr>
          <w:rFonts w:ascii="Times New Roman" w:cs="Times New Roman" w:eastAsia="Times New Roman" w:hAnsi="Times New Roman"/>
          <w:sz w:val="18"/>
          <w:szCs w:val="18"/>
          <w:color w:val="auto"/>
        </w:rPr>
        <w:t>the cover page of this prospectus, would increase (decrease) the total consideration paid by new investors and total consideration paid by all stockholders by 104</w:t>
      </w:r>
    </w:p>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5"/>
        <w:spacing w:after="0" w:line="285" w:lineRule="auto"/>
        <w:tabs>
          <w:tab w:leader="none" w:pos="92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offered by us would increase (decrease) the total consideration paid by new investors and total consideration paid by all stockholders by</w:t>
      </w:r>
    </w:p>
    <w:p>
      <w:pPr>
        <w:spacing w:after="0" w:line="19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shares of Class A common stock and 5,374,899 shares of Class B common stock outstanding as of (assuming the conversion of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shares of redeemable convertible preferred stock, other than our Series B redeemable convertible preferred stock and non-voting common stock into</w:t>
      </w:r>
    </w:p>
    <w:p>
      <w:pPr>
        <w:spacing w:after="0" w:line="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Class A common stock, assuming an initial public offering price of $ per share, the midpoint of the estimated price range set forth on the cover page of this prospectus,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85" w:lineRule="auto"/>
        <w:tabs>
          <w:tab w:leader="none" w:pos="169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September 30, 2022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jc w:val="both"/>
        <w:ind w:left="1000" w:hanging="549"/>
        <w:spacing w:after="0" w:line="285" w:lineRule="auto"/>
        <w:tabs>
          <w:tab w:leader="none" w:pos="159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September 30, 2022 under our 2015 Plan, for which the performance-based vesting condition may be satisfied in connection with this offering, but for which the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2023 Plan, as well as any future increases, including annual automatic evergreen increases, in the number of shares of Class A common stock reserved for issuance under the 2023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September 30, 2022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$228.0 million as of September 30, 2022)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 and</w:t>
            </w:r>
          </w:p>
        </w:tc>
      </w:tr>
      <w:tr>
        <w:trPr>
          <w:trHeight w:val="354"/>
        </w:trPr>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8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5"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September 30, 2022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To accomplish this, we built both a technology platform to free healthcare data from silos and an operating system to make this data useful. We refer to the combination of those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$188.0 million and $257.9 million in the years ended December 31, 2020 and 2021, respectively, and $184.5 million and $220.0 million in the nine months ended September 30, 2021 and 2022, respectively. In the year ended December 31, 2020, revenue from one customer accounted for approximately 16.6% of our total revenues. Revenues from this customer did not represent a significant portion of total revenues for the year ended December 31, 2021 or for the nine months ended September 30, 2021 and 2022. In the nine months ended September 30, 2021, one customer accounted for 34.8% of our total revenue. Revenues from this customer did not represent a significant portion of total revenues for the nine months ended September 30, 2022. In the nine months ended September 30, 2022, revenue from three customers accounted for approximately 6.9%, 5.3%, and 5.1% of our total revenues, respectively. The same three customers did not represent a significant portion of total revenues for the years ended December 31, 2020 and 2021, or the nine months ended September 30, 2021. We also incurred net losses of $209.9 million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340"/>
          </w:cols>
          <w:pgMar w:left="320" w:top="44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$259.2 million in the years ended December 31, 2020 and 2021, respectively, and net losses of $200.2 million and $223.7 million in the nine months ended September 30, 2021 and 2022, respectively.</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currently offer three product lines: Genomics, Data, and Algos.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 companies that need to focus on maximizing gross profit when performing a test. At its 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Although we are only six years old, the network effects described above have already been demonstrated with the cohort of records that were added to our database in 2018, 2019, 2020, and 2021. 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In 2018, the first full year that we operated a laboratory, we sequenced samples from approximately 7,500 patients. From that 2018 cohort of sequenced patients, through September 30, 2022, we generated $56.6 million of combined revenue from sequencing, data licensing of de-identified data derived from those records, and clinical trials matching, which is approximately 6.3 times the revenue we received from sequencing at the onset.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September 30, 2022, the 2018 “Cohort Lifetime Value” for this cohort was $39.2 million. We maintained similar trends for the 2019, 2020 and 2021 cohorts. As of September 30, 2022, the 2019 “Cohort Lifetime Value” was $42.6 million, the 2020 “Cohort Lifetime Value” was $36.2 million and the 2021 “Cohort Lifetime Value” was $38.3 million.</w:t>
      </w:r>
    </w:p>
    <w:p>
      <w:pPr>
        <w:spacing w:after="0" w:line="37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below charts, which illustrate our 2018, 2019, 2020 and 2021 “Cohort Lifetime Values" (with figures shown in "2022 Data Revenue" representing revenue through September 30, 2022),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320" w:top="44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9044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02780" cy="9044940"/>
                    </a:xfrm>
                    <a:prstGeom prst="rect">
                      <a:avLst/>
                    </a:prstGeom>
                    <a:noFill/>
                  </pic:spPr>
                </pic:pic>
              </a:graphicData>
            </a:graphic>
          </wp:anchor>
        </w:drawing>
      </w:r>
    </w:p>
    <w:p>
      <w:pPr>
        <w:sectPr>
          <w:pgSz w:w="11900" w:h="16838" w:orient="portrait"/>
          <w:cols w:equalWidth="0" w:num="1">
            <w:col w:w="10139"/>
          </w:cols>
          <w:pgMar w:left="320" w:top="448" w:right="1440" w:bottom="7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139"/>
          </w:cols>
          <w:pgMar w:left="320" w:top="448" w:right="1440" w:bottom="753"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29013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02780" cy="290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Genomics revenue was $151.9 million and $195.0 million for the years ended December 31, 2020 and 2021, respectively, and $154.5 million and $140.1 million for the nine months ended September 30, 2021 and 2022, respectively. COVID-19 PCR testing accounted for $89.5 million and $94.7 million of revenue for the years ended December 31, 2020 and 2021, respectively, and $84.9 million and $17.5 million for the nine months ended September 30, 2021 and 2022,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Oncology NGS tests delivered for the years ended December 31, 2019, 2020 and 2021 were 24,348, 44,667 and 69,223,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products, Insights and Therapies.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characteristics of the data being provided (i.e., number of clinical fields, type of data modalities, etc.). Revenue from our Insights product is generally recognized upon the delivery of licensed records or upon the completion of performance obligations for related services.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Therapies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Therapies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revenue was $36.1 million and $62.8 million for the years ended December 31, 2020 and 2021, respectively, and $30.0 million and $80.0 million for the nine months ended September 30, 2021 and 2022, respectively. Our Data revenue is typically back-weighted towards the second half of the year based on the budgeting cycles of our customers.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Algos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newest product line, Algos, is focused on developing and providing diagnostics that are algorithmic in nature. Algos are tests that can be run without chemistry or biology; they are simply 0’s and 1’s running on digitized data derived from a laboratory test. Algos leverage AI-driven insights to produce clinically validated and actionable information for physicians.</w:t>
      </w:r>
    </w:p>
    <w:p>
      <w:pPr>
        <w:spacing w:after="0" w:line="18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launched our Algos product line in the fourth quarter of 2020 and currently offer three algorithmic tests in oncology: our Tumor Origin, TO, test, our Homologous Recombination Deficiency, HRD, test, and our Dihydropyrimidine Dehydrogenase Deficiency, DPYD, test. Similar to our Genomics product line, we typically bill commercial payers or government-funded programs (i.e., Medicare and Medicaid) after delivering a test result. The amount that we charge varies depending on the algorithms being run, the party being billed and other information about the patient’s diagnosis. Revenue is generally recognized based on estimated cash receipts determined by historical and current payment trends. We currently report our Algos revenue within our Data and Other product line.</w:t>
      </w:r>
    </w:p>
    <w:p>
      <w:pPr>
        <w:spacing w:after="0" w:line="15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Algos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 with 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term of the MSA will continue through December 31, 2026, unless terminated sooner.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 See “Business—Operations—Our Strategic Collaboration with AstraZeneca.”</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Consulting, LLC, a California limited liability company, or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In addition,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restricted stock units with an aggregate value of $4.0 million to be allocated among Highline employees retained by us. The retention bonus pool will be recorded as compensation expense over the requisite service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$45.4 million and $61.2 million during the years ended December 31, 2020 and 2021, respectively, and $42.5 million and $61.6 million during the nine months ended September 30, 2021 and 2022,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Algos, this entails demonstrating the utility of these algorithms in a clinical setting. Since our inception, our offerings have been used by more than 5,000 physicians and 40 pharmaceutical and biotechnology customers licensing data through our Insights product, including 16 of the 20</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largest public pharmaceutical companies based on 2020 revenue. Our financial performance relies heavily on our ability to add customers to our Platform and expand the relationships with our current customers through adoption of our new products.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$45.9 million and $67.2 million during the years ended December 31, 2020 and 2021, respectively, and $49.5 million and $58.3 million during the nine months ended September 30, 2021 and 2022,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We received payment on approximately 45% of our clinical oncology NGS tests across all payors performed from January 1, 2020 through June 30, 2021. We calculated this metric on a trailing two-quarter basis based on payor adjudication timing. However, we continued to perform our NGS tests through December 31, 2021. For the years ended December 31, 2020 and 2021, our average reimbursement for NGS tests billed to insurance in oncology was approximately $1,100.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$89.5 million and $94.7 million of revenue for the years ended December 31, 2020 and 2021, respectively. We expect revenue from COVID-19 testing to continue to decrease as a result of a lower prevalence of COVID-19 from successful containment efforts and the vaccination of a substantial majority of Americans, reduced testing needs of many of our clients.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Other.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Other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Algos revenue within this line item as it is immaterial.</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incur costs to generate revenue for each of our two primary product lines. Cost of revenues for our Genomics product line is a higher percentage of the Genomics revenue than cost of revenues for Data and Other is as a percentage of Data and Other revenue. As revenue shifts between these product lines, total cost of revenue as a percentage of revenue will be impacted. Our total cost of revenues will also increase in the quarter in which this offering occurs due to stock-</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Other primarily includes data acquisition and royalty fees, and personnel costs related to delivery of our data services and platform, and certain allocated overhead expenses. Costs associated with performing data product services are recorded as incurred. We expect these costs will increase in absolute dollars as our Data and Other revenues continue to grow. We currently report our Algos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quarter in which this offering occurs due to 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platform and applications and the research and development of new products that we hope to bring to the market. Technology research and development costs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expensed as incurred. We plan to continue to invest in technology personnel to support our Platform and new algorithm development. We expect that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will increase in absolute dollars for the foreseeable future as we continue to invest to support these activities. Our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will increase in the quarter in which this offering occurs due to stock-based compensation expenses of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RSUs and PSUs for which the service-based vesting condition was satisfied and for which the performance-based vesting condition will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in connection with this offering.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below), and capital leases. In 2020, we recorded a loss on extinguishment of debt relating to the conversion of convertible debt into Series G-2 preferred shares. Interest expense related to our convertible debt will continue, but should decrease over time as the principal amount decreases.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and any changes in fair value related to our warrant liability. The Company issued a warrant to its customer AstraZeneca in conjunction with the signing of the November 2021 MSA. The fair value of the warrant liability is measured each reporting period.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center"/>
              <w:ind w:left="396"/>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151,911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195,012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154,514</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140,055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36,093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30,029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79,987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184,543</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152,198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108,835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7,092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11,933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45,861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49,543</w:t>
            </w: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58,258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45,415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42,526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61,552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130,892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199,004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168,939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381,458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373,458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427,087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(193,454</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(243,711</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(188,915</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(207,045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1,495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(18,929)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(11,351)</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(211,354)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(258,588)</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(199,757)</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(223,271)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(209,854)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(259,192)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(200,211)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(223,735)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2021 and 2022</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$184.5 million for the nine months ended September 30, 2021, compared to $220.0 million for the nine months ended September 30, 2022, an increase of $35.5 million, or 19.2%. Adjusted for the impact of COVID-19 PCR testing, revenue increased $102.9 million or 103.4%, from $99.6 million for the nine months ended September 30, 2021, compared to $202.6 million for the nine months ended September 30, 2022. The increase in revenue was primarily due to increased volume of clinical oncology tests performed in Genomics and increased data deliveries in our Data product line.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Genomics decreased $14.5 million, or 9.4%, from $154.5 million for the nine months ended September 30, 2021, compared to $140.1 million for the nine months ended September 30, 2022. Genomics, adjusted for the impact of COVID-19 PCR testing, increased $53.0 million, or 76.2%, from $69.6 million for the nine months ended September 30, 2021, compared to $122.6 million for the nine months ended September 30, 2022.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increase was primarily driven by increases in the number of next generation sequencing tests delivered in oncology, which increased from 49,809 tests for the nine months ended September 30, 2021 to 70,309 tests for the nine months ended September 30, 2022. Additionally, there was an increase in average revenue per next generation sequencing oncology tests, which increased from approximately $1,150 per test for the nine months ended September 30, 2021 to approximately $1,450 per test for the nine months ended September 30, 2022. The increase in average revenue per test was driven primarily by increased Medicare reimbursement rates.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Data and Other increased $50.0 million, or 166.4%, from $30.0 million for the nine months ended September 30, 2021, compared to $80.0 million for the nine months ended September 30, 2022. $14.0 million of this increase is attributed to revenue from the Highline Acquisition which was not present in the nine months ended September 30, 2021. The remaining increase was driven by increased volume of data deliveries compared to the nine months ended September 30, 2021. Generally, increases in revenue are a result of increases in adoption of our products and services within our existing customer base or adoption by new customers.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were $137.2 million for the nine months ended September 30, 2021 compared to $138.3 million for the nine months ended September 30, 2022, an increase of $1.1 million, or 0.8%. Adjusted for the impact of COVID-19 PCR testing, cost of revenue increased $44.7 million or 58.1% from $76.9 million for the nine months ended September 30, 2021, compared to $121.6 million for the nine months ended September 30, 2022. This increase was primarily due to an increase of $17.3 million in personnel costs, $15.4 million in material and service costs, and $2.9 million in cloud expenses.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Genomics was $129.3 million for the nine months ended September 30, 2021 compared to $108.8 million for the nine months ended September 30, 2022, a decrease of $20.4 million, or 15.8%. Cost of revenues, Genomics, adjusted for the impact of COVID-19 PCR testing, was $69.0 million for the nine months ended September 30, 2021 compared to $92.1 million for the nine months ended September 30, 2022, an increase of $23.1 million or 33.5%. This increase was primarily due to an increase of $15.4 million in material and service costs and $2.9 million in personnel costs.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Data and Other was $7.9 million for the nine months ended September 30, 2021, compared to $29.5 million for the nine months ended September 30, 2022, an increase of $21.6 million, or 271.2%. The increase was primarily due to an increase of $14.4 million in personnel costs. The remaining increase was primarily due to a $2.9 million increase in cloud expenses as well as a $2.1 million increase attributed to cost of revenues from the Highline Acquisition which was not present in the nine months ended September 30,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$42.5 million for the nine months ended September 30, 2021, compared to $61.6 million for the nine months ended September 30, 2022, an increase of $19.0 million, or 44.7%. This increase was primarily due to an increase in personnel-related costs for employees in our research and development group, as we increased our spend and headcount to support continued investment in our healthcare technology.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$49.5 million for the nine months ended September 30, 2021, compared to $58.3 million for the nine months ended September 30, 2022, an increase of $8.7 million, or 17.6%. This increase was entirely the result of an increase in personnel-related costs associated with the investment in our cloud infrastructure and new lines of business.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Selling, general and administrative expenses were $144.2 million for the nine months ended September 30, 2021, compared to $168.9 million for the nine months ended September 30, 2022, an increase of $24.8 million, or 17.2%. This increase was primarily due to personnel-related costs.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nine months ended September 30, 2021, interest income increased by an immaterial amount compared to the nine months ended September 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2021, interest expense was $11.4 million, compared to $12.7 million for the nine months ended September 30, 2022, an increase of $1.3 million, or 11.5%. This increase was primarily driven by compounding interest on our Amended Note and the commencement of interest on the Term Loan Facility in September 2022.</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nine months ended September 30, 2021, other income (expense) was immaterial, compared to $4.5 million for the nine months ended September 30, 2022. This increase was primarily driven by fair value adjustments related to our warrant liability.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Losses from Equity Method Investments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nine months ended September 30, 2021, losses from equity method investments increased by an immaterial amount compared to the nine months ended September 30,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2020 and 2021</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$188.0 million for the year ended December 31, 2020 compared to $257.9 million for the year ended December 31, 2021, an increase of $69.9 million, or 37.2%. Adjusted for the impact of COVID-19 PCR testing, revenue increased $64.6 million or 65.6%, from $98.5 million for the year ended December 31, 2020, compared to $163.1 million for the year ended December 31, 2021. The increase in revenue is due to increased volume of clinical oncology tests performed in Genomics and increased data deliveries in our Data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Genomics revenue increased $43.1 million, or 28.4%, from $151.9 million for the year ended December 31, 2020, compared to $195.0 million for the year ended December 31, 2021. This increase was primarily due to an additional $5.2 million of revenue from COVID-19 PCR testing primarily due to higher insurance reimbursement rates, and an increase in the number of next generation sequencing tests delivered in oncology, which increased from 44,667 tests for the year ended December 31, 2020 to 69,223 tests in the year ended December 31,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and Other increased $26.7 million, or 74.1%, from $36.1 million for the year ended December 31, 2020, compared to $62.8 million for the year ended December 31, 2021. This increase was primarily due to increased demand for our Insights products. Across all Data and Other products, the increase was driven equally by adoption of our products and services within our existing customer base and adoption by approximately 50 new customers.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$159.3 million for the year ended December 31, 2020 compared to $174.2 million for the year ended December 31, 2021, an increase of $14.9 million, or 9.4%. Adjusted for the impact of COVID-19 PCR testing, cost of revenue increased $25.7 million, or 31.2%, from $82.8 million for the year ended December 31, 2020, compared to $108.5 million for the year ended December 31, 2021. This increase was primarily due to an increase of $15.6 million of material and service costs and $3.1 million in personnel costs.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Cost of revenues, Genomics was $152.2 million for the year ended December 31, 2020, compared to $162.3 million for the year ended December 31, 2021, an increase of $10.1 million, or 6.6%. This increase was primarily due to an additional $15.6 million of material and service costs, which corresponds to the increase in revenue year over year, and $1.8 million in inventory write-downs related to the expiration of oncology kits. This increase was partially offset by a $10.8 million decrease in Cost of revenues, Genomics associated with COVID-19 PCR testing, as a result of efficiencies gained from streamlining our testing process since its inception in the third quarter of 2020.</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Data and Other was $7.1 million for the year ended December 31, 2020 compared to $11.9 million for the year ended December 31, 2021, an increase of $4.8 million, or 68.2%. This increase was primarily due to an increase in personnel costs.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$45.4 million for the year ended December 31, 2020 compared to $61.2 million for the year ended December 31, 2021, an increase of $15.7 million, or 34.6%. This increase was primarily due to a $14.0 million increase in personnel-related costs for employees in our research and development group, as we increased our spend and headcount to support continued investment in our technology.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$45.9 million for the year ended December 31, 2020 compared to $67.2 million for the year ended December 31, 2021, an increase of $21.3 million, or 46.5%.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were $130.9 million for the year ended December 31, 2020 compared to $199.0 million for the year ended December 31, 2021, an increase of $68.1 million, or 52.0%. This increase was primarily due to an increase of $27.1 million in personnel-related costs, inclusive of $7.0 million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software licenses, as a result of an increase in our headcount, an increase of $29.6 million related to cloud storage costs, an increase of $3.1 million in rent expense as a result of increased office space to accommodate our increased headcount, and an increase of $1.8 million professional service expenses related to accounting and marketing.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income was $1.5 million for the year ended December 31, 2020 compared to $0.6 million for the year ended December 31, 2021, a decrease of $0.9 million, or 58.3%. This decrease was primarily due to a significant decrease in interest rate as the U.S. Federal Reserve lowered the risk-free interest rate to nearly zero.</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$18.9 million for the year ended December 31, 2020 compared to $15.2 million for the year ended December 31, 2021, a decrease of $3.7 million, or 19.8%. This decrease was primarily due to $8.9 million of loss on extinguishment of $80 million of our promissory note which was converted in November 2020, offset by a $5.1 million increase in interest expense.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2020, other expense was $0.5 million compared to other expense of $0.3 million for the year ended December 31, 2021, a decrease of $0.2 million, or 32.2%. The decrease was driven by a $0.2 million decrease in bad debt expense.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earnings of $1.5 million for the year ended December 31, 2020 compared to a loss of $0.6 million for the year ended December 31, 2021, resulting in a decrease of $2.1 million, or 140.3%. Losses from equity method investments consist of earnings from our joint venture into which we entered during the third quarter of 2020.</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September 30, 2022.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9"/>
                <w:szCs w:val="9"/>
                <w:color w:val="auto"/>
              </w:rPr>
            </w:pPr>
          </w:p>
        </w:tc>
        <w:tc>
          <w:tcPr>
            <w:tcW w:w="660" w:type="dxa"/>
            <w:vAlign w:val="bottom"/>
            <w:gridSpan w:val="2"/>
          </w:tcPr>
          <w:p>
            <w:pPr>
              <w:jc w:val="right"/>
              <w:ind w:right="119"/>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Pr>
          <w:p>
            <w:pPr>
              <w:spacing w:after="0"/>
              <w:rPr>
                <w:sz w:val="9"/>
                <w:szCs w:val="9"/>
                <w:color w:val="auto"/>
              </w:rPr>
            </w:pPr>
          </w:p>
        </w:tc>
        <w:tc>
          <w:tcPr>
            <w:tcW w:w="102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c>
          <w:tcPr>
            <w:tcW w:w="9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9"/>
                <w:szCs w:val="9"/>
                <w:color w:val="auto"/>
              </w:rPr>
            </w:pPr>
          </w:p>
        </w:tc>
        <w:tc>
          <w:tcPr>
            <w:tcW w:w="90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gridSpan w:val="2"/>
          </w:tcPr>
          <w:p>
            <w:pPr>
              <w:jc w:val="right"/>
              <w:ind w:right="259"/>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6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6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7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4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Genomics</w:t>
            </w:r>
            <w:r>
              <w:rPr>
                <w:rFonts w:ascii="Times New Roman" w:cs="Times New Roman" w:eastAsia="Times New Roman" w:hAnsi="Times New Roman"/>
                <w:sz w:val="10"/>
                <w:szCs w:val="10"/>
                <w:color w:val="auto"/>
              </w:rPr>
              <w:t>1</w:t>
            </w:r>
          </w:p>
        </w:tc>
        <w:tc>
          <w:tcPr>
            <w:tcW w:w="960" w:type="dxa"/>
            <w:vAlign w:val="bottom"/>
            <w:gridSpan w:val="2"/>
          </w:tcPr>
          <w:p>
            <w:pPr>
              <w:ind w:left="7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78,687</w:t>
            </w:r>
          </w:p>
        </w:tc>
        <w:tc>
          <w:tcPr>
            <w:tcW w:w="1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59,830</w:t>
            </w:r>
          </w:p>
        </w:tc>
        <w:tc>
          <w:tcPr>
            <w:tcW w:w="800" w:type="dxa"/>
            <w:vAlign w:val="bottom"/>
            <w:gridSpan w:val="3"/>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$ 53,070</w:t>
            </w:r>
          </w:p>
        </w:tc>
        <w:tc>
          <w:tcPr>
            <w:tcW w:w="300" w:type="dxa"/>
            <w:vAlign w:val="bottom"/>
            <w:gridSpan w:val="2"/>
          </w:tcPr>
          <w:p>
            <w:pPr>
              <w:jc w:val="right"/>
              <w:ind w:right="44"/>
              <w:spacing w:after="0" w:line="14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41,614</w:t>
            </w:r>
          </w:p>
        </w:tc>
        <w:tc>
          <w:tcPr>
            <w:tcW w:w="2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40,498</w:t>
            </w:r>
          </w:p>
        </w:tc>
        <w:tc>
          <w:tcPr>
            <w:tcW w:w="2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39"/>
              <w:spacing w:after="0" w:line="145" w:lineRule="exact"/>
              <w:rPr>
                <w:sz w:val="20"/>
                <w:szCs w:val="20"/>
                <w:color w:val="auto"/>
              </w:rPr>
            </w:pPr>
            <w:r>
              <w:rPr>
                <w:rFonts w:ascii="Times New Roman" w:cs="Times New Roman" w:eastAsia="Times New Roman" w:hAnsi="Times New Roman"/>
                <w:sz w:val="14"/>
                <w:szCs w:val="14"/>
                <w:color w:val="auto"/>
              </w:rPr>
              <w:t>37,902</w:t>
            </w:r>
          </w:p>
        </w:tc>
        <w:tc>
          <w:tcPr>
            <w:tcW w:w="800" w:type="dxa"/>
            <w:vAlign w:val="bottom"/>
            <w:gridSpan w:val="2"/>
          </w:tcPr>
          <w:p>
            <w:pPr>
              <w:jc w:val="right"/>
              <w:ind w:right="239"/>
              <w:spacing w:after="0" w:line="145" w:lineRule="exact"/>
              <w:rPr>
                <w:sz w:val="20"/>
                <w:szCs w:val="20"/>
                <w:color w:val="auto"/>
              </w:rPr>
            </w:pPr>
            <w:r>
              <w:rPr>
                <w:rFonts w:ascii="Times New Roman" w:cs="Times New Roman" w:eastAsia="Times New Roman" w:hAnsi="Times New Roman"/>
                <w:sz w:val="14"/>
                <w:szCs w:val="14"/>
                <w:color w:val="auto"/>
              </w:rPr>
              <w:t>$ 44,340</w:t>
            </w:r>
          </w:p>
        </w:tc>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57,813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4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Data and Other</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22,165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10,280</w:t>
            </w:r>
          </w:p>
        </w:tc>
        <w:tc>
          <w:tcPr>
            <w:tcW w:w="800" w:type="dxa"/>
            <w:vAlign w:val="bottom"/>
            <w:gridSpan w:val="3"/>
            <w:shd w:val="clear" w:color="auto" w:fill="CCEEFF"/>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8,915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10,834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32,812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5" w:lineRule="exact"/>
              <w:rPr>
                <w:sz w:val="20"/>
                <w:szCs w:val="20"/>
                <w:color w:val="auto"/>
              </w:rPr>
            </w:pPr>
            <w:r>
              <w:rPr>
                <w:rFonts w:ascii="Times New Roman" w:cs="Times New Roman" w:eastAsia="Times New Roman" w:hAnsi="Times New Roman"/>
                <w:sz w:val="14"/>
                <w:szCs w:val="14"/>
                <w:color w:val="auto"/>
              </w:rPr>
              <w:t>22,850</w:t>
            </w:r>
          </w:p>
        </w:tc>
        <w:tc>
          <w:tcPr>
            <w:tcW w:w="800" w:type="dxa"/>
            <w:vAlign w:val="bottom"/>
            <w:gridSpan w:val="2"/>
            <w:shd w:val="clear" w:color="auto" w:fill="CCEEFF"/>
          </w:tcPr>
          <w:p>
            <w:pPr>
              <w:jc w:val="right"/>
              <w:ind w:right="239"/>
              <w:spacing w:after="0" w:line="145" w:lineRule="exact"/>
              <w:rPr>
                <w:sz w:val="20"/>
                <w:szCs w:val="20"/>
                <w:color w:val="auto"/>
              </w:rPr>
            </w:pPr>
            <w:r>
              <w:rPr>
                <w:rFonts w:ascii="Times New Roman" w:cs="Times New Roman" w:eastAsia="Times New Roman" w:hAnsi="Times New Roman"/>
                <w:sz w:val="14"/>
                <w:szCs w:val="14"/>
                <w:color w:val="auto"/>
              </w:rPr>
              <w:t>26,297</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30,840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net revenue</w:t>
            </w:r>
          </w:p>
        </w:tc>
        <w:tc>
          <w:tcPr>
            <w:tcW w:w="78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100,852</w:t>
            </w: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70,110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$ 61,985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73,310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60,752</w:t>
            </w:r>
          </w:p>
        </w:tc>
        <w:tc>
          <w:tcPr>
            <w:tcW w:w="28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$ 70,637</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2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Cost and operating expenses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4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Cost of revenues, genomics</w:t>
            </w:r>
            <w:r>
              <w:rPr>
                <w:rFonts w:ascii="Times New Roman" w:cs="Times New Roman" w:eastAsia="Times New Roman" w:hAnsi="Times New Roman"/>
                <w:sz w:val="10"/>
                <w:szCs w:val="10"/>
                <w:color w:val="auto"/>
              </w:rPr>
              <w:t>1</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71,782</w:t>
            </w:r>
          </w:p>
        </w:tc>
        <w:tc>
          <w:tcPr>
            <w:tcW w:w="120" w:type="dxa"/>
            <w:vAlign w:val="bottom"/>
          </w:tcPr>
          <w:p>
            <w:pPr>
              <w:spacing w:after="0"/>
              <w:rPr>
                <w:sz w:val="12"/>
                <w:szCs w:val="12"/>
                <w:color w:val="auto"/>
              </w:rPr>
            </w:pPr>
          </w:p>
        </w:tc>
        <w:tc>
          <w:tcPr>
            <w:tcW w:w="660" w:type="dxa"/>
            <w:vAlign w:val="bottom"/>
            <w:gridSpan w:val="2"/>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58,152</w:t>
            </w:r>
          </w:p>
        </w:tc>
        <w:tc>
          <w:tcPr>
            <w:tcW w:w="800" w:type="dxa"/>
            <w:vAlign w:val="bottom"/>
            <w:gridSpan w:val="3"/>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39,351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31,780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32,993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39"/>
              <w:spacing w:after="0" w:line="145" w:lineRule="exact"/>
              <w:rPr>
                <w:sz w:val="20"/>
                <w:szCs w:val="20"/>
                <w:color w:val="auto"/>
              </w:rPr>
            </w:pPr>
            <w:r>
              <w:rPr>
                <w:rFonts w:ascii="Times New Roman" w:cs="Times New Roman" w:eastAsia="Times New Roman" w:hAnsi="Times New Roman"/>
                <w:sz w:val="14"/>
                <w:szCs w:val="14"/>
                <w:color w:val="auto"/>
              </w:rPr>
              <w:t>39,118</w:t>
            </w:r>
          </w:p>
        </w:tc>
        <w:tc>
          <w:tcPr>
            <w:tcW w:w="800" w:type="dxa"/>
            <w:vAlign w:val="bottom"/>
            <w:gridSpan w:val="2"/>
          </w:tcPr>
          <w:p>
            <w:pPr>
              <w:jc w:val="right"/>
              <w:ind w:right="239"/>
              <w:spacing w:after="0" w:line="145" w:lineRule="exact"/>
              <w:rPr>
                <w:sz w:val="20"/>
                <w:szCs w:val="20"/>
                <w:color w:val="auto"/>
              </w:rPr>
            </w:pPr>
            <w:r>
              <w:rPr>
                <w:rFonts w:ascii="Times New Roman" w:cs="Times New Roman" w:eastAsia="Times New Roman" w:hAnsi="Times New Roman"/>
                <w:sz w:val="14"/>
                <w:szCs w:val="14"/>
                <w:color w:val="auto"/>
              </w:rPr>
              <w:t>34,301</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35,416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4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Cost of revenues, data and other</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2,064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2,249</w:t>
            </w:r>
          </w:p>
        </w:tc>
        <w:tc>
          <w:tcPr>
            <w:tcW w:w="800" w:type="dxa"/>
            <w:vAlign w:val="bottom"/>
            <w:gridSpan w:val="3"/>
            <w:shd w:val="clear" w:color="auto" w:fill="CCEEFF"/>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2,668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3,031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3,985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5" w:lineRule="exact"/>
              <w:rPr>
                <w:sz w:val="20"/>
                <w:szCs w:val="20"/>
                <w:color w:val="auto"/>
              </w:rPr>
            </w:pPr>
            <w:r>
              <w:rPr>
                <w:rFonts w:ascii="Times New Roman" w:cs="Times New Roman" w:eastAsia="Times New Roman" w:hAnsi="Times New Roman"/>
                <w:sz w:val="14"/>
                <w:szCs w:val="14"/>
                <w:color w:val="auto"/>
              </w:rPr>
              <w:t>7,788</w:t>
            </w:r>
          </w:p>
        </w:tc>
        <w:tc>
          <w:tcPr>
            <w:tcW w:w="800" w:type="dxa"/>
            <w:vAlign w:val="bottom"/>
            <w:gridSpan w:val="2"/>
            <w:shd w:val="clear" w:color="auto" w:fill="CCEEFF"/>
          </w:tcPr>
          <w:p>
            <w:pPr>
              <w:jc w:val="right"/>
              <w:ind w:right="239"/>
              <w:spacing w:after="0" w:line="145" w:lineRule="exact"/>
              <w:rPr>
                <w:sz w:val="20"/>
                <w:szCs w:val="20"/>
                <w:color w:val="auto"/>
              </w:rPr>
            </w:pPr>
            <w:r>
              <w:rPr>
                <w:rFonts w:ascii="Times New Roman" w:cs="Times New Roman" w:eastAsia="Times New Roman" w:hAnsi="Times New Roman"/>
                <w:sz w:val="14"/>
                <w:szCs w:val="14"/>
                <w:color w:val="auto"/>
              </w:rPr>
              <w:t>10,613</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11,102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Loss from operations</w:t>
            </w:r>
          </w:p>
        </w:tc>
        <w:tc>
          <w:tcPr>
            <w:tcW w:w="7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(42,048)</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(61,434</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(62,874</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(64,607)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(54,796)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(77,120</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(69,814</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(60,111)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4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shd w:val="clear" w:color="auto" w:fill="CCEEFF"/>
          </w:tcPr>
          <w:p>
            <w:pPr>
              <w:ind w:left="7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(54,142)</w:t>
            </w:r>
          </w:p>
        </w:tc>
        <w:tc>
          <w:tcPr>
            <w:tcW w:w="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(65,020)</w:t>
            </w:r>
          </w:p>
        </w:tc>
        <w:tc>
          <w:tcPr>
            <w:tcW w:w="800" w:type="dxa"/>
            <w:vAlign w:val="bottom"/>
            <w:gridSpan w:val="3"/>
            <w:shd w:val="clear" w:color="auto" w:fill="CCEEFF"/>
          </w:tcPr>
          <w:p>
            <w:pPr>
              <w:jc w:val="right"/>
              <w:ind w:right="79"/>
              <w:spacing w:after="0" w:line="14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(66,849)</w:t>
            </w:r>
          </w:p>
        </w:tc>
        <w:tc>
          <w:tcPr>
            <w:tcW w:w="300" w:type="dxa"/>
            <w:vAlign w:val="bottom"/>
            <w:gridSpan w:val="2"/>
            <w:shd w:val="clear" w:color="auto" w:fill="CCEEFF"/>
          </w:tcPr>
          <w:p>
            <w:pPr>
              <w:jc w:val="right"/>
              <w:ind w:right="44"/>
              <w:spacing w:after="0" w:line="14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(68,342)</w:t>
            </w:r>
          </w:p>
        </w:tc>
        <w:tc>
          <w:tcPr>
            <w:tcW w:w="2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(58,981)</w:t>
            </w:r>
          </w:p>
        </w:tc>
        <w:tc>
          <w:tcPr>
            <w:tcW w:w="2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99"/>
              <w:spacing w:after="0" w:line="145" w:lineRule="exact"/>
              <w:rPr>
                <w:sz w:val="20"/>
                <w:szCs w:val="20"/>
                <w:color w:val="auto"/>
              </w:rPr>
            </w:pPr>
            <w:r>
              <w:rPr>
                <w:rFonts w:ascii="Times New Roman" w:cs="Times New Roman" w:eastAsia="Times New Roman" w:hAnsi="Times New Roman"/>
                <w:sz w:val="14"/>
                <w:szCs w:val="14"/>
                <w:color w:val="auto"/>
              </w:rPr>
              <w:t>(81,308)</w:t>
            </w:r>
          </w:p>
        </w:tc>
        <w:tc>
          <w:tcPr>
            <w:tcW w:w="800" w:type="dxa"/>
            <w:vAlign w:val="bottom"/>
            <w:gridSpan w:val="2"/>
            <w:shd w:val="clear" w:color="auto" w:fill="CCEEFF"/>
          </w:tcPr>
          <w:p>
            <w:pPr>
              <w:jc w:val="right"/>
              <w:ind w:right="199"/>
              <w:spacing w:after="0" w:line="14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(76,952)</w:t>
            </w:r>
          </w:p>
        </w:tc>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(65,475)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hanging="115"/>
        <w:spacing w:after="0"/>
        <w:tabs>
          <w:tab w:leader="none" w:pos="120" w:val="left"/>
        </w:tabs>
        <w:numPr>
          <w:ilvl w:val="0"/>
          <w:numId w:val="6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4"/>
          <w:szCs w:val="14"/>
          <w:b w:val="1"/>
          <w:bCs w:val="1"/>
          <w:color w:val="auto"/>
        </w:rPr>
        <w:t>Revenue and cost of revenue from COVID-19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197725" cy="914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2"/>
        </w:trPr>
        <w:tc>
          <w:tcPr>
            <w:tcW w:w="310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Genomics</w:t>
            </w:r>
          </w:p>
        </w:tc>
        <w:tc>
          <w:tcPr>
            <w:tcW w:w="1980" w:type="dxa"/>
            <w:vAlign w:val="bottom"/>
          </w:tcPr>
          <w:p>
            <w:pPr>
              <w:jc w:val="right"/>
              <w:ind w:right="190"/>
              <w:spacing w:after="0" w:line="153" w:lineRule="exact"/>
              <w:rPr>
                <w:sz w:val="20"/>
                <w:szCs w:val="20"/>
                <w:color w:val="auto"/>
              </w:rPr>
            </w:pPr>
            <w:r>
              <w:rPr>
                <w:rFonts w:ascii="Times New Roman" w:cs="Times New Roman" w:eastAsia="Times New Roman" w:hAnsi="Times New Roman"/>
                <w:sz w:val="14"/>
                <w:szCs w:val="14"/>
                <w:color w:val="auto"/>
              </w:rPr>
              <w:t>60,015</w:t>
            </w:r>
          </w:p>
        </w:tc>
        <w:tc>
          <w:tcPr>
            <w:tcW w:w="900" w:type="dxa"/>
            <w:vAlign w:val="bottom"/>
          </w:tcPr>
          <w:p>
            <w:pPr>
              <w:jc w:val="right"/>
              <w:ind w:right="190"/>
              <w:spacing w:after="0" w:line="153" w:lineRule="exact"/>
              <w:rPr>
                <w:sz w:val="20"/>
                <w:szCs w:val="20"/>
                <w:color w:val="auto"/>
              </w:rPr>
            </w:pPr>
            <w:r>
              <w:rPr>
                <w:rFonts w:ascii="Times New Roman" w:cs="Times New Roman" w:eastAsia="Times New Roman" w:hAnsi="Times New Roman"/>
                <w:sz w:val="14"/>
                <w:szCs w:val="14"/>
                <w:color w:val="auto"/>
              </w:rPr>
              <w:t>38,887</w:t>
            </w:r>
          </w:p>
        </w:tc>
        <w:tc>
          <w:tcPr>
            <w:tcW w:w="900" w:type="dxa"/>
            <w:vAlign w:val="bottom"/>
          </w:tcPr>
          <w:p>
            <w:pPr>
              <w:jc w:val="right"/>
              <w:ind w:right="190"/>
              <w:spacing w:after="0" w:line="153" w:lineRule="exact"/>
              <w:rPr>
                <w:sz w:val="20"/>
                <w:szCs w:val="20"/>
                <w:color w:val="auto"/>
              </w:rPr>
            </w:pPr>
            <w:r>
              <w:rPr>
                <w:rFonts w:ascii="Times New Roman" w:cs="Times New Roman" w:eastAsia="Times New Roman" w:hAnsi="Times New Roman"/>
                <w:sz w:val="14"/>
                <w:szCs w:val="14"/>
                <w:color w:val="auto"/>
              </w:rPr>
              <w:t>32,680</w:t>
            </w:r>
          </w:p>
        </w:tc>
        <w:tc>
          <w:tcPr>
            <w:tcW w:w="940" w:type="dxa"/>
            <w:vAlign w:val="bottom"/>
          </w:tcPr>
          <w:p>
            <w:pPr>
              <w:jc w:val="right"/>
              <w:ind w:right="230"/>
              <w:spacing w:after="0" w:line="153" w:lineRule="exact"/>
              <w:rPr>
                <w:sz w:val="20"/>
                <w:szCs w:val="20"/>
                <w:color w:val="auto"/>
              </w:rPr>
            </w:pPr>
            <w:r>
              <w:rPr>
                <w:rFonts w:ascii="Times New Roman" w:cs="Times New Roman" w:eastAsia="Times New Roman" w:hAnsi="Times New Roman"/>
                <w:sz w:val="14"/>
                <w:szCs w:val="14"/>
                <w:color w:val="auto"/>
              </w:rPr>
              <w:t>13,373</w:t>
            </w:r>
          </w:p>
        </w:tc>
        <w:tc>
          <w:tcPr>
            <w:tcW w:w="880" w:type="dxa"/>
            <w:vAlign w:val="bottom"/>
          </w:tcPr>
          <w:p>
            <w:pPr>
              <w:jc w:val="right"/>
              <w:ind w:right="190"/>
              <w:spacing w:after="0" w:line="153" w:lineRule="exact"/>
              <w:rPr>
                <w:sz w:val="20"/>
                <w:szCs w:val="20"/>
                <w:color w:val="auto"/>
              </w:rPr>
            </w:pPr>
            <w:r>
              <w:rPr>
                <w:rFonts w:ascii="Times New Roman" w:cs="Times New Roman" w:eastAsia="Times New Roman" w:hAnsi="Times New Roman"/>
                <w:sz w:val="14"/>
                <w:szCs w:val="14"/>
                <w:color w:val="auto"/>
              </w:rPr>
              <w:t>9,783</w:t>
            </w:r>
          </w:p>
        </w:tc>
        <w:tc>
          <w:tcPr>
            <w:tcW w:w="940" w:type="dxa"/>
            <w:vAlign w:val="bottom"/>
          </w:tcPr>
          <w:p>
            <w:pPr>
              <w:jc w:val="right"/>
              <w:ind w:right="230"/>
              <w:spacing w:after="0" w:line="153" w:lineRule="exact"/>
              <w:rPr>
                <w:sz w:val="20"/>
                <w:szCs w:val="20"/>
                <w:color w:val="auto"/>
              </w:rPr>
            </w:pPr>
            <w:r>
              <w:rPr>
                <w:rFonts w:ascii="Times New Roman" w:cs="Times New Roman" w:eastAsia="Times New Roman" w:hAnsi="Times New Roman"/>
                <w:sz w:val="14"/>
                <w:szCs w:val="14"/>
                <w:color w:val="auto"/>
              </w:rPr>
              <w:t>8,982</w:t>
            </w:r>
          </w:p>
        </w:tc>
        <w:tc>
          <w:tcPr>
            <w:tcW w:w="980" w:type="dxa"/>
            <w:vAlign w:val="bottom"/>
          </w:tcPr>
          <w:p>
            <w:pPr>
              <w:jc w:val="right"/>
              <w:ind w:right="290"/>
              <w:spacing w:after="0" w:line="153" w:lineRule="exact"/>
              <w:rPr>
                <w:sz w:val="20"/>
                <w:szCs w:val="20"/>
                <w:color w:val="auto"/>
              </w:rPr>
            </w:pPr>
            <w:r>
              <w:rPr>
                <w:rFonts w:ascii="Times New Roman" w:cs="Times New Roman" w:eastAsia="Times New Roman" w:hAnsi="Times New Roman"/>
                <w:sz w:val="14"/>
                <w:szCs w:val="14"/>
                <w:color w:val="auto"/>
              </w:rPr>
              <w:t>3,618</w:t>
            </w:r>
          </w:p>
        </w:tc>
        <w:tc>
          <w:tcPr>
            <w:tcW w:w="7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4,891</w:t>
            </w:r>
          </w:p>
        </w:tc>
      </w:tr>
      <w:tr>
        <w:trPr>
          <w:trHeight w:val="144"/>
        </w:trPr>
        <w:tc>
          <w:tcPr>
            <w:tcW w:w="31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Cost of revenue, genomics</w:t>
            </w:r>
          </w:p>
        </w:tc>
        <w:tc>
          <w:tcPr>
            <w:tcW w:w="1980" w:type="dxa"/>
            <w:vAlign w:val="bottom"/>
            <w:shd w:val="clear" w:color="auto" w:fill="CCEEFF"/>
          </w:tcPr>
          <w:p>
            <w:pPr>
              <w:jc w:val="right"/>
              <w:ind w:right="190"/>
              <w:spacing w:after="0" w:line="145" w:lineRule="exact"/>
              <w:rPr>
                <w:sz w:val="20"/>
                <w:szCs w:val="20"/>
                <w:color w:val="auto"/>
              </w:rPr>
            </w:pPr>
            <w:r>
              <w:rPr>
                <w:rFonts w:ascii="Times New Roman" w:cs="Times New Roman" w:eastAsia="Times New Roman" w:hAnsi="Times New Roman"/>
                <w:sz w:val="14"/>
                <w:szCs w:val="14"/>
                <w:color w:val="auto"/>
              </w:rPr>
              <w:t>50,120</w:t>
            </w:r>
          </w:p>
        </w:tc>
        <w:tc>
          <w:tcPr>
            <w:tcW w:w="900" w:type="dxa"/>
            <w:vAlign w:val="bottom"/>
            <w:shd w:val="clear" w:color="auto" w:fill="CCEEFF"/>
          </w:tcPr>
          <w:p>
            <w:pPr>
              <w:jc w:val="right"/>
              <w:ind w:right="190"/>
              <w:spacing w:after="0" w:line="145" w:lineRule="exact"/>
              <w:rPr>
                <w:sz w:val="20"/>
                <w:szCs w:val="20"/>
                <w:color w:val="auto"/>
              </w:rPr>
            </w:pPr>
            <w:r>
              <w:rPr>
                <w:rFonts w:ascii="Times New Roman" w:cs="Times New Roman" w:eastAsia="Times New Roman" w:hAnsi="Times New Roman"/>
                <w:sz w:val="14"/>
                <w:szCs w:val="14"/>
                <w:color w:val="auto"/>
              </w:rPr>
              <w:t>36,095</w:t>
            </w:r>
          </w:p>
        </w:tc>
        <w:tc>
          <w:tcPr>
            <w:tcW w:w="900" w:type="dxa"/>
            <w:vAlign w:val="bottom"/>
            <w:shd w:val="clear" w:color="auto" w:fill="CCEEFF"/>
          </w:tcPr>
          <w:p>
            <w:pPr>
              <w:jc w:val="right"/>
              <w:ind w:right="190"/>
              <w:spacing w:after="0" w:line="145" w:lineRule="exact"/>
              <w:rPr>
                <w:sz w:val="20"/>
                <w:szCs w:val="20"/>
                <w:color w:val="auto"/>
              </w:rPr>
            </w:pPr>
            <w:r>
              <w:rPr>
                <w:rFonts w:ascii="Times New Roman" w:cs="Times New Roman" w:eastAsia="Times New Roman" w:hAnsi="Times New Roman"/>
                <w:sz w:val="14"/>
                <w:szCs w:val="14"/>
                <w:color w:val="auto"/>
              </w:rPr>
              <w:t>17,740</w:t>
            </w:r>
          </w:p>
        </w:tc>
        <w:tc>
          <w:tcPr>
            <w:tcW w:w="940" w:type="dxa"/>
            <w:vAlign w:val="bottom"/>
            <w:shd w:val="clear" w:color="auto" w:fill="CCEEFF"/>
          </w:tcPr>
          <w:p>
            <w:pPr>
              <w:jc w:val="right"/>
              <w:ind w:right="230"/>
              <w:spacing w:after="0" w:line="145" w:lineRule="exact"/>
              <w:rPr>
                <w:sz w:val="20"/>
                <w:szCs w:val="20"/>
                <w:color w:val="auto"/>
              </w:rPr>
            </w:pPr>
            <w:r>
              <w:rPr>
                <w:rFonts w:ascii="Times New Roman" w:cs="Times New Roman" w:eastAsia="Times New Roman" w:hAnsi="Times New Roman"/>
                <w:sz w:val="14"/>
                <w:szCs w:val="14"/>
                <w:color w:val="auto"/>
              </w:rPr>
              <w:t>6,498</w:t>
            </w:r>
          </w:p>
        </w:tc>
        <w:tc>
          <w:tcPr>
            <w:tcW w:w="880" w:type="dxa"/>
            <w:vAlign w:val="bottom"/>
            <w:shd w:val="clear" w:color="auto" w:fill="CCEEFF"/>
          </w:tcPr>
          <w:p>
            <w:pPr>
              <w:jc w:val="right"/>
              <w:ind w:right="190"/>
              <w:spacing w:after="0" w:line="145" w:lineRule="exact"/>
              <w:rPr>
                <w:sz w:val="20"/>
                <w:szCs w:val="20"/>
                <w:color w:val="auto"/>
              </w:rPr>
            </w:pPr>
            <w:r>
              <w:rPr>
                <w:rFonts w:ascii="Times New Roman" w:cs="Times New Roman" w:eastAsia="Times New Roman" w:hAnsi="Times New Roman"/>
                <w:sz w:val="14"/>
                <w:szCs w:val="14"/>
                <w:color w:val="auto"/>
              </w:rPr>
              <w:t>5,329</w:t>
            </w:r>
          </w:p>
        </w:tc>
        <w:tc>
          <w:tcPr>
            <w:tcW w:w="940" w:type="dxa"/>
            <w:vAlign w:val="bottom"/>
            <w:shd w:val="clear" w:color="auto" w:fill="CCEEFF"/>
          </w:tcPr>
          <w:p>
            <w:pPr>
              <w:jc w:val="right"/>
              <w:ind w:right="230"/>
              <w:spacing w:after="0" w:line="145" w:lineRule="exact"/>
              <w:rPr>
                <w:sz w:val="20"/>
                <w:szCs w:val="20"/>
                <w:color w:val="auto"/>
              </w:rPr>
            </w:pPr>
            <w:r>
              <w:rPr>
                <w:rFonts w:ascii="Times New Roman" w:cs="Times New Roman" w:eastAsia="Times New Roman" w:hAnsi="Times New Roman"/>
                <w:sz w:val="14"/>
                <w:szCs w:val="14"/>
                <w:color w:val="auto"/>
              </w:rPr>
              <w:t>10,009</w:t>
            </w:r>
          </w:p>
        </w:tc>
        <w:tc>
          <w:tcPr>
            <w:tcW w:w="980" w:type="dxa"/>
            <w:vAlign w:val="bottom"/>
            <w:shd w:val="clear" w:color="auto" w:fill="CCEEFF"/>
          </w:tcPr>
          <w:p>
            <w:pPr>
              <w:jc w:val="right"/>
              <w:ind w:right="290"/>
              <w:spacing w:after="0" w:line="145" w:lineRule="exact"/>
              <w:rPr>
                <w:sz w:val="20"/>
                <w:szCs w:val="20"/>
                <w:color w:val="auto"/>
              </w:rPr>
            </w:pPr>
            <w:r>
              <w:rPr>
                <w:rFonts w:ascii="Times New Roman" w:cs="Times New Roman" w:eastAsia="Times New Roman" w:hAnsi="Times New Roman"/>
                <w:sz w:val="14"/>
                <w:szCs w:val="14"/>
                <w:color w:val="auto"/>
              </w:rPr>
              <w:t>3,962</w:t>
            </w: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2,813</w:t>
            </w:r>
          </w:p>
        </w:tc>
      </w:tr>
    </w:tbl>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Beginning in the third quarter of 2020, revenue from COVID-19 testing impacted the Genomics revenue line as illustrated in the table above.</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Other revenue experienced fluctuations due to seasonality driven by the procurement and budgeting cycles of many of our customers. As a result, the majority of our data deliveries occurred during the fourth quarter of 2020 and 2021, resulting in approximately 60% and 50% of Data and Other revenue for the years ended December 31, 2020 and 2021, respectively, recognized in the fourth quarter of the applicable year.</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third quarter of 2020, costs associated with COVID-19 testing impacted the Cost of revenues, genomics line as illustrated in the table above.</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Our costs and operating expenses primarily increased during the periods presented due to the addition of personnel in connection with the growth of our business. Cost of revenue, Genomics associated with COVID-19 testing relative to net revenue recorded from COVID-19 testing has decreased from 2020 to 2021 as a result of efficiencies gained from streamlining our testing process since its inception in the third quarter of 2020. In 2022, these costs increased relative to the associated revenue due to the wind down of the COVID-19 testing business, including inventory write offs. In addition, we had more customers who ordered Saliva Direct COVID-19 tests, which have a lower margin than the nasopharyngeal swab tests which have been sold historically.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December 31, 2021 and September 30, 2022, we had an accumulated deficit of $807.5 million and $1.1 billion, respectively.</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in clinical trials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term debt, and sales of our products. As of December 31, 2021 and September 30, 2022, we had cash, cash equivalents and restricted cash of $278.5 million and $369.8 million, respectively. On January 4, 2022, we funded through cash on hand, the $35.5 million acquisition of Highline Consulting, LLC (which purchase price is subject to customary cash and net working capital adjustments). From April 18 to April 22, 2022, we sold an aggregate of 1,614,114 shares of our Series G-3 convertible preferred stock at a price per share of $57.3069 for an aggregate purchase price of approximately $92.5 million in private placements to accredited investors. In August 2022, the Company entered into a multi-year strategic collaboration with GlaxoSmithKline, or GSK, under which GSK has committed to spend a minimum of $180 million, of which $70 million was paid upon execution.</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and anticipated cash flows from operations will be sufficient to meet our anticipated cash requirements for more than twelve months from the date of this prospectus. We will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including because of lower demand for our products as a result of lower than currently expected rates of reimbursement from our customers or other risks described elsewhere in this prospectus,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G-3 Financing</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On April 18, 2022, we entered into a stock purchase agreement with certain of our existing investors, including Mr. Lefkofsky, pursuant to which we issued and sold 1,614,114 shares of our Series G-3 preferred stock at a price per share of $57.3069, for an aggregate purchase price of approximately $92.5, or the Series G-3 Financing.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w:t>
      </w:r>
    </w:p>
    <w:p>
      <w:pPr>
        <w:spacing w:after="0" w:line="3" w:lineRule="exact"/>
        <w:rPr>
          <w:sz w:val="20"/>
          <w:szCs w:val="20"/>
          <w:color w:val="auto"/>
        </w:rPr>
      </w:pPr>
    </w:p>
    <w:p>
      <w:pPr>
        <w:jc w:val="right"/>
        <w:spacing w:after="0" w:line="274" w:lineRule="auto"/>
        <w:rPr>
          <w:sz w:val="20"/>
          <w:szCs w:val="20"/>
          <w:color w:val="auto"/>
        </w:rPr>
      </w:pPr>
      <w:r>
        <w:rPr>
          <w:rFonts w:ascii="Times New Roman" w:cs="Times New Roman" w:eastAsia="Times New Roman" w:hAnsi="Times New Roman"/>
          <w:sz w:val="16"/>
          <w:szCs w:val="16"/>
          <w:color w:val="auto"/>
        </w:rPr>
        <w:t>after June 30, 2023, 85% of the public offering price in this offering). Based on an assumed initial public offering price of $     per share, which is the midpoint of the estimated price range set forth on the cover page of this prospectus, all of the shares of Series G-3 preferred stock will convert into an aggregate of shares of our Class A common stock in connection with this offering. Each $1.00 increase or decrease in the assumed initial public offering price of</w:t>
      </w:r>
    </w:p>
    <w:p>
      <w:pPr>
        <w:ind w:left="500" w:hanging="495"/>
        <w:spacing w:after="0"/>
        <w:tabs>
          <w:tab w:leader="none" w:pos="5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which is the midpoint of the estimated price range set forth on the cover page of this prospectus, would increase or decrease, as applicable, the</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Class A common stock into which all shares of Series G-3 preferred stock would convert in connection with this offering by approximately</w:t>
      </w:r>
    </w:p>
    <w:p>
      <w:pPr>
        <w:spacing w:after="0" w:line="218" w:lineRule="exact"/>
        <w:rPr>
          <w:sz w:val="20"/>
          <w:szCs w:val="20"/>
          <w:color w:val="auto"/>
        </w:rPr>
      </w:pPr>
    </w:p>
    <w:p>
      <w:pPr>
        <w:ind w:firstLine="647"/>
        <w:spacing w:after="0" w:line="253" w:lineRule="auto"/>
        <w:rPr>
          <w:sz w:val="20"/>
          <w:szCs w:val="20"/>
          <w:color w:val="auto"/>
        </w:rPr>
      </w:pPr>
      <w:r>
        <w:rPr>
          <w:rFonts w:ascii="Times New Roman" w:cs="Times New Roman" w:eastAsia="Times New Roman" w:hAnsi="Times New Roman"/>
          <w:sz w:val="18"/>
          <w:szCs w:val="18"/>
          <w:color w:val="auto"/>
        </w:rPr>
        <w:t>shares. In addition, in connection with the Series G-3 Financing, we agreed to issue to a stockholder a contingent payment of up to $ million in shares of Class A common stock, assuming an initial public offering price of $ per share, which is the midpoint of the estimated price range set forth on the</w:t>
      </w:r>
    </w:p>
    <w:p>
      <w:pPr>
        <w:spacing w:after="0" w:line="2" w:lineRule="exact"/>
        <w:rPr>
          <w:sz w:val="20"/>
          <w:szCs w:val="20"/>
          <w:color w:val="auto"/>
        </w:rPr>
      </w:pPr>
    </w:p>
    <w:p>
      <w:pPr>
        <w:jc w:val="center"/>
        <w:ind w:right="520"/>
        <w:spacing w:after="0" w:line="414" w:lineRule="auto"/>
        <w:rPr>
          <w:sz w:val="20"/>
          <w:szCs w:val="20"/>
          <w:color w:val="auto"/>
        </w:rPr>
      </w:pPr>
      <w:r>
        <w:rPr>
          <w:rFonts w:ascii="Times New Roman" w:cs="Times New Roman" w:eastAsia="Times New Roman" w:hAnsi="Times New Roman"/>
          <w:sz w:val="18"/>
          <w:szCs w:val="18"/>
          <w:color w:val="auto"/>
        </w:rPr>
        <w:t>cover page of this prospectus, which payment may be made in cash or shares of Class A common stock, upon mutual agreement of us and the stockholder. 122</w:t>
      </w:r>
    </w:p>
    <w:p>
      <w:pPr>
        <w:sectPr>
          <w:pgSz w:w="11900" w:h="16838" w:orient="portrait"/>
          <w:cols w:equalWidth="0" w:num="1">
            <w:col w:w="11340"/>
          </w:cols>
          <w:pgMar w:left="320" w:top="44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or Ares, for a senior secured loan, or Term Loan Facility, in the amount of $175 million, less original issue discount of $4.4 million and deferred financing fees of $2.6 million.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the Company and secured by substantially all of the assets of the Company. We have the right at any time and from time to time to prepay any Term Loan Facility in whole or in part.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For the year ended December 31, 2023, the Company is required to generate consolidated revenues of $342.7 million. The Company was in compliance with the covenants of the Credit Agreement as of September 30, 2022.</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2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4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38"/>
        </w:trPr>
        <w:tc>
          <w:tcPr>
            <w:tcW w:w="45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0" w:type="dxa"/>
            <w:vAlign w:val="bottom"/>
            <w:tcBorders>
              <w:top w:val="single" w:sz="8" w:color="auto"/>
            </w:tcBorders>
          </w:tcPr>
          <w:p>
            <w:pPr>
              <w:jc w:val="right"/>
              <w:ind w:right="190"/>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19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1"/>
                <w:szCs w:val="11"/>
                <w:color w:val="auto"/>
              </w:rPr>
            </w:pPr>
          </w:p>
        </w:tc>
        <w:tc>
          <w:tcPr>
            <w:tcW w:w="1000" w:type="dxa"/>
            <w:vAlign w:val="bottom"/>
            <w:tcBorders>
              <w:top w:val="single" w:sz="8" w:color="auto"/>
            </w:tcBorders>
          </w:tcPr>
          <w:p>
            <w:pPr>
              <w:jc w:val="right"/>
              <w:ind w:right="38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97"/>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r>
      <w:tr>
        <w:trPr>
          <w:trHeight w:val="113"/>
        </w:trPr>
        <w:tc>
          <w:tcPr>
            <w:tcW w:w="45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Borders>
              <w:top w:val="single" w:sz="8" w:color="auto"/>
            </w:tcBorders>
            <w:gridSpan w:val="2"/>
          </w:tcPr>
          <w:p>
            <w:pPr>
              <w:jc w:val="center"/>
              <w:ind w:left="543"/>
              <w:spacing w:after="0" w:line="113"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69"/>
        </w:trPr>
        <w:tc>
          <w:tcPr>
            <w:tcW w:w="4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3"/>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(206,562)</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(211,984)</w:t>
            </w: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99"/>
              </w:rPr>
              <w:t>$ (148,229)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(103,621)</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(13,416)</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(21,724)</w:t>
            </w: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8"/>
                <w:szCs w:val="18"/>
                <w:color w:val="auto"/>
              </w:rPr>
              <w:t>(19,402)</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(58,041)</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506,107</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(2,039)</w:t>
            </w: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(885)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252,910</w:t>
            </w:r>
          </w:p>
        </w:tc>
      </w:tr>
      <w:tr>
        <w:trPr>
          <w:trHeight w:val="354"/>
        </w:trPr>
        <w:tc>
          <w:tcPr>
            <w:tcW w:w="4540" w:type="dxa"/>
            <w:vAlign w:val="bottom"/>
          </w:tcPr>
          <w:p>
            <w:pPr>
              <w:spacing w:after="0"/>
              <w:rPr>
                <w:sz w:val="24"/>
                <w:szCs w:val="24"/>
                <w:color w:val="auto"/>
              </w:rPr>
            </w:pPr>
          </w:p>
        </w:tc>
        <w:tc>
          <w:tcPr>
            <w:tcW w:w="248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123</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2021 was $148.2 million, which resulted from a net loss of $200.2 million, a net change in our operating assets and liabilities of $32.4 million, and non-cash charges of $19.6 million. Non-cash charges primarily consisted of $18.2 million of depreciation and amortization. The net change in our operating assets and liabilities was primarily the result of a $12.9 million decrease in accounts receivable as a result of Data and other customer payments related to the revenue recognized in the fourth quarter of 2020 and a $15.6 million decrease in inventory as a result of reducing supplies for COVID-19 kit tests.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2022 was $103.6 million, which resulted from a net loss of $223.7 million, a net change in our operating assets and liabilities of $88.6 million, and non-cash charges of $31.5 million. Non-cash charges primarily consisted of $22.2 million of depreciation and amortization, amortization of the warrant asset of $4.0 million, an increase in the fair value of the warrant liability of $4.2 million, and a decrease in the fair value of contingent consideration of $3.9 million. The net change in our operating assets and liabilities was primarily the result of a $65.7 million increase in deferred revenue.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2020 was $206.6 million, which resulted from a net loss of $209.9 million and net change in our operating assets and liabilities of $35.5 million, offset by non-cash charges of $38.7 million. Non-cash charges primarily consisted of $23.1 million of depreciation and amortization and a $8.9 million relating to loss on extinguishment of convertible promissory notes. The net change in our operating assets and liabilities was primarily the result of a $55.8 million increase in accounts receivable primarily as a result of Genomics revenue, specifically COVID-19 sample testing, $29.3 million increase in inventory as a result of supplies for COVID-19 kit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2021 was $212.0 million, which resulted from a net loss of $259.2 million and net change in our operating assets and liabilities of $14.6 million, offset by non-cash charges of $32.7 million. Non-cash charges primarily consisted of $23.9 million of depreciation and amortization and a $5.2 million change in fair value of contingent consideration. The net change in our operating assets and liabilities was primarily the result of a $14.6 million decrease in inventory as a result of reducing supplies for COVID-19 kit tests and the expiration of COVID-19 testing kits and oncology lab supplies. The remaining net change in our operating assets and liabilities is a result of a $9.5 million increase in deferred revenue primarily related to the volume and timing of our data contracts.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2021 was $19.4 million, which resulted from investments in a non-marketable security of $6.0 million, the release of escrow related to the AKESOgen purchase of $4.0 million, and purchases of property and equipment of $9.4 million.</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2022 was $58.0 million, which resulted from $35.0 million related to the Highline Acquisition, and purchases of property and equipment of $22.5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2020 was $13.4 million, which resulted entirely from purchases of property and equipment.</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2021 was $21.7 million, which resulted from investments in non-marketable security of $6.0 million, the release of escrow related to the AKESOgen purchase of $4.0 million, and purchases of property and equipment of $11.8 million.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2021 was $0.9 million, which was primarily due to net proceeds of $8.9 million from the issuance of convertible preferred stock, offset by dividends of $5.6 million and payment of contingent consideration of $3.4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2022 was $252.9 million which was primarily due to net proceeds of $170.6 million from the Term Loan Facility with Ares and $92.2 million in net proceeds from the issuance of convertible preferred stock, offset by $5.6 million of dividend payments, $1.7 million in payments for deferred offering costs, and $2.3 million in payments for deferred financing fees.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2020 was $506.1 million which was primarily due to net proceeds of $189.9 million from the issuance of convertible preferred stock and net proceeds of $330.0 million from the issuance of a convertible promissory note.</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2021 was $2.0 million, which was primarily due to net proceeds of $8.9 million from the issuance of convertible preferred stock, offset by dividends of $5.6 million, payment of contingent consideration of $3.4 million, and payment of deferred offering costs of $1.1 million.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1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1-</w:t>
            </w:r>
          </w:p>
        </w:tc>
        <w:tc>
          <w:tcPr>
            <w:tcW w:w="46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1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60,313</w:t>
            </w:r>
          </w:p>
        </w:tc>
        <w:tc>
          <w:tcPr>
            <w:tcW w:w="4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6"/>
              </w:rPr>
              <w:t>17,253</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14,433</w:t>
            </w: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136,812</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31,063</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60,710</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41,210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Covertible Promissory Note*</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261,326</w:t>
            </w:r>
          </w:p>
        </w:tc>
        <w:tc>
          <w:tcPr>
            <w:tcW w:w="14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261,326</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458,451</w:t>
            </w:r>
          </w:p>
        </w:tc>
        <w:tc>
          <w:tcPr>
            <w:tcW w:w="4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39,507</w:t>
            </w:r>
          </w:p>
        </w:tc>
        <w:tc>
          <w:tcPr>
            <w:tcW w:w="480" w:type="dxa"/>
            <w:vAlign w:val="bottom"/>
          </w:tcPr>
          <w:p>
            <w:pPr>
              <w:spacing w:after="0"/>
              <w:rPr>
                <w:sz w:val="19"/>
                <w:szCs w:val="19"/>
                <w:color w:val="auto"/>
              </w:rPr>
            </w:pPr>
          </w:p>
        </w:tc>
        <w:tc>
          <w:tcPr>
            <w:tcW w:w="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77,963</w:t>
            </w:r>
          </w:p>
        </w:tc>
        <w:tc>
          <w:tcPr>
            <w:tcW w:w="4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316,969</w:t>
            </w:r>
          </w:p>
        </w:tc>
        <w:tc>
          <w:tcPr>
            <w:tcW w:w="4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$23,090 of interest payable.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Other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7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 condition exists to be vested, which will be satisfied upon achievement of a specific market condition, which could result in recognition of stock-based compensation expense upon the consummation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and a probability-weighted expected return method, or PWERM, which involves the estimation of multiple future potential outcomes for us, and estimates of the probability of each potential outcome. The per share value of our common stock determined using the PWERM approach is ultimately based upon probability-weighted per share values resulting from the various future scenarios, which include an initial public offering, merger or sale or continued operation as a private company.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tabs>
          <w:tab w:leader="none" w:pos="6120" w:val="left"/>
        </w:tabs>
        <w:rPr>
          <w:sz w:val="20"/>
          <w:szCs w:val="20"/>
          <w:color w:val="auto"/>
        </w:rPr>
      </w:pPr>
      <w:r>
        <w:rPr>
          <w:rFonts w:ascii="Times New Roman" w:cs="Times New Roman" w:eastAsia="Times New Roman" w:hAnsi="Times New Roman"/>
          <w:sz w:val="18"/>
          <w:szCs w:val="18"/>
          <w:color w:val="auto"/>
        </w:rPr>
        <w:t>In connection with this offering, we expect to incur approximately $</w:t>
      </w:r>
      <w:r>
        <w:rPr>
          <w:sz w:val="20"/>
          <w:szCs w:val="20"/>
          <w:color w:val="auto"/>
        </w:rPr>
        <w:tab/>
      </w:r>
      <w:r>
        <w:rPr>
          <w:rFonts w:ascii="Times New Roman" w:cs="Times New Roman" w:eastAsia="Times New Roman" w:hAnsi="Times New Roman"/>
          <w:sz w:val="16"/>
          <w:szCs w:val="16"/>
          <w:color w:val="auto"/>
        </w:rPr>
        <w:t>million of stock-based compensation expense related to RSUs and PSUs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granted through December 31, 2021, for which the service-based vesting condition was satisfied and for which the performance-based vesting condition will be</w:t>
      </w:r>
    </w:p>
    <w:p>
      <w:pPr>
        <w:spacing w:after="0" w:line="26"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8"/>
          <w:szCs w:val="18"/>
          <w:color w:val="auto"/>
        </w:rPr>
        <w:t>satisfied in connection with this offering. In addition, based on RSUs and PSUs outstanding as of</w:t>
      </w:r>
      <w:r>
        <w:rPr>
          <w:sz w:val="20"/>
          <w:szCs w:val="20"/>
          <w:color w:val="auto"/>
        </w:rPr>
        <w:tab/>
      </w:r>
      <w:r>
        <w:rPr>
          <w:rFonts w:ascii="Times New Roman" w:cs="Times New Roman" w:eastAsia="Times New Roman" w:hAnsi="Times New Roman"/>
          <w:sz w:val="18"/>
          <w:szCs w:val="18"/>
          <w:color w:val="auto"/>
        </w:rPr>
        <w:t>, 2022, we expect to recognize approximately</w:t>
      </w:r>
    </w:p>
    <w:p>
      <w:pPr>
        <w:spacing w:after="0" w:line="3" w:lineRule="exact"/>
        <w:rPr>
          <w:sz w:val="20"/>
          <w:szCs w:val="20"/>
          <w:color w:val="auto"/>
        </w:rPr>
      </w:pPr>
    </w:p>
    <w:p>
      <w:pPr>
        <w:ind w:left="660" w:hanging="655"/>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of additional stock-based compensation expense related to these awards during the next twelve months.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December 31, 2021, we had cash, cash equivalents and restricted cash of $278.5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December 31, 2021,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2021,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audited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AI to make laboratory tests more accurate, tailored, and personal. Unlike traditional laboratory tests, an Intelligent Diagnostic contextualizes the laboratory test result to a specific patient, by incorporating an individual’s longitudinal clinical data into the result. We believe Intelligent Diagnostics represents an emerging industry that we are pioneering. To accomplish this, we built the Tempus Platform, which comprises both a technology platform to free healthcare data from silos and an operating system to make this data useful. We refer to the combination of those as the Tempus Platform. Our investment in this technology has allowed us to amass what we consider to be one of the largest libraries of oncology focused clinical and molecular data in the world. Our goal is to embed AI throughout every aspect of diagnostics to enable physicians and researchers to make data-driven decisions that improve patient care. We started in oncology in 2016 and have expanded into neuropsychology, infectious diseases, and cardiology, with aspirations to eventually be in all major disease areas.</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make tests intelligent by connecting laboratory results to a patient’s own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advance personalized medicine. Unlike traditional diagnostic labs, we can incorporate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therapeutics. We believe their adoption could empower physicians to deliver better care and researchers to develop more precise therapies, with the potential to save millions of lives.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Tempus has built this integrated Platform, and we are now deploying it at scale in oncology in the United States.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 We endeavor to help doctors find the best therapies for their patients, help life sciences companies make the best drugs possible, and enable patients to access emerging therapies and clinical trials when appropriate.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300 unique data connections, many of which supply us with complex multimodal data in near real time, across over 1,850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We integrate this data into a unified software Platform through which we offer numerous analytical and decision support capabilities to our customers. We establish dedicated and integrated data connections with healthcare institutions to enhance the information we provide in our clinical reports, and to increase the effectiveness of our clinical trial matching services. In certain circumstances, we may cover the actual direct costs associated with the technical integrations needed to create a data connection.</w:t>
      </w:r>
    </w:p>
    <w:p>
      <w:pPr>
        <w:spacing w:after="0" w:line="187"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Algos</w:t>
      </w:r>
      <w:r>
        <w:rPr>
          <w:rFonts w:ascii="Times New Roman" w:cs="Times New Roman" w:eastAsia="Times New Roman" w:hAnsi="Times New Roman"/>
          <w:sz w:val="16"/>
          <w:szCs w:val="16"/>
          <w:color w:val="auto"/>
        </w:rPr>
        <w:t>.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131445</wp:posOffset>
            </wp:positionV>
            <wp:extent cx="7002780" cy="28676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0278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Genomics</w:t>
      </w:r>
      <w:r>
        <w:rPr>
          <w:rFonts w:ascii="Times New Roman" w:cs="Times New Roman" w:eastAsia="Times New Roman" w:hAnsi="Times New Roman"/>
          <w:sz w:val="18"/>
          <w:szCs w:val="18"/>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Insights and Therapies. Through our Insights product, we license de-identified libraries of linked clinical, molecular, and imaging data and provide a suite of analytic and cloud-and-compute tools to pharmaceutical and biotechnology companies. Our second product within our Data product line,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xml:space="preserve">, leverages our broad network of oncologists to provide clinical trial matching services for pharmaceutical companies that are looking to reach hard-to-find and underserved patient populations. Our newest product line,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xml:space="preserve"> is focused on developing and providing diagnostics that are algorithmic in nature. We currently offer three Algos in oncology and are also developing Algos in other disease areas.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ability to leverage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5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5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147955</wp:posOffset>
            </wp:positionV>
            <wp:extent cx="7002780" cy="44018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investigational studies, care pathways, real world evidentiary studies, and phenotypic and morphologic data. We already have the ability to incorporate many of these data elements today.</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and technology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diagnostic testing upon request, generate results leveraging our multimodal database, and provide clinical context for a specific patient. Below is a graphic illustrating our Platform’s core functionality.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002780" cy="44183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02780" cy="441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40"/>
          </w:cols>
          <w:pgMar w:left="320" w:top="44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infectious disease,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002780" cy="43681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02780" cy="436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Platform comprises multiple elements that work together to grow our database, generate Intelligent Diagnostics, and integrate the data we collect into clinical practice so that physicians and researchers can make data-driven decisions. Our technology stack allows us to ingest large amounts of multimodal healthcare data, which we then structure and harmonize into a common database that powers a variety of healthcare applications. Our scaled, interconnected provider network covers more than 40%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these elements is difficult for competitors to replicate, and together provide us a significant advantage. The following diagram represents the different elements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002780" cy="44100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and generate healthcare data at scale through multiple methods into our Platform, including molecular, clinical, and imaging data. Between our sequencing and data collection efforts, we are connected in some way to more than 40% of all oncologists practicing in the United States, along with a growing number of patients in neuropsychology,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Ingesting data through our relationships and partnerships with healthcare providers. </w:t>
      </w:r>
      <w:r>
        <w:rPr>
          <w:rFonts w:ascii="Times New Roman" w:cs="Times New Roman" w:eastAsia="Times New Roman" w:hAnsi="Times New Roman"/>
          <w:sz w:val="16"/>
          <w:szCs w:val="16"/>
          <w:color w:val="auto"/>
        </w:rPr>
        <w:t>We have developed proprietary tools to establish more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300 direct data connections, many of which are bi-directional. We have established relationships with hundreds of provider networks, including approximately half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provide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40"/>
          </w:cols>
          <w:pgMar w:left="320" w:top="448"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left="460" w:firstLine="43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 and distribute the oncology data ASCO collects as part of CancerLinq, which is their oncology data effort. We work with other large associations such as Quality Cancer Care Alliance, or QCCA, and National Cancer Care Alliance, or NCCA, and have agreements in place with large integrated community practices. While our relationships in oncology are widespread, we are making inroads in other disease areas. For example, we are working with a large hospital network to train algorithmic models based on a de-identified subset of approximately 3.2 million ECGs, across approximately 600,000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w:t>
      </w:r>
    </w:p>
    <w:p>
      <w:pPr>
        <w:spacing w:after="0" w:line="191" w:lineRule="exact"/>
        <w:rPr>
          <w:sz w:val="20"/>
          <w:szCs w:val="20"/>
          <w:color w:val="auto"/>
        </w:rPr>
      </w:pPr>
    </w:p>
    <w:p>
      <w:pPr>
        <w:jc w:val="both"/>
        <w:ind w:left="460" w:firstLine="43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three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Atlanta, and Raleigh, the last of which began offering commercial laboratory tests in the second half of 2022.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89"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018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40"/>
          </w:cols>
          <w:pgMar w:left="320" w:top="448"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Once data is ingested, we apply AI and other technologies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Multimodal Database</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an oncology database of multi-modal de-identified records that is approximately 28 times the size of The Cancer Genome Atlas, which we believe to be the largest public genomic dataset in oncology, based on the number of data points collected. This represents what we consider to be one of the largest matched molecular libraries of cancer patients in the world. Our Platform, across all diseases, has ingested over 700 million documents and contains more than 6.0 million de-identified patient records, including more than 1,000,000 with imaging data, more than 660,000 with matched clinical records linked with genomic information, and over 100,000 with full transcriptomic profiles. The breadth of our database, the quality and diversity of its data, as well as its regularly updating nature, allow us to offer a variety of AI-enabled solutions to the market. We also retain the rights to broadly commercialize the de-identified data we collect. As our database continues to grow from its current size of approximately 70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340"/>
          </w:cols>
          <w:pgMar w:left="320" w:top="448"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598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02780" cy="375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December 31, 2022,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44100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ectPr>
          <w:pgSz w:w="11900" w:h="16838" w:orient="portrait"/>
          <w:cols w:equalWidth="0" w:num="1">
            <w:col w:w="11340"/>
          </w:cols>
          <w:pgMar w:left="320" w:top="448" w:right="23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1340"/>
          </w:cols>
          <w:pgMar w:left="320" w:top="448" w:right="239" w:bottom="1055"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 We describe below some of the core software applications that form part of our Platform.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 Lens is aligned with Insights, one of our products within Data, and allows users to identify, license, and ultimately analyze cohorts of data for research purposes. We typically enable our customers to access free or charge certain software applications (like Hub) and certain features of other applications (like Lens). However, in some cases we may charge for access to Lens when a customer is interested in some form of customization or access to Lens’ full suite of capabilities.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340"/>
          </w:cols>
          <w:pgMar w:left="320" w:top="448"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76193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1340"/>
          </w:cols>
          <w:pgMar w:left="320" w:top="448" w:right="2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139"/>
          </w:cols>
          <w:pgMar w:left="320" w:top="448"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With respect to the first constituency, Lens helps users filter our multimodal database to identify groups of patients that meet their research requirements. It allows browsing, segmenting, selecting, and analyzing cohorts</w:t>
      </w:r>
    </w:p>
    <w:p>
      <w:pPr>
        <w:sectPr>
          <w:pgSz w:w="11900" w:h="16838" w:orient="portrait"/>
          <w:cols w:equalWidth="0" w:num="1">
            <w:col w:w="11340"/>
          </w:cols>
          <w:pgMar w:left="320" w:top="448" w:right="239" w:bottom="897"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1340"/>
          </w:cols>
          <w:pgMar w:left="320" w:top="448" w:right="239" w:bottom="897"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37350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340"/>
          </w:cols>
          <w:pgMar w:left="320" w:top="448"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139"/>
          </w:cols>
          <w:pgMar w:left="320" w:top="448"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350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Google Cloud Agreement</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we signed an agreement with Google to migrate most of our cloud-based infrastructure to the Google Cloud Platform, or GCP. The Agreement with Google has two components: (1) a Master Agreement through which Google provides us with cloud services, as well as other products and services, for a multi-year period during which we committed to make escalating minimum payments with certain termination rights, along with contractual penalties for early termination and (2) a Convertible Note, the balance of which is reduced based on the amount we spend on Google cloud services. We believe our strategic arrangement with Google offers Tempus a distinct competitive advantage because we believe it provides us with attractive cloud and computing rates, along with resources and teams at Google that are aligned to help advance elements of our product roadmap.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product line monetizes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de-identified data that we collect and facilitates enrollment in clinical trials. Our Algos product line leverages our database to provide diagnostics entirely driven by data.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932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02780" cy="449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Algos product lines. As we run more tests through our laboratories, and as those tests are linked to patient records and clinical outcomes, we 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other types of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40"/>
          </w:cols>
          <w:pgMar w:left="320" w:top="448"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7599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02780" cy="475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across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which, if validated, we expect to launch commercially in 2023.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 Submitted pre-market approval, or PMA, to the FDA in March 2021 for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variation (xT-Onco) based in substantial part on a recent version of the xT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assay</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149</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 Run at 500x coverage for approximately 650 of the most significant onco-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driving mutations and 250x depth of coverage for more than 19,000 genes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panel</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xF+ version is a 523 gene panel that includes bTMB, MSI, additional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fusions and CNVs</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left="460" w:right="320"/>
        <w:spacing w:after="0" w:line="435" w:lineRule="auto"/>
        <w:rPr>
          <w:sz w:val="20"/>
          <w:szCs w:val="20"/>
          <w:color w:val="auto"/>
        </w:rPr>
      </w:pPr>
      <w:r>
        <w:rPr>
          <w:rFonts w:ascii="Times New Roman" w:cs="Times New Roman" w:eastAsia="Times New Roman" w:hAnsi="Times New Roman"/>
          <w:sz w:val="18"/>
          <w:szCs w:val="18"/>
          <w:color w:val="auto"/>
        </w:rPr>
        <w:t>We are also currently validating xM, a high coverage methylation sequencing assay for monitoring for cancer recurrence and minimal residual disease. 150</w:t>
      </w:r>
    </w:p>
    <w:p>
      <w:pPr>
        <w:sectPr>
          <w:pgSz w:w="11900" w:h="16838" w:orient="portrait"/>
          <w:cols w:equalWidth="0" w:num="1">
            <w:col w:w="11340"/>
          </w:cols>
          <w:pgMar w:left="320" w:top="448"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2512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002780" cy="325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145,000 in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340"/>
          </w:cols>
          <w:pgMar w:left="320" w:top="448"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0265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02780" cy="402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Neuropsychology Tests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may work better than another based on the genetic profile of the patient, and our assay is designed to elucidate these differences. The following table describes our nP assay.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Neuropsychology Test</w:t>
            </w:r>
          </w:p>
        </w:tc>
        <w:tc>
          <w:tcPr>
            <w:tcW w:w="19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Tempus|nP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r>
      <w:tr>
        <w:trPr>
          <w:trHeight w:val="228"/>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r>
      <w:tr>
        <w:trPr>
          <w:trHeight w:val="328"/>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97"/>
              </w:rPr>
              <w:t>   Covers 13 validated genes and approximately 90 variants (e.g., CYP2D6)</w:t>
            </w:r>
          </w:p>
        </w:tc>
      </w:tr>
      <w:tr>
        <w:trPr>
          <w:trHeight w:val="310"/>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 Run off whole exome platform at 50x depth of coverage, with an average depth of</w:t>
            </w:r>
          </w:p>
        </w:tc>
      </w:tr>
      <w:tr>
        <w:trPr>
          <w:trHeight w:val="228"/>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coverage of approximately 1050x for clinically reported variants</w:t>
            </w:r>
          </w:p>
        </w:tc>
      </w:tr>
      <w:tr>
        <w:trPr>
          <w:trHeight w:val="310"/>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w:t>
            </w:r>
          </w:p>
        </w:tc>
      </w:tr>
      <w:tr>
        <w:trPr>
          <w:trHeight w:val="210"/>
        </w:trPr>
        <w:tc>
          <w:tcPr>
            <w:tcW w:w="2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spectrometry to analyze approximately 90 pharmacogenetic variants and cover the exonic</w:t>
            </w:r>
          </w:p>
        </w:tc>
      </w:tr>
      <w:tr>
        <w:trPr>
          <w:trHeight w:val="210"/>
        </w:trPr>
        <w:tc>
          <w:tcPr>
            <w:tcW w:w="2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regions of approximately 20,000 genes at an average coverage of 50X, with an average</w:t>
            </w:r>
          </w:p>
        </w:tc>
      </w:tr>
      <w:tr>
        <w:trPr>
          <w:trHeight w:val="228"/>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depth of coverage of approximately 1050x for clinically reported variants</w:t>
            </w: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21" w:lineRule="exact"/>
        <w:rPr>
          <w:sz w:val="20"/>
          <w:szCs w:val="20"/>
          <w:color w:val="auto"/>
        </w:rPr>
      </w:pPr>
    </w:p>
    <w:p>
      <w:pPr>
        <w:ind w:firstLine="5"/>
        <w:spacing w:after="0" w:line="247" w:lineRule="auto"/>
        <w:tabs>
          <w:tab w:leader="none" w:pos="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expanded into infectious diseases in 2020 due to the growing focus from healthcare providers and pharmaceutical companies on better understanding, diagnosing, and treating infectious diseases. Our strategy in infectious diseases is to offer a suite of tests that enable a better understanding of infectious disease, to use the data we collect while running tests to contribute to our Platform, and ultimately to make infectious disease tests intelligent over time.</w:t>
      </w:r>
    </w:p>
    <w:p>
      <w:pPr>
        <w:spacing w:after="0" w:line="14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COVID-19 heightened our collective awareness of how we might use our Platform to combat viruses and other pathogens. We believe there is a need in infectious disease for a more data-driven approach to diagnosis, therapy recommendation, and drug development. For example, there is a limited understanding of why some patients have minimal reactions to viruses and others become ill, why certain patients respond to pathogens and corresponding therapeutics differently, and why some patients have severe adverse reactions to certain drugs while others do not. Collecting sufficient data that provides a more complete picture of the pathogen could result in a better understanding of the disease and improve clinical decisions and therapeutic development. Furthermore, the growing problem of antimicrobial resistance might be addressable with data that helps facilitate a better understanding of pathogens and effective therapies.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340"/>
          </w:cols>
          <w:pgMar w:left="320" w:top="448"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capitalized on the demand for COVID-19 testing to build our database by launching PCR and NGS tests for COVID-19. Our laboratory testing infrastructure and our relationships with a broad customer base enabled us to rapidly scale operations and deliver approximately 2.3 million COVID-19 clinical tests through December 31, 2021. We entered into clinical testing agreements with various clients, including pharmacies, urgent care centers, state departments of health, primary care providers, universities and schools, and corporate clients.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COVID-19 testing has materially decreased in the United States in light of the broadly distributed vaccines and changes in CDC guidance as to whom should be tested, we have shifted resources away from COVID-19 testing and do not expect levels of COVID-19 testing to be material to our business going forward. As such, we are focusing our efforts on other infectious diseases areas and on broader respiratory pathogen testing.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product line facilitates drug discovery and development for pharmaceutical and biotechnology companies through two primary products: Insights and Therapies. We also maintain a growing tumor-derived biological modeling (or organoid) laboratory, which allows us to provide modeling and screening services to our pharmaceutical and biotech clients.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16 of the 20 largest public pharmaceutical companies based on 2020 revenue and, as of September 30, 2022 and December 31, 2022, we have signed contracts with a remaining contract value of $713.0 million and greater than $800.0 million, respectively. We expect to deliver a majority of this contract value over the next several years.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As of December 31, 2022, Remaining TCV is equal to the total potential value of signed contracts and assumes the exercise of all contract options, all discretionary opt-ins, and no early termination. Remaining TCV includes the total potential value of the company’s agreement with AstraZeneca (described in “Description of Capital Stock—Warrant”), which, although listed under the Data product line, could be satisfied by AstraZeneca’s purchase of any of the company’s products and services. Remaining TCV excludes any revenue recognized to date on these contracts or any future adjustments made to the contractual value as a result of amendments or terminations. Many of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and the exercise of contractual options or termination rights. Moreover, Remaining TCV may differ from similarly titled metrics presented by other companies and may not be comparable to such other metrics.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2021, Net Revenue Retention was approximately 130% compared to the same cohort of customers for the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149860</wp:posOffset>
            </wp:positionV>
            <wp:extent cx="7002780" cy="32429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0278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other in the Consolidated Statement of Operations. Cost of revenues, data and other were $7.1 million and $11.9 million for the years ended December 31, 2020 and 2021, respectively. These costs represent 19.6% and 19.2% of data and other revenue for the years ended December 31, 2020 and 2021, respectively.</w:t>
      </w:r>
    </w:p>
    <w:p>
      <w:pPr>
        <w:spacing w:after="0" w:line="189"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September 30, 2022, we generated $56.6 million of combined revenue from sequencing, data licensing of de-identified data derived from those records, and clinical trials matching, which is approximately 6.3 times the revenue we received from sequencing at the onset.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September 30, 2022, the 2018 “Cohort Lifetime Value” for this cohort was $39.2 million. We maintained similar trends for the 2019, 2020 and 2021 cohorts. As of September 30, 2022, the 2019 “Cohort Lifetime Value” was $42.6 million, the 2020 “Cohort Lifetime Value” was $36.2 million and the 2021 “Cohort Lifetime Value” was $38.3 million.</w:t>
      </w:r>
    </w:p>
    <w:p>
      <w:pPr>
        <w:spacing w:after="0" w:line="16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“Cohort Lifetime Value” for the 2018, 2019, 2020 and 2021 data cohorts is illustrated in the graphs below. Figures shown in “2022 Data Revenue” represent revenue through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3075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02780" cy="307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340"/>
          </w:cols>
          <w:pgMar w:left="320" w:top="448"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88703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02780" cy="887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Therapies</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Therapies is our second offering within our Data product line and leverages our broad network of oncologists to provide clinical trial matching services for pharmaceutical companies trying to reach hard-to-find</w:t>
      </w:r>
    </w:p>
    <w:p>
      <w:pPr>
        <w:sectPr>
          <w:pgSz w:w="11900" w:h="16838" w:orient="portrait"/>
          <w:cols w:equalWidth="0" w:num="1">
            <w:col w:w="11340"/>
          </w:cols>
          <w:pgMar w:left="320" w:top="448" w:right="239" w:bottom="0"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157</w:t>
      </w:r>
    </w:p>
    <w:p>
      <w:pPr>
        <w:sectPr>
          <w:pgSz w:w="11900" w:h="16838" w:orient="portrait"/>
          <w:cols w:equalWidth="0" w:num="1">
            <w:col w:w="11340"/>
          </w:cols>
          <w:pgMar w:left="320" w:top="448" w:right="239" w:bottom="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Therapies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91" w:lineRule="exact"/>
        <w:rPr>
          <w:sz w:val="20"/>
          <w:szCs w:val="20"/>
          <w:color w:val="auto"/>
        </w:rPr>
      </w:pPr>
    </w:p>
    <w:p>
      <w:pPr>
        <w:jc w:val="both"/>
        <w:ind w:firstLine="454"/>
        <w:spacing w:after="0" w:line="223" w:lineRule="auto"/>
        <w:rPr>
          <w:sz w:val="20"/>
          <w:szCs w:val="20"/>
          <w:color w:val="auto"/>
        </w:rPr>
      </w:pPr>
      <w:r>
        <w:rPr>
          <w:rFonts w:ascii="Times New Roman" w:cs="Times New Roman" w:eastAsia="Times New Roman" w:hAnsi="Times New Roman"/>
          <w:sz w:val="18"/>
          <w:szCs w:val="18"/>
          <w:color w:val="auto"/>
        </w:rPr>
        <w:t>Our clinical trial matching product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and as of September 30, 2022, more than 200 provider networks and research institutions have signed up to join the program. As of September 30, 2022, more than 2,600 oncologists were fully enrolled, more than 175 clinical trials were signed into the network, and more than 15,000 patients were identified for potential enrollment into clinical trials in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152400</wp:posOffset>
            </wp:positionV>
            <wp:extent cx="7002780" cy="4343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02780" cy="434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40"/>
          </w:cols>
          <w:pgMar w:left="320" w:top="448"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One of the primary benefits of our Therapies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Therapies product taking nine days on average between April 2020 and December 2021.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7515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02780" cy="375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over 2,500 tumor samples to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0347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02780" cy="403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vastness of our dataset creates an opportunity to use data to algorithmically diagnose and treat patients. Our newest product line, Algos, is focused on developing diagnostics that are algorithmic in nature. We use data the same way legacy diagnostic companies use chemistry in the battle against disease, seeking to improve patient care by learning from all the patients who have come before, and tailoring test results based on each patient’s unique profile. Our Algos can be run without the need for additional chemistry or biology; they are simply 0’s and 1’s running on digitized data derived from or in conjunction with a laboratory test. Algos leverage AI-driven insights to produce clinically validated and actionable information for physicians.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56686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02780"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8"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Currently, we have three commercialized Algos, and we have approximately 24 more in various stages of development. Some Algos will likely yield little to no reimbursement until their clinical utility is established, and some may obtain reimbursement at prevailing rates for comparable tests. Through December 31, 2022, our Algos have been ordered approximately 20,000 times and have generated approximately $100 per test on average. Eventually, we would like to launch hundreds, if not thousands, of Algos. The following table represents our current Algos products, as well as our nearer term Algos in the pipeline: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40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 Predicts the site of origin for cancer patients whose primary tumor site is unknown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 Intended use of the TO test is for cancers of unknown primary, or CUPs, and may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help clinicians make more informed decisions where other clinical information like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imaging and immunohistochemistry results do not provide a 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information from analysis of nucleic acids by NGS performed as part of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transcriptomic molecular data. By comparing the molecular profile (transcriptome)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the patient’s cancer with profiles of other cancers in our database, we can help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pinpoint the origin of the patient’s cancer, potentially helping to inform the course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 For the year ended December 31, 2021 ordered on approximately 7% of our solid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Homologous Recombination Deficiency (“HRD”) Test</w:t>
            </w:r>
          </w:p>
        </w:tc>
        <w:tc>
          <w:tcPr>
            <w:tcW w:w="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 A DNA-based algorithmic test that helps identify if a patient has HRD, providing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comprehensive view into a patient’s ability to repair double-stranded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 into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commonly mutated genes in the HR-pathway, along with a genome wide l LOH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 additional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2"/>
          </w:tcPr>
          <w:p>
            <w:pPr>
              <w:jc w:val="right"/>
              <w:ind w:right="55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64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36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accuracy and increase the percentage of tumors that the algorithm can be run on.</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 For the year ended December 31, 2021, ordered on approximately 18% of all solid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tumor orders.</w:t>
            </w:r>
          </w:p>
        </w:tc>
        <w:tc>
          <w:tcPr>
            <w:tcW w:w="0" w:type="dxa"/>
            <w:vAlign w:val="bottom"/>
          </w:tcPr>
          <w:p>
            <w:pPr>
              <w:spacing w:after="0"/>
              <w:rPr>
                <w:sz w:val="1"/>
                <w:szCs w:val="1"/>
                <w:color w:val="auto"/>
              </w:rPr>
            </w:pPr>
          </w:p>
        </w:tc>
      </w:tr>
      <w:tr>
        <w:trPr>
          <w:trHeight w:val="25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Dihydropyrimidine Dehydrogenase Deficiency</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 Identifies certain alterations in the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 which may be associated with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Implementation Consortium (CPIC).</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 Provides insight into the potential likelihood of a patient developing severe or even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fatal toxicity of 5- FU/Capecitabine chemotherapy by covering five SNVs in </w:t>
            </w:r>
            <w:r>
              <w:rPr>
                <w:rFonts w:ascii="Times New Roman" w:cs="Times New Roman" w:eastAsia="Times New Roman" w:hAnsi="Times New Roman"/>
                <w:sz w:val="18"/>
                <w:szCs w:val="18"/>
                <w:i w:val="1"/>
                <w:iCs w:val="1"/>
                <w:color w:val="auto"/>
              </w:rPr>
              <w:t>DPYD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genes, providing a more complete patient profile. According to CPIC, 5-7%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test positive for DPD deficiency and should be considered for monitoring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separately-ordered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 colorectal,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breast, pancreatic and GI cancer patients who are being considered for treatment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 5-FU/Capecitabine chemotherapy.</w:t>
            </w:r>
          </w:p>
        </w:tc>
        <w:tc>
          <w:tcPr>
            <w:tcW w:w="0" w:type="dxa"/>
            <w:vAlign w:val="bottom"/>
          </w:tcPr>
          <w:p>
            <w:pPr>
              <w:spacing w:after="0"/>
              <w:rPr>
                <w:sz w:val="1"/>
                <w:szCs w:val="1"/>
                <w:color w:val="auto"/>
              </w:rPr>
            </w:pPr>
          </w:p>
        </w:tc>
      </w:tr>
      <w:tr>
        <w:trPr>
          <w:trHeight w:val="239"/>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6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40" w:type="dxa"/>
            <w:vAlign w:val="bottom"/>
          </w:tcPr>
          <w:p>
            <w:pPr>
              <w:spacing w:after="0"/>
              <w:rPr>
                <w:sz w:val="20"/>
                <w:szCs w:val="20"/>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36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Cardiology</w:t>
            </w: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 We have developed an algorithm designed to predict AFib from a normal ECG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expected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certain populations.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launch</w:t>
            </w:r>
          </w:p>
        </w:tc>
        <w:tc>
          <w:tcPr>
            <w:tcW w:w="340" w:type="dxa"/>
            <w:vAlign w:val="bottom"/>
          </w:tcPr>
          <w:p>
            <w:pPr>
              <w:spacing w:after="0"/>
              <w:rPr>
                <w:sz w:val="19"/>
                <w:szCs w:val="19"/>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 About 3.5% of patients who receive ECGs appear not to have AFib but will develop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AFib, acute coronary syndrome, or similar condition within one year. This Algo 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designed to predict major cardiac trauma and stroke risk from these normal ECG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 The Tempus AFib test received FDA breakthrough designation in March 2021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40 years of age and older, without pre-existing or concurrent AFib or atrial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flutter, and who are at elevated risk of stroke based on a commonly used clinical</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 We are also advancing Algos that are designed to predict aortic stenosis, and we 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working on other disease areas within cardiology, such as low ejection fraction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familial hypercholesterolemia.</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Cardiology Algos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84" w:lineRule="exact"/>
        <w:rPr>
          <w:sz w:val="20"/>
          <w:szCs w:val="20"/>
          <w:color w:val="auto"/>
        </w:rPr>
      </w:pPr>
    </w:p>
    <w:p>
      <w:pPr>
        <w:jc w:val="both"/>
        <w:ind w:firstLine="454"/>
        <w:spacing w:after="0" w:line="230" w:lineRule="auto"/>
        <w:rPr>
          <w:sz w:val="20"/>
          <w:szCs w:val="20"/>
          <w:color w:val="auto"/>
        </w:rPr>
      </w:pPr>
      <w:r>
        <w:rPr>
          <w:rFonts w:ascii="Times New Roman" w:cs="Times New Roman" w:eastAsia="Times New Roman" w:hAnsi="Times New Roman"/>
          <w:sz w:val="18"/>
          <w:szCs w:val="18"/>
          <w:color w:val="auto"/>
        </w:rPr>
        <w:t>Our first cardiology products in development are a suite of algorithms that assess an individual’s risk of undiagnosed disease from an ECG, which are trained using a de-identified subset from approximately 3.2 million ECGs, across approximately 600,000 patients, with decades of longitudinal clinical data, including outcome and response data. The FDA recently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work in cardiology has been accelerated by a strategic collaboration with a multidisciplinary cardiovascular research team at Geisinger that leverages 25 years of valuable EHR data. We hold a perpetual, royalty-bearing license from Geisinger to build algorithmic models and commercialize a de-identified dataset of approximately 3.2 million ECGs, across approximately 600,000 patients, with decades of longitudinal clinical data, including outcome and response data.</w:t>
      </w:r>
    </w:p>
    <w:p>
      <w:pPr>
        <w:spacing w:after="0" w:line="184"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In parallel, we are working to build out a network of healthcare systems and clinical providers to deploy these clinical algorithms at scale. We believe we are well positioned to build such a network by leveraging the existing technical integrations in place through our current product lines in oncology and neurology.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data-driven decisions.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Genmab is an example of a pharmaceutical company that has used many of our products and services. We signed a strategic collaboration with Genmab to help identify novel molecular and immune targets in cancer indications of interest. One aspect of the collaboration is a shared interest in developing new treatments for patients with pancreatic cancer. Tempus and Genmab data scientists collaborated to explore multiple indications in an effort to validate biomarkers and accelerate research and development using Tempus’ multimodal datasets. We analyzed de-identified data derived from over 2,000 pancreatic cancer patients with comprehensive DNA sequencing, full transcriptomic sequencing, longitudinal EHR data, and digital pathology slides to fuel their discovery efforts. We believe comparable multimodal datasets of this depth and breadth have not previously been assembled for pancreatic cancer. Fueled with a unique and larger dataset, computational biologists and data scientists from both organizations identified for further assessment select subtype-specific surfaceome gene targets that were highly expressed in pancreatic cancer samples but lowly expressed in normal tissue. Ultimately, several hundred potential drug discovery targets were identified and are currently being assessed by Genmab using antibody databases, cell-type analyses, immune infiltration, and biological mechanism pathway analyses. The Genmab collaboration demonstrates how Tempus can work as a partner in the target identification and validation process and highlights the valuable insights that can be garnered using Tempus’ data. With the shared goal to bring novel drugs to patients in need, Tempus is entitled to receive milestone and royalty payments for programs that advance through clinical development under this collaboration.</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Therapies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nine days on average between April 2020 and December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320" w:top="448"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5043805" cy="900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438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Sermonix is a powerful example of the potential for our Therapies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ten business days for each site. By comparison, it took on average 230 days for the CRO to open each new site. Tempus enrolled 14 of the ultimately 29 patients in the study, and helped shorten the full enrollment time down to ten months.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infectious diseases, in which there is over $4 trillion of economic burden according to publicly available sources.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284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02780" cy="428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At present, we offer three main assays in cancer, including solid tumor profiling, liquid biopsy, and inherited cancer risk screening, and expect to commercialize our fourth assay for cancer recurrence monitoring and measuring minimal residual disease in 2023. We believe our assays provide a comprehensive and holistic range of options for physicians and patients. Over time, we anticipate being able to address other emerging NGS oncology markets, such as early disease screening, as our most recent cancer recurrence and MRD assay (xM) is based on a high coverage methylation sequencing for minimal residual disease in cancer, an approach that other companies have used in early detection and disease monitoring.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Therapy selection: </w:t>
      </w:r>
      <w:r>
        <w:rPr>
          <w:rFonts w:ascii="Times New Roman" w:cs="Times New Roman" w:eastAsia="Times New Roman" w:hAnsi="Times New Roman"/>
          <w:sz w:val="18"/>
          <w:szCs w:val="18"/>
          <w:color w:val="auto"/>
        </w:rPr>
        <w:t>We address the market for therapy selection with our current tissue and liquid biopsy assay offerings and immunohistochemistry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8"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129540</wp:posOffset>
            </wp:positionV>
            <wp:extent cx="7002780" cy="3701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02780" cy="370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anticipate launching our liquid biopsy test for cancer recurrence monitoring and minimal residual disease in 2023. While this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2018.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8"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Neuropsychology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16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2020, an estimated $219 billion was spent on clinical development in the United States. Within this market, our Data product line addresses the following spending categories for biotechnology and pharmaceutical researchers:</w:t>
      </w:r>
    </w:p>
    <w:p>
      <w:pPr>
        <w:spacing w:after="0" w:line="92" w:lineRule="exact"/>
        <w:rPr>
          <w:sz w:val="20"/>
          <w:szCs w:val="20"/>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$38 billion spend in 2020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$46 billion spend in 2021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$29 billion spend in 2020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 Product Line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 Data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more than 1,800 employees, including hundreds with diverse expertise in genetics, molecular and computational biology, bioinformatics, regulatory affairs, medical, product and engineering, and data science. Roughly one-third of our team is technical, with approximately 200 PhDs and MDs on staff. In addition, as a testament to our balanced workforce, we have roughly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more than 300 direct data connections, many of which supply us with data in near real time, across over 1,850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 Diagnostics to enable precision medicine at scale. We have amassed an oncology database of multi-modal, de-identified records that is approximately 70 Petabytes in size and is approximately 28 times the size of The Cancer Genome Atlas, the largest public genomic dataset that we know of in oncology. We have also extended our Platform into neuropsychology, infectious disease, and cardiology. We believe each of the elements of our Platform is difficult for others to replicate.</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Therapies product offering, we also help oncologists identify patients eligible for clinical trials. Over time, we believe our Algos product line will offer physicians and patients unique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448"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product line, which in turn drives our Algos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 further enhances our revenue opportunity as the records we collect have value over time, given that outcomes and response evolve as patients progress through treatment.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We are able to leverage multimodal data to deploy AI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oncology and our emerging strength in other disease areas. We have successfully leveraged the core capabilities of our Platform to expand our offering beyond oncology as we entered into neuropsychology in 2020 (MDD, bipolar disease, anxiety), infectious disease (COVID-19 testing) in 2020, and hope to enter cardiology in the near future (ECG-based algorithms starting with AFib and Aortic Stenosis).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Algos at scale.</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our Algos product line represents an emerging category of diagnostics and has the potential to be highly disruptive across a broad set of disease areas. Our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Algos offering, with the goal of launching hundreds or thousands of Algos at some point in the future, representing a significant long-term opportunity that may be substantially larger than our other existing product lines. We believe our ability to launch Algos at scale is a key differentiator of our Platform. We currently offer three algorithmic tests in oncology, our TO test, our HRD test, and our DPYD test, and have ongoing development efforts in other disease areas, such as cardiology with our recent Afib algorithm that was awarded breakthrough designation by the FDA.</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half of all academic medical centers in the United States. We have more than 300 direct unique data connections, many of which supply us with complex multimodal data in near real time, across over 1,850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5,000 physicians in some way. The value of our products is further evidenced by our volume of repeat ordering from oncologists. Through December 2021, the 12-month retention rate for physicians ordering more than 5 oncology NGS tests was 92%. We define an active physician as those that have placed an oncology NGS test in the last 360 days. The 12-month retention rate is calculated by dividing the number of active physicians who have placed more than 5 oncology NGS tests by the total number of ordering physicians who have placed more than 5 oncology NGS tests. As of December 31, 2021, the number of active ordering physicians that had ordered more than 5 oncology NGS tests in the last 360 days was 2,509, and the number of physicians that had previously ordered more than 5 oncology NGS tests but had not ordered one in the last 360 days was 205. Between our sequencing and data collection efforts, we are connected in some way to more than 40% of all oncologists practicing in the United States.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 clinical trials and through the development of companion diagnostics. At present, we have more than 159 sales representatives focused on our Genomics offering, and intend to significantly add resources to the team over time.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As of December 31, 2021, we had 40 pharmaceutical and biotechnology customers licensing data through our Insights product, including 16 of the 20 largest public pharmaceutical companies based on 2020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 researchers. For our Therapies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Algos at scale.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currently have three Algos that we have commercially launched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Algos across multiple disease categories.</w:t>
      </w:r>
    </w:p>
    <w:p>
      <w:pPr>
        <w:spacing w:after="0" w:line="285"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neuropsychology, infectious disease, cardiology, and other disease categories.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infectious diseases,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December 31, 2021, our clinical sales organization in the United States included approximately 150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clinical specialists with extensive medical affairs experience who provide molecular support in the field. As of December 31, 2021, we had approximately 140 sales executives in the field focused on oncology and neurology, and we also have a team of 12 sales reps, who largely call on customers virtually throughout our outbound call center, focused predominantly on infectious disease.</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92%.</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December 31, 2021, we have either published or been acknowledged in the following:</w:t>
      </w:r>
    </w:p>
    <w:p>
      <w:pPr>
        <w:spacing w:after="0" w:line="76" w:lineRule="exact"/>
        <w:rPr>
          <w:sz w:val="20"/>
          <w:szCs w:val="20"/>
          <w:color w:val="auto"/>
        </w:rPr>
      </w:pPr>
    </w:p>
    <w:p>
      <w:pPr>
        <w:ind w:left="1000" w:hanging="549"/>
        <w:spacing w:after="0" w:line="270"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59 total (40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total (66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similar strategy in neuropsychology, in which we aim to increase the commercial adoption of our nP test for depression as part of the rapidly growing market for pharmacogenomic testing, with a goal to better understand, diagnose and treat neuropsychiatric disorders. As it relates to infectious disease, we started offering COVID-19 testing through our iC test.</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we had approximately 33 sales executives in our Data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most instances, we bill Algos to third-party payers just like our other clinical tests. We expect reimbursement will be limited for most Algos at launch and may grow over time as we build additional evidence to support the clinical utility and benefit of each Algo. In addition, we work with pharmaceutical companies from time to time to deploy algorithms that they have developed or are interested in developing with us, typically collecting some amount of fees upfront and on a per test basis every time the algorithm is run.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40"/>
          </w:cols>
          <w:pgMar w:left="320" w:top="448"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Neogenomics, and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products primarily face competition from companies that help pharmaceutical and biotechnology companies acquire data to inform drug discovery and development. Our main competitors in this area are Flatiron Health, Inc., IQVIA Holdings Inc., ConcertAI, and others. Our Data products also face competition from CROs, such as Covance,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Algos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6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across all payors performed from January 1, 2020 through June 30, 2021. We calculated this metric on a trailing two-quarter basis based on payor adjudication timing. However, we continued to perform our NGS tests through December 31, 2021. For the years ended December 31, 2020 and 2021, our average reimbursement for NGS tests billed to insurance in oncology was approximately $1,100. Our strategy to improve reimbursement is as follows:</w:t>
      </w:r>
    </w:p>
    <w:p>
      <w:pPr>
        <w:spacing w:after="0" w:line="92" w:lineRule="exact"/>
        <w:rPr>
          <w:sz w:val="20"/>
          <w:szCs w:val="20"/>
          <w:color w:val="auto"/>
        </w:rPr>
      </w:pPr>
    </w:p>
    <w:p>
      <w:pPr>
        <w:ind w:left="1000" w:hanging="549"/>
        <w:spacing w:after="0" w:line="26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improve coverage, and the amount they currently pay, for tests, through a reconsideration request for our main assays (xT, xF) and through various appeals when coverage is denied.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new MAC, Palmetto, who will cover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toward FDA approval of our main solid tumor assay, xT, for which we filed a PMA in early 2021, and once approved, work with CMS to apply a national coverage determination that covers our assay.</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commercial payers to both get in network and get our assay approved and reimbursement at a higher rate than it currently is.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currently perform our laboratory tests, including our NGS and anatomic pathology tests in our clinical laboratories in Chicago, Atlanta, and Raleigh, the last of which became operational in 2022 and from which we began to offer commercial laboratory tests in the second half of 2022. Our Chicago and Atlanta laboratories are CAP-accredited and CLIA-certified, and licensed in other states including New York, California, Maryland, Pennsylvania, and Rhode Island.</w:t>
      </w:r>
    </w:p>
    <w:p>
      <w:pPr>
        <w:spacing w:after="0" w:line="7" w:lineRule="exact"/>
        <w:rPr>
          <w:sz w:val="20"/>
          <w:szCs w:val="20"/>
          <w:color w:val="auto"/>
        </w:rPr>
      </w:pPr>
    </w:p>
    <w:p>
      <w:pPr>
        <w:jc w:val="both"/>
        <w:ind w:firstLine="454"/>
        <w:spacing w:after="0" w:line="263" w:lineRule="auto"/>
        <w:rPr>
          <w:sz w:val="20"/>
          <w:szCs w:val="20"/>
          <w:color w:val="auto"/>
        </w:rPr>
      </w:pPr>
      <w:r>
        <w:rPr>
          <w:rFonts w:ascii="Times New Roman" w:cs="Times New Roman" w:eastAsia="Times New Roman" w:hAnsi="Times New Roman"/>
          <w:sz w:val="17"/>
          <w:szCs w:val="17"/>
          <w:color w:val="auto"/>
        </w:rPr>
        <w:t xml:space="preserve">The scale our laboratories have been able to achieve in the approximately 4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w:t>
      </w:r>
    </w:p>
    <w:p>
      <w:pPr>
        <w:spacing w:after="0" w:line="17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2021, our average turnaround time for our xT assays was 10 days, and our average turnaround time for xF was seven days.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 As an example of this, Tempus was able to stand up our COVID testing assays in both Atlanta and Chicago, obtain EUA approvals, make necessary modifications to our laboratory information systems and provide connectivity integrations to our largest customers (who were each running thousands of tests per day for a period of time) efficiently delivering results to them with turn around times and error rates that met or exceeded industry standards, during the peak of the pandemic in 2020 and early 2021.</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 with AstraZeneca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2026, unless terminated sooner.</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the warrant, AstraZeneca has the right to purchase up to $100 million in shares of our Class A common stock at an exercise price equal to the initial public offering price in this offering. The number of shares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39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00"/>
        </w:trPr>
        <w:tc>
          <w:tcPr>
            <w:tcW w:w="10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Class A common stock issuable upon exercise of the warrant will be determined based on the initial public offering price in this offering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w:t>
            </w:r>
          </w:p>
        </w:tc>
      </w:tr>
      <w:tr>
        <w:trPr>
          <w:trHeight w:val="22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assuming an initial public offering price of $</w:t>
            </w:r>
          </w:p>
        </w:tc>
        <w:tc>
          <w:tcPr>
            <w:tcW w:w="6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 range set forth on the cover page of</w:t>
            </w:r>
          </w:p>
        </w:tc>
      </w:tr>
    </w:tbl>
    <w:p>
      <w:pPr>
        <w:jc w:val="both"/>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 and implemented COVID-19 testing in May of 2020, and have run approximately 2.3 million tests in the last twelve months ended December 31, 2021.</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40"/>
          </w:cols>
          <w:pgMar w:left="320" w:top="443"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145415</wp:posOffset>
            </wp:positionV>
            <wp:extent cx="7002780" cy="51517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02780" cy="515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relays information contained in our oncology reports and supporting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ectPr>
          <w:pgSz w:w="11900" w:h="16838" w:orient="portrait"/>
          <w:cols w:equalWidth="0" w:num="1">
            <w:col w:w="11340"/>
          </w:cols>
          <w:pgMar w:left="320" w:top="448"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181</w:t>
      </w:r>
    </w:p>
    <w:p>
      <w:pPr>
        <w:sectPr>
          <w:pgSz w:w="11900" w:h="16838" w:orient="portrait"/>
          <w:cols w:equalWidth="0" w:num="1">
            <w:col w:w="11340"/>
          </w:cols>
          <w:pgMar w:left="320" w:top="448" w:right="23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March 31, 2022, our patent portfolio and patent applications, included 33 issued or allowed U.S. patents or pending applications, 71 pending U.S. non-provisional patent applications, 24 pending U.S. provisional patent applications, 28 pending Patent Cooperation Treaty (international) patent applications, 8 issued foreign patents, and 74 pending foreign patent applications. Our issued patents are expected to begin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expiring in December 2029, assuming payment of all appropriate maintenance, renewal, annuity or other governmental fees. These patents and applications generally fall into four broad categories:</w:t>
      </w:r>
    </w:p>
    <w:p>
      <w:pPr>
        <w:spacing w:after="0" w:line="78" w:lineRule="exact"/>
        <w:rPr>
          <w:sz w:val="20"/>
          <w:szCs w:val="20"/>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 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 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5540" w:right="200" w:hanging="5089"/>
        <w:spacing w:after="0" w:line="435" w:lineRule="auto"/>
        <w:tabs>
          <w:tab w:leader="none" w:pos="9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“off-label” uses of cleared or approved products; 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89"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are required in certain circumstances to report such information regarding their payments and other transfers of value 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physician assistants, nurse practitioners, clinical nurse specialists, anesthesiologist assistants, certified registered nurse anesthetists and certified nurse midwives during the previous year.</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is expected to take effect on January 1, 2023 and create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its Consumer Data Protection Act, and Colorado passed the Colorado Privacy act, both of which differ from the CPRA and become effective in 2023.</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It is also possible that additional governmental action will be taken in response to the COVID-19 pandemic.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Although we are a participating provider with a limited number of commercial payers, certain other large, national commercial payers, including Anthem, Aetna and Humana, have issued non-coverage policies that consider tissue and liquid comprehensive genomic profile testing, including certain of our Genomics tests, as experimental or investigational.</w:t>
      </w:r>
    </w:p>
    <w:p>
      <w:pPr>
        <w:spacing w:after="0" w:line="18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8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or the Local MAC, is the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16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February 10, 2022, the Local MAC jurisdiction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are in the process of assessing the impact of the LCD on any claims submitted after April 1, 2022, as well as monitoring any impact the LCD has on the claims currently in the appeal process. Initial indications suggest that the LCD has had a favorable impact on reimbursement for claims submitted after April 1, 2022.</w:t>
      </w:r>
    </w:p>
    <w:p>
      <w:pPr>
        <w:spacing w:after="0" w:line="189"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During the fourth quarter of 2021, we began receiving favorable results on outstanding level 2 claims that were adjudicated and have received payment on a subset of these claims as a result of the appeal process. As a result, beginning in the second quarter of 2021, we estimated the reimbursement rate for tests performed within our contractual allowances with a significantly reduced percent expected reimbursement for these tests, equating to $0 for the second quarter of 2021, $0.4 million for the third quarter of 2021, and $1.1 million for the fourth quarter of 2021. These estimates were guided by the updated Local MAC guidance and appeal outcomes through December 31, 2021. As of December 31, 2021, Medicare claims represent 29% of our clinical testing volume.</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also have a new genomics lab in Raleigh, North Carolina, which became operational in 2022 and from which we began offering commercial laboratory tests in the second half of 2022.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2021, we had a total of 1,567 employees, of which 575 were technical and were engaged in product and engineering, and research and development. As of December 31, 2021, 830 employees were based at our headquarters in Chicago, Illinois, and 65 employees were based in Atlanta, Georgia. None of our employees are represented by a labor union or covered under a collective bargaining agreement, and we have never experienced a work stoppage. We consider our relationship with our employees to be positive.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December 31, 2022,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Administrative and Legal Officer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5"/>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Ghenchev</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Eric Lefkofsky </w:t>
      </w:r>
      <w:r>
        <w:rPr>
          <w:rFonts w:ascii="Times New Roman" w:cs="Times New Roman" w:eastAsia="Times New Roman" w:hAnsi="Times New Roman"/>
          <w:sz w:val="16"/>
          <w:szCs w:val="16"/>
          <w:color w:val="auto"/>
        </w:rPr>
        <w:t>is our Founder and has served as our Chief Executive Officer and a member of our board of directors since our inception. Before founding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Tempus, Mr. Lefkofsky co-founded Groupon, Inc. in 2008, where he held various roles, including Executive Chairman (through August 2013), Chief Executive Officer (August 2013 to November 2015), and Chairman of the board of directors (November 2015 to June 2020). He continues to serve as a member of Groupon’s board of directors. Mr. Lefkofsky also co-founded Lightbank LLC in 2008, a private venture capital firm specializing in investments in technology companies, and has served as its managing member since inception. Mr. Lefkofsky also co-founded InnerWorkings, Inc., Mediaocean, LLC, and Echo Global Logistics,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61" w:lineRule="exact"/>
        <w:rPr>
          <w:sz w:val="20"/>
          <w:szCs w:val="20"/>
          <w:color w:val="auto"/>
        </w:rPr>
      </w:pPr>
    </w:p>
    <w:p>
      <w:pPr>
        <w:jc w:val="both"/>
        <w:ind w:firstLine="454"/>
        <w:spacing w:after="0" w:line="30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Ryan Fukushima </w:t>
      </w:r>
      <w:r>
        <w:rPr>
          <w:rFonts w:ascii="Times New Roman" w:cs="Times New Roman" w:eastAsia="Times New Roman" w:hAnsi="Times New Roman"/>
          <w:sz w:val="16"/>
          <w:szCs w:val="16"/>
          <w:color w:val="auto"/>
        </w:rPr>
        <w:t>has served as our Chief Operating Officer since September 2015. Prior to joining us, Mr. Fukushima was an Entrepreneur-in-Residence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Vice President at Lightbank LLC, a private venture capital firm specializing in investments in technology companies, from February 2014 to September 2015. Mr. Fukushima holds a B.S. from California Polytechnic University and a M.B.A. from the Ross School of Business at the University of Michigan.</w:t>
      </w:r>
    </w:p>
    <w:p>
      <w:pPr>
        <w:spacing w:after="0" w:line="139"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boards of directors of Berkshire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Grey, Inc. since April 2016, Sprout Social, Inc. since February 2011 and Groupon since January 2008.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Insulet Corp since October 2020, Forma Therapeutics Holdings, Inc. since July 2020, and Humana Inc. since February 2020. He also serves on the boards of directors of privately held companies and charitable organizations. Dr. Frederick is the President of Howard University, having held this position since July 2014, and also serves as the Charles R. Drew Endowed Chair of Surgery at Howard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7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Senior Partner at Novo Holdings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Inc. which provides consulting services to Novo Holdings A/S. Since January 2018, Mr. Ghenchev has also served as Head of Novo Growth at Novo Holdings A/S. Prior to joining Novo Holdings, Mr. Ghenchev served as a Senior Vice President at Moelis &amp; Company in London where he focused on mergers and acquisitions within the healthcare industry, from April 2010 to January 2018. Mr. Ghenchev also serves on the boards of directors of a European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Special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the Capital One Arena in Washington, D.C.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37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We currently have nine directors.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5540" w:right="340" w:hanging="5089"/>
        <w:spacing w:after="0" w:line="435" w:lineRule="auto"/>
        <w:tabs>
          <w:tab w:leader="none" w:pos="9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 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and Nadja West. The chair of our compensation committee will be Mr. Barris. Our board of directors has determined that each of Mr. Barris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6"/>
          <w:szCs w:val="16"/>
          <w:color w:val="auto"/>
        </w:rPr>
        <w:t>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2022:</w:t>
      </w:r>
    </w:p>
    <w:p>
      <w:pPr>
        <w:spacing w:after="0" w:line="256"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60" w:type="dxa"/>
            <w:vAlign w:val="bottom"/>
            <w:vMerge w:val="restart"/>
          </w:tcPr>
          <w:p>
            <w:pPr>
              <w:spacing w:after="0"/>
              <w:rPr>
                <w:sz w:val="14"/>
                <w:szCs w:val="1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360" w:type="dxa"/>
            <w:vAlign w:val="bottom"/>
            <w:tcBorders>
              <w:bottom w:val="single" w:sz="8" w:color="auto"/>
            </w:tcBorders>
            <w:vMerge w:val="continue"/>
          </w:tcPr>
          <w:p>
            <w:pPr>
              <w:spacing w:after="0"/>
              <w:rPr>
                <w:sz w:val="13"/>
                <w:szCs w:val="13"/>
                <w:color w:val="auto"/>
              </w:rPr>
            </w:pPr>
          </w:p>
        </w:tc>
        <w:tc>
          <w:tcPr>
            <w:tcW w:w="4560" w:type="dxa"/>
            <w:vAlign w:val="bottom"/>
            <w:vMerge w:val="continue"/>
          </w:tcPr>
          <w:p>
            <w:pPr>
              <w:spacing w:after="0"/>
              <w:rPr>
                <w:sz w:val="13"/>
                <w:szCs w:val="13"/>
                <w:color w:val="auto"/>
              </w:rPr>
            </w:pPr>
          </w:p>
        </w:tc>
        <w:tc>
          <w:tcPr>
            <w:tcW w:w="1880" w:type="dxa"/>
            <w:vAlign w:val="bottom"/>
            <w:gridSpan w:val="3"/>
          </w:tcPr>
          <w:p>
            <w:pPr>
              <w:jc w:val="right"/>
              <w:ind w:right="1040"/>
              <w:spacing w:after="0" w:line="13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Jennifer A. Doudna, Ph.D.</w:t>
            </w:r>
            <w:r>
              <w:rPr>
                <w:rFonts w:ascii="Times New Roman" w:cs="Times New Roman" w:eastAsia="Times New Roman" w:hAnsi="Times New Roman"/>
                <w:sz w:val="24"/>
                <w:szCs w:val="24"/>
                <w:color w:val="auto"/>
                <w:vertAlign w:val="superscript"/>
              </w:rPr>
              <w:t>(3)</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18"/>
                <w:szCs w:val="18"/>
                <w:color w:val="auto"/>
              </w:rPr>
            </w:pPr>
          </w:p>
        </w:tc>
        <w:tc>
          <w:tcPr>
            <w:tcW w:w="1820" w:type="dxa"/>
            <w:vAlign w:val="bottom"/>
            <w:gridSpan w:val="2"/>
          </w:tcPr>
          <w:p>
            <w:pPr>
              <w:jc w:val="right"/>
              <w:ind w:right="880"/>
              <w:spacing w:after="0" w:line="210" w:lineRule="exact"/>
              <w:rPr>
                <w:sz w:val="20"/>
                <w:szCs w:val="20"/>
                <w:color w:val="auto"/>
              </w:rPr>
            </w:pPr>
            <w:r>
              <w:rPr>
                <w:rFonts w:ascii="Times New Roman" w:cs="Times New Roman" w:eastAsia="Times New Roman" w:hAnsi="Times New Roman"/>
                <w:sz w:val="16"/>
                <w:szCs w:val="16"/>
                <w:color w:val="auto"/>
              </w:rPr>
              <w:t>2,376,500</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2,501,500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24"/>
                <w:szCs w:val="24"/>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24"/>
                <w:szCs w:val="24"/>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79" w:lineRule="auto"/>
        <w:tabs>
          <w:tab w:leader="none" w:pos="4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directors during 2021 under our 2015 Plan, computed in accordance with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Times New Roman" w:cs="Times New Roman" w:eastAsia="Times New Roman" w:hAnsi="Times New Roman"/>
          <w:sz w:val="16"/>
          <w:szCs w:val="16"/>
          <w:color w:val="auto"/>
        </w:rPr>
      </w:pPr>
    </w:p>
    <w:p>
      <w:pPr>
        <w:ind w:left="460" w:hanging="455"/>
        <w:spacing w:after="0" w:line="247"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aggregate number of shares underlying outstanding RSUs under our 2015 Plan held by each of our non-employee directors was as follows: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tcPr>
          <w:p>
            <w:pPr>
              <w:spacing w:after="0"/>
              <w:rPr>
                <w:sz w:val="16"/>
                <w:szCs w:val="16"/>
                <w:color w:val="auto"/>
              </w:rPr>
            </w:pPr>
          </w:p>
        </w:tc>
        <w:tc>
          <w:tcPr>
            <w:tcW w:w="3480" w:type="dxa"/>
            <w:vAlign w:val="bottom"/>
            <w:gridSpan w:val="3"/>
          </w:tcPr>
          <w:p>
            <w:pPr>
              <w:ind w:left="24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96"/>
        </w:trPr>
        <w:tc>
          <w:tcPr>
            <w:tcW w:w="4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440" w:type="dxa"/>
            <w:vAlign w:val="bottom"/>
          </w:tcPr>
          <w:p>
            <w:pPr>
              <w:spacing w:after="0"/>
              <w:rPr>
                <w:sz w:val="18"/>
                <w:szCs w:val="18"/>
                <w:color w:val="auto"/>
              </w:rPr>
            </w:pPr>
          </w:p>
        </w:tc>
        <w:tc>
          <w:tcPr>
            <w:tcW w:w="10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Dr. Jennifer A. Doudna</w:t>
            </w:r>
            <w:r>
              <w:rPr>
                <w:rFonts w:ascii="Times New Roman" w:cs="Times New Roman" w:eastAsia="Times New Roman" w:hAnsi="Times New Roman"/>
                <w:sz w:val="24"/>
                <w:szCs w:val="24"/>
                <w:color w:val="auto"/>
                <w:vertAlign w:val="superscript"/>
              </w:rPr>
              <w:t>(3)</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Wayne A.I. Frederick</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(c)</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Scott Gottlieb</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(d)</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3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Nadja West</w:t>
            </w:r>
            <w:r>
              <w:rPr>
                <w:rFonts w:ascii="Times New Roman" w:cs="Times New Roman" w:eastAsia="Times New Roman" w:hAnsi="Times New Roman"/>
                <w:sz w:val="26"/>
                <w:szCs w:val="26"/>
                <w:color w:val="auto"/>
                <w:vertAlign w:val="superscript"/>
              </w:rPr>
              <w:t>(5)</w:t>
            </w:r>
          </w:p>
        </w:tc>
        <w:tc>
          <w:tcPr>
            <w:tcW w:w="2440" w:type="dxa"/>
            <w:vAlign w:val="bottom"/>
          </w:tcPr>
          <w:p>
            <w:pPr>
              <w:spacing w:after="0"/>
              <w:rPr>
                <w:sz w:val="24"/>
                <w:szCs w:val="24"/>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25,000</w:t>
            </w:r>
            <w:r>
              <w:rPr>
                <w:rFonts w:ascii="Times New Roman" w:cs="Times New Roman" w:eastAsia="Times New Roman" w:hAnsi="Times New Roman"/>
                <w:sz w:val="26"/>
                <w:szCs w:val="26"/>
                <w:color w:val="auto"/>
                <w:w w:val="97"/>
                <w:vertAlign w:val="superscript"/>
              </w:rPr>
              <w:t>(b)</w:t>
            </w:r>
          </w:p>
        </w:tc>
      </w:tr>
    </w:tbl>
    <w:p>
      <w:pPr>
        <w:jc w:val="both"/>
        <w:ind w:left="460" w:hanging="455"/>
        <w:spacing w:after="0" w:line="272" w:lineRule="auto"/>
        <w:tabs>
          <w:tab w:leader="none" w:pos="4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of 100,000 shares of our Class A common stock, one fourth of which vest on September 7, 2018, and 1/16 of which vest quarterly thereafter, provided that the recipient remains in continuous service with us through each vesting date, and subject to the earlier to occur of</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 consummation of this offering and (ii) a change in control of our company.</w:t>
      </w:r>
    </w:p>
    <w:p>
      <w:pPr>
        <w:spacing w:after="0" w:line="3" w:lineRule="exact"/>
        <w:rPr>
          <w:rFonts w:ascii="Times New Roman" w:cs="Times New Roman" w:eastAsia="Times New Roman" w:hAnsi="Times New Roman"/>
          <w:sz w:val="16"/>
          <w:szCs w:val="16"/>
          <w:color w:val="auto"/>
        </w:rPr>
      </w:pP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January 13, 2022,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October 13,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one fourth of which vest on July 1, 2019,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sz w:val="20"/>
          <w:szCs w:val="20"/>
          <w:color w:val="auto"/>
        </w:rPr>
      </w:pPr>
    </w:p>
    <w:p>
      <w:pPr>
        <w:ind w:left="460" w:hanging="455"/>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Doudna joined our board of directors in April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Gottlieb joined our board of directors in October 2019, in connection with which he was entitled to an award of 50,000 RSUs, which were granted and approved by our board of directors in July 2021. The amount shown represents the aggregate grant date fair value of such RSUs as of July 2021.</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West joined our board of directors in April 2021.</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intend to adopt a non-employee director compensation policy in connection with this offering on terms to be determined by our board of directors. Under the non-employee director policy, our non-employee directors will be eligible to receive compensation for service on our board of directors and committees of our board of directors.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were:</w:t>
      </w:r>
    </w:p>
    <w:p>
      <w:pPr>
        <w:spacing w:after="0" w:line="103" w:lineRule="exact"/>
        <w:rPr>
          <w:sz w:val="20"/>
          <w:szCs w:val="20"/>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all of the compensation awarded to or earned by or paid to our named executive officers for the years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 and Principal Position</w:t>
            </w:r>
          </w:p>
        </w:tc>
        <w:tc>
          <w:tcPr>
            <w:tcW w:w="2980" w:type="dxa"/>
            <w:vAlign w:val="bottom"/>
            <w:vMerge w:val="restart"/>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3"/>
                <w:szCs w:val="13"/>
                <w:color w:val="auto"/>
              </w:rPr>
            </w:pPr>
          </w:p>
        </w:tc>
        <w:tc>
          <w:tcPr>
            <w:tcW w:w="1500" w:type="dxa"/>
            <w:vAlign w:val="bottom"/>
            <w:gridSpan w:val="2"/>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6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42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4"/>
              </w:rPr>
              <w:t>2022</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740" w:type="dxa"/>
            <w:vAlign w:val="bottom"/>
            <w:tcBorders>
              <w:top w:val="single" w:sz="8" w:color="CCEEFF"/>
            </w:tcBorders>
            <w:shd w:val="clear" w:color="auto" w:fill="CCEEFF"/>
          </w:tcPr>
          <w:p>
            <w:pPr>
              <w:jc w:val="right"/>
              <w:ind w:right="534"/>
              <w:spacing w:after="0"/>
              <w:rPr>
                <w:sz w:val="20"/>
                <w:szCs w:val="20"/>
                <w:color w:val="auto"/>
              </w:rPr>
            </w:pPr>
            <w:r>
              <w:rPr>
                <w:rFonts w:ascii="Times New Roman" w:cs="Times New Roman" w:eastAsia="Times New Roman" w:hAnsi="Times New Roman"/>
                <w:sz w:val="13"/>
                <w:szCs w:val="13"/>
                <w:color w:val="auto"/>
                <w:w w:val="78"/>
              </w:rPr>
              <w:t>(2)</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207,486,240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207,488,340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450,000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2,975,250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4"/>
              <w:spacing w:after="0" w:line="210"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88"/>
              </w:rPr>
              <w:t>335,188</w:t>
            </w:r>
            <w:r>
              <w:rPr>
                <w:rFonts w:ascii="Times New Roman" w:cs="Times New Roman" w:eastAsia="Times New Roman" w:hAnsi="Times New Roman"/>
                <w:sz w:val="26"/>
                <w:szCs w:val="26"/>
                <w:color w:val="auto"/>
                <w:w w:val="88"/>
                <w:vertAlign w:val="superscript"/>
              </w:rPr>
              <w:t>(4)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3,871,600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4,208,888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499,858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5,550,870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4"/>
              <w:spacing w:after="0" w:line="210" w:lineRule="exact"/>
              <w:rPr>
                <w:sz w:val="20"/>
                <w:szCs w:val="20"/>
                <w:color w:val="auto"/>
              </w:rPr>
            </w:pPr>
            <w:r>
              <w:rPr>
                <w:rFonts w:ascii="Times New Roman" w:cs="Times New Roman" w:eastAsia="Times New Roman" w:hAnsi="Times New Roman"/>
                <w:sz w:val="16"/>
                <w:szCs w:val="16"/>
                <w:color w:val="auto"/>
              </w:rPr>
              <w:t>90,816</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w w:val="92"/>
              </w:rPr>
              <w:t>422,396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5,134,070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75,296</w:t>
            </w:r>
            <w:r>
              <w:rPr>
                <w:rFonts w:ascii="Times New Roman" w:cs="Times New Roman" w:eastAsia="Times New Roman" w:hAnsi="Times New Roman"/>
                <w:sz w:val="26"/>
                <w:szCs w:val="26"/>
                <w:color w:val="auto"/>
                <w:vertAlign w:val="superscript"/>
              </w:rPr>
              <w:t>(6)</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5,631,762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48"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represents the aggregate grant date fair value of RSUs granted to our executive officer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pro-rated parking fees in the amount of $2,100 earned during 2021 and $2,100 earned during 2022, as applicable.</w:t>
      </w:r>
    </w:p>
    <w:p>
      <w:pPr>
        <w:spacing w:after="0" w:line="3" w:lineRule="exact"/>
        <w:rPr>
          <w:sz w:val="20"/>
          <w:szCs w:val="20"/>
          <w:color w:val="auto"/>
        </w:rPr>
      </w:pPr>
    </w:p>
    <w:p>
      <w:pPr>
        <w:ind w:left="460" w:hanging="455"/>
        <w:spacing w:after="0" w:line="243"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was appointed as our Chief Financial Officer in April 2021. The salary reported represents a pro-rata portion of his salary in 2021. His annualized base salary for 2021 was $450,000.</w:t>
      </w:r>
    </w:p>
    <w:p>
      <w:pPr>
        <w:spacing w:after="0" w:line="1" w:lineRule="exact"/>
        <w:rPr>
          <w:sz w:val="20"/>
          <w:szCs w:val="20"/>
          <w:color w:val="auto"/>
        </w:rPr>
      </w:pPr>
    </w:p>
    <w:p>
      <w:pPr>
        <w:ind w:left="460" w:hanging="455"/>
        <w:spacing w:after="0" w:line="247"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a housing stipend in the amount of $75,296 earned during 2021 and $90,816 earned during 2022, as applicable, paid on a monthly basis in the amount of $7,980 per month.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2022</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outstanding equity awards granted to our named executive officers that remain outstanding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2"/>
          </w:tcPr>
          <w:p>
            <w:pPr>
              <w:jc w:val="center"/>
              <w:ind w:right="234"/>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9"/>
                <w:szCs w:val="9"/>
                <w:color w:val="auto"/>
              </w:rPr>
            </w:pPr>
          </w:p>
        </w:tc>
        <w:tc>
          <w:tcPr>
            <w:tcW w:w="12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vMerge w:val="restart"/>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9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4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gridSpan w:val="2"/>
          </w:tcPr>
          <w:p>
            <w:pPr>
              <w:jc w:val="center"/>
              <w:ind w:right="234"/>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60" w:type="dxa"/>
            <w:vAlign w:val="bottom"/>
          </w:tcPr>
          <w:p>
            <w:pPr>
              <w:spacing w:after="0"/>
              <w:rPr>
                <w:sz w:val="15"/>
                <w:szCs w:val="15"/>
                <w:color w:val="auto"/>
              </w:rPr>
            </w:pPr>
          </w:p>
        </w:tc>
        <w:tc>
          <w:tcPr>
            <w:tcW w:w="128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2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320" w:type="dxa"/>
            <w:vAlign w:val="bottom"/>
            <w:tcBorders>
              <w:top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137,951,100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December 11, 2017</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680,400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15, 2020</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27, 2022</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75,000</w:t>
            </w:r>
            <w:r>
              <w:rPr>
                <w:rFonts w:ascii="Times New Roman" w:cs="Times New Roman" w:eastAsia="Times New Roman" w:hAnsi="Times New Roman"/>
                <w:sz w:val="26"/>
                <w:szCs w:val="26"/>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2,126,250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October 16, 2019</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3,500</w:t>
            </w:r>
            <w:r>
              <w:rPr>
                <w:rFonts w:ascii="Times New Roman" w:cs="Times New Roman" w:eastAsia="Times New Roman" w:hAnsi="Times New Roman"/>
                <w:sz w:val="24"/>
                <w:szCs w:val="24"/>
                <w:color w:val="auto"/>
                <w:vertAlign w:val="superscript"/>
              </w:rPr>
              <w:t>(4)</w:t>
            </w: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99,225</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January 3, 2022</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January 3, 2022</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2,126,250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27, 2022</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53"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or PSUs, as applicable, granted pursuant to our 2015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Plans—2015 Stock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$28.35 as of September 30, 2022 as determined by our board of directors, multiplied by the amount shown in the column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Number of Shares or Units of Stock that Have Not Vested.”</w:t>
      </w:r>
    </w:p>
    <w:p>
      <w:pPr>
        <w:jc w:val="both"/>
        <w:ind w:left="460" w:hanging="455"/>
        <w:spacing w:after="0" w:line="243"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PSUs vest on the one-year anniversary of the vesting commencement date and 1/12 of the remaining PSUs vest quarterly thereafter, provided that the recipient remains in continuous service with us through each vesting date, and subject to the earlier to occur of (i) the consummation of this offering and (ii) a change in control of our company, which we refer to as a Liquidity Event. These PSUs shall only become settleable into our common stock if, on the date on which such Liquidity Event occurs, the valuation of our company equals or exceeds $6 billion, as determined by our board of directors in its sole discretion.</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8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2022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Plans—2022 Equity Incentive Plan.”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January 2022, we entered into revised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January 2022. Mr. Lefkofsky’s employment agreement provides for an annual base salary of $0,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the event of a Change in Control (as defined in our 2015 Plan), 100% of Mr. Lefkofsky’s then-unvested equity will immediately accelerate, vest and become exercisable.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2022. Mr. Rogers’ employment agreement provides for an annual base salary of $450,000,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 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2022. Mr. Fukushima’s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board of directors has adopted the 2022 Equity Incentive Plan, or the 2022 Plan, that will become effective on the date of the underwriting agreement related to this offering. Our 2022 Plan will come into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existence upon its adoption by our board of directors, but no grants will be made under our 2022 Plan prior to its effectiveness. Once our 2022 Plan becomes effective, no further grants will be made under our 2015 Plan.</w:t>
      </w:r>
    </w:p>
    <w:p>
      <w:pPr>
        <w:spacing w:after="0" w:line="16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2022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The maximum number of shares of our Class A common stock that may be issued under our 2022 Plan is 10,000,000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common stock. The number of shares of our Class A common stock reserved for issuance under our 2022 Plan will automatically increase on January 1 of each year, beginning on January 1, 2023, and continuing through and including January 1, 2032, by 3% of the aggregate number of shares of common stock (both Class A and Class B) outstanding on December 31 of the preceding calendar year, or a lesser number of shares determined by our board of directors prior to the applicable January 1. The maximum number of shares that may be issued upon the exercise of ISOs under our 2022 Plan is 30,000,000 shares.</w:t>
      </w:r>
    </w:p>
    <w:p>
      <w:pPr>
        <w:spacing w:after="0" w:line="15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2022 Plan will be authorized but unissued or reacquired shares of Class A common stock. Shares subject to awards granted under our 2022 Plan that expire or terminate without being exercised in full, or that are paid out in cash rather than in shares, will not reduce the number of shares available for issuance under our 2022 Plan. Additionally, shares issued pursuant to awards under our 2022 Plan that we repurchase or that are forfeited, as well as shares used to pay the exercise price of an award or to satisfy the tax withholding obligations to an award, will become available for future grant under our 2022 Plan.</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2022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2022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2022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2022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2022 Plan, the administrator also has the power to modify outstanding awards under our 2022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2022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2022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14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2022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2022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9"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2022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2022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2022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2022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2022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9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2022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2022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2022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2022 Plan. No awards may be granted under our 2022 Plan while it is suspended or after it is terminated.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1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2023 and continuing through and including January 1, 2032, by the lesser of (1) 2% of the aggregate number of shares of common stock (both Class A and Class B) outstanding on December 31 of the preceding calendar year, (2) 6,000,000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The implementation of the ESPP and the terms of the offerings thereunder, if any, will be in the discretion of the administrator. The administrator does not currently have any intention to make offerings available under the ESPP.</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February 2022.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December 31, 2021, there were 16,339,419 shares of common stock issuable upon the vesting and settlement of RSUs and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under the 2015 Plan, there were 4,250,000 shares of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1,098,364 shares of common stock were available for future issuance under the 2015 Plan. In February 2022, we increased the share reserve under the 2015 plan by 3,000,000 shares. On and after the effective date of the 2022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25,115,750 shares. The maximum number of shares of Class A common stock that may be issued pursuant to the exercise of ISOs under our 2015 Plan is 25,115,750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 ISOs and NSOs granted under the 2015 Plan are evidenced by award agreements established by our board of directors.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37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78" w:lineRule="exact"/>
        <w:rPr>
          <w:sz w:val="20"/>
          <w:szCs w:val="20"/>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also granted Performance-Vesting Restricted Stock Unit awards, or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8"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2019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E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From August 2018 through April 2019, we sold an aggregate of 6,630,905 shares of our Series E convertible preferred stock at a price per share of $16.7428, for an aggregate purchase price of approximately $111.0 million in private placements to accredited investors. During this period, we issued a total of 7,517,209 shares of our Series E convertible preferred stock, of which 886,304 shares were repurchased from Tempus Series E Investments, LLC at the original issue price per share, for an aggregate repurchase price of approximately $14.8 million, in order to accommodate the issuance and sale of shares of our Series E convertible preferred stock to additional purchasers. The table below sets forth the number of shares of our Series E convertible preferred stock purchased by our executive officers, directors, holders of more than 5% of our capital stock and their affiliated entities or immediate family members. Each share of Series E convertible preferred stock will automatically convert into one share of our Class A common stock upon the closing of this offering. The holders of our Series E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5"/>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E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New Enterprise Associates 16, L.P.</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358,362</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5,999,983.29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Revolution Growth III, LP</w:t>
            </w:r>
            <w:r>
              <w:rPr>
                <w:rFonts w:ascii="Times New Roman" w:cs="Times New Roman" w:eastAsia="Times New Roman" w:hAnsi="Times New Roman"/>
                <w:sz w:val="24"/>
                <w:szCs w:val="24"/>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597,271</w:t>
            </w:r>
          </w:p>
        </w:tc>
        <w:tc>
          <w:tcPr>
            <w:tcW w:w="540" w:type="dxa"/>
            <w:vAlign w:val="bottom"/>
          </w:tcPr>
          <w:p>
            <w:pPr>
              <w:spacing w:after="0"/>
              <w:rPr>
                <w:sz w:val="18"/>
                <w:szCs w:val="18"/>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9,999,988.90</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Tempus Series E Investments, LLC</w:t>
            </w:r>
            <w:r>
              <w:rPr>
                <w:rFonts w:ascii="Times New Roman" w:cs="Times New Roman" w:eastAsia="Times New Roman" w:hAnsi="Times New Roman"/>
                <w:sz w:val="24"/>
                <w:szCs w:val="24"/>
                <w:color w:val="auto"/>
                <w:vertAlign w:val="superscript"/>
              </w:rPr>
              <w:t>(3)</w:t>
            </w:r>
          </w:p>
        </w:tc>
        <w:tc>
          <w:tcPr>
            <w:tcW w:w="1840" w:type="dxa"/>
            <w:vAlign w:val="bottom"/>
            <w:gridSpan w:val="2"/>
            <w:shd w:val="clear" w:color="auto" w:fill="CCEEFF"/>
          </w:tcPr>
          <w:p>
            <w:pPr>
              <w:jc w:val="right"/>
              <w:ind w:right="380"/>
              <w:spacing w:after="0" w:line="210" w:lineRule="exact"/>
              <w:rPr>
                <w:sz w:val="20"/>
                <w:szCs w:val="20"/>
                <w:color w:val="auto"/>
              </w:rPr>
            </w:pPr>
            <w:r>
              <w:rPr>
                <w:rFonts w:ascii="Times New Roman" w:cs="Times New Roman" w:eastAsia="Times New Roman" w:hAnsi="Times New Roman"/>
                <w:sz w:val="16"/>
                <w:szCs w:val="16"/>
                <w:color w:val="auto"/>
              </w:rPr>
              <w:t>1,134,816</w:t>
            </w:r>
            <w:r>
              <w:rPr>
                <w:rFonts w:ascii="Times New Roman" w:cs="Times New Roman" w:eastAsia="Times New Roman" w:hAnsi="Times New Roman"/>
                <w:sz w:val="24"/>
                <w:szCs w:val="24"/>
                <w:color w:val="auto"/>
                <w:vertAlign w:val="superscript"/>
              </w:rPr>
              <w:t>(4)</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18,999,997.32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Theodore J. Leonsis, a member of our board of directors, is a founder and partner at Revolution Growth..</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E Investments,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E Investments, LLC purchased an aggregate of 1,134,816 shares of our Series E convertible preferred stock, of which 886,304 shares were repurchased by us in April 2019. See the section titled “—Repurchases of Equity Securities—Redemptions of Preferred Stock” below. As a result, Tempus Series E Investments, LLC currently owns 248,512 shares of our Series E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F Convertible Preferred Stock Financing</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April through July 2019, we sold an aggregate of 8,077,674 shares of our Series F convertible preferred stock at a price per share of $24.7596, for an aggregate purchase price of approximately $200.0 million in private placements to accredited investors. During this period, we issued a total of 8,677,006 shares of our Series F convertible preferred stock, of which an aggregate of 599,332 shares of our Series F convertible preferred stock were repurchased from Tempus Series F Investments, LLC in May and July 2019 at the original issue price per share, for an aggregate repurchase price of approximately $14.8 million, in order to accommodate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issuance and sale of shares of our Series F convertible preferred stock to additional purchasers. The table below sets forth the number of shares of our Series F convertible preferred stock purchased by our executive officers, directors, holders of more than 5% of our capital stock and their affiliated entities or immediate family members. Each share of Series F convertible preferred stock will automatically convert into one share of our Class A common stock upon the closing of this offering. The holders of our Series F convertible preferred stock listed below are entitled to specified registration rights. See the section titled “Description of Capital Stock—Registration Rights” for additional information regarding these registration rights.</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260" w:type="dxa"/>
            <w:vAlign w:val="bottom"/>
            <w:vMerge w:val="restart"/>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F Shares</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260" w:type="dxa"/>
            <w:vAlign w:val="bottom"/>
            <w:vMerge w:val="continue"/>
          </w:tcPr>
          <w:p>
            <w:pPr>
              <w:spacing w:after="0"/>
              <w:rPr>
                <w:sz w:val="20"/>
                <w:szCs w:val="20"/>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New Enterprise Associates 16, L.P.</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403,883</w:t>
            </w: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9,999,981.53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Revolution Growth III, LP</w:t>
            </w:r>
            <w:r>
              <w:rPr>
                <w:rFonts w:ascii="Times New Roman" w:cs="Times New Roman" w:eastAsia="Times New Roman" w:hAnsi="Times New Roman"/>
                <w:sz w:val="24"/>
                <w:szCs w:val="24"/>
                <w:color w:val="auto"/>
                <w:vertAlign w:val="superscript"/>
              </w:rPr>
              <w:t>(2)</w:t>
            </w:r>
          </w:p>
        </w:tc>
        <w:tc>
          <w:tcPr>
            <w:tcW w:w="1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201,941</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4,999,978.38</w:t>
            </w: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Tempus Series F Investments, LLC</w:t>
            </w:r>
            <w:r>
              <w:rPr>
                <w:rFonts w:ascii="Times New Roman" w:cs="Times New Roman" w:eastAsia="Times New Roman" w:hAnsi="Times New Roman"/>
                <w:sz w:val="24"/>
                <w:szCs w:val="24"/>
                <w:color w:val="auto"/>
                <w:vertAlign w:val="superscript"/>
              </w:rPr>
              <w:t>(3)</w:t>
            </w:r>
          </w:p>
        </w:tc>
        <w:tc>
          <w:tcPr>
            <w:tcW w:w="1860" w:type="dxa"/>
            <w:vAlign w:val="bottom"/>
            <w:gridSpan w:val="2"/>
            <w:shd w:val="clear" w:color="auto" w:fill="CCEEFF"/>
          </w:tcPr>
          <w:p>
            <w:pPr>
              <w:ind w:left="740"/>
              <w:spacing w:after="0" w:line="210" w:lineRule="exact"/>
              <w:rPr>
                <w:sz w:val="20"/>
                <w:szCs w:val="20"/>
                <w:color w:val="auto"/>
              </w:rPr>
            </w:pPr>
            <w:r>
              <w:rPr>
                <w:rFonts w:ascii="Times New Roman" w:cs="Times New Roman" w:eastAsia="Times New Roman" w:hAnsi="Times New Roman"/>
                <w:sz w:val="16"/>
                <w:szCs w:val="16"/>
                <w:color w:val="auto"/>
              </w:rPr>
              <w:t>599,332</w:t>
            </w:r>
            <w:r>
              <w:rPr>
                <w:rFonts w:ascii="Times New Roman" w:cs="Times New Roman" w:eastAsia="Times New Roman" w:hAnsi="Times New Roman"/>
                <w:sz w:val="24"/>
                <w:szCs w:val="24"/>
                <w:color w:val="auto"/>
                <w:vertAlign w:val="superscript"/>
              </w:rPr>
              <w:t>(4)</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14,839,220.59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Theodore J. Leonsis, a member of our board of directors, is a founder and partner at Revolution Growth.</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F Investments,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91" w:lineRule="auto"/>
        <w:tabs>
          <w:tab w:leader="none" w:pos="4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Series F Investments, LLC purchased an aggregate of 599,332 shares of our Series F convertible preferred stock, of which 203,521 shares were repurchased by us in May 2019 and the remaining 395,811 shares were repurchased by us in July 2019. See the section titled “—Repurchases of Equity Securities—Redemptions of Preferred Stock” below. As a result, Tempus Series F Investments, LLC is no longer a stockholder of our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From February through April 2020, we sold an aggregate of 2,537,290 shares of our Series G convertible preferred stock at a price per share of $38.3524, for an aggregate purchase price of approximately $97.3 million in private placements to accredited investors. During this period, we issued a total of 2,667,660 shares of our Series G convertible preferred stock, of which 130,370 shares of our Series G convertible preferred stock were repurchased from Tempus Series G Investments, LLC at the original issue price per share, for an aggregate repurchase price of approximately $5.0 million, in order to accommodate the issuance and sale of shares of our Series G convertible preferred stock to an additional purchaser. The table below sets forth the number of shares of our Series G convertible preferred stock purchased by our executive officers, directors, holders of more than 5% of our capital stock and their affiliated entities or immediate family members. Each share of Series G convertible preferred stock will automatically convert into one share of our Class A common stock upon the closing of this offering. The holders of our Series G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260" w:type="dxa"/>
            <w:vAlign w:val="bottom"/>
            <w:vMerge w:val="restart"/>
          </w:tcPr>
          <w:p>
            <w:pPr>
              <w:spacing w:after="0"/>
              <w:rPr>
                <w:sz w:val="18"/>
                <w:szCs w:val="18"/>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G Shares</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260" w:type="dxa"/>
            <w:vAlign w:val="bottom"/>
            <w:vMerge w:val="continue"/>
          </w:tcPr>
          <w:p>
            <w:pPr>
              <w:spacing w:after="0"/>
              <w:rPr>
                <w:sz w:val="20"/>
                <w:szCs w:val="20"/>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Innovation Group Investors, L.P. – 2011 Series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130,370</w:t>
            </w: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5,000,000.63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New Enterprise Associates 16, L.P.</w:t>
            </w:r>
            <w:r>
              <w:rPr>
                <w:rFonts w:ascii="Times New Roman" w:cs="Times New Roman" w:eastAsia="Times New Roman" w:hAnsi="Times New Roman"/>
                <w:sz w:val="24"/>
                <w:szCs w:val="24"/>
                <w:color w:val="auto"/>
                <w:vertAlign w:val="superscript"/>
              </w:rPr>
              <w:t>(2)</w:t>
            </w:r>
          </w:p>
        </w:tc>
        <w:tc>
          <w:tcPr>
            <w:tcW w:w="1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182,517</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6,999,962.52</w:t>
            </w: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 xml:space="preserve">Novo Holdings A/S </w:t>
            </w:r>
            <w:r>
              <w:rPr>
                <w:rFonts w:ascii="Times New Roman" w:cs="Times New Roman" w:eastAsia="Times New Roman" w:hAnsi="Times New Roman"/>
                <w:sz w:val="24"/>
                <w:szCs w:val="24"/>
                <w:color w:val="auto"/>
                <w:vertAlign w:val="superscript"/>
              </w:rPr>
              <w:t>(3)</w:t>
            </w:r>
          </w:p>
        </w:tc>
        <w:tc>
          <w:tcPr>
            <w:tcW w:w="1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260,739</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9,999,962.90</w:t>
            </w:r>
          </w:p>
        </w:tc>
        <w:tc>
          <w:tcPr>
            <w:tcW w:w="0" w:type="dxa"/>
            <w:vAlign w:val="bottom"/>
          </w:tcPr>
          <w:p>
            <w:pPr>
              <w:spacing w:after="0"/>
              <w:rPr>
                <w:sz w:val="1"/>
                <w:szCs w:val="1"/>
                <w:color w:val="auto"/>
              </w:rPr>
            </w:pPr>
          </w:p>
        </w:tc>
      </w:tr>
      <w:tr>
        <w:trPr>
          <w:trHeight w:val="34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Tempus Series G Investments, LLC</w:t>
            </w:r>
            <w:r>
              <w:rPr>
                <w:rFonts w:ascii="Times New Roman" w:cs="Times New Roman" w:eastAsia="Times New Roman" w:hAnsi="Times New Roman"/>
                <w:sz w:val="26"/>
                <w:szCs w:val="26"/>
                <w:color w:val="auto"/>
                <w:vertAlign w:val="superscript"/>
              </w:rPr>
              <w:t>(1)</w:t>
            </w:r>
          </w:p>
        </w:tc>
        <w:tc>
          <w:tcPr>
            <w:tcW w:w="1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451,378</w:t>
            </w:r>
            <w:r>
              <w:rPr>
                <w:rFonts w:ascii="Times New Roman" w:cs="Times New Roman" w:eastAsia="Times New Roman" w:hAnsi="Times New Roman"/>
                <w:sz w:val="26"/>
                <w:szCs w:val="26"/>
                <w:color w:val="auto"/>
                <w:vertAlign w:val="superscript"/>
              </w:rPr>
              <w:t>(4)</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17,311,426.08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918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9" w:lineRule="exact"/>
        <w:rPr>
          <w:sz w:val="20"/>
          <w:szCs w:val="20"/>
          <w:color w:val="auto"/>
        </w:rPr>
      </w:pPr>
    </w:p>
    <w:p>
      <w:pPr>
        <w:ind w:left="460" w:hanging="455"/>
        <w:spacing w:after="0" w:line="253"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Innovation Group Investors, L.P. – 2011 Series and Tempus Series G Investments, LLC is affiliated with and controlled by Eric Lefkofsky, our Chief Executive Officer, Founder and Chairman.</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G Investments, LLC purchased an aggregate of 451,378 shares of our Series G convertible preferred stock, of which 130,370 shares were repurchased by us in April 2020. See the section titled “—Repurchases of Equity Securities—Redemptions of Preferred Stock” below. As a result, Tempus Series G Investments, LLC currently owns 321,008 shares of our Series G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Novo Holdings A/S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Media, LLC</w:t>
            </w:r>
            <w:r>
              <w:rPr>
                <w:rFonts w:ascii="Times New Roman" w:cs="Times New Roman" w:eastAsia="Times New Roman" w:hAnsi="Times New Roman"/>
                <w:sz w:val="26"/>
                <w:szCs w:val="26"/>
                <w:color w:val="auto"/>
                <w:vertAlign w:val="superscript"/>
              </w:rPr>
              <w:t>(2)</w:t>
            </w:r>
          </w:p>
        </w:tc>
        <w:tc>
          <w:tcPr>
            <w:tcW w:w="1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130,876</w:t>
            </w:r>
            <w:r>
              <w:rPr>
                <w:rFonts w:ascii="Times New Roman" w:cs="Times New Roman" w:eastAsia="Times New Roman" w:hAnsi="Times New Roman"/>
                <w:sz w:val="26"/>
                <w:szCs w:val="26"/>
                <w:color w:val="auto"/>
                <w:vertAlign w:val="superscript"/>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April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 after June 30, 2023, 85% of the public offering price in this offering). The holders of our G-3 convertible preferred stock listed below are entitled to specified registration rights. See the section titled “Description of Capital Stock—Registration Rights” for additional information regarding these registration rights.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95"/>
        </w:trPr>
        <w:tc>
          <w:tcPr>
            <w:tcW w:w="70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8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00" w:type="dxa"/>
            <w:vAlign w:val="bottom"/>
            <w:vMerge w:val="restart"/>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48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5300" w:type="dxa"/>
            <w:vAlign w:val="bottom"/>
            <w:vMerge w:val="continue"/>
          </w:tcPr>
          <w:p>
            <w:pPr>
              <w:spacing w:after="0"/>
              <w:rPr>
                <w:sz w:val="20"/>
                <w:szCs w:val="20"/>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80" w:type="dxa"/>
            <w:vAlign w:val="bottom"/>
          </w:tcPr>
          <w:p>
            <w:pPr>
              <w:spacing w:after="0"/>
              <w:rPr>
                <w:sz w:val="20"/>
                <w:szCs w:val="20"/>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20" w:type="dxa"/>
            <w:vAlign w:val="bottom"/>
            <w:tcBorders>
              <w:top w:val="single" w:sz="8" w:color="CCEEFF"/>
            </w:tcBorders>
            <w:gridSpan w:val="3"/>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61,074</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3,499,961.61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$0.9 million remains to be amortized. We currently sublease a portion of this office space to Lightbank LLC, Lefkofsky Family Foundation and 346 Investment Partners, each an entity affiliated with and controlled by Mr. Lefkofsky, on a month-to-month basis. As of September 30, 2022, we have received an aggregate of $0.6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September 30, 2022,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August 2021, we entered into a master agreement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3"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written notice to the other party. In March 2022, Pathos paid us its first annual subscription fee of $0.4 million. As of the date of this prospectus, we have not exercised the warrant to purchase shares of Pathos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will run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will provide services to help Pathos use our de-identified data to answer research and development questions posed by Pathos. Under the program, we will initially provide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will increase proportionally.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6"/>
          <w:szCs w:val="16"/>
          <w:b w:val="1"/>
          <w:bCs w:val="1"/>
          <w:color w:val="auto"/>
        </w:rPr>
        <w:t>Repurchases of Equity Securities</w:t>
      </w:r>
    </w:p>
    <w:p>
      <w:pPr>
        <w:spacing w:after="0" w:line="129"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RSUs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In September 2019, we entered into a redemption agreement with Ryan Fukushima, our Chief Operating Officer. Pursuant to the redemption agreement, we repurchased 100,000 vested RSUs from Mr. Fukushima at a purchase price of $9.64 per RSU, for an aggregate repurchase price of approximately $1.0 million.</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we repurchased an aggregate of 190,639 shares of voting common stock from the Lefkofsky Family Foundation, an organization affiliated with Eric Lefkofsky, for a total purchase price of approximately $7.3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from April 2019 to January 2021, we repurchased an aggregate of 3,493,205 shares of various series of convertible preferred stock from entities affiliated with and controlled by Eric Lefkofsky at the original issue price for a total purchase price of approximately $56.5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September 30, 2022 by:</w:t>
      </w:r>
    </w:p>
    <w:p>
      <w:pPr>
        <w:spacing w:after="0" w:line="121" w:lineRule="exact"/>
        <w:rPr>
          <w:sz w:val="20"/>
          <w:szCs w:val="20"/>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shares of Class A common stock and 5,374,899 shares of Class B common stock outstanding as of September 30, 2022, after giving effect to the Series G-3 Financing and assuming the automatic conversion of all outstanding shares of</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redeemable convertible preferred stock, other than our Series B preferred stock, into shares of Class A common stock, assuming an initial public offering price of $ per share, the midpoint of the estimated price range set forth on the cover page of this prospectus, the issuance of Additional</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Class A Conversion Shares assuming an initial public offering price of $ per share, the midpoint of the estimated price range set forth on the cover page of this prospectus, the conversion of all outstanding shares of our Series B convertible preferred stock into 5,374,899 shares of Class B common stock, and the automatic conversion of all outstanding shares of our nonvoting common stock into 4,612,450 shares of Class A common stock, each of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Applicable percentage ownership after this offering assumes that the underwriters’ option to purchase additional shares to cover over-allotments, if any,</w:t>
      </w:r>
    </w:p>
    <w:p>
      <w:pPr>
        <w:spacing w:after="0" w:line="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from the selling stockholders is not exercised is based on (1) shares of Class A common stock and (2) 5,374,899 shares of Class B common stock outstanding immediately after the closing of this offering. Applicable percentage ownership after this offering if the underwriters’ option to purchase additional</w:t>
      </w:r>
    </w:p>
    <w:p>
      <w:pPr>
        <w:jc w:val="both"/>
        <w:spacing w:after="0" w:line="244" w:lineRule="auto"/>
        <w:rPr>
          <w:sz w:val="20"/>
          <w:szCs w:val="20"/>
          <w:color w:val="auto"/>
        </w:rPr>
      </w:pPr>
      <w:r>
        <w:rPr>
          <w:rFonts w:ascii="Times New Roman" w:cs="Times New Roman" w:eastAsia="Times New Roman" w:hAnsi="Times New Roman"/>
          <w:sz w:val="18"/>
          <w:szCs w:val="18"/>
          <w:color w:val="auto"/>
        </w:rPr>
        <w:t>shares to cover over-allotments, if any, from the selling stockholders is exercised in full is based on (1) shares of Class A common stock and (2) 5,374,899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September 30, 2022. However, except as described above, we did not deem such shares outstanding for the purpose of computing the percentage ownership of any other person.</w:t>
      </w:r>
    </w:p>
    <w:p>
      <w:pPr>
        <w:spacing w:after="0" w:line="19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Labs, Inc., 600 West Chicago Avenue, Suite 510 Chicago, Illinois 60654.</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ectPr>
          <w:pgSz w:w="11900" w:h="16838" w:orient="portrait"/>
          <w:cols w:equalWidth="0" w:num="1">
            <w:col w:w="11340"/>
          </w:cols>
          <w:pgMar w:left="320" w:top="448" w:right="239" w:bottom="1440" w:gutter="0" w:footer="0" w:header="0"/>
        </w:sectPr>
      </w:pP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272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Beneficial Ownership</w:t>
            </w:r>
          </w:p>
        </w:tc>
        <w:tc>
          <w:tcPr>
            <w:tcW w:w="1860" w:type="dxa"/>
            <w:vAlign w:val="bottom"/>
            <w:gridSpan w:val="4"/>
          </w:tcPr>
          <w:p>
            <w:pPr>
              <w:jc w:val="center"/>
              <w:ind w:left="570"/>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2720" w:type="dxa"/>
            <w:vAlign w:val="bottom"/>
            <w:gridSpan w:val="6"/>
            <w:vMerge w:val="continue"/>
          </w:tcPr>
          <w:p>
            <w:pPr>
              <w:spacing w:after="0"/>
              <w:rPr>
                <w:sz w:val="12"/>
                <w:szCs w:val="12"/>
                <w:color w:val="auto"/>
              </w:rPr>
            </w:pPr>
          </w:p>
        </w:tc>
        <w:tc>
          <w:tcPr>
            <w:tcW w:w="252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 Not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6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5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 the Offering</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660" w:type="dxa"/>
            <w:vAlign w:val="bottom"/>
            <w:tcBorders>
              <w:bottom w:val="single" w:sz="8" w:color="auto"/>
            </w:tcBorders>
          </w:tcPr>
          <w:p>
            <w:pPr>
              <w:spacing w:after="0"/>
              <w:rPr>
                <w:sz w:val="14"/>
                <w:szCs w:val="14"/>
                <w:color w:val="auto"/>
              </w:rPr>
            </w:pPr>
          </w:p>
        </w:tc>
        <w:tc>
          <w:tcPr>
            <w:tcW w:w="900" w:type="dxa"/>
            <w:vAlign w:val="bottom"/>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9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900" w:type="dxa"/>
            <w:vAlign w:val="bottom"/>
          </w:tcPr>
          <w:p>
            <w:pPr>
              <w:jc w:val="center"/>
              <w:ind w:left="132"/>
              <w:spacing w:after="0" w:line="125"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9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00" w:type="dxa"/>
            <w:vAlign w:val="bottom"/>
          </w:tcPr>
          <w:p>
            <w:pPr>
              <w:jc w:val="center"/>
              <w:ind w:left="132"/>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0" w:type="dxa"/>
            <w:vAlign w:val="bottom"/>
          </w:tcPr>
          <w:p>
            <w:pPr>
              <w:spacing w:after="0"/>
              <w:rPr>
                <w:sz w:val="1"/>
                <w:szCs w:val="1"/>
                <w:color w:val="auto"/>
              </w:rPr>
            </w:pPr>
          </w:p>
        </w:tc>
      </w:tr>
      <w:tr>
        <w:trPr>
          <w:trHeight w:val="158"/>
        </w:trPr>
        <w:tc>
          <w:tcPr>
            <w:tcW w:w="1860" w:type="dxa"/>
            <w:vAlign w:val="bottom"/>
            <w:vMerge w:val="restart"/>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w w:val="99"/>
              </w:rPr>
              <w:t>Name of Beneficial</w:t>
            </w: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86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900" w:type="dxa"/>
            <w:vAlign w:val="bottom"/>
          </w:tcPr>
          <w:p>
            <w:pPr>
              <w:jc w:val="center"/>
              <w:ind w:left="132"/>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0" w:type="dxa"/>
            <w:vAlign w:val="bottom"/>
          </w:tcPr>
          <w:p>
            <w:pPr>
              <w:spacing w:after="0"/>
              <w:rPr>
                <w:sz w:val="1"/>
                <w:szCs w:val="1"/>
                <w:color w:val="auto"/>
              </w:rPr>
            </w:pPr>
          </w:p>
        </w:tc>
      </w:tr>
      <w:tr>
        <w:trPr>
          <w:trHeight w:val="111"/>
        </w:trPr>
        <w:tc>
          <w:tcPr>
            <w:tcW w:w="1860" w:type="dxa"/>
            <w:vAlign w:val="bottom"/>
            <w:vMerge w:val="continue"/>
          </w:tcPr>
          <w:p>
            <w:pPr>
              <w:spacing w:after="0"/>
              <w:rPr>
                <w:sz w:val="9"/>
                <w:szCs w:val="9"/>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86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Before the</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Shares   %</w:t>
            </w:r>
          </w:p>
        </w:tc>
        <w:tc>
          <w:tcPr>
            <w:tcW w:w="66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900" w:type="dxa"/>
            <w:vAlign w:val="bottom"/>
          </w:tcPr>
          <w:p>
            <w:pPr>
              <w:jc w:val="center"/>
              <w:ind w:left="132"/>
              <w:spacing w:after="0" w:line="111" w:lineRule="exact"/>
              <w:rPr>
                <w:sz w:val="20"/>
                <w:szCs w:val="20"/>
                <w:color w:val="auto"/>
              </w:rPr>
            </w:pPr>
            <w:r>
              <w:rPr>
                <w:rFonts w:ascii="Times New Roman" w:cs="Times New Roman" w:eastAsia="Times New Roman" w:hAnsi="Times New Roman"/>
                <w:sz w:val="12"/>
                <w:szCs w:val="12"/>
                <w:b w:val="1"/>
                <w:bCs w:val="1"/>
                <w:color w:val="auto"/>
              </w:rPr>
              <w:t>Stock Being</w:t>
            </w:r>
          </w:p>
        </w:tc>
        <w:tc>
          <w:tcPr>
            <w:tcW w:w="0" w:type="dxa"/>
            <w:vAlign w:val="bottom"/>
          </w:tcPr>
          <w:p>
            <w:pPr>
              <w:spacing w:after="0"/>
              <w:rPr>
                <w:sz w:val="1"/>
                <w:szCs w:val="1"/>
                <w:color w:val="auto"/>
              </w:rPr>
            </w:pPr>
          </w:p>
        </w:tc>
      </w:tr>
      <w:tr>
        <w:trPr>
          <w:trHeight w:val="177"/>
        </w:trPr>
        <w:tc>
          <w:tcPr>
            <w:tcW w:w="1860" w:type="dxa"/>
            <w:vAlign w:val="bottom"/>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w w:val="96"/>
              </w:rPr>
              <w:t>Owner</w:t>
            </w: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900" w:type="dxa"/>
            <w:vAlign w:val="bottom"/>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97725" cy="1003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7725" cy="10033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15" w:lineRule="auto"/>
        <w:rPr>
          <w:sz w:val="20"/>
          <w:szCs w:val="20"/>
          <w:color w:val="auto"/>
        </w:rPr>
      </w:pPr>
      <w:r>
        <w:rPr>
          <w:rFonts w:ascii="Times New Roman" w:cs="Times New Roman" w:eastAsia="Times New Roman" w:hAnsi="Times New Roman"/>
          <w:sz w:val="14"/>
          <w:szCs w:val="14"/>
          <w:color w:val="auto"/>
        </w:rPr>
        <w:t>Eric Lefkofsky</w:t>
      </w:r>
      <w:r>
        <w:rPr>
          <w:rFonts w:ascii="Times New Roman" w:cs="Times New Roman" w:eastAsia="Times New Roman" w:hAnsi="Times New Roman"/>
          <w:sz w:val="10"/>
          <w:szCs w:val="10"/>
          <w:color w:val="auto"/>
        </w:rPr>
        <w:t>(1)</w:t>
      </w:r>
    </w:p>
    <w:p>
      <w:pPr>
        <w:spacing w:after="0" w:line="215" w:lineRule="auto"/>
        <w:rPr>
          <w:sz w:val="20"/>
          <w:szCs w:val="20"/>
          <w:color w:val="auto"/>
        </w:rPr>
      </w:pPr>
      <w:r>
        <w:rPr>
          <w:rFonts w:ascii="Times New Roman" w:cs="Times New Roman" w:eastAsia="Times New Roman" w:hAnsi="Times New Roman"/>
          <w:sz w:val="14"/>
          <w:szCs w:val="14"/>
          <w:color w:val="auto"/>
        </w:rPr>
        <w:t>Keeks, LLC</w:t>
      </w: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97725" cy="914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b w:val="1"/>
          <w:bCs w:val="1"/>
          <w:color w:val="auto"/>
        </w:rPr>
        <w:t>Other Directors and Named</w:t>
      </w:r>
    </w:p>
    <w:p>
      <w:pPr>
        <w:ind w:left="140"/>
        <w:spacing w:after="0" w:line="215" w:lineRule="auto"/>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215" w:lineRule="auto"/>
        <w:rPr>
          <w:sz w:val="20"/>
          <w:szCs w:val="20"/>
          <w:color w:val="auto"/>
        </w:rPr>
      </w:pPr>
      <w:r>
        <w:rPr>
          <w:rFonts w:ascii="Times New Roman" w:cs="Times New Roman" w:eastAsia="Times New Roman" w:hAnsi="Times New Roman"/>
          <w:sz w:val="14"/>
          <w:szCs w:val="14"/>
          <w:color w:val="auto"/>
        </w:rPr>
        <w:t>Erik Phelps</w:t>
      </w: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97725" cy="914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color w:val="auto"/>
        </w:rPr>
        <w:t>Vanessa Rollings</w:t>
      </w:r>
      <w:r>
        <w:rPr>
          <w:rFonts w:ascii="Times New Roman" w:cs="Times New Roman" w:eastAsia="Times New Roman" w:hAnsi="Times New Roman"/>
          <w:sz w:val="10"/>
          <w:szCs w:val="10"/>
          <w:color w:val="auto"/>
        </w:rPr>
        <w:t>(4)</w:t>
      </w:r>
    </w:p>
    <w:p>
      <w:pPr>
        <w:spacing w:after="0" w:line="215" w:lineRule="auto"/>
        <w:rPr>
          <w:sz w:val="20"/>
          <w:szCs w:val="20"/>
          <w:color w:val="auto"/>
        </w:rPr>
      </w:pPr>
      <w:r>
        <w:rPr>
          <w:rFonts w:ascii="Times New Roman" w:cs="Times New Roman" w:eastAsia="Times New Roman" w:hAnsi="Times New Roman"/>
          <w:sz w:val="14"/>
          <w:szCs w:val="14"/>
          <w:color w:val="auto"/>
        </w:rPr>
        <w:t>Peter J. Barris</w:t>
      </w: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914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4"/>
          <w:szCs w:val="14"/>
          <w:color w:val="auto"/>
        </w:rPr>
        <w:t>Eric D. Belcher</w:t>
      </w:r>
    </w:p>
    <w:p>
      <w:pPr>
        <w:spacing w:after="0" w:line="215" w:lineRule="auto"/>
        <w:rPr>
          <w:sz w:val="20"/>
          <w:szCs w:val="20"/>
          <w:color w:val="auto"/>
        </w:rPr>
      </w:pPr>
      <w:r>
        <w:rPr>
          <w:rFonts w:ascii="Times New Roman" w:cs="Times New Roman" w:eastAsia="Times New Roman" w:hAnsi="Times New Roman"/>
          <w:sz w:val="14"/>
          <w:szCs w:val="14"/>
          <w:color w:val="auto"/>
        </w:rPr>
        <w:t>Jennifer A. Doudna, Ph.D.</w:t>
      </w: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97725" cy="914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color w:val="auto"/>
        </w:rPr>
        <w:t>Wayne A.I. Frederick, M.D.</w:t>
      </w:r>
      <w:r>
        <w:rPr>
          <w:rFonts w:ascii="Times New Roman" w:cs="Times New Roman" w:eastAsia="Times New Roman" w:hAnsi="Times New Roman"/>
          <w:sz w:val="10"/>
          <w:szCs w:val="10"/>
          <w:color w:val="auto"/>
        </w:rPr>
        <w:t>(7)</w:t>
      </w:r>
    </w:p>
    <w:p>
      <w:pPr>
        <w:spacing w:after="0" w:line="215" w:lineRule="auto"/>
        <w:rPr>
          <w:sz w:val="20"/>
          <w:szCs w:val="20"/>
          <w:color w:val="auto"/>
        </w:rPr>
      </w:pPr>
      <w:r>
        <w:rPr>
          <w:rFonts w:ascii="Times New Roman" w:cs="Times New Roman" w:eastAsia="Times New Roman" w:hAnsi="Times New Roman"/>
          <w:sz w:val="14"/>
          <w:szCs w:val="14"/>
          <w:color w:val="auto"/>
        </w:rPr>
        <w:t>Robert Ghenchev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914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4"/>
          <w:szCs w:val="14"/>
          <w:color w:val="auto"/>
        </w:rPr>
        <w:t>Scott Gottlieb, M.D.</w:t>
      </w:r>
      <w:r>
        <w:rPr>
          <w:rFonts w:ascii="Times New Roman" w:cs="Times New Roman" w:eastAsia="Times New Roman" w:hAnsi="Times New Roman"/>
          <w:sz w:val="10"/>
          <w:szCs w:val="10"/>
          <w:color w:val="auto"/>
        </w:rPr>
        <w:t>(8)</w:t>
      </w:r>
    </w:p>
    <w:p>
      <w:pPr>
        <w:spacing w:after="0" w:line="216" w:lineRule="auto"/>
        <w:rPr>
          <w:sz w:val="20"/>
          <w:szCs w:val="20"/>
          <w:color w:val="auto"/>
        </w:rPr>
      </w:pPr>
      <w:r>
        <w:rPr>
          <w:rFonts w:ascii="Times New Roman" w:cs="Times New Roman" w:eastAsia="Times New Roman" w:hAnsi="Times New Roman"/>
          <w:sz w:val="14"/>
          <w:szCs w:val="14"/>
          <w:color w:val="auto"/>
        </w:rPr>
        <w:t>Theodore J. Leonsis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914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Nadja West, M.D.</w:t>
      </w:r>
      <w:r>
        <w:rPr>
          <w:rFonts w:ascii="Times New Roman" w:cs="Times New Roman" w:eastAsia="Times New Roman" w:hAnsi="Times New Roman"/>
          <w:sz w:val="10"/>
          <w:szCs w:val="10"/>
          <w:color w:val="auto"/>
        </w:rPr>
        <w:t>(9)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directors and executive officers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97725" cy="1835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7725" cy="183515"/>
                    </a:xfrm>
                    <a:prstGeom prst="rect">
                      <a:avLst/>
                    </a:prstGeom>
                    <a:noFill/>
                  </pic:spPr>
                </pic:pic>
              </a:graphicData>
            </a:graphic>
          </wp:anchor>
        </w:drawing>
      </w:r>
    </w:p>
    <w:p>
      <w:pPr>
        <w:ind w:left="140"/>
        <w:spacing w:after="0" w:line="215" w:lineRule="auto"/>
        <w:rPr>
          <w:sz w:val="20"/>
          <w:szCs w:val="20"/>
          <w:color w:val="auto"/>
        </w:rPr>
      </w:pPr>
      <w:r>
        <w:rPr>
          <w:rFonts w:ascii="Times New Roman" w:cs="Times New Roman" w:eastAsia="Times New Roman" w:hAnsi="Times New Roman"/>
          <w:sz w:val="14"/>
          <w:szCs w:val="14"/>
          <w:color w:val="auto"/>
        </w:rPr>
        <w:t>group (12 persons)</w:t>
      </w:r>
      <w:r>
        <w:rPr>
          <w:rFonts w:ascii="Times New Roman" w:cs="Times New Roman" w:eastAsia="Times New Roman" w:hAnsi="Times New Roman"/>
          <w:sz w:val="10"/>
          <w:szCs w:val="10"/>
          <w:color w:val="auto"/>
        </w:rPr>
        <w:t>(10)</w:t>
      </w:r>
    </w:p>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918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4" w:lineRule="exact"/>
        <w:rPr>
          <w:sz w:val="20"/>
          <w:szCs w:val="20"/>
          <w:color w:val="auto"/>
        </w:rPr>
      </w:pPr>
    </w:p>
    <w:p>
      <w:pPr>
        <w:ind w:left="460" w:hanging="455"/>
        <w:spacing w:after="0"/>
        <w:tabs>
          <w:tab w:leader="none" w:pos="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left="540" w:right="40"/>
        <w:spacing w:after="0" w:line="224" w:lineRule="auto"/>
        <w:rPr>
          <w:sz w:val="20"/>
          <w:szCs w:val="20"/>
          <w:color w:val="auto"/>
        </w:rPr>
      </w:pPr>
      <w:r>
        <w:rPr>
          <w:rFonts w:ascii="Times New Roman" w:cs="Times New Roman" w:eastAsia="Times New Roman" w:hAnsi="Times New Roman"/>
          <w:sz w:val="14"/>
          <w:szCs w:val="14"/>
          <w:b w:val="1"/>
          <w:bCs w:val="1"/>
          <w:color w:val="auto"/>
        </w:rPr>
        <w:t>Beneficial Ownership After the Offering if Underwriters’ Option is Exercised in Full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60" w:type="dxa"/>
            <w:vAlign w:val="bottom"/>
            <w:tcBorders>
              <w:top w:val="single" w:sz="8" w:color="auto"/>
            </w:tcBorders>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740" w:type="dxa"/>
            <w:vAlign w:val="bottom"/>
            <w:tcBorders>
              <w:top w:val="single" w:sz="8" w:color="auto"/>
            </w:tcBorders>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44"/>
        </w:trPr>
        <w:tc>
          <w:tcPr>
            <w:tcW w:w="96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20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158"/>
        </w:trPr>
        <w:tc>
          <w:tcPr>
            <w:tcW w:w="76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13"/>
        </w:trPr>
        <w:tc>
          <w:tcPr>
            <w:tcW w:w="9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20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0" w:type="dxa"/>
            <w:vAlign w:val="bottom"/>
          </w:tcPr>
          <w:p>
            <w:pPr>
              <w:spacing w:after="0"/>
              <w:rPr>
                <w:sz w:val="1"/>
                <w:szCs w:val="1"/>
                <w:color w:val="auto"/>
              </w:rPr>
            </w:pPr>
          </w:p>
        </w:tc>
      </w:tr>
      <w:tr>
        <w:trPr>
          <w:trHeight w:val="169"/>
        </w:trPr>
        <w:tc>
          <w:tcPr>
            <w:tcW w:w="960" w:type="dxa"/>
            <w:vAlign w:val="bottom"/>
            <w:gridSpan w:val="4"/>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0" w:lineRule="exact"/>
        <w:rPr>
          <w:sz w:val="20"/>
          <w:szCs w:val="20"/>
          <w:color w:val="auto"/>
        </w:rPr>
      </w:pPr>
    </w:p>
    <w:p>
      <w:pPr>
        <w:sectPr>
          <w:pgSz w:w="11900" w:h="16838" w:orient="portrait"/>
          <w:cols w:equalWidth="0" w:num="2">
            <w:col w:w="8580" w:space="200"/>
            <w:col w:w="2560"/>
          </w:cols>
          <w:pgMar w:left="320" w:top="448" w:right="239" w:bottom="1440" w:gutter="0" w:footer="0" w:header="0"/>
          <w:type w:val="continuous"/>
        </w:sectPr>
      </w:pPr>
    </w:p>
    <w:p>
      <w:pPr>
        <w:ind w:left="460" w:hanging="455"/>
        <w:spacing w:after="0" w:line="215"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w:t>
      </w:r>
    </w:p>
    <w:tbl>
      <w:tblPr>
        <w:tblLayout w:type="fixed"/>
        <w:tblInd w:w="0" w:type="dxa"/>
        <w:tblCellMar>
          <w:top w:w="0" w:type="dxa"/>
          <w:left w:w="0" w:type="dxa"/>
          <w:bottom w:w="0" w:type="dxa"/>
          <w:right w:w="0" w:type="dxa"/>
        </w:tblCellMar>
      </w:tblPr>
      <w:tr>
        <w:trPr>
          <w:trHeight w:val="129"/>
        </w:trPr>
        <w:tc>
          <w:tcPr>
            <w:tcW w:w="3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rPr>
              <w:t>entitled to</w:t>
            </w:r>
          </w:p>
        </w:tc>
        <w:tc>
          <w:tcPr>
            <w:tcW w:w="180" w:type="dxa"/>
            <w:vAlign w:val="bottom"/>
          </w:tcPr>
          <w:p>
            <w:pPr>
              <w:spacing w:after="0"/>
              <w:rPr>
                <w:sz w:val="11"/>
                <w:szCs w:val="11"/>
                <w:color w:val="auto"/>
              </w:rPr>
            </w:pPr>
          </w:p>
        </w:tc>
        <w:tc>
          <w:tcPr>
            <w:tcW w:w="1006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color w:val="auto"/>
              </w:rPr>
              <w:t>votes per share, and holders of our Class A common stock are entitled to one vote per share. See the section titled “Description of Capital Stock—Class A Common Stock and</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(1)</w:t>
            </w:r>
          </w:p>
        </w:tc>
        <w:tc>
          <w:tcPr>
            <w:tcW w:w="7160" w:type="dxa"/>
            <w:vAlign w:val="bottom"/>
            <w:gridSpan w:val="8"/>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for additional information about the voting rights of our Class A and Class B common stock.</w:t>
            </w:r>
          </w:p>
        </w:tc>
        <w:tc>
          <w:tcPr>
            <w:tcW w:w="3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Gray Media, LLC,</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264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Prior to this offering, consists of (a)</w:t>
            </w:r>
          </w:p>
        </w:tc>
        <w:tc>
          <w:tcPr>
            <w:tcW w:w="4520" w:type="dxa"/>
            <w:vAlign w:val="bottom"/>
            <w:gridSpan w:val="5"/>
          </w:tcPr>
          <w:p>
            <w:pPr>
              <w:ind w:left="4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(b)</w:t>
            </w:r>
          </w:p>
        </w:tc>
        <w:tc>
          <w:tcPr>
            <w:tcW w:w="3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w:t>
            </w:r>
          </w:p>
        </w:tc>
        <w:tc>
          <w:tcPr>
            <w:tcW w:w="5220" w:type="dxa"/>
            <w:vAlign w:val="bottom"/>
            <w:gridSpan w:val="6"/>
          </w:tcPr>
          <w:p>
            <w:pPr>
              <w:jc w:val="center"/>
              <w:ind w:right="3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Series 3, (d)</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 Series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1B, (e)</w:t>
            </w:r>
          </w:p>
        </w:tc>
        <w:tc>
          <w:tcPr>
            <w:tcW w:w="180" w:type="dxa"/>
            <w:vAlign w:val="bottom"/>
          </w:tcPr>
          <w:p>
            <w:pPr>
              <w:spacing w:after="0"/>
              <w:rPr>
                <w:sz w:val="12"/>
                <w:szCs w:val="12"/>
                <w:color w:val="auto"/>
              </w:rPr>
            </w:pPr>
          </w:p>
        </w:tc>
        <w:tc>
          <w:tcPr>
            <w:tcW w:w="5040" w:type="dxa"/>
            <w:vAlign w:val="bottom"/>
            <w:gridSpan w:val="5"/>
          </w:tcPr>
          <w:p>
            <w:pPr>
              <w:ind w:left="34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(f)</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A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w:t>
            </w:r>
          </w:p>
        </w:tc>
        <w:tc>
          <w:tcPr>
            <w:tcW w:w="180" w:type="dxa"/>
            <w:vAlign w:val="bottom"/>
          </w:tcPr>
          <w:p>
            <w:pPr>
              <w:spacing w:after="0"/>
              <w:rPr>
                <w:sz w:val="12"/>
                <w:szCs w:val="12"/>
                <w:color w:val="auto"/>
              </w:rPr>
            </w:pPr>
          </w:p>
        </w:tc>
        <w:tc>
          <w:tcPr>
            <w:tcW w:w="4800" w:type="dxa"/>
            <w:vAlign w:val="bottom"/>
            <w:gridSpan w:val="4"/>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B common stock held by Tempus Series B Investments, LLC, (h)</w:t>
            </w:r>
          </w:p>
        </w:tc>
        <w:tc>
          <w:tcPr>
            <w:tcW w:w="240" w:type="dxa"/>
            <w:vAlign w:val="bottom"/>
          </w:tcPr>
          <w:p>
            <w:pPr>
              <w:spacing w:after="0"/>
              <w:rPr>
                <w:sz w:val="12"/>
                <w:szCs w:val="12"/>
                <w:color w:val="auto"/>
              </w:rPr>
            </w:pP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B-1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(i)</w:t>
            </w:r>
          </w:p>
        </w:tc>
        <w:tc>
          <w:tcPr>
            <w:tcW w:w="180" w:type="dxa"/>
            <w:vAlign w:val="bottom"/>
          </w:tcPr>
          <w:p>
            <w:pPr>
              <w:spacing w:after="0"/>
              <w:rPr>
                <w:sz w:val="12"/>
                <w:szCs w:val="12"/>
                <w:color w:val="auto"/>
              </w:rPr>
            </w:pPr>
          </w:p>
        </w:tc>
        <w:tc>
          <w:tcPr>
            <w:tcW w:w="504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B-2 Investments, LLC, (j)</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C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(k)</w:t>
            </w:r>
          </w:p>
        </w:tc>
        <w:tc>
          <w:tcPr>
            <w:tcW w:w="180" w:type="dxa"/>
            <w:vAlign w:val="bottom"/>
          </w:tcPr>
          <w:p>
            <w:pPr>
              <w:spacing w:after="0"/>
              <w:rPr>
                <w:sz w:val="12"/>
                <w:szCs w:val="12"/>
                <w:color w:val="auto"/>
              </w:rPr>
            </w:pPr>
          </w:p>
        </w:tc>
        <w:tc>
          <w:tcPr>
            <w:tcW w:w="48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D Investments, LLC, (l)</w:t>
            </w:r>
          </w:p>
        </w:tc>
        <w:tc>
          <w:tcPr>
            <w:tcW w:w="240" w:type="dxa"/>
            <w:vAlign w:val="bottom"/>
          </w:tcPr>
          <w:p>
            <w:pPr>
              <w:spacing w:after="0"/>
              <w:rPr>
                <w:sz w:val="12"/>
                <w:szCs w:val="12"/>
                <w:color w:val="auto"/>
              </w:rPr>
            </w:pP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E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(m)</w:t>
            </w:r>
          </w:p>
        </w:tc>
        <w:tc>
          <w:tcPr>
            <w:tcW w:w="180" w:type="dxa"/>
            <w:vAlign w:val="bottom"/>
          </w:tcPr>
          <w:p>
            <w:pPr>
              <w:spacing w:after="0"/>
              <w:rPr>
                <w:sz w:val="12"/>
                <w:szCs w:val="12"/>
                <w:color w:val="auto"/>
              </w:rPr>
            </w:pPr>
          </w:p>
        </w:tc>
        <w:tc>
          <w:tcPr>
            <w:tcW w:w="504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F Investments, LLC, and (n)</w:t>
            </w: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G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Concurrently with, and contingent upon, the effectiveness of the registration statement of which this prospectus forms a part, shares of Class A common stock held by each of Tempus Series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B-1 Investments, LLC, Tempus Series B-2 Investments, LLC, Tempus Series C Investments, LLC, Tempus Series D Investments, LLC, Tempus Series 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F Investments, LLC and Tempus Series G Investments, LLC will be distributed pro rata to the members of each entity. Following the distributions, no other</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stockholder will be a beneficial owner of more than 5% of the company’s common stock. Mr. Lefkofsky’s beneficial ownership after the offering gives effect to the foregoing distributions, and</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9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consists of (i)</w:t>
            </w:r>
          </w:p>
        </w:tc>
        <w:tc>
          <w:tcPr>
            <w:tcW w:w="480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(ii)</w:t>
            </w:r>
          </w:p>
        </w:tc>
        <w:tc>
          <w:tcPr>
            <w:tcW w:w="37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Gray Media, LLC, (iii)</w:t>
            </w:r>
          </w:p>
        </w:tc>
        <w:tc>
          <w:tcPr>
            <w:tcW w:w="560" w:type="dxa"/>
            <w:vAlign w:val="bottom"/>
          </w:tcPr>
          <w:p>
            <w:pPr>
              <w:spacing w:after="0"/>
              <w:rPr>
                <w:sz w:val="12"/>
                <w:szCs w:val="12"/>
                <w:color w:val="auto"/>
              </w:rPr>
            </w:pP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w w:val="99"/>
              </w:rPr>
              <w:t>common stock held by Innovation Group Investors, L.P. - Series 1B, (iv)</w:t>
            </w:r>
          </w:p>
        </w:tc>
        <w:tc>
          <w:tcPr>
            <w:tcW w:w="320" w:type="dxa"/>
            <w:vAlign w:val="bottom"/>
          </w:tcPr>
          <w:p>
            <w:pPr>
              <w:spacing w:after="0"/>
              <w:rPr>
                <w:sz w:val="12"/>
                <w:szCs w:val="12"/>
                <w:color w:val="auto"/>
              </w:rPr>
            </w:pPr>
          </w:p>
        </w:tc>
        <w:tc>
          <w:tcPr>
            <w:tcW w:w="5460" w:type="dxa"/>
            <w:vAlign w:val="bottom"/>
            <w:gridSpan w:val="5"/>
          </w:tcPr>
          <w:p>
            <w:pPr>
              <w:ind w:left="28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- 2011 Series, (v)</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rPr>
              <w:t>of Class A common stock held by Lightbank Global LLC, (vi)</w:t>
            </w:r>
          </w:p>
        </w:tc>
        <w:tc>
          <w:tcPr>
            <w:tcW w:w="5220" w:type="dxa"/>
            <w:vAlign w:val="bottom"/>
            <w:gridSpan w:val="5"/>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and (vii)</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B common</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held by Tempus Series B Investments, LLC. Mr. Lefkofsky is the controlling member of, and may be deemed to have shared voting, investment and dispositive power with respect to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shares held by, the aforementioned entities. On the date that is 181 days following the effective date of the registration statement of which this prospectus forms a part, Blue Media LLC,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580" w:type="dxa"/>
            <w:vAlign w:val="bottom"/>
            <w:gridSpan w:val="5"/>
          </w:tcPr>
          <w:p>
            <w:pPr>
              <w:ind w:left="160"/>
              <w:spacing w:after="0" w:line="145" w:lineRule="exact"/>
              <w:rPr>
                <w:sz w:val="20"/>
                <w:szCs w:val="20"/>
                <w:color w:val="auto"/>
              </w:rPr>
            </w:pPr>
            <w:r>
              <w:rPr>
                <w:rFonts w:ascii="Times New Roman" w:cs="Times New Roman" w:eastAsia="Times New Roman" w:hAnsi="Times New Roman"/>
                <w:sz w:val="14"/>
                <w:szCs w:val="14"/>
                <w:color w:val="auto"/>
              </w:rPr>
              <w:t>controlling member of Tempus Series B Investments, LLC, will exchange</w:t>
            </w:r>
          </w:p>
        </w:tc>
        <w:tc>
          <w:tcPr>
            <w:tcW w:w="64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for all interests in Tempus Series B Investments, LLC such that following</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0040" w:type="dxa"/>
            <w:vAlign w:val="bottom"/>
            <w:gridSpan w:val="10"/>
          </w:tcPr>
          <w:p>
            <w:pPr>
              <w:ind w:left="160"/>
              <w:spacing w:after="0" w:line="145" w:lineRule="exact"/>
              <w:rPr>
                <w:sz w:val="20"/>
                <w:szCs w:val="20"/>
                <w:color w:val="auto"/>
              </w:rPr>
            </w:pPr>
            <w:r>
              <w:rPr>
                <w:rFonts w:ascii="Times New Roman" w:cs="Times New Roman" w:eastAsia="Times New Roman" w:hAnsi="Times New Roman"/>
                <w:sz w:val="14"/>
                <w:szCs w:val="14"/>
                <w:color w:val="auto"/>
              </w:rPr>
              <w:t>the exchange, Mr. Lefkofsky will continue be the controlling member of, and may be deemed to have shared voting, investment and dispositive power with respect to the</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5780" w:type="dxa"/>
            <w:vAlign w:val="bottom"/>
            <w:gridSpan w:val="6"/>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held by, Tempus Series B Investments, LLC. Mr. Lefkofsky also holds</w:t>
            </w:r>
          </w:p>
        </w:tc>
        <w:tc>
          <w:tcPr>
            <w:tcW w:w="240" w:type="dxa"/>
            <w:vAlign w:val="bottom"/>
          </w:tcPr>
          <w:p>
            <w:pPr>
              <w:spacing w:after="0"/>
              <w:rPr>
                <w:sz w:val="12"/>
                <w:szCs w:val="12"/>
                <w:color w:val="auto"/>
              </w:rPr>
            </w:pPr>
          </w:p>
        </w:tc>
        <w:tc>
          <w:tcPr>
            <w:tcW w:w="50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RSUs,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(2)</w:t>
            </w: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1840" w:type="dxa"/>
            <w:vAlign w:val="bottom"/>
            <w:gridSpan w:val="2"/>
          </w:tcPr>
          <w:p>
            <w:pPr>
              <w:jc w:val="right"/>
              <w:ind w:right="1350"/>
              <w:spacing w:after="0" w:line="145" w:lineRule="exact"/>
              <w:rPr>
                <w:sz w:val="20"/>
                <w:szCs w:val="20"/>
                <w:color w:val="auto"/>
              </w:rPr>
            </w:pPr>
            <w:r>
              <w:rPr>
                <w:rFonts w:ascii="Times New Roman" w:cs="Times New Roman" w:eastAsia="Times New Roman" w:hAnsi="Times New Roman"/>
                <w:sz w:val="14"/>
                <w:szCs w:val="14"/>
                <w:color w:val="auto"/>
              </w:rPr>
              <w:t>, 2021.</w:t>
            </w: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 w:type="dxa"/>
            <w:vAlign w:val="bottom"/>
            <w:vMerge w:val="continue"/>
          </w:tcPr>
          <w:p>
            <w:pPr>
              <w:spacing w:after="0"/>
              <w:rPr>
                <w:sz w:val="13"/>
                <w:szCs w:val="1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Represents</w:t>
            </w:r>
          </w:p>
        </w:tc>
        <w:tc>
          <w:tcPr>
            <w:tcW w:w="180" w:type="dxa"/>
            <w:vAlign w:val="bottom"/>
          </w:tcPr>
          <w:p>
            <w:pPr>
              <w:spacing w:after="0"/>
              <w:rPr>
                <w:sz w:val="13"/>
                <w:szCs w:val="13"/>
                <w:color w:val="auto"/>
              </w:rPr>
            </w:pPr>
          </w:p>
        </w:tc>
        <w:tc>
          <w:tcPr>
            <w:tcW w:w="1006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Keeks, LLC. To our knowledge, Kimberly Keywell is the controlling shareholder of, and may be deemed to have shared voting,</w:t>
            </w:r>
          </w:p>
        </w:tc>
        <w:tc>
          <w:tcPr>
            <w:tcW w:w="0" w:type="dxa"/>
            <w:vAlign w:val="bottom"/>
          </w:tcPr>
          <w:p>
            <w:pPr>
              <w:spacing w:after="0"/>
              <w:rPr>
                <w:sz w:val="1"/>
                <w:szCs w:val="1"/>
                <w:color w:val="auto"/>
              </w:rPr>
            </w:pPr>
          </w:p>
        </w:tc>
      </w:tr>
    </w:tbl>
    <w:p>
      <w:pPr>
        <w:ind w:left="460"/>
        <w:spacing w:after="0"/>
        <w:rPr>
          <w:sz w:val="20"/>
          <w:szCs w:val="20"/>
          <w:color w:val="auto"/>
        </w:rPr>
      </w:pPr>
      <w:r>
        <w:rPr>
          <w:rFonts w:ascii="Times New Roman" w:cs="Times New Roman" w:eastAsia="Times New Roman" w:hAnsi="Times New Roman"/>
          <w:sz w:val="14"/>
          <w:szCs w:val="14"/>
          <w:color w:val="auto"/>
        </w:rPr>
        <w:t>investment and dispositive power with respect to the shares held by, the aforementioned entity.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Phelps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Rollings, for which the service-based vesting condition would be satisfied as of September 4,</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400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2021 pursuant to the terms of Ms. Rollings’ separation agreement.</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276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shares of Class A common stock.</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Doudna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Frederick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Gottlieb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West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27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shares of Class A common stock, (b)</w:t>
            </w:r>
          </w:p>
        </w:tc>
        <w:tc>
          <w:tcPr>
            <w:tcW w:w="27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shares of Class B common stock and (c)</w:t>
            </w:r>
          </w:p>
        </w:tc>
        <w:tc>
          <w:tcPr>
            <w:tcW w:w="4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the settlement of RSUs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12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Consists of (a)</w:t>
            </w:r>
          </w:p>
        </w:tc>
        <w:tc>
          <w:tcPr>
            <w:tcW w:w="27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0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for which the service-based vesting condition would be satisfied within 60 days of</w:t>
            </w:r>
          </w:p>
        </w:tc>
        <w:tc>
          <w:tcPr>
            <w:tcW w:w="1740" w:type="dxa"/>
            <w:vAlign w:val="bottom"/>
          </w:tcPr>
          <w:p>
            <w:pPr>
              <w:jc w:val="right"/>
              <w:ind w:right="1010"/>
              <w:spacing w:after="0"/>
              <w:rPr>
                <w:sz w:val="20"/>
                <w:szCs w:val="20"/>
                <w:color w:val="auto"/>
              </w:rPr>
            </w:pPr>
            <w:r>
              <w:rPr>
                <w:rFonts w:ascii="Times New Roman" w:cs="Times New Roman" w:eastAsia="Times New Roman" w:hAnsi="Times New Roman"/>
                <w:sz w:val="14"/>
                <w:szCs w:val="14"/>
                <w:color w:val="auto"/>
              </w:rPr>
              <w:t>, 2021.</w:t>
            </w: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2022, we had outstanding:</w:t>
      </w:r>
    </w:p>
    <w:p>
      <w:pPr>
        <w:sectPr>
          <w:pgSz w:w="11900" w:h="16838" w:orient="portrait"/>
          <w:cols w:equalWidth="0" w:num="1">
            <w:col w:w="11340"/>
          </w:cols>
          <w:pgMar w:left="320" w:top="448" w:right="239" w:bottom="1440" w:gutter="0" w:footer="0" w:header="0"/>
        </w:sectPr>
      </w:pP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firstLine="932"/>
        <w:spacing w:after="0" w:line="247" w:lineRule="auto"/>
        <w:rPr>
          <w:sz w:val="20"/>
          <w:szCs w:val="20"/>
          <w:color w:val="auto"/>
        </w:rPr>
      </w:pPr>
      <w:r>
        <w:rPr>
          <w:rFonts w:ascii="Times New Roman" w:cs="Times New Roman" w:eastAsia="Times New Roman" w:hAnsi="Times New Roman"/>
          <w:sz w:val="18"/>
          <w:szCs w:val="18"/>
          <w:color w:val="auto"/>
        </w:rPr>
        <w:t>shares of Class A common stock, which gives effect to (1) the Series G-3 Financing, (2) the conversion of all outstanding shares of convertible preferred stock, other than Series B preferred stock, into shares of Class A common stock, including the issuance of the Additional Class A Conversion Shares (based on an assumed initial public offering price of $ per share, the midpoint of the estimated price range set forth on the cover page of this prospectus), (3) the conversion of all outstanding shares of nonvoting common stock into 4,612,450 shares of Class A common stock, and (4) the issuance of approximately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expiration of the lock-up period in connection with this offering;</w:t>
      </w:r>
    </w:p>
    <w:p>
      <w:pPr>
        <w:spacing w:after="0" w:line="94"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which assumes the conversion of all outstanding shares of convertible Series B preferred stock into 5,374,899 shares of Class B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64 stockholders of record as of December 31, 2021. Our board of directors is authorized, without stockholder approval except as required by the listing standards of the Nasdaq stock market, to issue additional shares of our capital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23"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i w:val="1"/>
          <w:iCs w:val="1"/>
          <w:color w:val="auto"/>
        </w:rPr>
        <w:t>Change of Control Transactions</w:t>
      </w:r>
      <w:r>
        <w:rPr>
          <w:rFonts w:ascii="Times New Roman" w:cs="Times New Roman" w:eastAsia="Times New Roman" w:hAnsi="Times New Roman"/>
          <w:sz w:val="16"/>
          <w:szCs w:val="16"/>
          <w:color w:val="auto"/>
        </w:rPr>
        <w:t>. The holders of Class A common stock and Class B common stock will be treated equally and identically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twenty-year anniversary of the filing of the certificate of amendment to our ninth amended and restated certificate of incorporation, which is March 15, 2041; (3) the termination of Mr. Lefkofsky’s employment or service with us as an executive officer and member of our board of directors; and (4) the date that Mr. Lefkofsky and his controlled entities hold, in the aggregate, fewer than 10,000,000 shares of our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September 30, 2022, the value of the Amended Note was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$228.0 million, which consisted of $231.7 million gross principal, net of $3.7 million aggregate unapplied principal reduction.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upon exercise of the warrant will be determined based on the initial public offering price in this offering ( shares of Class A common stock, assuming an initial public offering price of $ per share, the midpoint of the estimated price range set forth on the cover page of this prospectus). The warrant may be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 with AstraZeneca.”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 of September 30, 2022, there were 62,692,927 shares of our convertible preferred stock outstanding.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 the midpoint of</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which we refer to as the Additional Class A Conversion Shares. See “Prospectus Summary—The Offering” for additional information.</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2022,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2022, we had outstanding 12,009,970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2022, we had outstanding 5,932,502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 exercise of the underwriters’ option</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340"/>
          </w:cols>
          <w:pgMar w:left="320" w:top="448"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8"/>
          <w:szCs w:val="18"/>
          <w:color w:val="auto"/>
        </w:rPr>
        <w:t>In connection with this offering, 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40"/>
          </w:cols>
          <w:pgMar w:left="320" w:top="448"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We have applied to have our Class A common stock approved for listing on the Nasdaq Global Select Market under the symbol “TL.”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the closing of this offering, the transfer agent and registrar for our Class A common stock and Class B common stock will be American Stock Transfer</w:t>
      </w:r>
    </w:p>
    <w:p>
      <w:pPr>
        <w:spacing w:after="0" w:line="44" w:lineRule="exact"/>
        <w:rPr>
          <w:sz w:val="20"/>
          <w:szCs w:val="20"/>
          <w:color w:val="auto"/>
        </w:rPr>
      </w:pPr>
    </w:p>
    <w:p>
      <w:pPr>
        <w:ind w:left="5540" w:right="920" w:hanging="5535"/>
        <w:spacing w:after="0" w:line="414" w:lineRule="auto"/>
        <w:tabs>
          <w:tab w:leader="none" w:pos="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The transfer agent’s address is 6201 15th Avenue, Brooklyn, New York 11219, and its telephone number is (800) 937-5449. 231</w:t>
      </w:r>
    </w:p>
    <w:p>
      <w:pPr>
        <w:sectPr>
          <w:pgSz w:w="11900" w:h="16838" w:orient="portrait"/>
          <w:cols w:equalWidth="0" w:num="1">
            <w:col w:w="11340"/>
          </w:cols>
          <w:pgMar w:left="320" w:top="448" w:right="2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Based on our shares outstanding as of September 30, 2022, on the closing of this offering, a total of shares of Class A common stock and 5,374,899 shares of Class B common stock will be outstanding, assuming the automatic conversion of (1) all of our outstanding shares of convertible preferred</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stock, other than our Series B convertible preferred stock, into an aggregate of shares of Class A common stock, including the Additional Class A Conversion Shares (assuming an initial public offering price of $ per share, the midpoint of the estimated price range set forth on the cover page of this</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prospectus), (2) all of our outstanding shares of Series B convertible preferred stock into an aggregate of 5,374,899 shares of Class B common stock and (3) all of our outstanding shares of nonvoting common stock into 4,612,450 shares of Class A common stock. Of these shares, all of the Class A common stock sold in this 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6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the date of this prospectus, within any three-month period, such stockholders may sell a number of shares that does not exceed the greater of:</w:t>
      </w:r>
    </w:p>
    <w:p>
      <w:pPr>
        <w:sectPr>
          <w:pgSz w:w="11900" w:h="16838" w:orient="portrait"/>
          <w:cols w:equalWidth="0" w:num="1">
            <w:col w:w="11340"/>
          </w:cols>
          <w:pgMar w:left="320" w:top="448" w:right="239" w:bottom="1440" w:gutter="0" w:footer="0" w:header="0"/>
        </w:sectPr>
      </w:pPr>
    </w:p>
    <w:p>
      <w:pPr>
        <w:spacing w:after="0" w:line="14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1% of the number of shares of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immediately after this</w:t>
      </w:r>
    </w:p>
    <w:p>
      <w:pPr>
        <w:spacing w:after="0" w:line="354" w:lineRule="exact"/>
        <w:rPr>
          <w:sz w:val="20"/>
          <w:szCs w:val="20"/>
          <w:color w:val="auto"/>
        </w:rPr>
      </w:pPr>
    </w:p>
    <w:p>
      <w:pPr>
        <w:sectPr>
          <w:pgSz w:w="11900" w:h="16838" w:orient="portrait"/>
          <w:cols w:equalWidth="0" w:num="3">
            <w:col w:w="520" w:space="480"/>
            <w:col w:w="7580" w:space="720"/>
            <w:col w:w="2040"/>
          </w:cols>
          <w:pgMar w:left="320" w:top="448" w:right="239" w:bottom="1440" w:gutter="0" w:footer="0" w:header="0"/>
          <w:type w:val="continuous"/>
        </w:sectPr>
      </w:pPr>
    </w:p>
    <w:p>
      <w:pPr>
        <w:ind w:left="1000" w:hanging="549"/>
        <w:spacing w:after="0" w:line="267"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2022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 until 180 days after the date of this prospectus, or the restricted period, subject to certain exceptions,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Morgan Stanley &amp; Co. LLC and J.P. Morgan Securities LLC may release any of the securities subject to these lock-up agreements at any time, subject to applicable notice requirements.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ectPr>
          <w:pgSz w:w="11900" w:h="16838" w:orient="portrait"/>
          <w:cols w:equalWidth="0" w:num="1">
            <w:col w:w="11340"/>
          </w:cols>
          <w:pgMar w:left="320" w:top="448" w:right="239" w:bottom="1440" w:gutter="0" w:footer="0" w:header="0"/>
          <w:type w:val="continuous"/>
        </w:sectPr>
      </w:pP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Upon the closing of this offering, the holders of transferees, will be entitled to certain rights with respect to the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Class A common stock and of all shares of our Class B common stock, or their</w:t>
      </w:r>
    </w:p>
    <w:p>
      <w:pPr>
        <w:spacing w:after="0" w:line="380" w:lineRule="exact"/>
        <w:rPr>
          <w:sz w:val="20"/>
          <w:szCs w:val="20"/>
          <w:color w:val="auto"/>
        </w:rPr>
      </w:pPr>
    </w:p>
    <w:p>
      <w:pPr>
        <w:sectPr>
          <w:pgSz w:w="11900" w:h="16838" w:orient="portrait"/>
          <w:cols w:equalWidth="0" w:num="2">
            <w:col w:w="4380" w:space="340"/>
            <w:col w:w="6620"/>
          </w:cols>
          <w:pgMar w:left="320" w:top="44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233</w:t>
      </w:r>
    </w:p>
    <w:p>
      <w:pPr>
        <w:sectPr>
          <w:pgSz w:w="11900" w:h="16838" w:orient="portrait"/>
          <w:cols w:equalWidth="0" w:num="1">
            <w:col w:w="11340"/>
          </w:cols>
          <w:pgMar w:left="320" w:top="448" w:right="239" w:bottom="1440"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acquisition, ownership, and disposition of our Class A common stock acquired in this offering.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340"/>
          </w:cols>
          <w:pgMar w:left="320" w:top="44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p>
      <w:pPr>
        <w:ind w:left="86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13335</wp:posOffset>
            </wp:positionV>
            <wp:extent cx="6118860" cy="133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2540</wp:posOffset>
            </wp:positionV>
            <wp:extent cx="8255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selling stockholders identified in this prospectus have granted to the underwriters an option, exercisable for 30 days from the date of this prospectus, to</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w:t>
      </w:r>
    </w:p>
    <w:p>
      <w:pPr>
        <w:spacing w:after="0" w:line="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additional</w:t>
      </w:r>
      <w:r>
        <w:rPr>
          <w:sz w:val="20"/>
          <w:szCs w:val="20"/>
          <w:color w:val="auto"/>
        </w:rPr>
        <w:tab/>
      </w:r>
      <w:r>
        <w:rPr>
          <w:rFonts w:ascii="Times New Roman" w:cs="Times New Roman" w:eastAsia="Times New Roman" w:hAnsi="Times New Roman"/>
          <w:sz w:val="18"/>
          <w:szCs w:val="18"/>
          <w:color w:val="auto"/>
        </w:rPr>
        <w:t>shares of Class A common stock.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3"/>
        </w:trPr>
        <w:tc>
          <w:tcPr>
            <w:tcW w:w="64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tcBorders>
              <w:top w:val="single" w:sz="8" w:color="auto"/>
            </w:tcBorders>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3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2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99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4"/>
              </w:rPr>
              <w:t>million. We have</w:t>
            </w:r>
          </w:p>
        </w:tc>
        <w:tc>
          <w:tcPr>
            <w:tcW w:w="0" w:type="dxa"/>
            <w:vAlign w:val="bottom"/>
          </w:tcPr>
          <w:p>
            <w:pPr>
              <w:spacing w:after="0"/>
              <w:rPr>
                <w:sz w:val="1"/>
                <w:szCs w:val="1"/>
                <w:color w:val="auto"/>
              </w:rPr>
            </w:pPr>
          </w:p>
        </w:tc>
      </w:tr>
      <w:tr>
        <w:trPr>
          <w:trHeight w:val="228"/>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up to $</w:t>
            </w:r>
          </w:p>
        </w:tc>
        <w:tc>
          <w:tcPr>
            <w:tcW w:w="900" w:type="dxa"/>
            <w:vAlign w:val="bottom"/>
            <w:gridSpan w:val="2"/>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 We have applied to list our Class A common stock on the Nasdaq Global Select Market under the trading symbol “TL.”</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will agree that, subject to certain conditions, without the prior written consent of the representatives on behalf of the underwriters, we and they will not, and will not publicly disclose an intention to, during the period ending on and including the 180th day after the date of this prospectus, referred to as the restricted period:</w:t>
      </w:r>
    </w:p>
    <w:p>
      <w:pPr>
        <w:spacing w:after="0" w:line="89" w:lineRule="exact"/>
        <w:rPr>
          <w:sz w:val="20"/>
          <w:szCs w:val="20"/>
          <w:color w:val="auto"/>
        </w:rPr>
      </w:pPr>
    </w:p>
    <w:p>
      <w:pPr>
        <w:jc w:val="both"/>
        <w:ind w:left="1000" w:hanging="549"/>
        <w:spacing w:after="0" w:line="255"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or the SEC, relating to the offering of any shares of common stock or any securities convertible into or exercisable or exchangeable for common stock;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will agree that, without the prior written consent of the representatives on behalf of the underwriters, we or such other person will not, during the restricted period, make any demand for, or exercise any right with respect to, the registration of any shares of our common stock or any security convertible into or exercisable or exchangeable for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549"/>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549"/>
        <w:spacing w:after="0" w:line="255"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(ii) to an immediate family member or to any trust for the direct or indirect benefit of the holder or an immediate family member of the holder, (iii) to any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40"/>
          </w:cols>
          <w:pgMar w:left="320" w:top="448"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95" w:lineRule="exact"/>
        <w:rPr>
          <w:sz w:val="20"/>
          <w:szCs w:val="20"/>
          <w:color w:val="auto"/>
        </w:rPr>
      </w:pPr>
    </w:p>
    <w:p>
      <w:pPr>
        <w:jc w:val="both"/>
        <w:ind w:left="1000" w:hanging="549"/>
        <w:spacing w:after="0" w:line="248"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shares of common stock or any security convertible into or exercisable or exchangeable for common stock to general or limited partners, managers or members, stockholders, other equityholders or direct or indirect affiliates (within the meaning of Rule 405 under the Securities Act) of the undersigned or to the estates of any of the foregoing, provided that (i) each 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the company of shares of common stock or any securities convertible into or exercisable or exchangeable for common stock to satisfy any tax, including estimated tax, remittance, or other payment obligations of the holder arising in connection with a vesting event of the company’s securities, upon the settlement of restricted stock units or the payment due for the exercise of options or other rights to purchase securities of the company (including, in each case, by way of a “cashless” or “net exercise” basis and any transfer to the company necessary in respect of such amount needed for the payment of taxes, including estimated taxes, and remittance payments due as a result of such vesting, settlement or exercise including by means of a “net settlement,” “sell to cover” or otherwise), in all such cases pursuant to equity awards granted under a stock incentive plan or other equity award plan of the company described in this prospectus, provided that (i) any remaining shares of common stock received upon such vesting, settlement or exercise are subject to the aforementioned restrictions, (ii)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the company’s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1"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common stock or any security convertible into or exercisable or exchangeable for common stock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common stock and other securities subject to the lock-up agreements described above in whole or in part at any time, subject to applicable notice requirements. In addition,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9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the selling stockholders and the underwriters have agreed to indemnify each other against certain liabilities, including liabilities under the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5" w:lineRule="exact"/>
        <w:rPr>
          <w:sz w:val="20"/>
          <w:szCs w:val="20"/>
          <w:color w:val="auto"/>
        </w:rPr>
      </w:pPr>
    </w:p>
    <w:p>
      <w:pPr>
        <w:ind w:left="1000" w:hanging="414"/>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5" w:lineRule="exact"/>
        <w:rPr>
          <w:sz w:val="20"/>
          <w:szCs w:val="20"/>
          <w:color w:val="auto"/>
        </w:rPr>
      </w:pPr>
    </w:p>
    <w:p>
      <w:pPr>
        <w:ind w:left="1000" w:hanging="414"/>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FMSA,</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1" w:lineRule="exact"/>
        <w:rPr>
          <w:sz w:val="20"/>
          <w:szCs w:val="20"/>
          <w:color w:val="auto"/>
        </w:rPr>
      </w:pPr>
    </w:p>
    <w:p>
      <w:pPr>
        <w:jc w:val="both"/>
        <w:ind w:left="1000" w:hanging="414"/>
        <w:spacing w:after="0" w:line="251"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w:t>
      </w:r>
    </w:p>
    <w:p>
      <w:pPr>
        <w:spacing w:after="0" w:line="92"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shares of Class A common stock may be sold only to purchasers purchasing, or deemed to be purchasing, as principal that are accredited investors, as defined in National Instrument 45-106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may not be offered or sold in Hong Kong by means of any document other than (i) in circumstances which do not constitute an offer to the public within the meaning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340"/>
          </w:cols>
          <w:pgMar w:left="320" w:top="448"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firstLine="5"/>
        <w:spacing w:after="0" w:line="247" w:lineRule="auto"/>
        <w:tabs>
          <w:tab w:leader="none" w:pos="3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Securities and Futures Act, Chapter 289 of Singapore, the shares of our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340"/>
          </w:cols>
          <w:pgMar w:left="320" w:top="448"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2021 and 2020, and for each of the two years in the period ended December 31, 2021,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340"/>
          </w:cols>
          <w:pgMar w:left="320" w:top="448"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340"/>
          </w:cols>
          <w:pgMar w:left="320" w:top="448" w:right="23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195"/>
        </w:trPr>
        <w:tc>
          <w:tcPr>
            <w:tcW w:w="920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8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40" w:type="dxa"/>
            <w:vAlign w:val="bottom"/>
            <w:gridSpan w:val="3"/>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6"/>
              </w:rPr>
              <w:t>Tempus Labs, Inc.</w:t>
            </w:r>
          </w:p>
        </w:tc>
        <w:tc>
          <w:tcPr>
            <w:tcW w:w="208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40" w:type="dxa"/>
            <w:vAlign w:val="bottom"/>
            <w:gridSpan w:val="3"/>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8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40" w:type="dxa"/>
            <w:vAlign w:val="bottom"/>
            <w:gridSpan w:val="3"/>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80" w:type="dxa"/>
            <w:vAlign w:val="bottom"/>
          </w:tcPr>
          <w:p>
            <w:pPr>
              <w:spacing w:after="0"/>
              <w:rPr>
                <w:sz w:val="19"/>
                <w:szCs w:val="19"/>
                <w:color w:val="auto"/>
              </w:rPr>
            </w:pPr>
          </w:p>
        </w:tc>
      </w:tr>
      <w:tr>
        <w:trPr>
          <w:trHeight w:val="407"/>
        </w:trPr>
        <w:tc>
          <w:tcPr>
            <w:tcW w:w="5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Report of Independent Registered Public Accounting Firm (PCAOB ID: 238)</w:t>
            </w:r>
          </w:p>
        </w:tc>
        <w:tc>
          <w:tcPr>
            <w:tcW w:w="376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24"/>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080" w:type="dxa"/>
            <w:vAlign w:val="bottom"/>
          </w:tcPr>
          <w:p>
            <w:pPr>
              <w:spacing w:after="0"/>
              <w:rPr>
                <w:sz w:val="19"/>
                <w:szCs w:val="19"/>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160" w:type="dxa"/>
            <w:vAlign w:val="bottom"/>
            <w:gridSpan w:val="6"/>
          </w:tcPr>
          <w:p>
            <w:pPr>
              <w:spacing w:after="0"/>
              <w:rPr>
                <w:sz w:val="16"/>
                <w:szCs w:val="16"/>
                <w:color w:val="auto"/>
              </w:rPr>
            </w:pPr>
          </w:p>
        </w:tc>
        <w:tc>
          <w:tcPr>
            <w:tcW w:w="2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640" w:type="dxa"/>
            <w:vAlign w:val="bottom"/>
            <w:gridSpan w:val="3"/>
          </w:tcPr>
          <w:p>
            <w:pPr>
              <w:spacing w:after="0"/>
              <w:rPr>
                <w:sz w:val="16"/>
                <w:szCs w:val="16"/>
                <w:color w:val="auto"/>
              </w:rPr>
            </w:pPr>
          </w:p>
        </w:tc>
        <w:tc>
          <w:tcPr>
            <w:tcW w:w="2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00" w:type="dxa"/>
            <w:vAlign w:val="bottom"/>
            <w:gridSpan w:val="5"/>
          </w:tcPr>
          <w:p>
            <w:pPr>
              <w:spacing w:after="0"/>
              <w:rPr>
                <w:sz w:val="16"/>
                <w:szCs w:val="16"/>
                <w:color w:val="auto"/>
              </w:rPr>
            </w:pPr>
          </w:p>
        </w:tc>
        <w:tc>
          <w:tcPr>
            <w:tcW w:w="2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40" w:type="dxa"/>
            <w:vAlign w:val="bottom"/>
          </w:tcPr>
          <w:p>
            <w:pPr>
              <w:spacing w:after="0"/>
              <w:rPr>
                <w:sz w:val="16"/>
                <w:szCs w:val="16"/>
                <w:color w:val="auto"/>
              </w:rPr>
            </w:pPr>
          </w:p>
        </w:tc>
        <w:tc>
          <w:tcPr>
            <w:tcW w:w="2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F-10–F-45</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60" w:type="dxa"/>
            <w:vAlign w:val="bottom"/>
            <w:gridSpan w:val="2"/>
          </w:tcPr>
          <w:p>
            <w:pPr>
              <w:jc w:val="center"/>
              <w:ind w:right="3280"/>
              <w:spacing w:after="0"/>
              <w:rPr>
                <w:sz w:val="20"/>
                <w:szCs w:val="20"/>
                <w:color w:val="auto"/>
              </w:rPr>
            </w:pPr>
            <w:r>
              <w:rPr>
                <w:rFonts w:ascii="Times New Roman" w:cs="Times New Roman" w:eastAsia="Times New Roman" w:hAnsi="Times New Roman"/>
                <w:sz w:val="18"/>
                <w:szCs w:val="18"/>
                <w:color w:val="auto"/>
                <w:w w:val="95"/>
              </w:rPr>
              <w:t>F-1</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80"/>
          </w:cols>
          <w:pgMar w:left="320" w:top="443" w:right="2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Labs,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Labs, Inc. and its subsidiaries (the “Company”) as of December 31, 2021 and 2020,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513,436</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277,686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369,045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6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Accounts receivable, net of allowances of $478, $284, and $1,334 at December 31, 2020 and 2021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September 30, 2022, respectively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87,259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82,244</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22,908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17,291</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403,988</w:t>
            </w: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35,395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15,985</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37,286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6,853</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31,067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751,918</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531,354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648,487</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53,571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33,753</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40,694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16,454</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8,005</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accrued data licensing fees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dividends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101,382</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114,806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lease obligations, less current maturities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Minimum accrued data licensing fees, less current maturities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12,905</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238,236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 less current portion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13,426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37,800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payable and other long-term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23,090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405,746</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440,554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693,345</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6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Convertible redeemable preferred stock, $0.0001 par value, 64,760,746, 64,760,746, and</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65,441,289 shares authorized at December 31, 2020 and 2021 and September 30, 2022,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 60,921,767, 61,078,813, and 62,692,927 shares issued and outstanding at December</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 2020 and 2021, and September 30, 2022, respectively; aggregate liquidation preference of</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$871,530, $913,138 and $1,032,479 at December 31, 2020 and 2021 and September 30, 2022,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859,156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898,291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1,016,987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3"/>
                <w:szCs w:val="13"/>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7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8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Voting Common Stock, $0.0001 par value, 187,075,184 shares authorized at December 31, 2020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2021 and September 30, 2022, respectively, 58,367,961 shares issued and outstanding at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2020 and 2021 and September 30, 2022, respectively</w:t>
            </w:r>
          </w:p>
        </w:tc>
        <w:tc>
          <w:tcPr>
            <w:tcW w:w="1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8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63,946,627, 63,946,627, and 66,946,627 shares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at December 31, 2020 and 2021 and September 30, 2022, respectively; 4,595,000,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4,612,450, and 4,612,450 shares issued and outstanding at December 31, 2020 and 2021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September 30, 2022, respectively</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(512,989)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(807,486)</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(1,061,937)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(512,984)</w:t>
            </w:r>
          </w:p>
        </w:tc>
        <w:tc>
          <w:tcPr>
            <w:tcW w:w="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(807,491)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(1,061,845)</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751,918</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531,354</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4"/>
                <w:szCs w:val="14"/>
                <w:color w:val="auto"/>
              </w:rPr>
            </w:pPr>
          </w:p>
        </w:tc>
        <w:tc>
          <w:tcPr>
            <w:tcW w:w="2160" w:type="dxa"/>
            <w:vAlign w:val="bottom"/>
            <w:gridSpan w:val="5"/>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9"/>
                <w:szCs w:val="9"/>
                <w:color w:val="auto"/>
              </w:rPr>
            </w:pPr>
          </w:p>
        </w:tc>
        <w:tc>
          <w:tcPr>
            <w:tcW w:w="130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151,911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195,012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154,514</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140,055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36,093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62,841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30,029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79,987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184,543</w:t>
            </w:r>
          </w:p>
        </w:tc>
        <w:tc>
          <w:tcPr>
            <w:tcW w:w="42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152,198</w:t>
            </w:r>
          </w:p>
        </w:tc>
        <w:tc>
          <w:tcPr>
            <w:tcW w:w="10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162,276</w:t>
            </w:r>
          </w:p>
        </w:tc>
        <w:tc>
          <w:tcPr>
            <w:tcW w:w="160" w:type="dxa"/>
            <w:vAlign w:val="bottom"/>
          </w:tcPr>
          <w:p>
            <w:pPr>
              <w:spacing w:after="0"/>
              <w:rPr>
                <w:sz w:val="18"/>
                <w:szCs w:val="18"/>
                <w:color w:val="auto"/>
              </w:rPr>
            </w:pPr>
          </w:p>
        </w:tc>
        <w:tc>
          <w:tcPr>
            <w:tcW w:w="114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129,283</w:t>
            </w:r>
          </w:p>
        </w:tc>
        <w:tc>
          <w:tcPr>
            <w:tcW w:w="2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108,835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11,933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7,948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45,861</w:t>
            </w:r>
          </w:p>
        </w:tc>
        <w:tc>
          <w:tcPr>
            <w:tcW w:w="10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67,190</w:t>
            </w:r>
          </w:p>
        </w:tc>
        <w:tc>
          <w:tcPr>
            <w:tcW w:w="160" w:type="dxa"/>
            <w:vAlign w:val="bottom"/>
          </w:tcPr>
          <w:p>
            <w:pPr>
              <w:spacing w:after="0"/>
              <w:rPr>
                <w:sz w:val="18"/>
                <w:szCs w:val="18"/>
                <w:color w:val="auto"/>
              </w:rPr>
            </w:pPr>
          </w:p>
        </w:tc>
        <w:tc>
          <w:tcPr>
            <w:tcW w:w="114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49,543</w:t>
            </w:r>
          </w:p>
        </w:tc>
        <w:tc>
          <w:tcPr>
            <w:tcW w:w="2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58,258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45,415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61,161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42,526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61,552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130,892</w:t>
            </w:r>
          </w:p>
        </w:tc>
        <w:tc>
          <w:tcPr>
            <w:tcW w:w="10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199,004</w:t>
            </w:r>
          </w:p>
        </w:tc>
        <w:tc>
          <w:tcPr>
            <w:tcW w:w="160" w:type="dxa"/>
            <w:vAlign w:val="bottom"/>
          </w:tcPr>
          <w:p>
            <w:pPr>
              <w:spacing w:after="0"/>
              <w:rPr>
                <w:sz w:val="18"/>
                <w:szCs w:val="18"/>
                <w:color w:val="auto"/>
              </w:rPr>
            </w:pPr>
          </w:p>
        </w:tc>
        <w:tc>
          <w:tcPr>
            <w:tcW w:w="114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144,158</w:t>
            </w:r>
          </w:p>
        </w:tc>
        <w:tc>
          <w:tcPr>
            <w:tcW w:w="22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168,939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381,458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501,564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373,458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(193,454</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(243,711</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(188,915</w:t>
            </w:r>
          </w:p>
        </w:tc>
        <w:tc>
          <w:tcPr>
            <w:tcW w:w="420" w:type="dxa"/>
            <w:vAlign w:val="bottom"/>
          </w:tcPr>
          <w:p>
            <w:pPr>
              <w:jc w:val="right"/>
              <w:ind w:right="342"/>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(207,045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(18,929)</w:t>
            </w:r>
          </w:p>
        </w:tc>
        <w:tc>
          <w:tcPr>
            <w:tcW w:w="100" w:type="dxa"/>
            <w:vAlign w:val="bottom"/>
          </w:tcPr>
          <w:p>
            <w:pPr>
              <w:spacing w:after="0"/>
              <w:rPr>
                <w:sz w:val="18"/>
                <w:szCs w:val="18"/>
                <w:color w:val="auto"/>
              </w:rPr>
            </w:pPr>
          </w:p>
        </w:tc>
        <w:tc>
          <w:tcPr>
            <w:tcW w:w="10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(15,184)</w:t>
            </w:r>
          </w:p>
        </w:tc>
        <w:tc>
          <w:tcPr>
            <w:tcW w:w="160" w:type="dxa"/>
            <w:vAlign w:val="bottom"/>
          </w:tcPr>
          <w:p>
            <w:pPr>
              <w:spacing w:after="0"/>
              <w:rPr>
                <w:sz w:val="18"/>
                <w:szCs w:val="18"/>
                <w:color w:val="auto"/>
              </w:rPr>
            </w:pPr>
          </w:p>
        </w:tc>
        <w:tc>
          <w:tcPr>
            <w:tcW w:w="114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(11,351)</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(211,354)</w:t>
            </w:r>
          </w:p>
        </w:tc>
        <w:tc>
          <w:tcPr>
            <w:tcW w:w="4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(258,588)</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(199,757)</w:t>
            </w:r>
          </w:p>
        </w:tc>
        <w:tc>
          <w:tcPr>
            <w:tcW w:w="42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(223,271)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10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Pr>
          <w:p>
            <w:pPr>
              <w:spacing w:after="0"/>
              <w:rPr>
                <w:sz w:val="18"/>
                <w:szCs w:val="18"/>
                <w:color w:val="auto"/>
              </w:rPr>
            </w:pPr>
          </w:p>
        </w:tc>
        <w:tc>
          <w:tcPr>
            <w:tcW w:w="114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3"/>
              </w:rPr>
              <w:t>(209,854)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6"/>
              </w:rPr>
              <w:t>(259,192)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(200,211)</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(7,381)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(34,420)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(35,758)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(26,595)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8"/>
                <w:szCs w:val="18"/>
                <w:color w:val="auto"/>
              </w:rPr>
            </w:pPr>
          </w:p>
        </w:tc>
        <w:tc>
          <w:tcPr>
            <w:tcW w:w="10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(2,680)</w:t>
            </w:r>
          </w:p>
        </w:tc>
        <w:tc>
          <w:tcPr>
            <w:tcW w:w="160" w:type="dxa"/>
            <w:vAlign w:val="bottom"/>
          </w:tcPr>
          <w:p>
            <w:pPr>
              <w:spacing w:after="0"/>
              <w:rPr>
                <w:sz w:val="18"/>
                <w:szCs w:val="18"/>
                <w:color w:val="auto"/>
              </w:rPr>
            </w:pPr>
          </w:p>
        </w:tc>
        <w:tc>
          <w:tcPr>
            <w:tcW w:w="114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(2,004)</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3"/>
              </w:rPr>
              <w:t>(253,905)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6"/>
              </w:rPr>
              <w:t>(297,736)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(228,916)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62,706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62,975</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62,973</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62,980</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3"/>
              </w:rPr>
              <w:t>(209,854)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6"/>
              </w:rPr>
              <w:t>(259,192)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(200,211)</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4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3"/>
              </w:rPr>
              <w:t>(209,856)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6"/>
              </w:rPr>
              <w:t>(259,202)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(200,196)</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6"/>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c>
          <w:tcPr>
            <w:tcW w:w="86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(209,854)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(259,192)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(200,211)</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(223,735)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1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6,891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warrant asset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23,052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23,881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18,151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inventory reserve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equity-method Investments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convertible promissory</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8,889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(55,844)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4,747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12,871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(29,278)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14,649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15,559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(14,077)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38,132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(30,474)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(21,263)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9,489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65,695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24,503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29,609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(206,562)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(211,984)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(148,229)</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(103,621)</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7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(13,416)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(11,767)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(9,445)</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subsidiary</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(5,957)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(5,957)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escrow related to AKESOgen purchase (Note 3)</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business, net of cash acquired (Note 3)</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asset acquisition</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 net of offering costs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94,108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G-2 Preferred Stock, net of offering costs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95,823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8,894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G-3 Preferred Stock, net of offering costs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92,199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Common Shares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(7,311)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promissory note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330,000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capital lease obligation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170,625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(2,039)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(885)</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252,910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16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F-6</w:t>
            </w: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1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286,116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(235,750)</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(168,491)</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91,365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228,100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514,216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514,216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278,466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514,216</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278,466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345,725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369,831</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513,436</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277,686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344,945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514,216</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278,466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345,725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369,831</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2,053</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7,381</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28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4,219</w:t>
            </w:r>
          </w:p>
        </w:tc>
        <w:tc>
          <w:tcPr>
            <w:tcW w:w="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984</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821</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2,727</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1,928</w:t>
            </w:r>
          </w:p>
        </w:tc>
        <w:tc>
          <w:tcPr>
            <w:tcW w:w="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11,764</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6,580</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Issuance of warrant</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37,800</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Series G-2 issuance cost included in accounts payable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ind w:left="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4"/>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700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Extinguishment of debt through conversion of convertible promissory note to Series G-2</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Deferred financing fees, accrued but not yet paid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ind w:left="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CONVERTIBLE PREFERRED STOCK, COMMON STOCK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3060" w:type="dxa"/>
            <w:vAlign w:val="bottom"/>
          </w:tcPr>
          <w:p>
            <w:pPr>
              <w:spacing w:after="0"/>
              <w:rPr>
                <w:sz w:val="3"/>
                <w:szCs w:val="3"/>
                <w:color w:val="auto"/>
              </w:rPr>
            </w:pPr>
          </w:p>
        </w:tc>
        <w:tc>
          <w:tcPr>
            <w:tcW w:w="156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156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560" w:type="dxa"/>
            <w:vAlign w:val="bottom"/>
            <w:gridSpan w:val="5"/>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Non-voting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560" w:type="dxa"/>
            <w:vAlign w:val="bottom"/>
            <w:gridSpan w:val="5"/>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1560" w:type="dxa"/>
            <w:vAlign w:val="bottom"/>
            <w:gridSpan w:val="5"/>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left="13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left="1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780" w:type="dxa"/>
            <w:vAlign w:val="bottom"/>
            <w:tcBorders>
              <w:top w:val="single" w:sz="8" w:color="auto"/>
            </w:tcBorders>
            <w:gridSpan w:val="3"/>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1"/>
                <w:szCs w:val="11"/>
                <w:color w:val="auto"/>
              </w:rPr>
            </w:pPr>
          </w:p>
        </w:tc>
        <w:tc>
          <w:tcPr>
            <w:tcW w:w="760" w:type="dxa"/>
            <w:vAlign w:val="bottom"/>
            <w:gridSpan w:val="2"/>
          </w:tcPr>
          <w:p>
            <w:pPr>
              <w:jc w:val="right"/>
              <w:ind w:right="25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1"/>
                <w:szCs w:val="11"/>
                <w:color w:val="auto"/>
              </w:rPr>
            </w:pPr>
          </w:p>
        </w:tc>
        <w:tc>
          <w:tcPr>
            <w:tcW w:w="104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306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January 1, 2020</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55,088,384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$544,161</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58,558,600</w:t>
            </w: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3,431</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(257,853)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(254,415)</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 Preferred Stock, net of stock</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2,537,290</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94,108</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costs of $3,203</w:t>
            </w: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 net of stock</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3,296,093</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184,711</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costs of $4,177</w:t>
            </w: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399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78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7,381</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(3,830)</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(3,551)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(7,381)</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Redemption of Common Shares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(190,639)</w:t>
            </w:r>
          </w:p>
        </w:tc>
        <w:tc>
          <w:tcPr>
            <w:tcW w:w="280" w:type="dxa"/>
            <w:vAlign w:val="bottom"/>
          </w:tcPr>
          <w:p>
            <w:pPr>
              <w:spacing w:after="0"/>
              <w:rPr>
                <w:sz w:val="12"/>
                <w:szCs w:val="12"/>
                <w:color w:val="auto"/>
              </w:rPr>
            </w:pPr>
          </w:p>
        </w:tc>
        <w:tc>
          <w:tcPr>
            <w:tcW w:w="3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(7,311)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(7,311)</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28,795</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(34,420)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(34,420)</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2"/>
                <w:szCs w:val="12"/>
                <w:color w:val="auto"/>
              </w:rPr>
            </w:pPr>
          </w:p>
        </w:tc>
        <w:tc>
          <w:tcPr>
            <w:tcW w:w="54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(209,854)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(209,854)</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vMerge w:val="continue"/>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60,921,767</w:t>
            </w: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859,156</w:t>
            </w:r>
          </w:p>
        </w:tc>
        <w:tc>
          <w:tcPr>
            <w:tcW w:w="240" w:type="dxa"/>
            <w:vAlign w:val="bottom"/>
            <w:vMerge w:val="continue"/>
          </w:tcPr>
          <w:p>
            <w:pPr>
              <w:spacing w:after="0"/>
              <w:rPr>
                <w:sz w:val="13"/>
                <w:szCs w:val="13"/>
                <w:color w:val="auto"/>
              </w:rPr>
            </w:pPr>
          </w:p>
        </w:tc>
        <w:tc>
          <w:tcPr>
            <w:tcW w:w="20" w:type="dxa"/>
            <w:vAlign w:val="bottom"/>
            <w:vMerge w:val="continue"/>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58,367,961</w:t>
            </w:r>
          </w:p>
        </w:tc>
        <w:tc>
          <w:tcPr>
            <w:tcW w:w="180" w:type="dxa"/>
            <w:vAlign w:val="bottom"/>
            <w:vMerge w:val="continue"/>
          </w:tcPr>
          <w:p>
            <w:pPr>
              <w:spacing w:after="0"/>
              <w:rPr>
                <w:sz w:val="13"/>
                <w:szCs w:val="13"/>
                <w:color w:val="auto"/>
              </w:rPr>
            </w:pPr>
          </w:p>
        </w:tc>
        <w:tc>
          <w:tcPr>
            <w:tcW w:w="2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vMerge w:val="continue"/>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vMerge w:val="continue"/>
          </w:tcPr>
          <w:p>
            <w:pPr>
              <w:spacing w:after="0"/>
              <w:rPr>
                <w:sz w:val="13"/>
                <w:szCs w:val="13"/>
                <w:color w:val="auto"/>
              </w:rPr>
            </w:pPr>
          </w:p>
        </w:tc>
        <w:tc>
          <w:tcPr>
            <w:tcW w:w="4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vMerge w:val="continue"/>
          </w:tcPr>
          <w:p>
            <w:pPr>
              <w:spacing w:after="0"/>
              <w:rPr>
                <w:sz w:val="13"/>
                <w:szCs w:val="13"/>
                <w:color w:val="auto"/>
              </w:rPr>
            </w:pPr>
          </w:p>
        </w:tc>
        <w:tc>
          <w:tcPr>
            <w:tcW w:w="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vMerge w:val="continue"/>
          </w:tcPr>
          <w:p>
            <w:pPr>
              <w:spacing w:after="0"/>
              <w:rPr>
                <w:sz w:val="13"/>
                <w:szCs w:val="13"/>
                <w:color w:val="auto"/>
              </w:rPr>
            </w:pPr>
          </w:p>
        </w:tc>
        <w:tc>
          <w:tcPr>
            <w:tcW w:w="1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(512,989</w:t>
            </w: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vMerge w:val="continue"/>
          </w:tcPr>
          <w:p>
            <w:pPr>
              <w:spacing w:after="0"/>
              <w:rPr>
                <w:sz w:val="13"/>
                <w:szCs w:val="13"/>
                <w:color w:val="auto"/>
              </w:rPr>
            </w:pPr>
          </w:p>
        </w:tc>
        <w:tc>
          <w:tcPr>
            <w:tcW w:w="1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(512,984)</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0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Issuance of Series G-2 Preferred Stock, net of stock</w:t>
            </w:r>
          </w:p>
        </w:tc>
        <w:tc>
          <w:tcPr>
            <w:tcW w:w="7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157,046</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8,894</w:t>
            </w:r>
          </w:p>
        </w:tc>
        <w:tc>
          <w:tcPr>
            <w:tcW w:w="20" w:type="dxa"/>
            <w:vAlign w:val="bottom"/>
            <w:shd w:val="clear" w:color="auto" w:fill="000000"/>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 of $106</w:t>
            </w: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559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78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17,450</w:t>
            </w:r>
          </w:p>
        </w:tc>
        <w:tc>
          <w:tcPr>
            <w:tcW w:w="440" w:type="dxa"/>
            <w:vAlign w:val="bottom"/>
          </w:tcPr>
          <w:p>
            <w:pPr>
              <w:spacing w:after="0"/>
              <w:rPr>
                <w:sz w:val="12"/>
                <w:szCs w:val="12"/>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79"/>
              </w:rPr>
              <w:t>0</w:t>
            </w: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4"/>
        </w:trPr>
        <w:tc>
          <w:tcPr>
            <w:tcW w:w="3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30,135</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(453)</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(35,305)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(35,758)</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0" w:type="dxa"/>
            <w:vAlign w:val="bottom"/>
          </w:tcPr>
          <w:p>
            <w:pPr>
              <w:spacing w:after="0"/>
              <w:rPr>
                <w:sz w:val="1"/>
                <w:szCs w:val="1"/>
                <w:color w:val="auto"/>
              </w:rPr>
            </w:pPr>
          </w:p>
        </w:tc>
      </w:tr>
      <w:tr>
        <w:trPr>
          <w:trHeight w:val="151"/>
        </w:trPr>
        <w:tc>
          <w:tcPr>
            <w:tcW w:w="30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898,291</w:t>
            </w:r>
          </w:p>
        </w:tc>
        <w:tc>
          <w:tcPr>
            <w:tcW w:w="24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58,367,961</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4,612,450</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3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(807,486</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(807,491)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30"/>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80" w:type="dxa"/>
            <w:vAlign w:val="bottom"/>
            <w:gridSpan w:val="7"/>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Voting Common</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Non-voting</w:t>
            </w:r>
          </w:p>
        </w:tc>
        <w:tc>
          <w:tcPr>
            <w:tcW w:w="1000" w:type="dxa"/>
            <w:vAlign w:val="bottom"/>
            <w:gridSpan w:val="6"/>
            <w:vMerge w:val="restart"/>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480" w:type="dxa"/>
            <w:vAlign w:val="bottom"/>
            <w:gridSpan w:val="7"/>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vMerge w:val="continue"/>
          </w:tcPr>
          <w:p>
            <w:pPr>
              <w:spacing w:after="0"/>
              <w:rPr>
                <w:sz w:val="11"/>
                <w:szCs w:val="11"/>
                <w:color w:val="auto"/>
              </w:rPr>
            </w:pPr>
          </w:p>
        </w:tc>
        <w:tc>
          <w:tcPr>
            <w:tcW w:w="100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7"/>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7"/>
          </w:tcPr>
          <w:p>
            <w:pPr>
              <w:jc w:val="center"/>
              <w:ind w:right="340"/>
              <w:spacing w:after="0" w:line="157"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ind w:left="2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6"/>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center"/>
              <w:ind w:right="5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1060" w:type="dxa"/>
            <w:vAlign w:val="bottom"/>
            <w:gridSpan w:val="4"/>
          </w:tcPr>
          <w:p>
            <w:pPr>
              <w:jc w:val="right"/>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Accumulatedvm</w:t>
            </w:r>
          </w:p>
        </w:tc>
        <w:tc>
          <w:tcPr>
            <w:tcW w:w="60" w:type="dxa"/>
            <w:vAlign w:val="bottom"/>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bottom w:val="single" w:sz="8" w:color="CCEEFF"/>
            </w:tcBorders>
            <w:gridSpan w:val="2"/>
          </w:tcPr>
          <w:p>
            <w:pPr>
              <w:spacing w:after="0"/>
              <w:rPr>
                <w:sz w:val="11"/>
                <w:szCs w:val="11"/>
                <w:color w:val="auto"/>
              </w:rPr>
            </w:pPr>
          </w:p>
        </w:tc>
        <w:tc>
          <w:tcPr>
            <w:tcW w:w="54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2"/>
          </w:tcPr>
          <w:p>
            <w:pPr>
              <w:jc w:val="center"/>
              <w:ind w:right="7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ind w:right="7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center"/>
              <w:ind w:right="1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9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6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60,921,767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$859,156</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1"/>
                <w:szCs w:val="11"/>
                <w:color w:val="auto"/>
              </w:rPr>
            </w:pPr>
          </w:p>
        </w:tc>
        <w:tc>
          <w:tcPr>
            <w:tcW w:w="600" w:type="dxa"/>
            <w:vAlign w:val="bottom"/>
            <w:gridSpan w:val="4"/>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1"/>
                <w:szCs w:val="11"/>
                <w:color w:val="auto"/>
              </w:rPr>
            </w:pPr>
          </w:p>
        </w:tc>
        <w:tc>
          <w:tcPr>
            <w:tcW w:w="8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(512,989)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60"/>
              <w:spacing w:after="0" w:line="138"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(512,984)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 net of</w:t>
            </w: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157,046</w:t>
            </w:r>
          </w:p>
        </w:tc>
        <w:tc>
          <w:tcPr>
            <w:tcW w:w="40" w:type="dxa"/>
            <w:vAlign w:val="bottom"/>
          </w:tcPr>
          <w:p>
            <w:pPr>
              <w:spacing w:after="0"/>
              <w:rPr>
                <w:sz w:val="10"/>
                <w:szCs w:val="10"/>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8,894</w:t>
            </w: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of $106</w:t>
            </w: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3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w w:val="75"/>
              </w:rPr>
              <w:t>559</w:t>
            </w:r>
          </w:p>
        </w:tc>
        <w:tc>
          <w:tcPr>
            <w:tcW w:w="2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80" w:type="dxa"/>
            <w:vAlign w:val="bottom"/>
          </w:tcPr>
          <w:p>
            <w:pPr>
              <w:spacing w:after="0"/>
              <w:rPr>
                <w:sz w:val="10"/>
                <w:szCs w:val="10"/>
                <w:color w:val="auto"/>
              </w:rPr>
            </w:pPr>
          </w:p>
        </w:tc>
        <w:tc>
          <w:tcPr>
            <w:tcW w:w="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3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17,450</w:t>
            </w:r>
          </w:p>
        </w:tc>
        <w:tc>
          <w:tcPr>
            <w:tcW w:w="180" w:type="dxa"/>
            <w:vAlign w:val="bottom"/>
            <w:tcBorders>
              <w:lef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2"/>
                <w:szCs w:val="12"/>
                <w:color w:val="auto"/>
              </w:rPr>
            </w:pPr>
          </w:p>
        </w:tc>
        <w:tc>
          <w:tcPr>
            <w:tcW w:w="70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left="3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4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22,379</w:t>
            </w:r>
          </w:p>
        </w:tc>
        <w:tc>
          <w:tcPr>
            <w:tcW w:w="6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3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90"/>
              <w:spacing w:after="0" w:line="145" w:lineRule="exact"/>
              <w:rPr>
                <w:sz w:val="20"/>
                <w:szCs w:val="20"/>
                <w:color w:val="auto"/>
              </w:rPr>
            </w:pPr>
            <w:r>
              <w:rPr>
                <w:rFonts w:ascii="Times New Roman" w:cs="Times New Roman" w:eastAsia="Times New Roman" w:hAnsi="Times New Roman"/>
                <w:sz w:val="14"/>
                <w:szCs w:val="14"/>
                <w:color w:val="auto"/>
              </w:rPr>
              <w:t>(453)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(26,142)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(26,595)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left="9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2"/>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ind w:left="15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(200,211)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(200,211)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September 30, 2021</w:t>
            </w:r>
          </w:p>
        </w:tc>
        <w:tc>
          <w:tcPr>
            <w:tcW w:w="6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61,078,813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890,535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4,612,450</w:t>
            </w:r>
          </w:p>
        </w:tc>
        <w:tc>
          <w:tcPr>
            <w:tcW w:w="180" w:type="dxa"/>
            <w:vAlign w:val="bottom"/>
            <w:tcBorders>
              <w:lef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73"/>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(739,342)</w:t>
            </w:r>
          </w:p>
        </w:tc>
        <w:tc>
          <w:tcPr>
            <w:tcW w:w="14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(739,322)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9"/>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Voting Common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Non-voting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9"/>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9"/>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9"/>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6"/>
          </w:tcPr>
          <w:p>
            <w:pPr>
              <w:ind w:left="4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5"/>
          </w:tcPr>
          <w:p>
            <w:pPr>
              <w:jc w:val="center"/>
              <w:ind w:left="1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gridSpan w:val="3"/>
          </w:tcPr>
          <w:p>
            <w:pPr>
              <w:jc w:val="right"/>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gridSpan w:val="3"/>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gridSpan w:val="2"/>
          </w:tcPr>
          <w:p>
            <w:pPr>
              <w:jc w:val="center"/>
              <w:ind w:left="1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8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ind w:left="100"/>
              <w:spacing w:after="0" w:line="13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1"/>
                <w:szCs w:val="11"/>
                <w:color w:val="auto"/>
              </w:rPr>
            </w:pPr>
          </w:p>
        </w:tc>
        <w:tc>
          <w:tcPr>
            <w:tcW w:w="8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1"/>
                <w:szCs w:val="11"/>
                <w:color w:val="auto"/>
              </w:rPr>
            </w:pPr>
          </w:p>
        </w:tc>
        <w:tc>
          <w:tcPr>
            <w:tcW w:w="104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61,078,813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  898,291</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6</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4,612,450</w:t>
            </w: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0</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right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right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(807,486)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(807,491)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 Preferred Stock, net of stock</w:t>
            </w:r>
          </w:p>
        </w:tc>
        <w:tc>
          <w:tcPr>
            <w:tcW w:w="7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1,614,114</w:t>
            </w:r>
          </w:p>
        </w:tc>
        <w:tc>
          <w:tcPr>
            <w:tcW w:w="7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92,199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of $301</w:t>
            </w:r>
          </w:p>
        </w:tc>
        <w:tc>
          <w:tcPr>
            <w:tcW w:w="780" w:type="dxa"/>
            <w:vAlign w:val="bottom"/>
            <w:gridSpan w:val="4"/>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8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spacing w:after="0"/>
              <w:rPr>
                <w:sz w:val="10"/>
                <w:szCs w:val="10"/>
                <w:color w:val="auto"/>
              </w:rPr>
            </w:pP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20" w:type="dxa"/>
            <w:vAlign w:val="bottom"/>
            <w:gridSpan w:val="4"/>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8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2"/>
                <w:szCs w:val="12"/>
                <w:color w:val="auto"/>
              </w:rPr>
            </w:pPr>
          </w:p>
        </w:tc>
        <w:tc>
          <w:tcPr>
            <w:tcW w:w="700" w:type="dxa"/>
            <w:vAlign w:val="bottom"/>
            <w:gridSpan w:val="3"/>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5"/>
          </w:tcPr>
          <w:p>
            <w:pPr>
              <w:ind w:left="4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4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97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4"/>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26,196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w w:val="75"/>
              </w:rPr>
              <w:t>301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(30,716)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(30,415)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4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(223,735)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(223,735)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62,692,927</w:t>
            </w:r>
          </w:p>
        </w:tc>
        <w:tc>
          <w:tcPr>
            <w:tcW w:w="720" w:type="dxa"/>
            <w:vAlign w:val="bottom"/>
            <w:gridSpan w:val="3"/>
            <w:shd w:val="clear" w:color="auto" w:fill="CCEEFF"/>
          </w:tcPr>
          <w:p>
            <w:pPr>
              <w:jc w:val="center"/>
              <w:ind w:left="10"/>
              <w:spacing w:after="0" w:line="14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1,016,987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3"/>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Borders>
              <w:lef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79"/>
              </w:rPr>
              <w:t>6</w:t>
            </w:r>
          </w:p>
        </w:tc>
        <w:tc>
          <w:tcPr>
            <w:tcW w:w="800" w:type="dxa"/>
            <w:vAlign w:val="bottom"/>
            <w:gridSpan w:val="4"/>
            <w:shd w:val="clear" w:color="auto" w:fill="CCEEFF"/>
          </w:tcPr>
          <w:p>
            <w:pPr>
              <w:jc w:val="right"/>
              <w:ind w:right="62"/>
              <w:spacing w:after="0" w:line="145" w:lineRule="exact"/>
              <w:rPr>
                <w:sz w:val="20"/>
                <w:szCs w:val="20"/>
                <w:color w:val="auto"/>
              </w:rPr>
            </w:pPr>
            <w:r>
              <w:rPr>
                <w:rFonts w:ascii="Times New Roman" w:cs="Times New Roman" w:eastAsia="Times New Roman" w:hAnsi="Times New Roman"/>
                <w:sz w:val="14"/>
                <w:szCs w:val="14"/>
                <w:color w:val="auto"/>
              </w:rPr>
              <w:t>4,612,450</w:t>
            </w:r>
          </w:p>
        </w:tc>
        <w:tc>
          <w:tcPr>
            <w:tcW w:w="3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w w:val="85"/>
              </w:rPr>
              <w:t>0</w:t>
            </w:r>
          </w:p>
        </w:tc>
        <w:tc>
          <w:tcPr>
            <w:tcW w:w="560" w:type="dxa"/>
            <w:vAlign w:val="bottom"/>
            <w:tcBorders>
              <w:right w:val="single" w:sz="8" w:color="CCEEFF"/>
            </w:tcBorders>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(1,061,937)</w:t>
            </w:r>
          </w:p>
        </w:tc>
        <w:tc>
          <w:tcPr>
            <w:tcW w:w="14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(1,061,845)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Labs,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and, ultimately, to Tempus Labs, Inc. in October 2016.</w:t>
      </w:r>
    </w:p>
    <w:p>
      <w:pPr>
        <w:spacing w:after="0" w:line="327" w:lineRule="exact"/>
        <w:rPr>
          <w:sz w:val="20"/>
          <w:szCs w:val="20"/>
          <w:color w:val="auto"/>
        </w:rPr>
      </w:pPr>
    </w:p>
    <w:p>
      <w:pPr>
        <w:ind w:left="460" w:right="6320" w:hanging="455"/>
        <w:spacing w:after="0" w:line="412" w:lineRule="auto"/>
        <w:tabs>
          <w:tab w:leader="none" w:pos="453"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Labs,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at September 30, 2022 will be sufficient to allow the Company to fund its current operating plan through at least a period of one year after the date the consolidated financial statements are issued.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A reclassification has been made within the operating activities section of the consolidated statements of cash flows for the year ended December 31, 2020 to present the change in fair value of contingent consideration as a separate line within operating activities. This amount was previously presented within the change in accrued expenses &amp; other. This reclassification had no effect on the reported financial position, results of operations or cash flows of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Consolidated Financial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accompanying interim consolidated balance sheet as of September 30, 2022, the consolidated statements of operations and comprehensive income (loss) for the nine months ended September 30, 2021 and 2022, redeemable convertible preferred stock, common stock and stockholders’ deficit, and cash flows for the nine months ended September 30, 2021 and 2022, and the related footnote disclosures are unaudited. In management’s opinion, the unaudited interim consolidated financial statements include all adjustments necessary to state fairly the Company’s financial position as of September 30, 2022 and its results of operations for the nine months ended September 30, 2021 and 2022 and the cash flows for the nine months ended September 30, 2021 and 2022. The financial data and other information disclosed in the notes to these consolidated financial statements related to the nine month periods are unaudited. The results of operations for the nine months ended September 30, 2022 are not necessary indicative of the results expected for the year ending December 31, 2022 or any other future period.</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contingent liabilities and the useful lives of property, equipment and intangible assets. Actual results could differ from those estimates.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COVID-19 global pandemic continues to impact daily life in the United States and abroad. While the negative impacts of the business in the years ended December 31, 2020 and 2021 were minimal, if there are additional disruptions for an extended period, it could have a material impact on the Company’s results. Revenue from COVID-19 testing accounted for $89.5 million, or 47.6%, of total revenue in the year ended December 31, 2020, $94.7 million, or 36.7%, of total revenue in the year ended December 31, 2021, $84.9 million, or 46.0%, of total revenue in the nine months ended September 30, 2021, and $17.5 million, or 7.9%, of total revenue for the nine months ended September 30, 2022.</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from the date of purchase to be cash equivalents. Restricted cash primarily represents amounts that the Company is unable to access for operational purposes pursuant to a letter of credit with a financial institution in connection with an equipment lease. The Company had $0.8 million of restricted cash as of December 31, 2020 and 2021, respectively. The Company had $0.8 million of restricted cash as of September 30, 2022.</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The allowance for doubtful accounts is based on historical loss experience and any specific risks identified in collection matters. An allowance for doubtful accounts was not material as of December 31, 2020 and 2021. The Company had an allowance for doubtful accounts of $1.3 million as of September 30, 2022.</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Revenue from one customer accounted for approximately 16.6% of the Company’s total revenues for the year ended December 31, 2020. Revenues from this customer did not represent a significant portion of total revenues for the year ended December 31, 2021. The amount due from this customer is approximately $14.8 million or 17.0% of accounts receivable as of December 31, 2020. The amount due from this customer did not represent a significant portion of accounts receivable as of December 31, 2021. On April 2, 2022, this customer terminated its contract for COVID-19 testing services.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Revenue from a different customer accounted for approximately 7.2% of the Company’s revenues for the year ended December 31, 2021. Revenues from this customer did not represent a significant portion of total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revenues for the year ended December 31, 2020. The amount due from this customer is approximately $9.7 million or 11.8%, respectively, of accounts receivable as of December 31, 2021. The amount due from this customer did not represent a significant portion of accounts receivable as of December 31, 2020.</w:t>
      </w:r>
    </w:p>
    <w:p>
      <w:pPr>
        <w:spacing w:after="0" w:line="12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nine months ended September 30, 2021, one customer accounted for 34.8% of our total revenue. Revenues from this customer did not represent a significant portion of total revenues for the nine months ended September 30, 2022. In the nine months ended September 30, 2022, revenue from three customers accounted for approximately 7.4%, 5.3%, and 5.1% of our total revenues, respectively. The amounts due from these three customers, respectively, are approximately $0, or 0%, $5.6 million, or 7.7%, and $7.2 million, or 9.9% of accounts receivable as of September 30, 2022. The same three customers did not represent a significant portion of total revenues for the years ended December 31, 2020 and 2021, or the nine months ended September 30, 2021.</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also has concentration risk around revenue generated from COVID-19 testing. Revenue from COVID-19 testing was $89.5 million and $94.7 million or 47.6% and 36.7% of the Company’s total revenues for the year ended December 31, 2020 and 2021, respectively. Revenue from COVID-19 testing was $84.9 million and $17.5 million or 46.0% and 7.9% of total revenue for the nine months ended September 30, 2021 and 2022, respectively.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Inventory write-downs for the year ended December 31, 2020 were not material. For the year ended December 31, 2021, the Company recorded $5.1 million of inventory write-downs to cost of revenues, genomics, primarily related to the expiration of COVID-19 testing kits and oncology lab supplies. For the nine months ended September 30, 2022, the Company increased its inventory reserve by $1.9 million related to the expiration of COVID-19 testing kits. As of December 31, 2020, the Company had approximately $37.0 million of inventory and $0.6 million of inventory in process in the labs. As of December 31, 2021, the Company had approximately $22.2 million of inventory and $0.7 million of inventory in process in the labs. As of September 30, 2022, the Company had approximately $19.9 million of inventory and $1.1 million of inventory in process in the labs.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23% and 25% of total vendor payments for the year ended December 31, 2020 and 2021, respectively, and approximately 24% and 38% of total vendor payments for the nine months ended September 30, 2021 and 2022, respectively. Amounts due to this vendor approximated $5.3 million and $0.9 million at December 31, 2020 and 2021, respectively, and approximated $5.4 million at September 30, 2022.</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The Company had $11.5 million, $17.3 million, and $20.3 million at December 31, 2020 and 2021, and September 30, 2022,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capital leases are stated at the lesser of the present value of minimum lease payments or their fair market value. Depreciation is recognized using the 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There were no impairment charges recognized related to long-lived assets during the years ended December 31, 2020 and 2021 or during the nine months ended September 31, 2021 and 2022.</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2020 and 2021 or the nine months ended September 30, 2022.</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Company’s outstanding promissory note (see Note 10) is accounted for in accordance with ASC 470-20.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other”) through the licensing of de-identified datasets to third parties and from matching patients to clinical trials enrolled in its clinical trial network, and related services. The majority of the Company’s revenue is generated in North America.</w:t>
      </w:r>
    </w:p>
    <w:p>
      <w:pPr>
        <w:spacing w:after="0" w:line="182"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commences revenue recognition when control of these products is transferred to customers in an amount that reflects the consideration the Company expects to be entitled to in exchange for such products. This principle is achieved by applying the five-step approach:</w:t>
      </w:r>
    </w:p>
    <w:p>
      <w:pPr>
        <w:spacing w:after="0" w:line="180" w:lineRule="exact"/>
        <w:rPr>
          <w:sz w:val="20"/>
          <w:szCs w:val="20"/>
          <w:color w:val="auto"/>
        </w:rPr>
      </w:pPr>
    </w:p>
    <w:p>
      <w:pPr>
        <w:jc w:val="both"/>
        <w:ind w:firstLine="459"/>
        <w:spacing w:after="0" w:line="255" w:lineRule="auto"/>
        <w:tabs>
          <w:tab w:leader="none" w:pos="6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other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$151.9 million and $195.0 million for the years ended December 31, 2020 and 2021, respectively. The Company recognized Genomics revenue of $154.5 million and $140.1 million for the nine months ended September 30, 2021 and 2022, respectively.</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The Company monitors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$104.1 million and $151.1 million for the years ended December 31, 2020 and 2021, respectively. The Company recognized revenue for clinical orders of $123.1 million and $110.5 million for the nine months ended September 30, 2021 and 2022, respectively.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$48.0 million and $43.9 million for the years ended December 31, 2020 and 2021, respectively. The Company recognized Genomics revenue for direct bill orders of $31.4 million and $29.6 million for the nine months ended September 30, 2021 and 2022,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Data and other revenue primarily represents data licensing and clinical trial matching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other product offering when it has met its performance obligation under the terms of the agreement with the customer. A description of the Company’s two product offerings are as follows: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transaction price is allocated to the distinct performance obligations and revenue is recognized once the performance obligation has been fulfilled.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our enhanced Lens application are separate and distinct performance obligations. For data deliveries, revenue is recognized upon delivery of the data to the customer, and the Company accounts for individual licensed data records as a right to use license. Analytical services typically involve data analysis and research performed on behalf of the customer by the Company. The resulting delivery of data, or a report addressing a series of questions and analytical results, is considered a separate performance obligation. For analytical services or access to Lens, revenue is recognized as the services are provided or over the period to which access is granted. For the periods presented, revenue from analytical services and access to Lens are not material.</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Therapies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Company’s Therapies product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Insights and Therapies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other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$36.1 million and $62.8 million for the years ended December 31, 2020 and 2021, respectively. The Company recognized Data and other revenue from pharmaceutical companies, not-for-profits, and researchers of $30.0 million and $80.0 million for the nine months ended September 30, 2021 and 2022, respectively.</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the fourth quarter of 2021, the Company entered into certain new multi-year contracts that did not contain early termination or customer opt-in clauses. In August 2022, the Company entered into a multi-year strategic collaboration agreement with GlaxoSmithKline (“GSK”), under which GSK has committed to spend a minimum of $180 million, of which $70 million was paid upon execution. These contracts contained defined, noncancelable performance obligations that will be fulfilled in future years. The Company’s remaining performance obligations related to these contracts was $97.7 million as of December 31, 2021, of which the Company expects to recognize approximately 34% of its remaining performance obligations as revenue each year for the next two years, and the remaining 31% of its remaining performance obligations as revenue in year three. The Company’s remaining performance obligations related to these contracts was $138.2 million as of September 30, 2022, of which the Company expects to recognize approximately 39% of its remaining performance obligations as revenue each year for the next year, and the remaining 38%, 19%, and 4% of its remaining performance obligations as revenue in years two, three, and four, respectively. In October 2022, the Company amended its agreement with AstraZeneca AB (“AstraZeneca”) which increased the length of the total commitment period, but did not change the total commitment or the timing of the remaining performance obligations disclosed above.</w:t>
      </w: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Timing of revenue recognition may differ from the timing of invoicing or consideration payable to customers, and as a result, the Company has recognized two forms of contract assets as of December 31, 2021. The Company recognizes invoicing related contract assets when we have an unconditional right to payment, and when revenues earned on a contract exceeds the billings. These contract assets are presented under accounts receivable, net. Accounts receivable as of December 31, 2020 and December 31, 2021 and September 30, 2022 included contract assets of $39.6 million, $18.5 million, and $9.8 million, respectively.</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 revenue is recognized over the period of the contractual commitment of the MSA, the associated contract asset amortization is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At each reporting period, the short-term portion of the warrant asset is adjusted based on the financial commitment and reclassified to Prepaids expenses and other current assets.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2021 and September 30,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40" w:type="dxa"/>
            <w:vAlign w:val="bottom"/>
          </w:tcPr>
          <w:p>
            <w:pPr>
              <w:spacing w:after="0"/>
              <w:rPr>
                <w:sz w:val="14"/>
                <w:szCs w:val="14"/>
                <w:color w:val="auto"/>
              </w:rPr>
            </w:pPr>
          </w:p>
        </w:tc>
        <w:tc>
          <w:tcPr>
            <w:tcW w:w="208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w w:val="97"/>
              </w:rPr>
              <w:t>December 31, 2021</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03"/>
        </w:trPr>
        <w:tc>
          <w:tcPr>
            <w:tcW w:w="80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5,216</w:t>
            </w:r>
          </w:p>
        </w:tc>
        <w:tc>
          <w:tcPr>
            <w:tcW w:w="9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7,106</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20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31,067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25,143</w:t>
            </w:r>
          </w:p>
        </w:tc>
      </w:tr>
      <w:tr>
        <w:trPr>
          <w:trHeight w:val="26"/>
        </w:trPr>
        <w:tc>
          <w:tcPr>
            <w:tcW w:w="80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20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36,283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32,249</w:t>
            </w:r>
          </w:p>
        </w:tc>
      </w:tr>
      <w:tr>
        <w:trPr>
          <w:trHeight w:val="20"/>
        </w:trPr>
        <w:tc>
          <w:tcPr>
            <w:tcW w:w="8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product offering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Deferred revenue balances comprised current deferred revenue only of $7.0 million and $16.5 million as of December 31, 2020 and 2021, respectively. During the year ended December 31, 2021, deferred revenue increased $9.5 million as a result of $27.7 million of additional invoicing which was offset by $18.1 million of revenue recognized during the same period. The amount of revenue recognized during the year ended December 31, 2021 that was included in deferred revenue at the beginning of the period was $7.0 million. As of December 31, 2021 all deferred revenue recorded is expected to be recognized in the next twelve months. For the nine months ended September 30, 2021 and 2022, the Company recognized revenue of $6.7 million, and $10.4 million , respectively, that was included in the corresponding deferred revenue balance at the beginning of the periods.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Genomics consists of personnel lab expenses, including salaries, bonuses, employee benefits, amortization of intangible assets, cost of laboratory supplies and consumables,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other includes data acquisition and royalty fees, and personnel costs related to our delivery of our data services and platform,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2020 and 2021 and the nine months ended September 30, 2021 and 2022, the Company did not match any employee contributions.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8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federal and state net operating loss (“NOL”) carry forwards of approximately $616.7 million and $464.8 million, respectively, which may be available to offset future taxable income. The federal NOLs will begin to expire in 2037 and the state NOLs will begin to expire in 2028.</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2020 and 2021 and September 30, 2022, there are no uncertain positions taken or expected to be taken that would require recognition of a liability in the financial statements.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2021 and September 30, 2022, the Company was not under audit in any jurisdiction.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There were no deferred offering costs as of December 31, 2020. The Company had $3.9 million and $5.2 of deferred offering costs as of December 31, 2021 and September 30, 2022,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9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1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13.</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 xml:space="preserve">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 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expense,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Series A, B, B-1, B-2, C, D, E, F, G, G-2 and G-3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 xml:space="preserve">In January 2017, the FASB issued ASU No. 2017-04, </w:t>
      </w:r>
      <w:r>
        <w:rPr>
          <w:rFonts w:ascii="Times New Roman" w:cs="Times New Roman" w:eastAsia="Times New Roman" w:hAnsi="Times New Roman"/>
          <w:sz w:val="16"/>
          <w:szCs w:val="16"/>
          <w:i w:val="1"/>
          <w:iCs w:val="1"/>
          <w:color w:val="auto"/>
        </w:rPr>
        <w:t>Intangibles—Goodwill and Other (Topic 350): Simplifying the Test for Goodwill Impairment.</w:t>
      </w:r>
      <w:r>
        <w:rPr>
          <w:rFonts w:ascii="Times New Roman" w:cs="Times New Roman" w:eastAsia="Times New Roman" w:hAnsi="Times New Roman"/>
          <w:sz w:val="16"/>
          <w:szCs w:val="16"/>
          <w:color w:val="auto"/>
        </w:rPr>
        <w:t xml:space="preserve"> ASU 2018-04 simplifies how an entity is required to test goodwill for impairment by eliminating Step 2 from the goodwill impairment test. The guidance is effective for the fiscal year beginning May 1, 2023 with early adoption permitted. The Company early adopted the guidance as of January 1, 2020 using a prospective transition method. Adoption of this guidance did not have a material impact to the Company’s consolidated financial statements and related disclosures.</w:t>
      </w:r>
    </w:p>
    <w:p>
      <w:pPr>
        <w:spacing w:after="0" w:line="15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 xml:space="preserve">In July 2017, the FASB issued ASU 2017-11, Earnings Per Share (Topic 260), </w:t>
      </w:r>
      <w:r>
        <w:rPr>
          <w:rFonts w:ascii="Times New Roman" w:cs="Times New Roman" w:eastAsia="Times New Roman" w:hAnsi="Times New Roman"/>
          <w:sz w:val="16"/>
          <w:szCs w:val="16"/>
          <w:i w:val="1"/>
          <w:iCs w:val="1"/>
          <w:color w:val="auto"/>
        </w:rPr>
        <w:t>Distinguishing Liabilities from Equity (Topic 480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Derivatives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Hedging (Topic 815)</w:t>
      </w:r>
      <w:r>
        <w:rPr>
          <w:rFonts w:ascii="Times New Roman" w:cs="Times New Roman" w:eastAsia="Times New Roman" w:hAnsi="Times New Roman"/>
          <w:sz w:val="16"/>
          <w:szCs w:val="16"/>
          <w:color w:val="auto"/>
        </w:rPr>
        <w:t>. The amendments in Part I of the Update change the reclassification analysis of certain equity-linked financial instruments (or embedded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features) with down-round features. The amendments in Part II of the update re-characterize the indefinite deferral of certain provisions of Topic 480 that now are presented as pending content in the ASC, to a scope exception. The amendments in Part I of this update was effective for the Company on January 1, 2020 (the date it was effective for private companies). The amendments in Part II of the update did not require any transition guidance because those amendments did not have an accounting effect. The adoption did not have a material effect on the Company’s consolidated financial statements as of the date of adoption.</w:t>
      </w:r>
    </w:p>
    <w:p>
      <w:pPr>
        <w:spacing w:after="0" w:line="159"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 Service Contract</w:t>
      </w:r>
      <w:r>
        <w:rPr>
          <w:rFonts w:ascii="Times New Roman" w:cs="Times New Roman" w:eastAsia="Times New Roman" w:hAnsi="Times New Roman"/>
          <w:sz w:val="18"/>
          <w:szCs w:val="18"/>
          <w:color w:val="auto"/>
        </w:rPr>
        <w:t>, In August 2018. ASU 2018-15 requires a customer in a cloud computing arrangement that is a service contract to follow the internal-use software guidance in ASC 350-40 to determine which implementation costs to defer and recognize as an asset. The guidance is effective for the fiscal year beginning January 1, 2021, and interim periods within annual periods beginning after December 15, 2021. Early adoption is permitted. The Company adopted the guidance as of January 1, 2021 on a prospective basis. The adoption did not have a material effect on the Company’s consolidated financial statements.</w:t>
      </w:r>
    </w:p>
    <w:p>
      <w:pPr>
        <w:spacing w:after="0" w:line="18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November 2018, the FASB issued ASU 2018-18, Collaborative Arrangements (Topic 808</w:t>
      </w:r>
      <w:r>
        <w:rPr>
          <w:rFonts w:ascii="Times New Roman" w:cs="Times New Roman" w:eastAsia="Times New Roman" w:hAnsi="Times New Roman"/>
          <w:sz w:val="18"/>
          <w:szCs w:val="18"/>
          <w:i w:val="1"/>
          <w:iCs w:val="1"/>
          <w:color w:val="auto"/>
        </w:rPr>
        <w:t>): Clarifying the Interaction between Topic 808 and Topic 606</w:t>
      </w:r>
      <w:r>
        <w:rPr>
          <w:rFonts w:ascii="Times New Roman" w:cs="Times New Roman" w:eastAsia="Times New Roman" w:hAnsi="Times New Roman"/>
          <w:sz w:val="18"/>
          <w:szCs w:val="18"/>
          <w:color w:val="auto"/>
        </w:rPr>
        <w:t>. This ASU provides guidance that clarifies when certain transactions between participants in a collaborative arrangement should be accounted for under ASC 606 when the counterparty is a customer, and amends ASC 808 to refer to the unit-of-account guidance in ASC 606. The guidance specifically precludes an entity from presenting consideration from a transaction in a collaborative arrangement as revenue from contracts with customers if the counterparty is not a customer for that transaction. The Company adopted the guidance as of January 1, 2021. The adoption did not have a material effect on the Company’s consolidated financial statements.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which simplifies accounting for convertible instruments by removing the separation models for (1) convertible debt with a cash conversion feature and (2) convertible instruments with a beneficial conversion feature. The ASU also removes certain settlement conditions that are required for equity-linked contracts to qualify for the derivative scope exception and requires the application of the if-converted method for calculating diluted earnings per share. ASU 2020-06 is applicable for fiscal years beginning after December 15, 2023 or the time at which the Company no longer qualifies as an EGC, with early adoption permitted. The Company has elected to early adopt this ASU as of January 1, 2022 using the modified retrospective method. Adoption of this guidance did not have a material impact on the Company’s consolidated financial statements and related disclosures.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an emerging growth company, the Company is provided the option to adopt new or revised accounting guidance either (1) within the same periods as those otherwise applicable to public business entities or (2) within the same time periods as private companies, including early adoption when permissible.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as indicated below.</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FASB issued ASU 2016-02, Leases, (Topic 842) (ASU 2016-02), in February 2016. ASU 2016-02 will require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ASU 2016-02 is effective for annual financial statements of private companies issued for fiscal years beginning After December 15, 2020, and should be applied using a modified retrospective approach, as specified in ASU 2019-10. As permitted for emerging growth companies, the Company will adopt Topic 842 under the private company transition guidance for the annual period ending December 31, 2022. The Company plans to elect the package of practical expedients permitted under the transition guidance within the new standard, which does not require it to reassess 1) whether any expired or existing contracts contain leases, 2) the lease classification of any expired or existing leases or 3) any initial direct costs for any existing leases. The Company also has lease arrangements with lease and non-lease components. The Company plans to elect the practical expedient not to separate non-lease components from lease components for the Company’s facility leases. The Company also plans to elect to apply the short-term lease measurement and recognition exemption in which ROU assets and lease liabilities are not recognized for leases with terms of 12 months or less, and lease expense is recognized on a straight-line basis over the term of the short-term lease. The Company expects adoption of the standard will have a material impact on the Consolidated Balance Sheets related to the recognition of lease liabilities and right-of-use assets for operating leases. Upon adoption, the Company expects to recognize a right-of-use asset in the range of $37 million to $47 million and related lease liability in the range of $50 million to $60 million. The adoption of this standard is not expected to result in a material impact on the Company’s consolidated results of operations or cash flows.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No. 2016-13”). ASU No. 2016-13 requires the measurement and recognition of expected credit losses for financial assets that are held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including trade receivables. ASU No. 2016-13 replaces the previous incurred loss impairment model with an expected loss model which requires the use of forward-looking information to calculate credit loss estimates. The guidance is effective for the Company beginning January 1, 2023, with early adoption permitted. The Company is currently evaluating the effect that this guidance will have on the consolidated financial statements and related disclosures. The adoption of the standard is not expected to materially impact the Company’s financial statements.</w:t>
      </w:r>
    </w:p>
    <w:p>
      <w:pPr>
        <w:spacing w:after="0" w:line="187"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 xml:space="preserve">In December 2019, the FASB issued ASU No. 2019-12, </w:t>
      </w:r>
      <w:r>
        <w:rPr>
          <w:rFonts w:ascii="Times New Roman" w:cs="Times New Roman" w:eastAsia="Times New Roman" w:hAnsi="Times New Roman"/>
          <w:sz w:val="16"/>
          <w:szCs w:val="16"/>
          <w:i w:val="1"/>
          <w:iCs w:val="1"/>
          <w:color w:val="auto"/>
        </w:rPr>
        <w:t>Simplifying the Accounting for Income Taxes</w:t>
      </w:r>
      <w:r>
        <w:rPr>
          <w:rFonts w:ascii="Times New Roman" w:cs="Times New Roman" w:eastAsia="Times New Roman" w:hAnsi="Times New Roman"/>
          <w:sz w:val="16"/>
          <w:szCs w:val="16"/>
          <w:color w:val="auto"/>
        </w:rPr>
        <w:t xml:space="preserve">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As permitted for emerging growth companies, the Company will adopt Topic 740 under the private company transition guidance for the annual period ending December 31, 2022. The Company is currently evaluating the effect that this guidance will have on the consolidated financial statements and related disclosures.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 Highline revenue will be included within Data and other revenue in the Company’s consolidated financial statements.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Highline Acquisition, which were recorded within Selling general, and administrative expense in the consolidated statements of operations.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aggregate acquisition date fair value of consideration for the Highline Acquisition totaled $35.0 million, net of cash acquired of $3.6 million and estimated net working capital deficiency of $0.5 million.</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Highline Acquisition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3,601</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(1,124)</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(3,129)</w:t>
            </w:r>
          </w:p>
        </w:tc>
      </w:tr>
      <w:tr>
        <w:trPr>
          <w:trHeight w:val="26"/>
        </w:trPr>
        <w:tc>
          <w:tcPr>
            <w:tcW w:w="44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6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w:t>
            </w:r>
          </w:p>
        </w:tc>
      </w:tr>
      <w:tr>
        <w:trPr>
          <w:trHeight w:val="31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26,062</w:t>
            </w:r>
          </w:p>
        </w:tc>
      </w:tr>
      <w:tr>
        <w:trPr>
          <w:trHeight w:val="211"/>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6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w:t>
            </w:r>
          </w:p>
        </w:tc>
      </w:tr>
      <w:tr>
        <w:trPr>
          <w:trHeight w:val="26"/>
        </w:trPr>
        <w:tc>
          <w:tcPr>
            <w:tcW w:w="44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intangible assets</w:t>
            </w:r>
          </w:p>
        </w:tc>
        <w:tc>
          <w:tcPr>
            <w:tcW w:w="6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36,812</w:t>
            </w: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Acquisition Price</w:t>
            </w:r>
          </w:p>
        </w:tc>
        <w:tc>
          <w:tcPr>
            <w:tcW w:w="6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38,650</w:t>
            </w:r>
          </w:p>
        </w:tc>
        <w:tc>
          <w:tcPr>
            <w:tcW w:w="12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3"/>
        </w:trPr>
        <w:tc>
          <w:tcPr>
            <w:tcW w:w="4480" w:type="dxa"/>
            <w:vAlign w:val="bottom"/>
          </w:tcPr>
          <w:p>
            <w:pPr>
              <w:spacing w:after="0"/>
              <w:rPr>
                <w:sz w:val="24"/>
                <w:szCs w:val="24"/>
                <w:color w:val="auto"/>
              </w:rPr>
            </w:pPr>
          </w:p>
        </w:tc>
        <w:tc>
          <w:tcPr>
            <w:tcW w:w="6260" w:type="dxa"/>
            <w:vAlign w:val="bottom"/>
            <w:gridSpan w:val="2"/>
          </w:tcPr>
          <w:p>
            <w:pPr>
              <w:jc w:val="right"/>
              <w:ind w:right="4818"/>
              <w:spacing w:after="0"/>
              <w:rPr>
                <w:sz w:val="20"/>
                <w:szCs w:val="20"/>
                <w:color w:val="auto"/>
              </w:rPr>
            </w:pPr>
            <w:r>
              <w:rPr>
                <w:rFonts w:ascii="Times New Roman" w:cs="Times New Roman" w:eastAsia="Times New Roman" w:hAnsi="Times New Roman"/>
                <w:sz w:val="18"/>
                <w:szCs w:val="18"/>
                <w:color w:val="auto"/>
              </w:rPr>
              <w:t>F-24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a stock purchase, the related goodwill created as a result of the acquisition is not deductible for tax purposes. The trade names and customer relationships intangible assets were established with seven year and three year remaining useful lives, respectively.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unaudited pro forma information shows the results of the Company’s operations as though the acquisition had occurred as of the beginning of the comparable period, January 1, 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Nine</w:t>
            </w:r>
          </w:p>
        </w:tc>
      </w:tr>
      <w:tr>
        <w:trPr>
          <w:trHeight w:val="144"/>
        </w:trPr>
        <w:tc>
          <w:tcPr>
            <w:tcW w:w="6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4"/>
        </w:trPr>
        <w:tc>
          <w:tcPr>
            <w:tcW w:w="6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4"/>
        </w:trPr>
        <w:tc>
          <w:tcPr>
            <w:tcW w:w="6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69"/>
        </w:trPr>
        <w:tc>
          <w:tcPr>
            <w:tcW w:w="6640" w:type="dxa"/>
            <w:vAlign w:val="bottom"/>
          </w:tcPr>
          <w:p>
            <w:pPr>
              <w:spacing w:after="0"/>
              <w:rPr>
                <w:sz w:val="14"/>
                <w:szCs w:val="14"/>
                <w:color w:val="auto"/>
              </w:rPr>
            </w:pPr>
          </w:p>
        </w:tc>
        <w:tc>
          <w:tcPr>
            <w:tcW w:w="4600" w:type="dxa"/>
            <w:vAlign w:val="bottom"/>
            <w:gridSpan w:val="2"/>
          </w:tcPr>
          <w:p>
            <w:pPr>
              <w:jc w:val="center"/>
              <w:ind w:left="368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03"/>
        </w:trPr>
        <w:tc>
          <w:tcPr>
            <w:tcW w:w="66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7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192,796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8"/>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applicable to common shares</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(202,283)</w:t>
            </w:r>
          </w:p>
        </w:tc>
      </w:tr>
    </w:tbl>
    <w:p>
      <w:pPr>
        <w:spacing w:after="0" w:line="17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pro forma results have been prepared for comparative purposes only and are not necessarily indicative of the actual results of operations and the acquisition taken place as of the beginning of the period presented, or the results that may occur in the future. The results were prepared utilizing the actual results of the business and there were no pro forma adjustments.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nine months ended September 30, 2022, Highline contributed $14.0 million in net revenue within the Data and other revenue line and $4.1 million of net loss to the consolidated Tempus results.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Labs Inc. purchased 100% of the issued and outstanding shares of capital stock of AKESOgen for $30.3 million, with an adjustment for working capital. In accordance with the terms of the agreement, $4.0 million of the consideration was held back, which was subsequently paid in July 2021. The transaction also included a contingent consideration arrangement to transfer shares of non-voting common stock to the former owners with an acquisition date fair value of $3.4 million, which the company recognized under long-term liabilities. The consideration will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will be paid out on the third anniversary of the Closing date.</w:t>
      </w:r>
    </w:p>
    <w:p>
      <w:pPr>
        <w:spacing w:after="0" w:line="332" w:lineRule="exact"/>
        <w:rPr>
          <w:sz w:val="20"/>
          <w:szCs w:val="20"/>
          <w:color w:val="auto"/>
        </w:rPr>
      </w:pPr>
    </w:p>
    <w:p>
      <w:pPr>
        <w:ind w:right="8100" w:firstLine="5"/>
        <w:spacing w:after="0" w:line="420" w:lineRule="auto"/>
        <w:tabs>
          <w:tab w:leader="none" w:pos="446"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Propertyand Equipment, net</w:t>
      </w:r>
    </w:p>
    <w:p>
      <w:pPr>
        <w:spacing w:after="0" w:line="1" w:lineRule="exact"/>
        <w:rPr>
          <w:rFonts w:ascii="Times New Roman" w:cs="Times New Roman" w:eastAsia="Times New Roman" w:hAnsi="Times New Roman"/>
          <w:sz w:val="16"/>
          <w:szCs w:val="16"/>
          <w:b w:val="1"/>
          <w:bCs w:val="1"/>
          <w:color w:val="auto"/>
        </w:rPr>
      </w:pP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2020 and 2021 and September 30,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420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r>
      <w:tr>
        <w:trPr>
          <w:trHeight w:val="203"/>
        </w:trPr>
        <w:tc>
          <w:tcPr>
            <w:tcW w:w="4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38,217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47,750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63,439</w:t>
            </w:r>
          </w:p>
        </w:tc>
        <w:tc>
          <w:tcPr>
            <w:tcW w:w="100" w:type="dxa"/>
            <w:vAlign w:val="bottom"/>
            <w:shd w:val="clear" w:color="auto" w:fill="CCEEFF"/>
          </w:tcPr>
          <w:p>
            <w:pPr>
              <w:spacing w:after="0"/>
              <w:rPr>
                <w:sz w:val="17"/>
                <w:szCs w:val="17"/>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23,352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30,117</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6,573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6,633</w:t>
            </w: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100,189</w:t>
            </w:r>
          </w:p>
        </w:tc>
        <w:tc>
          <w:tcPr>
            <w:tcW w:w="10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(42,644)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(54,932)</w:t>
            </w: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45,257</w:t>
            </w:r>
          </w:p>
        </w:tc>
        <w:tc>
          <w:tcPr>
            <w:tcW w:w="1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200" w:type="dxa"/>
            <w:vAlign w:val="bottom"/>
          </w:tcPr>
          <w:p>
            <w:pPr>
              <w:spacing w:after="0"/>
              <w:rPr>
                <w:sz w:val="24"/>
                <w:szCs w:val="24"/>
                <w:color w:val="auto"/>
              </w:rPr>
            </w:pPr>
          </w:p>
        </w:tc>
        <w:tc>
          <w:tcPr>
            <w:tcW w:w="34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F-25</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2021 and the nine months ended September 30, 2021 and 2022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080" w:type="dxa"/>
            <w:vAlign w:val="bottom"/>
          </w:tcPr>
          <w:p>
            <w:pPr>
              <w:spacing w:after="0"/>
              <w:rPr>
                <w:sz w:val="9"/>
                <w:szCs w:val="9"/>
                <w:color w:val="auto"/>
              </w:rPr>
            </w:pPr>
          </w:p>
        </w:tc>
        <w:tc>
          <w:tcPr>
            <w:tcW w:w="112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9"/>
                <w:szCs w:val="9"/>
                <w:color w:val="auto"/>
              </w:rPr>
            </w:pPr>
          </w:p>
        </w:tc>
        <w:tc>
          <w:tcPr>
            <w:tcW w:w="800" w:type="dxa"/>
            <w:vAlign w:val="bottom"/>
            <w:gridSpan w:val="4"/>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gridSpan w:val="5"/>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7,206</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5,854</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5,885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60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8,690</w:t>
            </w: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12,968</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27,726</w:t>
            </w: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31,569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20" w:type="dxa"/>
            <w:vAlign w:val="bottom"/>
            <w:tcBorders>
              <w:bottom w:val="single" w:sz="8" w:color="auto"/>
            </w:tcBorders>
          </w:tcPr>
          <w:p>
            <w:pPr>
              <w:spacing w:after="0"/>
              <w:rPr>
                <w:sz w:val="18"/>
                <w:szCs w:val="18"/>
                <w:color w:val="auto"/>
              </w:rPr>
            </w:pPr>
          </w:p>
        </w:tc>
        <w:tc>
          <w:tcPr>
            <w:tcW w:w="58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40,694</w:t>
            </w:r>
          </w:p>
        </w:tc>
        <w:tc>
          <w:tcPr>
            <w:tcW w:w="5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Other Assets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and other assets include amounts due from related parties (Note 14), and an equity method investment.</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June 21, 2021, the Company contributed $5.9 million in cash for a minority interest in a research platform in service of advancing data-driven medicine in psychiatry. The Company concurrently entered a Commercial partnership agreement with the investee for the purpose of furthering the commercialization efforts of the associated research platform.</w:t>
      </w:r>
    </w:p>
    <w:p>
      <w:pPr>
        <w:spacing w:after="0" w:line="178"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Consistent with purchase obligations disclosed in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the commercial partnership agreement includes committed payments for access to the data and additional payments contingent on the commercialization of such data. The annual license fee commitment is not materially significant.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1st. The changes in the carrying amount of goodwill for the years ended December 31, 2020 and 2021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4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$15,986</w:t>
            </w:r>
          </w:p>
        </w:tc>
      </w:tr>
      <w:tr>
        <w:trPr>
          <w:trHeight w:val="21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4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4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$15,992</w:t>
            </w:r>
          </w:p>
        </w:tc>
      </w:tr>
      <w:tr>
        <w:trPr>
          <w:trHeight w:val="21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$15,985</w:t>
            </w: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There were no goodwill additions for the nine months ended September 30, 2021. During the nine months ended September 30, 2022, goodwill of $26.0 million was recorded in connection with the Highline Acquisition.</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2020 and 2021 or for the nine months ended September 30, 2021 and 2022.</w:t>
      </w:r>
    </w:p>
    <w:p>
      <w:pPr>
        <w:spacing w:after="0" w:line="213"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Intangible assets are initially recorded at their acquisition cost, or fair value if acquired as part of a business combination and amortized over their estimated useful lives. Intangible assets consist of a website domain, customer relationships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 During the years ended December 31, 2020 and 2021, the gross amount of intangible assets increased $13.1 million and $3.0 million, respectively, resulting from the extension of a research collaboration agreement. The amendment extended the minimum length of the contract from five years to seven years. During the nine months ended September 30, 2022, the Company recorded a $1.3 million licensed data intangible asset related to de-identified data obtained through an additional research collaboration agreement, and $8.0 million and $2.8 million of trade names and customer relationships, respectively, related to the Highline Acquisition.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2020 and 2021 and September 30, 2022 (in thousands):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6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2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9"/>
                <w:szCs w:val="9"/>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9"/>
                <w:szCs w:val="9"/>
                <w:color w:val="auto"/>
              </w:rPr>
            </w:pPr>
          </w:p>
        </w:tc>
        <w:tc>
          <w:tcPr>
            <w:tcW w:w="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gridSpan w:val="2"/>
            <w:vMerge w:val="continue"/>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$17,300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2,471</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$14,829</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$17,300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4,943</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$12,357</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7,609</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$12,941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50,586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20,975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28,625</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24,910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34,968</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19,894</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857</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7,143</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67,905</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23,446</w:t>
            </w:r>
          </w:p>
        </w:tc>
        <w:tc>
          <w:tcPr>
            <w:tcW w:w="8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44,459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70,854</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33,568</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37,286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83,431</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43,434</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39,997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F-27</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five to seven years. Amortization expense was $9.9 million and $10.1 million for the years ended December 31, 2020 and December 31, 2021, respectively, and $7.5 million and $9.9 million for the nine months ended September 30, 2021 and 2022, and is recorded in cost of revenues, technology research and development or research and development, depending on use of the asset. The weighted average life of our intangibles is approximately seven years. As of December 31, 2021, the estimated future amortization expense related to intangible assets is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10,564</w:t>
            </w: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10,564</w:t>
            </w: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10,164</w:t>
            </w: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3,061</w:t>
            </w: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2,914</w:t>
            </w: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$ 37,267</w:t>
            </w: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7" w:lineRule="exact"/>
        <w:rPr>
          <w:sz w:val="20"/>
          <w:szCs w:val="20"/>
          <w:color w:val="auto"/>
        </w:rPr>
      </w:pPr>
    </w:p>
    <w:p>
      <w:pPr>
        <w:ind w:left="460" w:right="7540" w:hanging="455"/>
        <w:spacing w:after="0" w:line="366" w:lineRule="auto"/>
        <w:tabs>
          <w:tab w:leader="none" w:pos="45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spacing w:after="0" w:line="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with lease expirations between 2021 and 2029. Rent expenses under operating leases was $6.2 million and $9.3 million for the years ended December 31, 2020 and 2021, respectively.</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leases its headquarters located in Chicago, Illinois (“600 West Chicago”). Our lease agreement for 600 West Chicago extends through May 2029 and includes rent escalations of 2.5% per year. The 600 West Chicago lease represents $35.4 million of the estimated future payments under operating leases shown in the table below. The Company accounts for the 600 West Chicago lease as an operating lease and recognizes rent expense on a straight-line basis, taking into account rent escalations and lease incentives.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also acquired portions of its equipment under capital lease agreements, with expirations between 2022 and 2023.</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the future payments under operating and capital leases for each of the next five years and thereafter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4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88"/>
              </w:rPr>
              <w:t>454</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vMerge w:val="continue"/>
          </w:tcPr>
          <w:p>
            <w:pPr>
              <w:spacing w:after="0"/>
              <w:rPr>
                <w:sz w:val="18"/>
                <w:szCs w:val="18"/>
                <w:color w:val="auto"/>
              </w:rPr>
            </w:pPr>
          </w:p>
        </w:tc>
        <w:tc>
          <w:tcPr>
            <w:tcW w:w="4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55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4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710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capital lease obligations</w:t>
            </w:r>
          </w:p>
        </w:tc>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capital lease obligations</w:t>
            </w:r>
          </w:p>
        </w:tc>
        <w:tc>
          <w:tcPr>
            <w:tcW w:w="4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F-28</w:t>
            </w:r>
          </w:p>
        </w:tc>
        <w:tc>
          <w:tcPr>
            <w:tcW w:w="3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2020 and 2021, the Company recognized data licensing and cloud computing expenses of $27.1 million and $39.6 million, respectively, related to non-cancelable arrangements.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2021, future payments under these contractual obligations were as follows (in thousands):</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101,054</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 Company had no outstanding litigation as of December 31, 2021 or as of September 30, 2022.</w:t>
      </w:r>
    </w:p>
    <w:p>
      <w:pPr>
        <w:spacing w:after="0" w:line="312" w:lineRule="exact"/>
        <w:rPr>
          <w:sz w:val="20"/>
          <w:szCs w:val="20"/>
          <w:color w:val="auto"/>
        </w:rPr>
      </w:pPr>
    </w:p>
    <w:p>
      <w:pPr>
        <w:ind w:left="460" w:right="8640" w:hanging="455"/>
        <w:spacing w:after="0" w:line="366" w:lineRule="auto"/>
        <w:tabs>
          <w:tab w:leader="none" w:pos="453"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has authorized 181,700,285 shares of Class A common stock, 5,374,899 shares of Class B common stock, and 63,946,627 shares of non-voting common stock. In February 2022, the Company increased the number of authorized shares of non-voting common stock to 66,946,627. In April 2022, the Company increased the number of authorized shares of Class A common stock to 195,865,548 in conjunction with the Series G-3 Financing (see Note 8, Redeemable Convertible Preferred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 and each share of Class B common stock is entitled to fifteen votes per share. Non-voting shares of common stock do not have voting rights.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twenty-year anniversary of the filing of the certificate of amendment to the Company’s ninth amended and restated certificate of incorporation, which is March 15, 2041; (3) the termination of Mr. Lefkofsky’s employment or service with the Company as an executive officer and member of the board of directors; and (4) the date that Mr. Lefkofsky and his controlled entities hold, in the aggregate, fewer than 10,000,000 shares of the Company’s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9, Stock-Based Compensation).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If no such transaction has occurred, the exercise price will be the latest equity financing price.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from $200 million to $300 million through December 2026.</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2020, the Company authorized and issued 2,537,290 shares of Series G Preferred Stock (“Series G Preferred”). 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$.0001. The Company used the proceeds from such issuances for working capital and general corporate purposes.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1,614,114 shares of Series G-3 Preferred stock (“Series G-3 Preferred”) for aggregate proceeds of $92.5 million. Each share has a par value of $.0001. The Company will use the proceeds for working capital and general corporate purposes.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Redeemable convertible preferred stock outstanding as of December 31, 2020 and 2021 and September 30, 2022, consisted of the following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560" w:type="dxa"/>
            <w:vAlign w:val="bottom"/>
          </w:tcPr>
          <w:p>
            <w:pPr>
              <w:spacing w:after="0"/>
              <w:rPr>
                <w:sz w:val="14"/>
                <w:szCs w:val="14"/>
                <w:color w:val="auto"/>
              </w:rPr>
            </w:pPr>
          </w:p>
        </w:tc>
        <w:tc>
          <w:tcPr>
            <w:tcW w:w="6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14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right"/>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1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560" w:type="dxa"/>
            <w:vAlign w:val="bottom"/>
          </w:tcPr>
          <w:p>
            <w:pPr>
              <w:spacing w:after="0"/>
              <w:rPr>
                <w:sz w:val="13"/>
                <w:szCs w:val="13"/>
                <w:color w:val="auto"/>
              </w:rPr>
            </w:pPr>
          </w:p>
        </w:tc>
        <w:tc>
          <w:tcPr>
            <w:tcW w:w="620" w:type="dxa"/>
            <w:vAlign w:val="bottom"/>
            <w:gridSpan w:val="3"/>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14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780" w:type="dxa"/>
            <w:vAlign w:val="bottom"/>
            <w:gridSpan w:val="2"/>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5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2015</w:t>
            </w: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5,374,899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2016</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4,191,173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2017</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9,779,403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78,777</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8,534,330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91,623</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2018</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6,630,905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127,306</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2019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8,077,674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219,749</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2020</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2,537,290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102,186</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11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188,889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60,921,767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871,530</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859,156</w:t>
            </w: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Excludes amounts related to the conversion of convertible note</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0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140" w:type="dxa"/>
            <w:vAlign w:val="bottom"/>
            <w:gridSpan w:val="2"/>
          </w:tcPr>
          <w:p>
            <w:pPr>
              <w:jc w:val="right"/>
              <w:ind w:right="50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right"/>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80" w:type="dxa"/>
            <w:vAlign w:val="bottom"/>
            <w:gridSpan w:val="4"/>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140" w:type="dxa"/>
            <w:vAlign w:val="bottom"/>
            <w:gridSpan w:val="2"/>
          </w:tcPr>
          <w:p>
            <w:pPr>
              <w:jc w:val="right"/>
              <w:ind w:right="36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2020/2021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61,078,813</w:t>
            </w: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913,138</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898,291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Excludes amounts related to the conversion of convertible note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780" w:type="dxa"/>
            <w:vAlign w:val="bottom"/>
            <w:gridSpan w:val="2"/>
            <w:vMerge w:val="continue"/>
          </w:tcPr>
          <w:p>
            <w:pPr>
              <w:spacing w:after="0"/>
              <w:rPr>
                <w:sz w:val="9"/>
                <w:szCs w:val="9"/>
                <w:color w:val="auto"/>
              </w:rPr>
            </w:pP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Issued</w:t>
            </w:r>
          </w:p>
        </w:tc>
        <w:tc>
          <w:tcPr>
            <w:tcW w:w="2340" w:type="dxa"/>
            <w:vAlign w:val="bottom"/>
            <w:gridSpan w:val="5"/>
          </w:tcPr>
          <w:p>
            <w:pPr>
              <w:jc w:val="right"/>
              <w:ind w:right="740"/>
              <w:spacing w:after="0" w:line="111" w:lineRule="exact"/>
              <w:rPr>
                <w:sz w:val="20"/>
                <w:szCs w:val="20"/>
                <w:color w:val="auto"/>
              </w:rPr>
            </w:pPr>
            <w:r>
              <w:rPr>
                <w:rFonts w:ascii="Times New Roman" w:cs="Times New Roman" w:eastAsia="Times New Roman" w:hAnsi="Times New Roman"/>
                <w:sz w:val="12"/>
                <w:szCs w:val="12"/>
                <w:b w:val="1"/>
                <w:bCs w:val="1"/>
                <w:color w:val="auto"/>
              </w:rPr>
              <w:t>Shares Authorized</w:t>
            </w:r>
          </w:p>
        </w:tc>
        <w:tc>
          <w:tcPr>
            <w:tcW w:w="1140" w:type="dxa"/>
            <w:vAlign w:val="bottom"/>
            <w:gridSpan w:val="3"/>
          </w:tcPr>
          <w:p>
            <w:pPr>
              <w:jc w:val="right"/>
              <w:ind w:right="36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60" w:type="dxa"/>
            <w:vAlign w:val="bottom"/>
          </w:tcPr>
          <w:p>
            <w:pPr>
              <w:jc w:val="right"/>
              <w:ind w:right="7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7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vMerge w:val="continue"/>
          </w:tcPr>
          <w:p>
            <w:pPr>
              <w:spacing w:after="0"/>
              <w:rPr>
                <w:sz w:val="13"/>
                <w:szCs w:val="13"/>
                <w:color w:val="auto"/>
              </w:rPr>
            </w:pPr>
          </w:p>
        </w:tc>
        <w:tc>
          <w:tcPr>
            <w:tcW w:w="2340" w:type="dxa"/>
            <w:vAlign w:val="bottom"/>
            <w:gridSpan w:val="5"/>
          </w:tcPr>
          <w:p>
            <w:pPr>
              <w:jc w:val="right"/>
              <w:ind w:right="940"/>
              <w:spacing w:after="0" w:line="15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1020" w:type="dxa"/>
            <w:vAlign w:val="bottom"/>
            <w:gridSpan w:val="2"/>
          </w:tcPr>
          <w:p>
            <w:pPr>
              <w:jc w:val="right"/>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82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10,374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10,374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10,374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31,122</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82,620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98,963</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98,335</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140,995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140,995</w:t>
            </w: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243,388</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243,388</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112,038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112,038</w:t>
            </w: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2020/2021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197,889</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197,889</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1,614,114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94,342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94,342</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1,032,479</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2020 and 2021 and September 30, 2022,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and Series G-3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Except for the holders of Series G-2 and Series G-3 Preferred, the holders of Series Preferred are entitled to dividends at a rate of 5% or 6% of the original issue price (subject to adjustment in the event of any stock 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With the exception of the Series B Preferred stockholders, Preferred stockholders are entitled to the number of votes equal to the product obtained by multiplying the number of shares of voting common stock into which their shares could be converted. Series B Preferred stockholders are entitled to the number of votes equal to the product obtained by multiplying the number of shares of voting common stock into which their shares could be converted by ten.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G-3, Series G-2, Series G, Series F, Series E, Series D, Series C, Series B-2, Series B-1, Series B, Series A.</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outstanding share of Series G-3 Preferred, Series G-2 Preferred, Series G Preferred,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G-3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at an offering price of $68.7683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2020 and 2021 and September 30, 2021 and 2022. In the event of an initial public offering (“IPO”), the Series G-3 Preferred conversion price is subject to a 10% discount off the lesser of price per share of Class A Common Stock, and Series G-3 original issue price, or, if this offering is completed after June 30, 2023, a 15% discount off of the public offering price (“Special IPO Adjustment”).</w:t>
      </w:r>
    </w:p>
    <w:p>
      <w:pPr>
        <w:spacing w:after="0" w:line="16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conjunction with the issuance of the Series G-3 Preferred, the Company entered into an agreement with a single investor pursuant to which the Company agreed to make a contingent payment to such investor equal to the difference of: (a) the product of (i) 287,923 and (ii) $57.3069, divided by the lesser of (a) the product of (1) the price per share of the Class A Common Stock sold in the IPO and (2) (x) 0.90, if the IPO is consummated on or prior to June 30, 2023, or (y) 0.85, if the IPO is consummated after June 30, 2023, and (ii) the price per share of the Class A Common Stock sold in the IPO, minus (b) the product of (1) 287,923 and (ii) the price per share of the Class A Common Stock sold in the IPO, which payment may be made in cash or shares of Class A common stock, upon mutual agreement of us and the stockholder.</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evaluated the conversion features of the Series G-3 Preferred to assess whether they qualify as freestanding instruments which are required to be bifurcated from the host instrument. Each instrument was determined to be an embedded conversion option which is clearly and closely related to its equity host instrument, and as such, no bifurcation was required.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160" w:hanging="455"/>
        <w:spacing w:after="0" w:line="366" w:lineRule="auto"/>
        <w:tabs>
          <w:tab w:leader="none" w:pos="453"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2015, the Company adopted the Tempus Labs, Inc. 2015 Stock Plan (the Plan), which has been amended and restated numerous times to increase the aggregate shares authorized to be issued to employees, consultants, and directors of the Company. As of December 31, 2020 and 2021, there were 22,115,750 shares authorized under the Plan. In February 2022, the Plan was amended to increase the aggregate shares authorized to be issued to 25,115,750.</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2020 and 2021, 8,572,503 and 971,331 shares, respectively, were available for future issuance under the Plan.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of $0.4 million, $0.6 million, $0.6 million, and $0 in the years ended December 31, 2020 and 2021 and the nine months ended September 30, 2021 and 2022, respectively, within Selling, general and administrative expense. The Company accounts for forfeitures as they occur.</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4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6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2020</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8,738,247</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2,255,425</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(649,253)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Redeemed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10,344,419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restricted stock units that vested during the years ended December 31, 2020 and 2021. As of December 31, 2021, there was $115.6 million of unrecognized stock compensation expense relating to RSUs. Because of the liquidity event requirement, the Company cannot estimate the weighted-average period over which this expense will be recognized.</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2,209,792 RSUs. As of September 30, 2022, there was $162.2 million of unrecognized stock compensation expense relating to RSUs.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performance stock units (“PSUs”) granted under the Plan are subject to two vesting conditions. For PSUs granted in 2020, the first is the achievement of a revenue target before December 31, 2021 while remaining employed. This target was not met as of December 31, 2021, which resulted in the forfeiture of 200,000 PSUs. For PSUs granted in 2021, the first condition is the achievement of a valuation target. The second vesting condition is the occurrence of a liquidity event, as defined in the grant agreement. The fair value of each PSU is estimated on the date of grant using the 409a value of a non-voting share of common stock on such date. The table below summarizes performance stock unit activity under the Plan for the year ended December 31,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 -</w:t>
            </w:r>
          </w:p>
        </w:tc>
        <w:tc>
          <w:tcPr>
            <w:tcW w:w="0" w:type="dxa"/>
            <w:vAlign w:val="bottom"/>
          </w:tcPr>
          <w:p>
            <w:pPr>
              <w:spacing w:after="0"/>
              <w:rPr>
                <w:sz w:val="1"/>
                <w:szCs w:val="1"/>
                <w:color w:val="auto"/>
              </w:rPr>
            </w:pPr>
          </w:p>
        </w:tc>
      </w:tr>
      <w:tr>
        <w:trPr>
          <w:trHeight w:val="144"/>
        </w:trPr>
        <w:tc>
          <w:tcPr>
            <w:tcW w:w="89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69"/>
        </w:trPr>
        <w:tc>
          <w:tcPr>
            <w:tcW w:w="89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2020</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(205,000)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PSUs that vested during the years ended December 31, 2020 and 2021. As of December 31, 2021, there was $244.0 million of unrecognized stock compensation expense relating to PSUs. Because of the liquidity event requirement, the Company cannot estimate the weighted-average period over which this expense will be recognized should the performance condition be met.</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no PSUs. As of September 30, 2022, there was $242.0 million of unrecognized compensation expense related to PSUs.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spacing w:after="0"/>
              <w:rPr>
                <w:sz w:val="13"/>
                <w:szCs w:val="13"/>
                <w:color w:val="auto"/>
              </w:rPr>
            </w:pPr>
          </w:p>
        </w:tc>
        <w:tc>
          <w:tcPr>
            <w:tcW w:w="1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Outstanding—December 31, 2020</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357"/>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exercisable—December 31, 2021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gridSpan w:val="2"/>
            <w:vMerge w:val="continue"/>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ind w:left="357"/>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2020 and 2021, and there is no unrecognized expense relating to stock options.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6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w:t>
            </w:r>
          </w:p>
        </w:tc>
        <w:tc>
          <w:tcPr>
            <w:tcW w:w="620" w:type="dxa"/>
            <w:vAlign w:val="bottom"/>
            <w:tcBorders>
              <w:top w:val="single" w:sz="8" w:color="auto"/>
            </w:tcBorders>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7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4,250,000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Total compensation expense for vesting of restricted stock into unrestricted stock was $0.4 million for the year ended December 31, 2020. No compensation cost was recognized for the year ended December 31, 2021, and as of December 31, 2021, there was no unrecognized compensation cost related to non-vested restricted stock awards.</w:t>
      </w:r>
    </w:p>
    <w:p>
      <w:pPr>
        <w:spacing w:after="0" w:line="323" w:lineRule="exact"/>
        <w:rPr>
          <w:sz w:val="20"/>
          <w:szCs w:val="20"/>
          <w:color w:val="auto"/>
        </w:rPr>
      </w:pPr>
    </w:p>
    <w:p>
      <w:pPr>
        <w:ind w:left="460" w:hanging="455"/>
        <w:spacing w:after="0"/>
        <w:tabs>
          <w:tab w:leader="none" w:pos="4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On September 22, 2022, the Company entered into a Credit Agreement with Ares Capital Corporation (“Ares”) for a senior secured loan (the “Term Loan Facility”) in the amount of $175 million, less original issue discount of $4.4 million and deferred financing fees of $2.6 million. The proceeds of the Term Loan Facility will be used for working capital and general corporate purposes, to finance growth initiatives, to pay for operating expenses, and to pay the Transaction Costs. The Term Loan Facility is due at maturity on September 22, 2027 and is subject to quarterly interest payments for Base Rate Loans and at the end of the applicable interest rate period for Secured Overnight Financing Rate (“SOFR”) Loans. As of September 30, 2022, the interest rate on the Term Loan Facility was 10.5%. 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w:t>
      </w:r>
    </w:p>
    <w:p>
      <w:pPr>
        <w:spacing w:after="0" w:line="72" w:lineRule="exact"/>
        <w:rPr>
          <w:sz w:val="20"/>
          <w:szCs w:val="20"/>
          <w:color w:val="auto"/>
        </w:rPr>
      </w:pPr>
    </w:p>
    <w:p>
      <w:pPr>
        <w:ind w:left="1000" w:hanging="386"/>
        <w:spacing w:after="0" w:line="267" w:lineRule="auto"/>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569"/>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 per annum</w:t>
      </w:r>
    </w:p>
    <w:p>
      <w:pPr>
        <w:spacing w:after="0" w:line="121" w:lineRule="exact"/>
        <w:rPr>
          <w:rFonts w:ascii="Times New Roman" w:cs="Times New Roman" w:eastAsia="Times New Roman" w:hAnsi="Times New Roman"/>
          <w:sz w:val="18"/>
          <w:szCs w:val="18"/>
          <w:color w:val="auto"/>
        </w:rPr>
      </w:pPr>
    </w:p>
    <w:p>
      <w:pPr>
        <w:ind w:left="1020" w:hanging="569"/>
        <w:spacing w:after="0" w:line="267"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569"/>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 per annum</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Term Credit Facility contains customary representations and warranties, financial and other covenants, and events of default, including but not limited to, limitations on earnout, milestone, or deferred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40"/>
          </w:cols>
          <w:pgMar w:left="320" w:top="448" w:right="2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The Company was in compliance with the covenants of the Credit Agreement as of September 30, 2022.</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original issue discount of $4.4 million and deferred financing costs of $2.6 million are amortized over the term of the underlying debt and unamortized amounts have been offset against long-term debt in the consolidated balance sheets. Total amortization of the original issue discount and deferred financing costs are reflected in interest expense on the consolidated statements of operations and are immaterial for the nine months ended September 30, 2022.</w:t>
      </w:r>
    </w:p>
    <w:p>
      <w:pPr>
        <w:spacing w:after="0" w:line="14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Through September 30, 2022, the Company has not made any principal repayments or interest payments on the Term Loan Facility. As of September 30, 2022, the interest rate on the Term Loan Facility is 10.5%. Interest expense for the nine months ended September 30, 2022 related to the Term Loan Facility is $0.4 million.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As of December 31, 2021, the value of the note was $238.2 million. The Company accounts for the principal reductions as an offset to our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340"/>
          </w:cols>
          <w:pgMar w:left="320" w:top="448"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material and was therefore not bifurcated. As such, upon issuance of the Note the Company recorded a promissory note of $330.0 million. The Company recognized interest expense on the Amended Note of $10.0 million and $15.2 million during the year ended December 31, 2020 and 2021, respectively, and $11.4 million and $12.7 million during the nine months ended September 30, 2021 and 2022, respectively.</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accounted for the conversion of the $80.0 million as a debt extinguishment and recognized a loss on extinguishment of debt of $8.9 million within Interest Expense in the consolidated statement of operations and comprehensive loss during the year ended December 31, 2020. The loss on extinguishment of debt was calculated as the difference between (i) the fair value of shares of Series G-2 issued and (ii) the carrying value of the Notes that were converted.</w:t>
      </w:r>
    </w:p>
    <w:p>
      <w:pPr>
        <w:spacing w:after="0" w:line="327" w:lineRule="exact"/>
        <w:rPr>
          <w:sz w:val="20"/>
          <w:szCs w:val="20"/>
          <w:color w:val="auto"/>
        </w:rPr>
      </w:pPr>
    </w:p>
    <w:p>
      <w:pPr>
        <w:ind w:left="460" w:hanging="455"/>
        <w:spacing w:after="0"/>
        <w:tabs>
          <w:tab w:leader="none" w:pos="4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As a result of the adoption of ASU 2020-06 during Q1 2022, the Company used the if-converted method to calculate diluted EPS. As the Company had net losses in the nine months ended September 30, 2021 and 2022, respectively, all potentially dilutive common stock equivalents have been excluded from the calculation of diluted net loss per share attributable to common stockholders as their effect is anti-dilutive.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5"/>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right"/>
              <w:ind w:right="11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2060" w:type="dxa"/>
            <w:vAlign w:val="bottom"/>
            <w:gridSpan w:val="5"/>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5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22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w w:val="93"/>
              </w:rPr>
              <w:t>(209,854)</w:t>
            </w:r>
          </w:p>
        </w:tc>
        <w:tc>
          <w:tcPr>
            <w:tcW w:w="100" w:type="dxa"/>
            <w:vAlign w:val="bottom"/>
          </w:tcPr>
          <w:p>
            <w:pPr>
              <w:spacing w:after="0"/>
              <w:rPr>
                <w:sz w:val="18"/>
                <w:szCs w:val="18"/>
                <w:color w:val="auto"/>
              </w:rPr>
            </w:pPr>
          </w:p>
        </w:tc>
        <w:tc>
          <w:tcPr>
            <w:tcW w:w="124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w w:val="93"/>
              </w:rPr>
              <w:t>(259,192)</w:t>
            </w:r>
          </w:p>
        </w:tc>
        <w:tc>
          <w:tcPr>
            <w:tcW w:w="80" w:type="dxa"/>
            <w:vAlign w:val="bottom"/>
          </w:tcPr>
          <w:p>
            <w:pPr>
              <w:spacing w:after="0"/>
              <w:rPr>
                <w:sz w:val="18"/>
                <w:szCs w:val="18"/>
                <w:color w:val="auto"/>
              </w:rPr>
            </w:pPr>
          </w:p>
        </w:tc>
        <w:tc>
          <w:tcPr>
            <w:tcW w:w="12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w w:val="96"/>
              </w:rPr>
              <w:t>(200,211)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(223,735)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00" w:type="dxa"/>
            <w:vAlign w:val="bottom"/>
          </w:tcPr>
          <w:p>
            <w:pPr>
              <w:spacing w:after="0"/>
              <w:rPr>
                <w:sz w:val="18"/>
                <w:szCs w:val="18"/>
                <w:color w:val="auto"/>
              </w:rPr>
            </w:pPr>
          </w:p>
        </w:tc>
        <w:tc>
          <w:tcPr>
            <w:tcW w:w="122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(34,420)</w:t>
            </w:r>
          </w:p>
        </w:tc>
        <w:tc>
          <w:tcPr>
            <w:tcW w:w="100" w:type="dxa"/>
            <w:vAlign w:val="bottom"/>
          </w:tcPr>
          <w:p>
            <w:pPr>
              <w:spacing w:after="0"/>
              <w:rPr>
                <w:sz w:val="18"/>
                <w:szCs w:val="18"/>
                <w:color w:val="auto"/>
              </w:rPr>
            </w:pPr>
          </w:p>
        </w:tc>
        <w:tc>
          <w:tcPr>
            <w:tcW w:w="124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(35,758)</w:t>
            </w:r>
          </w:p>
        </w:tc>
        <w:tc>
          <w:tcPr>
            <w:tcW w:w="80" w:type="dxa"/>
            <w:vAlign w:val="bottom"/>
          </w:tcPr>
          <w:p>
            <w:pPr>
              <w:spacing w:after="0"/>
              <w:rPr>
                <w:sz w:val="18"/>
                <w:szCs w:val="18"/>
                <w:color w:val="auto"/>
              </w:rPr>
            </w:pPr>
          </w:p>
        </w:tc>
        <w:tc>
          <w:tcPr>
            <w:tcW w:w="12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(26,595)</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(253,905</w:t>
            </w:r>
          </w:p>
        </w:tc>
        <w:tc>
          <w:tcPr>
            <w:tcW w:w="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(297,736</w:t>
            </w:r>
          </w:p>
        </w:tc>
        <w:tc>
          <w:tcPr>
            <w:tcW w:w="600" w:type="dxa"/>
            <w:vAlign w:val="bottom"/>
          </w:tcPr>
          <w:p>
            <w:pPr>
              <w:jc w:val="right"/>
              <w:ind w:right="5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(228,916</w:t>
            </w:r>
          </w:p>
        </w:tc>
        <w:tc>
          <w:tcPr>
            <w:tcW w:w="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(256,576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shared outstanding, basic and diluted</w:t>
            </w:r>
          </w:p>
        </w:tc>
        <w:tc>
          <w:tcPr>
            <w:tcW w:w="100" w:type="dxa"/>
            <w:vAlign w:val="bottom"/>
          </w:tcPr>
          <w:p>
            <w:pPr>
              <w:spacing w:after="0"/>
              <w:rPr>
                <w:sz w:val="18"/>
                <w:szCs w:val="18"/>
                <w:color w:val="auto"/>
              </w:rPr>
            </w:pPr>
          </w:p>
        </w:tc>
        <w:tc>
          <w:tcPr>
            <w:tcW w:w="122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color w:val="auto"/>
              </w:rPr>
              <w:t>62,706</w:t>
            </w:r>
          </w:p>
        </w:tc>
        <w:tc>
          <w:tcPr>
            <w:tcW w:w="100" w:type="dxa"/>
            <w:vAlign w:val="bottom"/>
          </w:tcPr>
          <w:p>
            <w:pPr>
              <w:spacing w:after="0"/>
              <w:rPr>
                <w:sz w:val="18"/>
                <w:szCs w:val="18"/>
                <w:color w:val="auto"/>
              </w:rPr>
            </w:pPr>
          </w:p>
        </w:tc>
        <w:tc>
          <w:tcPr>
            <w:tcW w:w="124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62,975</w:t>
            </w:r>
          </w:p>
        </w:tc>
        <w:tc>
          <w:tcPr>
            <w:tcW w:w="80" w:type="dxa"/>
            <w:vAlign w:val="bottom"/>
          </w:tcPr>
          <w:p>
            <w:pPr>
              <w:spacing w:after="0"/>
              <w:rPr>
                <w:sz w:val="18"/>
                <w:szCs w:val="18"/>
                <w:color w:val="auto"/>
              </w:rPr>
            </w:pPr>
          </w:p>
        </w:tc>
        <w:tc>
          <w:tcPr>
            <w:tcW w:w="124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color w:val="auto"/>
              </w:rPr>
              <w:t>62,973</w:t>
            </w: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62,980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F-38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7, the Company issued a warrant for $100 million in shares of the Company’s Class A common stock. As per the terms of the warrant, potentially dilutive shares are based on the latest equity financing price.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4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38"/>
        </w:trPr>
        <w:tc>
          <w:tcPr>
            <w:tcW w:w="20" w:type="dxa"/>
            <w:vAlign w:val="bottom"/>
          </w:tcPr>
          <w:p>
            <w:pPr>
              <w:spacing w:after="0"/>
              <w:rPr>
                <w:sz w:val="11"/>
                <w:szCs w:val="11"/>
                <w:color w:val="auto"/>
              </w:rPr>
            </w:pPr>
          </w:p>
        </w:tc>
        <w:tc>
          <w:tcPr>
            <w:tcW w:w="644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18"/>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1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18"/>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Shares associated with contingent consideration</w:t>
            </w: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60,921,767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61,078,813</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61,078,813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62,692,927</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61,131,767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63,179,270</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61,434,279</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64,793,384</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9, the Company’s RSUs include a triggering liquidation performance condition prior to vesting. As disclosed in Note 10, contingent upon certain financing events,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327" w:lineRule="exact"/>
        <w:rPr>
          <w:sz w:val="20"/>
          <w:szCs w:val="20"/>
          <w:color w:val="auto"/>
        </w:rPr>
      </w:pPr>
    </w:p>
    <w:p>
      <w:pPr>
        <w:ind w:left="460" w:hanging="455"/>
        <w:spacing w:after="0"/>
        <w:tabs>
          <w:tab w:leader="none" w:pos="4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income taxes consist of the following as of December 31, 2020 and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8"/>
        </w:trPr>
        <w:tc>
          <w:tcPr>
            <w:tcW w:w="4720" w:type="dxa"/>
            <w:vAlign w:val="bottom"/>
            <w:tcBorders>
              <w:bottom w:val="single" w:sz="8" w:color="CCEEFF"/>
            </w:tcBorders>
          </w:tcPr>
          <w:p>
            <w:pPr>
              <w:spacing w:after="0"/>
              <w:rPr>
                <w:sz w:val="11"/>
                <w:szCs w:val="11"/>
                <w:color w:val="auto"/>
              </w:rPr>
            </w:pPr>
          </w:p>
        </w:tc>
        <w:tc>
          <w:tcPr>
            <w:tcW w:w="46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r>
      <w:tr>
        <w:trPr>
          <w:trHeight w:val="190"/>
        </w:trPr>
        <w:tc>
          <w:tcPr>
            <w:tcW w:w="47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Charitable Contribution Carryforwards</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98,895</w:t>
            </w: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163,656</w:t>
            </w:r>
          </w:p>
        </w:tc>
      </w:tr>
      <w:tr>
        <w:trPr>
          <w:trHeight w:val="21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4,038</w:t>
            </w:r>
          </w:p>
        </w:tc>
      </w:tr>
      <w:tr>
        <w:trPr>
          <w:trHeight w:val="21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6,451</w:t>
            </w:r>
          </w:p>
        </w:tc>
      </w:tr>
      <w:tr>
        <w:trPr>
          <w:trHeight w:val="21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Payroll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344</w:t>
            </w:r>
          </w:p>
        </w:tc>
      </w:tr>
      <w:tr>
        <w:trPr>
          <w:trHeight w:val="21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76</w:t>
            </w:r>
          </w:p>
        </w:tc>
      </w:tr>
      <w:tr>
        <w:trPr>
          <w:trHeight w:val="26"/>
        </w:trPr>
        <w:tc>
          <w:tcPr>
            <w:tcW w:w="47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47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108,015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174,769</w:t>
            </w:r>
          </w:p>
        </w:tc>
      </w:tr>
      <w:tr>
        <w:trPr>
          <w:trHeight w:val="21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w w:val="93"/>
              </w:rPr>
              <w:t>(102,981)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(161,749)</w:t>
            </w:r>
          </w:p>
        </w:tc>
      </w:tr>
      <w:tr>
        <w:trPr>
          <w:trHeight w:val="26"/>
        </w:trPr>
        <w:tc>
          <w:tcPr>
            <w:tcW w:w="47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47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13,020</w:t>
            </w: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(9,831)</w:t>
            </w:r>
          </w:p>
        </w:tc>
      </w:tr>
      <w:tr>
        <w:trPr>
          <w:trHeight w:val="21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Book Basis over Tax Basis Intangibles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3"/>
        </w:trPr>
        <w:tc>
          <w:tcPr>
            <w:tcW w:w="47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4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720" w:type="dxa"/>
            <w:vAlign w:val="bottom"/>
          </w:tcPr>
          <w:p>
            <w:pPr>
              <w:spacing w:after="0"/>
              <w:rPr>
                <w:sz w:val="24"/>
                <w:szCs w:val="24"/>
                <w:color w:val="auto"/>
              </w:rPr>
            </w:pPr>
          </w:p>
        </w:tc>
        <w:tc>
          <w:tcPr>
            <w:tcW w:w="4740" w:type="dxa"/>
            <w:vAlign w:val="bottom"/>
            <w:gridSpan w:val="2"/>
          </w:tcPr>
          <w:p>
            <w:pPr>
              <w:jc w:val="right"/>
              <w:ind w:right="3532"/>
              <w:spacing w:after="0"/>
              <w:rPr>
                <w:sz w:val="20"/>
                <w:szCs w:val="20"/>
                <w:color w:val="auto"/>
              </w:rPr>
            </w:pPr>
            <w:r>
              <w:rPr>
                <w:rFonts w:ascii="Times New Roman" w:cs="Times New Roman" w:eastAsia="Times New Roman" w:hAnsi="Times New Roman"/>
                <w:sz w:val="18"/>
                <w:szCs w:val="18"/>
                <w:color w:val="auto"/>
              </w:rPr>
              <w:t>F-39</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2020 and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8"/>
        </w:trPr>
        <w:tc>
          <w:tcPr>
            <w:tcW w:w="93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8"/>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7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90"/>
        </w:trPr>
        <w:tc>
          <w:tcPr>
            <w:tcW w:w="93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(40,710)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(44,698)</w:t>
            </w:r>
          </w:p>
        </w:tc>
      </w:tr>
      <w:tr>
        <w:trPr>
          <w:trHeight w:val="210"/>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(10,520)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(14,071)</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(51,230)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4"/>
              </w:rPr>
              <w:t>(58,769)</w:t>
            </w:r>
          </w:p>
        </w:tc>
        <w:tc>
          <w:tcPr>
            <w:tcW w:w="100" w:type="dxa"/>
            <w:vAlign w:val="bottom"/>
          </w:tcPr>
          <w:p>
            <w:pPr>
              <w:spacing w:after="0"/>
              <w:rPr>
                <w:sz w:val="18"/>
                <w:szCs w:val="18"/>
                <w:color w:val="auto"/>
              </w:rPr>
            </w:pPr>
          </w:p>
        </w:tc>
      </w:tr>
      <w:tr>
        <w:trPr>
          <w:trHeight w:val="210"/>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58,769</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426"/>
        </w:trPr>
        <w:tc>
          <w:tcPr>
            <w:tcW w:w="9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1"/>
        </w:trPr>
        <w:tc>
          <w:tcPr>
            <w:tcW w:w="9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8"/>
        </w:trPr>
        <w:tc>
          <w:tcPr>
            <w:tcW w:w="9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38"/>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4"/>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9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(209,891)</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(258,780)</w:t>
            </w:r>
          </w:p>
        </w:tc>
        <w:tc>
          <w:tcPr>
            <w:tcW w:w="120" w:type="dxa"/>
            <w:vAlign w:val="bottom"/>
            <w:tcBorders>
              <w:top w:val="single" w:sz="8" w:color="CCEEFF"/>
            </w:tcBorders>
            <w:gridSpan w:val="2"/>
            <w:shd w:val="clear" w:color="auto" w:fill="CCEEFF"/>
          </w:tcPr>
          <w:p>
            <w:pPr>
              <w:spacing w:after="0"/>
              <w:rPr>
                <w:sz w:val="17"/>
                <w:szCs w:val="17"/>
                <w:color w:val="auto"/>
              </w:rPr>
            </w:pPr>
          </w:p>
        </w:tc>
      </w:tr>
      <w:tr>
        <w:trPr>
          <w:trHeight w:val="22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2020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5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4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9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5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51,230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102,981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2020 or 2021.</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340"/>
          </w:cols>
          <w:pgMar w:left="320" w:top="448" w:right="2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federal net operating loss (“NOL”) carry forwards of $616.7 million and state NOL carry forwards of approximately $464.8 million,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2021, and 2020,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2021 and 2020.</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2021 and 2020,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2020 and 2021.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 and 2022</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Accounting for income taxes for interim periods generally requires the provision for income taxes to be determined by applying an estimate of the annual effective tax rate for the full fiscal year to income or los before income taxes, adjusted for discrete items, if any, for the reporting period. The Company updates its estimate of the annual effective tax rate each quarter and makes a cumulative adjustment in such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current income tax expense (benefit) for the nine months ended September 30, 2021 and 2022.</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340"/>
          </w:cols>
          <w:pgMar w:left="320" w:top="448" w:right="2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capital lease obligations, minimum royalties, accounts payable, and accrued expenses approximate fair value due to the short maturity of these instruments. The carrying amounts of the related party receivable, capital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is subject to a contingent consideration arrangement to transfer non-voting shares of common stock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owners of a business acquired in December 2019. See Note 3, Business Combinations, for further discussion of that acquisition.</w:t>
      </w:r>
    </w:p>
    <w:p>
      <w:pPr>
        <w:spacing w:after="0" w:line="6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80"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7,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4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2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940" w:type="dxa"/>
            <w:vAlign w:val="bottom"/>
          </w:tcPr>
          <w:p>
            <w:pPr>
              <w:spacing w:after="0"/>
              <w:rPr>
                <w:sz w:val="9"/>
                <w:szCs w:val="9"/>
                <w:color w:val="auto"/>
              </w:rPr>
            </w:pPr>
          </w:p>
        </w:tc>
        <w:tc>
          <w:tcPr>
            <w:tcW w:w="1500" w:type="dxa"/>
            <w:vAlign w:val="bottom"/>
            <w:gridSpan w:val="2"/>
          </w:tcPr>
          <w:p>
            <w:pPr>
              <w:jc w:val="right"/>
              <w:ind w:right="72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14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1520" w:type="dxa"/>
            <w:vAlign w:val="bottom"/>
            <w:gridSpan w:val="2"/>
          </w:tcPr>
          <w:p>
            <w:pPr>
              <w:jc w:val="right"/>
              <w:ind w:right="72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15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60" w:type="dxa"/>
            <w:vAlign w:val="bottom"/>
            <w:gridSpan w:val="2"/>
            <w:vMerge w:val="continue"/>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4.42</w:t>
            </w: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7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1.37%</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1.25%</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4.10%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50.00%</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0.00%</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70.00%</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63"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Convertible promissory note</w:t>
      </w:r>
      <w:r>
        <w:rPr>
          <w:rFonts w:ascii="Times New Roman" w:cs="Times New Roman" w:eastAsia="Times New Roman" w:hAnsi="Times New Roman"/>
          <w:sz w:val="18"/>
          <w:szCs w:val="18"/>
          <w:color w:val="auto"/>
        </w:rPr>
        <w:t>—The Company has a convertible promissory note with Google, which is reduced each year based on a formula taking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the aggregate value of the Google Cloud Platform services used by us. The carrying value of the note is equivalent to the fair value. See Note 10 for further discussion of the note. We classify the convertible promissory note as Level 3 due to the lack of relevant observable market data over fair value inputs.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40"/>
          </w:cols>
          <w:pgMar w:left="320" w:top="448"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summarizes liabilities that are measured at fair value on a recurring basis as of December 31, 2020 and 2021 and September 30, 2022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4"/>
          </w:tcPr>
          <w:p>
            <w:pPr>
              <w:jc w:val="center"/>
              <w:ind w:right="5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 in</w:t>
            </w:r>
          </w:p>
        </w:tc>
        <w:tc>
          <w:tcPr>
            <w:tcW w:w="720" w:type="dxa"/>
            <w:vAlign w:val="bottom"/>
          </w:tcPr>
          <w:p>
            <w:pPr>
              <w:spacing w:after="0"/>
              <w:rPr>
                <w:sz w:val="9"/>
                <w:szCs w:val="9"/>
                <w:color w:val="auto"/>
              </w:rPr>
            </w:pPr>
          </w:p>
        </w:tc>
        <w:tc>
          <w:tcPr>
            <w:tcW w:w="1980" w:type="dxa"/>
            <w:vAlign w:val="bottom"/>
            <w:gridSpan w:val="5"/>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9"/>
                <w:szCs w:val="9"/>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34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320" w:type="dxa"/>
            <w:vAlign w:val="bottom"/>
          </w:tcPr>
          <w:p>
            <w:pPr>
              <w:spacing w:after="0"/>
              <w:rPr>
                <w:sz w:val="12"/>
                <w:szCs w:val="12"/>
                <w:color w:val="auto"/>
              </w:rPr>
            </w:pPr>
          </w:p>
        </w:tc>
        <w:tc>
          <w:tcPr>
            <w:tcW w:w="1220" w:type="dxa"/>
            <w:vAlign w:val="bottom"/>
            <w:gridSpan w:val="4"/>
          </w:tcPr>
          <w:p>
            <w:pPr>
              <w:jc w:val="center"/>
              <w:ind w:right="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 for</w:t>
            </w:r>
          </w:p>
        </w:tc>
        <w:tc>
          <w:tcPr>
            <w:tcW w:w="7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4"/>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720" w:type="dxa"/>
            <w:vAlign w:val="bottom"/>
          </w:tcPr>
          <w:p>
            <w:pPr>
              <w:spacing w:after="0"/>
              <w:rPr>
                <w:sz w:val="12"/>
                <w:szCs w:val="12"/>
                <w:color w:val="auto"/>
              </w:rPr>
            </w:pPr>
          </w:p>
        </w:tc>
        <w:tc>
          <w:tcPr>
            <w:tcW w:w="1980" w:type="dxa"/>
            <w:vAlign w:val="bottom"/>
            <w:gridSpan w:val="5"/>
          </w:tcPr>
          <w:p>
            <w:pPr>
              <w:jc w:val="center"/>
              <w:ind w:right="8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3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8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10,271</w:t>
            </w:r>
          </w:p>
        </w:tc>
        <w:tc>
          <w:tcPr>
            <w:tcW w:w="3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338"/>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4"/>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60" w:type="dxa"/>
            <w:vAlign w:val="bottom"/>
          </w:tcPr>
          <w:p>
            <w:pPr>
              <w:spacing w:after="0"/>
              <w:rPr>
                <w:sz w:val="24"/>
                <w:szCs w:val="24"/>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8,005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37,800</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28"/>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238,236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238,236</w:t>
            </w:r>
          </w:p>
        </w:tc>
        <w:tc>
          <w:tcPr>
            <w:tcW w:w="0" w:type="dxa"/>
            <w:vAlign w:val="bottom"/>
          </w:tcPr>
          <w:p>
            <w:pPr>
              <w:spacing w:after="0"/>
              <w:rPr>
                <w:sz w:val="1"/>
                <w:szCs w:val="1"/>
                <w:color w:val="auto"/>
              </w:rPr>
            </w:pPr>
          </w:p>
        </w:tc>
      </w:tr>
      <w:tr>
        <w:trPr>
          <w:trHeight w:val="363"/>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 in</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4"/>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60" w:type="dxa"/>
            <w:vAlign w:val="bottom"/>
          </w:tcPr>
          <w:p>
            <w:pPr>
              <w:spacing w:after="0"/>
              <w:rPr>
                <w:sz w:val="9"/>
                <w:szCs w:val="9"/>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4,124</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42,000</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28"/>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228,015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228,015</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320" w:type="dxa"/>
            <w:vAlign w:val="bottom"/>
          </w:tcPr>
          <w:p>
            <w:pPr>
              <w:spacing w:after="0"/>
              <w:rPr>
                <w:sz w:val="13"/>
                <w:szCs w:val="13"/>
                <w:color w:val="auto"/>
              </w:rPr>
            </w:pPr>
          </w:p>
        </w:tc>
        <w:tc>
          <w:tcPr>
            <w:tcW w:w="15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320" w:type="dxa"/>
            <w:vAlign w:val="bottom"/>
          </w:tcPr>
          <w:p>
            <w:pPr>
              <w:spacing w:after="0"/>
              <w:rPr>
                <w:sz w:val="14"/>
                <w:szCs w:val="14"/>
                <w:color w:val="auto"/>
              </w:rPr>
            </w:pPr>
          </w:p>
        </w:tc>
        <w:tc>
          <w:tcPr>
            <w:tcW w:w="156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jc w:val="center"/>
              <w:ind w:right="1592"/>
              <w:spacing w:after="0" w:line="203" w:lineRule="exact"/>
              <w:rPr>
                <w:sz w:val="20"/>
                <w:szCs w:val="20"/>
                <w:color w:val="auto"/>
              </w:rPr>
            </w:pPr>
            <w:r>
              <w:rPr>
                <w:rFonts w:ascii="Times New Roman" w:cs="Times New Roman" w:eastAsia="Times New Roman" w:hAnsi="Times New Roman"/>
                <w:sz w:val="18"/>
                <w:szCs w:val="18"/>
                <w:color w:val="auto"/>
                <w:w w:val="96"/>
              </w:rPr>
              <w:t>Balance at December 31, 2019</w:t>
            </w:r>
          </w:p>
        </w:tc>
        <w:tc>
          <w:tcPr>
            <w:tcW w:w="2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3,380</w:t>
            </w: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gridSpan w:val="2"/>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jc w:val="center"/>
              <w:ind w:right="1632"/>
              <w:spacing w:after="0"/>
              <w:rPr>
                <w:sz w:val="20"/>
                <w:szCs w:val="20"/>
                <w:color w:val="auto"/>
              </w:rPr>
            </w:pPr>
            <w:r>
              <w:rPr>
                <w:rFonts w:ascii="Times New Roman" w:cs="Times New Roman" w:eastAsia="Times New Roman" w:hAnsi="Times New Roman"/>
                <w:sz w:val="18"/>
                <w:szCs w:val="18"/>
                <w:color w:val="auto"/>
                <w:w w:val="96"/>
              </w:rPr>
              <w:t>Change in fair value</w:t>
            </w:r>
          </w:p>
        </w:tc>
        <w:tc>
          <w:tcPr>
            <w:tcW w:w="2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jc w:val="center"/>
              <w:ind w:right="1592"/>
              <w:spacing w:after="0"/>
              <w:rPr>
                <w:sz w:val="20"/>
                <w:szCs w:val="20"/>
                <w:color w:val="auto"/>
              </w:rPr>
            </w:pPr>
            <w:r>
              <w:rPr>
                <w:rFonts w:ascii="Times New Roman" w:cs="Times New Roman" w:eastAsia="Times New Roman" w:hAnsi="Times New Roman"/>
                <w:sz w:val="18"/>
                <w:szCs w:val="18"/>
                <w:color w:val="auto"/>
                <w:w w:val="96"/>
              </w:rPr>
              <w:t>Balance at December 31, 2020</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spacing w:after="0"/>
              <w:rPr>
                <w:sz w:val="18"/>
                <w:szCs w:val="18"/>
                <w:color w:val="auto"/>
              </w:rPr>
            </w:pPr>
          </w:p>
        </w:tc>
        <w:tc>
          <w:tcPr>
            <w:tcW w:w="5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jc w:val="center"/>
              <w:ind w:right="1592"/>
              <w:spacing w:after="0" w:line="203" w:lineRule="exact"/>
              <w:rPr>
                <w:sz w:val="20"/>
                <w:szCs w:val="20"/>
                <w:color w:val="auto"/>
              </w:rPr>
            </w:pPr>
            <w:r>
              <w:rPr>
                <w:rFonts w:ascii="Times New Roman" w:cs="Times New Roman" w:eastAsia="Times New Roman" w:hAnsi="Times New Roman"/>
                <w:sz w:val="18"/>
                <w:szCs w:val="18"/>
                <w:color w:val="auto"/>
                <w:w w:val="96"/>
              </w:rPr>
              <w:t>Balance at December 31, 2020</w:t>
            </w:r>
          </w:p>
        </w:tc>
        <w:tc>
          <w:tcPr>
            <w:tcW w:w="29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10,271</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cash</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warrant</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37,800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reduction</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jc w:val="center"/>
              <w:ind w:right="1632"/>
              <w:spacing w:after="0"/>
              <w:rPr>
                <w:sz w:val="20"/>
                <w:szCs w:val="20"/>
                <w:color w:val="auto"/>
              </w:rPr>
            </w:pPr>
            <w:r>
              <w:rPr>
                <w:rFonts w:ascii="Times New Roman" w:cs="Times New Roman" w:eastAsia="Times New Roman" w:hAnsi="Times New Roman"/>
                <w:sz w:val="18"/>
                <w:szCs w:val="18"/>
                <w:color w:val="auto"/>
                <w:w w:val="96"/>
              </w:rPr>
              <w:t>Change in fair value</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tcPr>
          <w:p>
            <w:pPr>
              <w:jc w:val="center"/>
              <w:ind w:right="1592"/>
              <w:spacing w:after="0"/>
              <w:rPr>
                <w:sz w:val="20"/>
                <w:szCs w:val="20"/>
                <w:color w:val="auto"/>
              </w:rPr>
            </w:pPr>
            <w:r>
              <w:rPr>
                <w:rFonts w:ascii="Times New Roman" w:cs="Times New Roman" w:eastAsia="Times New Roman" w:hAnsi="Times New Roman"/>
                <w:sz w:val="18"/>
                <w:szCs w:val="18"/>
                <w:color w:val="auto"/>
                <w:w w:val="97"/>
              </w:rPr>
              <w:t>Balance at December 31, 2021</w:t>
            </w:r>
          </w:p>
        </w:tc>
        <w:tc>
          <w:tcPr>
            <w:tcW w:w="292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3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w w:val="92"/>
              </w:rPr>
              <w:t>37,800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2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F-43</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w w:val="98"/>
              </w:rPr>
              <w:t>Contingent</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8,005</w:t>
            </w: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37,800</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238,236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80" w:type="dxa"/>
            <w:vAlign w:val="bottom"/>
          </w:tcPr>
          <w:p>
            <w:pPr>
              <w:spacing w:after="0"/>
              <w:rPr>
                <w:sz w:val="18"/>
                <w:szCs w:val="18"/>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reduction</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(3,881)</w:t>
            </w:r>
          </w:p>
        </w:tc>
        <w:tc>
          <w:tcPr>
            <w:tcW w:w="3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2020, the Company recognized expense of $6.9 million in selling, general and administrative expense due to the change in fair value determined by Level 3 valuation techniques.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expense of $5.2 million in selling, general and administrative expense due to the change in the fair value of the contingent consideration liability.</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2022, the Company recognized expense of $3.9 million in selling, general and administrative expense due to the change in the fair value of contingent consideration and $4.2 million in other expense due to the change in the fair value of warrant liability determined by Level 3 valuation techniques.</w:t>
      </w:r>
    </w:p>
    <w:p>
      <w:pPr>
        <w:spacing w:after="0" w:line="323" w:lineRule="exact"/>
        <w:rPr>
          <w:sz w:val="20"/>
          <w:szCs w:val="20"/>
          <w:color w:val="auto"/>
        </w:rPr>
      </w:pPr>
    </w:p>
    <w:p>
      <w:pPr>
        <w:ind w:left="460" w:hanging="455"/>
        <w:spacing w:after="0"/>
        <w:tabs>
          <w:tab w:leader="none" w:pos="4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Company is amortizing this amount over the course of its lease with the building. The Company had a remaining related liability of $1.1 million and $1.0 million for the years ended December 31, 2020 and 2021, respectively, and $0.9 million for the nine months ended September 30, 2022, respectively. The liability is included on the balance sheet in deferred rent, less current portion. See Note 6, Commitments and Contingencies, for additional information on the Company’s operating leases. The Company subleases a portion of office space to this related party on a month-to-month basis. Sublease income received from the related party was insignificant for the years ended December 31, 2020 and 2021, and the nine months ended September 30, 2022.</w:t>
      </w:r>
    </w:p>
    <w:p>
      <w:pPr>
        <w:spacing w:after="0" w:line="187"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As of December 31, 2020 the amount due to related parties was $1.3 million, and as of December 31, 2021 and September 30, 2022, there was no amount due to related parties. As of December 31, 2020 and 2021 and September 30, 2022, respectively, the amount due from related parties was $0.1 million.</w:t>
      </w:r>
    </w:p>
    <w:p>
      <w:pPr>
        <w:spacing w:after="0" w:line="12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2020, the Company reimbursed payroll related costs of $0.8 million to a related party for contracted engineers. As of December 31, 2020 and 2021 and September 30, 2022, respectively, there were no amounts due to this related party.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On August 19, 2021, the Company entered into a related party arrangement with Pathos, Inc.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non-exclusive, revocable, non-transferable right and license, without right of sublicense, to access and download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340"/>
          </w:cols>
          <w:pgMar w:left="320" w:top="448"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Company recognized $0.3 million in revenue for this access fee in the nine months ended September 30, 2022. The master agreement provides for an initial term of five years, with a subsequent five-year renewal provision unless the agreement is terminated. Either party may terminate the agreement after the initial five-year term by prior written notice to the other party.</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the Company entered into a second related party arrangement with Pathos for a sequencing service in exchange for a one-time discounted fee of less than $0.1 million.</w:t>
      </w:r>
    </w:p>
    <w:p>
      <w:pPr>
        <w:spacing w:after="0" w:line="312" w:lineRule="exact"/>
        <w:rPr>
          <w:sz w:val="20"/>
          <w:szCs w:val="20"/>
          <w:color w:val="auto"/>
        </w:rPr>
      </w:pPr>
    </w:p>
    <w:p>
      <w:pPr>
        <w:ind w:left="460" w:hanging="455"/>
        <w:spacing w:after="0"/>
        <w:tabs>
          <w:tab w:leader="none" w:pos="4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SUBSEQUENT EVENTS</w:t>
      </w:r>
    </w:p>
    <w:p>
      <w:pPr>
        <w:spacing w:after="0" w:line="11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subsequent events through January 13, 2023, the date on which those interim financial statements were available to be issued.</w:t>
      </w:r>
    </w:p>
    <w:p>
      <w:pPr>
        <w:spacing w:after="0" w:line="355" w:lineRule="exact"/>
        <w:rPr>
          <w:rFonts w:ascii="Times New Roman" w:cs="Times New Roman" w:eastAsia="Times New Roman" w:hAnsi="Times New Roman"/>
          <w:sz w:val="18"/>
          <w:szCs w:val="18"/>
          <w:b w:val="1"/>
          <w:bCs w:val="1"/>
          <w:color w:val="auto"/>
        </w:rPr>
      </w:pPr>
    </w:p>
    <w:p>
      <w:pPr>
        <w:ind w:left="460" w:hanging="455"/>
        <w:spacing w:after="0"/>
        <w:tabs>
          <w:tab w:leader="none" w:pos="4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2021, the Company evaluated subsequent events through April 26, 2022, the date on which those financial statements were available to be issued.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Highline Consulting, LLC</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On January 4, 2022, the Company entered into a Unit Purchase Agreement with Highline Consulting, LLC, a California limited liability company, or Highline, Highline Consulting Parent, LLC, and the unitholders of Highline, or collectively, the Sellers, pursuant to which the Company acquired all of the issued and outstanding equity interests in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subject to customary cash and net working capital adjustments.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 xml:space="preserve">Due to the limited time since the closing of the transaction, the initial accounting for the Highline acquisition is still in process, but a significant portion of the purchase price is expected to be allocated to intangible assets and goodwill. The remaining disclosures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will be provided upon finalization of our preliminary purchase accounting in the first quarter of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G-3 Financing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April 2022, the Company authorized 4,362,476 and issued 1,483,242 shares of Series G-3 Preferred stock (“Series G-3 Preferred”) for aggregate proceeds of $85.0 million (See Note 8, Redeemable Convertible Preferred Stock). As of the date hereof we have received $68.5 million of the committed $85.0 million, with the remainder committed from one additional investor, which is due by April 29, 2022.</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340"/>
          </w:cols>
          <w:pgMar w:left="320" w:top="448"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931545</wp:posOffset>
            </wp:positionV>
            <wp:extent cx="2617470" cy="4000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17470" cy="40005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8"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COWEN</w:t>
      </w:r>
    </w:p>
    <w:p>
      <w:pPr>
        <w:spacing w:after="0" w:line="100" w:lineRule="exact"/>
        <w:rPr>
          <w:sz w:val="20"/>
          <w:szCs w:val="20"/>
          <w:color w:val="auto"/>
        </w:rPr>
      </w:pPr>
    </w:p>
    <w:p>
      <w:pPr>
        <w:sectPr>
          <w:pgSz w:w="11900" w:h="16838" w:orient="portrait"/>
          <w:cols w:equalWidth="0" w:num="2">
            <w:col w:w="8160" w:space="720"/>
            <w:col w:w="2460"/>
          </w:cols>
          <w:pgMar w:left="320" w:top="448"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8"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 2023.</w:t>
      </w:r>
    </w:p>
    <w:p>
      <w:pPr>
        <w:sectPr>
          <w:pgSz w:w="11900" w:h="16838" w:orient="portrait"/>
          <w:cols w:equalWidth="0" w:num="1">
            <w:col w:w="11340"/>
          </w:cols>
          <w:pgMar w:left="320" w:top="448" w:right="239" w:bottom="1440" w:gutter="0" w:footer="0" w:header="0"/>
          <w:type w:val="continuous"/>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Unless otherwise indicated, all references to “Tempus,” the “company,” “we,” “our,” “us” or similar terms refer to Tempus Labs, Inc. and its subsidiaries.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340"/>
          </w:cols>
          <w:pgMar w:left="320" w:top="448" w:right="2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9184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*Tobe completed by amendment.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89" w:hanging="489"/>
        <w:spacing w:after="0"/>
        <w:tabs>
          <w:tab w:leader="none" w:pos="48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3"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861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4" w:lineRule="exact"/>
        <w:rPr>
          <w:sz w:val="20"/>
          <w:szCs w:val="20"/>
          <w:color w:val="auto"/>
        </w:rPr>
      </w:pPr>
    </w:p>
    <w:p>
      <w:pPr>
        <w:ind w:left="489" w:hanging="489"/>
        <w:spacing w:after="0"/>
        <w:tabs>
          <w:tab w:leader="none" w:pos="489"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086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3086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115" w:lineRule="exact"/>
        <w:rPr>
          <w:sz w:val="20"/>
          <w:szCs w:val="20"/>
          <w:color w:val="auto"/>
        </w:rPr>
      </w:pPr>
    </w:p>
    <w:p>
      <w:pPr>
        <w:sectPr>
          <w:pgSz w:w="11900" w:h="16838" w:orient="portrait"/>
          <w:cols w:equalWidth="0" w:num="2">
            <w:col w:w="10011" w:space="720"/>
            <w:col w:w="609"/>
          </w:cols>
          <w:pgMar w:left="320" w:top="448" w:right="239" w:bottom="1440" w:gutter="0" w:footer="0" w:header="0"/>
          <w:type w:val="continuous"/>
        </w:sect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Labs, Inc., provided that such director or executive officer acted in good faith and in a manner that the director or executive officer reasonably believed to be in, or not opposed to, the best interest of Tempus Labs, Inc. At present, there is no pending litigation or proceeding involving a director or executive officer of Tempus Labs,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8" w:right="239" w:bottom="1440" w:gutter="0" w:footer="0" w:header="0"/>
          <w:type w:val="continuous"/>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2019:</w:t>
      </w:r>
    </w:p>
    <w:p>
      <w:pPr>
        <w:spacing w:after="0" w:line="121" w:lineRule="exact"/>
        <w:rPr>
          <w:sz w:val="20"/>
          <w:szCs w:val="20"/>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 7,532,363 shares of our Class A common stock to our employees, consultants, and directors, having a fair market value ranging from $3.60 to $50.70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 6,000,000 shares of our Class A common stock to our employees, consultants, and directors, having a fair market value ranging from $33.48 to $42.64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issued and sold an aggregate of 1,058,600 shares of our voting common stock at a price per share of $9.64, for an aggregate purchase price of approximately $10.2 million, in private placements to two accredited investors.</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August 2018 through April 2019, we issued and sold an aggregate of 6,630,905 shares of our Series E convertible preferred stock at a price per share of $16.7428, for an aggregate purchase price of approximately $111.0 million, in private placements to 17 accredited investors, exclusive of the 886,304 shares repurchased by us in April 2019 at the original issue price per share, for an aggregate repurchase price of approximately $14.8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through July 2019, we issued and sold an aggregate of 8,077,674 shares of our Series F convertible preferred stock at a price per share of $24.7596, for an aggregate purchase price of approximately $200.0 million, in private placements to 22 accredited investors, exclusive of the 203,521 shares and the 395,811 shares repurchased by us in May and July 2019, respectively, at the original issue price per share, for an aggregate repurchase price of approximately $14.8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49"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in connection with our entry into a master services agreement, we issued a warrant to AstraZeneca to purchase $100 million in shares of our Class A common stock at 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8" w:right="2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exercise price equal to the price per share at which our common stock is valued in connection with the consummation of this offering.</w:t>
      </w:r>
    </w:p>
    <w:p>
      <w:pPr>
        <w:spacing w:after="0" w:line="121" w:lineRule="exact"/>
        <w:rPr>
          <w:sz w:val="20"/>
          <w:szCs w:val="20"/>
          <w:color w:val="auto"/>
        </w:rPr>
      </w:pPr>
    </w:p>
    <w:p>
      <w:pPr>
        <w:jc w:val="both"/>
        <w:ind w:left="1460" w:hanging="444"/>
        <w:spacing w:after="0" w:line="288" w:lineRule="auto"/>
        <w:tabs>
          <w:tab w:leader="none" w:pos="14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64" w:lineRule="exact"/>
        <w:rPr>
          <w:rFonts w:ascii="Times New Roman" w:cs="Times New Roman" w:eastAsia="Times New Roman" w:hAnsi="Times New Roman"/>
          <w:sz w:val="16"/>
          <w:szCs w:val="16"/>
          <w:color w:val="auto"/>
        </w:rPr>
      </w:pPr>
    </w:p>
    <w:p>
      <w:pPr>
        <w:ind w:left="1460" w:hanging="444"/>
        <w:spacing w:after="0" w:line="267" w:lineRule="auto"/>
        <w:tabs>
          <w:tab w:leader="none" w:pos="1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we expect to issue on or around December 9, 2022 of 145,466 shares of Class A common stock to former stockholders of AKESOgen, Inc.</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1,614,114 shares of our Series G-3 convertible preferred stock at a price per share of $57.3069, for an aggregate purchase price of approximately $92.5 million, in private placements to five accredited investors.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8" w:right="2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jc w:val="both"/>
        <w:ind w:left="1240" w:hanging="670"/>
        <w:spacing w:after="0" w:line="255"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88" w:lineRule="exact"/>
        <w:rPr>
          <w:rFonts w:ascii="Times New Roman" w:cs="Times New Roman" w:eastAsia="Times New Roman" w:hAnsi="Times New Roman"/>
          <w:sz w:val="18"/>
          <w:szCs w:val="18"/>
          <w:color w:val="auto"/>
        </w:rPr>
      </w:pPr>
    </w:p>
    <w:p>
      <w:pPr>
        <w:jc w:val="both"/>
        <w:ind w:left="1240" w:hanging="670"/>
        <w:spacing w:after="0" w:line="255"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40"/>
          </w:cols>
          <w:pgMar w:left="320" w:top="448" w:right="2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Certificate of Incorporation of Tempus Labs, Inc., as amended,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Tempus Labs, Inc.,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Tempus Labs, Inc.,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Tempus Labs, Inc.,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Tempus Labs, Inc. dated November 17, 2021 (included in Exhibit 10.16).</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Cooley LLP.</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Investor Rights Agreement, dated April 18, 2022.</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10.3+**</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Forms of Grant Notices and Award Agreements under the Tempus Labs, Inc.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10.4+**</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10.5+**</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Grant Notice, Stock Option Agreement and Notice of Exercise under the 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10.6+**</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10.7+**</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 entered into by and between Tempus Labs, Inc. and each director and executive officer.</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10.8+**</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Eric Lefkofsky, dated January 1, 2022.</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10.9+**</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Erik Phelps,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Ryan Fukushima,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James Rogers,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Agreement of Lease, by and between Tempus Labs, Inc. and EQC 600 West Chicago Property LLC, dated January 18, 2018,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by and between Tempus Labs, Inc. and Illumina, Inc., dated June 29,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Amended and Restated Convertible Promissory Note, by and between Tempus Labs, Inc. and Google LLC, dated November 19, 2020.</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Tempus Labs, Inc. and Pathos AI, Inc., dated August 19, 2021.</w:t>
            </w:r>
          </w:p>
        </w:tc>
        <w:tc>
          <w:tcPr>
            <w:tcW w:w="0" w:type="dxa"/>
            <w:vAlign w:val="bottom"/>
          </w:tcPr>
          <w:p>
            <w:pPr>
              <w:spacing w:after="0"/>
              <w:rPr>
                <w:sz w:val="1"/>
                <w:szCs w:val="1"/>
                <w:color w:val="auto"/>
              </w:rPr>
            </w:pPr>
          </w:p>
        </w:tc>
      </w:tr>
      <w:tr>
        <w:trPr>
          <w:trHeight w:val="354"/>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0860"/>
          </w:cols>
          <w:pgMar w:left="320" w:top="448" w:right="71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0" w:type="dxa"/>
            <w:vAlign w:val="bottom"/>
          </w:tcPr>
          <w:p>
            <w:pPr>
              <w:spacing w:after="0"/>
              <w:rPr>
                <w:sz w:val="13"/>
                <w:szCs w:val="13"/>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5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Services Agreement, by and between Tempus Labs, Inc. and AstraZeneca AB, dated November 17,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10.17+**</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Employee Stock Purchase Plan.</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Strategic Collaboration Agreement, by and between Tempus Labs, Inc. and Glaxosmithkline LLC, dated August 1, 2022.</w:t>
            </w:r>
          </w:p>
        </w:tc>
        <w:tc>
          <w:tcPr>
            <w:tcW w:w="0" w:type="dxa"/>
            <w:vAlign w:val="bottom"/>
          </w:tcPr>
          <w:p>
            <w:pPr>
              <w:spacing w:after="0"/>
              <w:rPr>
                <w:sz w:val="1"/>
                <w:szCs w:val="1"/>
                <w:color w:val="auto"/>
              </w:rPr>
            </w:pPr>
          </w:p>
        </w:tc>
      </w:tr>
      <w:tr>
        <w:trPr>
          <w:trHeight w:val="29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10.19**</w:t>
            </w:r>
          </w:p>
        </w:tc>
        <w:tc>
          <w:tcPr>
            <w:tcW w:w="3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Credit Agreement, by and among Tempus Labs, Inc., the lenders party thereto, Ares Capital Corporation and Ares Capital Management LLC,</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dated September 22, 2022.</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List of Subsidiaries of Tempus Labs, Inc.</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right="8640" w:firstLine="5"/>
        <w:spacing w:after="0" w:line="285" w:lineRule="auto"/>
        <w:tabs>
          <w:tab w:leader="none" w:pos="44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submitted by amendment. ** Previously submitted.</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3" w:lineRule="exact"/>
        <w:rPr>
          <w:rFonts w:ascii="Times New Roman" w:cs="Times New Roman" w:eastAsia="Times New Roman" w:hAnsi="Times New Roman"/>
          <w:sz w:val="16"/>
          <w:szCs w:val="16"/>
          <w:color w:val="auto"/>
        </w:rPr>
      </w:pPr>
    </w:p>
    <w:p>
      <w:pPr>
        <w:ind w:left="460" w:hanging="44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ind w:left="460" w:hanging="44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8" w:right="2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Chicago, Illinois, on</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2023.</w:t>
            </w: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28"/>
        </w:trPr>
        <w:tc>
          <w:tcPr>
            <w:tcW w:w="4900" w:type="dxa"/>
            <w:vAlign w:val="bottom"/>
          </w:tcPr>
          <w:p>
            <w:pPr>
              <w:spacing w:after="0"/>
              <w:rPr>
                <w:sz w:val="24"/>
                <w:szCs w:val="24"/>
                <w:color w:val="auto"/>
              </w:rPr>
            </w:pPr>
          </w:p>
        </w:tc>
        <w:tc>
          <w:tcPr>
            <w:tcW w:w="64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459"/>
        </w:trPr>
        <w:tc>
          <w:tcPr>
            <w:tcW w:w="49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198"/>
        </w:trPr>
        <w:tc>
          <w:tcPr>
            <w:tcW w:w="4900" w:type="dxa"/>
            <w:vAlign w:val="bottom"/>
          </w:tcPr>
          <w:p>
            <w:pPr>
              <w:spacing w:after="0"/>
              <w:rPr>
                <w:sz w:val="17"/>
                <w:szCs w:val="17"/>
                <w:color w:val="auto"/>
              </w:rPr>
            </w:pPr>
          </w:p>
        </w:tc>
        <w:tc>
          <w:tcPr>
            <w:tcW w:w="2440" w:type="dxa"/>
            <w:vAlign w:val="bottom"/>
          </w:tcPr>
          <w:p>
            <w:pPr>
              <w:ind w:left="192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4900" w:type="dxa"/>
            <w:vAlign w:val="bottom"/>
          </w:tcPr>
          <w:p>
            <w:pPr>
              <w:spacing w:after="0"/>
              <w:rPr>
                <w:sz w:val="19"/>
                <w:szCs w:val="19"/>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340"/>
          </w:cols>
          <w:pgMar w:left="320" w:top="448" w:right="2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II-8</w:t>
      </w:r>
    </w:p>
    <w:sectPr>
      <w:pgSz w:w="11900" w:h="16838" w:orient="portrait"/>
      <w:cols w:equalWidth="0" w:num="1">
        <w:col w:w="11040"/>
      </w:cols>
      <w:pgMar w:left="320" w:top="44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lvl w:ilvl="1">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1)"/>
      <w:numFmt w:val="decimal"/>
      <w:start w:val="1"/>
    </w:lvl>
  </w:abstractNum>
  <w:abstractNum w:abstractNumId="14">
    <w:nsid w:val="14330624"/>
    <w:multiLevelType w:val="hybridMultilevel"/>
    <w:lvl w:ilvl="0">
      <w:lvlJc w:val="left"/>
      <w:lvlText w:val="(%1)"/>
      <w:numFmt w:val="decimal"/>
      <w:start w:val="1"/>
    </w:lvl>
  </w:abstractNum>
  <w:abstractNum w:abstractNumId="15">
    <w:nsid w:val="7FFFCA11"/>
    <w:multiLevelType w:val="hybridMultilevel"/>
    <w:lvl w:ilvl="0">
      <w:lvlJc w:val="left"/>
      <w:lvlText w:val="(%1)"/>
      <w:numFmt w:val="decimal"/>
      <w:start w:val="2"/>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1)"/>
      <w:numFmt w:val="decimal"/>
      <w:start w:val="4"/>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1"/>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1)"/>
      <w:numFmt w:val="lowerRoman"/>
      <w:start w:val="2"/>
    </w:lvl>
  </w:abstractNum>
  <w:abstractNum w:abstractNumId="72">
    <w:nsid w:val="53584BCB"/>
    <w:multiLevelType w:val="hybridMultilevel"/>
    <w:lvl w:ilvl="0">
      <w:lvlJc w:val="left"/>
      <w:lvlText w:val="(%1)"/>
      <w:numFmt w:val="lowerRoman"/>
      <w:start w:val="5"/>
    </w:lvl>
  </w:abstractNum>
  <w:abstractNum w:abstractNumId="73">
    <w:nsid w:val="415E286C"/>
    <w:multiLevelType w:val="hybridMultilevel"/>
    <w:lvl w:ilvl="0">
      <w:lvlJc w:val="left"/>
      <w:lvlText w:val="(%1)"/>
      <w:numFmt w:val="lowerRoman"/>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
      <w:numFmt w:val="bullet"/>
      <w:start w:val="1"/>
    </w:lvl>
  </w:abstractNum>
  <w:abstractNum w:abstractNumId="86">
    <w:nsid w:val="69E373"/>
    <w:multiLevelType w:val="hybridMultilevel"/>
    <w:lvl w:ilvl="0">
      <w:lvlJc w:val="left"/>
      <w:lvlText w:val="(%1)"/>
      <w:numFmt w:val="decimal"/>
      <w:start w:val="1"/>
    </w:lvl>
  </w:abstractNum>
  <w:abstractNum w:abstractNumId="87">
    <w:nsid w:val="2C27173B"/>
    <w:multiLevelType w:val="hybridMultilevel"/>
    <w:lvl w:ilvl="0">
      <w:lvlJc w:val="left"/>
      <w:lvlText w:val="(%1)"/>
      <w:numFmt w:val="lowerLetter"/>
      <w:start w:val="1"/>
    </w:lvl>
  </w:abstractNum>
  <w:abstractNum w:abstractNumId="88">
    <w:nsid w:val="4C9B0904"/>
    <w:multiLevelType w:val="hybridMultilevel"/>
    <w:lvl w:ilvl="0">
      <w:lvlJc w:val="left"/>
      <w:lvlText w:val="(%1)"/>
      <w:numFmt w:val="decimal"/>
      <w:start w:val="3"/>
    </w:lvl>
  </w:abstractNum>
  <w:abstractNum w:abstractNumId="89">
    <w:nsid w:val="6AA7B75C"/>
    <w:multiLevelType w:val="hybridMultilevel"/>
    <w:lvl w:ilvl="0">
      <w:lvlJc w:val="left"/>
      <w:lvlText w:val="(%1)"/>
      <w:numFmt w:val="decimal"/>
      <w:start w:val="4"/>
    </w:lvl>
  </w:abstractNum>
  <w:abstractNum w:abstractNumId="90">
    <w:nsid w:val="1DF029D3"/>
    <w:multiLevelType w:val="hybridMultilevel"/>
    <w:lvl w:ilvl="0">
      <w:lvlJc w:val="left"/>
      <w:lvlText w:val="•"/>
      <w:numFmt w:val="bullet"/>
      <w:start w:val="1"/>
    </w:lvl>
  </w:abstractNum>
  <w:abstractNum w:abstractNumId="91">
    <w:nsid w:val="5675FF36"/>
    <w:multiLevelType w:val="hybridMultilevel"/>
    <w:lvl w:ilvl="0">
      <w:lvlJc w:val="left"/>
      <w:lvlText w:val="(%1)"/>
      <w:numFmt w:val="decimal"/>
      <w:start w:val="1"/>
    </w:lvl>
  </w:abstractNum>
  <w:abstractNum w:abstractNumId="92">
    <w:nsid w:val="3DD15094"/>
    <w:multiLevelType w:val="hybridMultilevel"/>
    <w:lvl w:ilvl="0">
      <w:lvlJc w:val="left"/>
      <w:lvlText w:val="(%1)"/>
      <w:numFmt w:val="decimal"/>
      <w:start w:val="4"/>
    </w:lvl>
  </w:abstractNum>
  <w:abstractNum w:abstractNumId="93">
    <w:nsid w:val="3DB012B3"/>
    <w:multiLevelType w:val="hybridMultilevel"/>
    <w:lvl w:ilvl="0">
      <w:lvlJc w:val="left"/>
      <w:lvlText w:val="(%1)"/>
      <w:numFmt w:val="decimal"/>
      <w:start w:val="6"/>
    </w:lvl>
  </w:abstractNum>
  <w:abstractNum w:abstractNumId="94">
    <w:nsid w:val="2708C9AF"/>
    <w:multiLevelType w:val="hybridMultilevel"/>
    <w:lvl w:ilvl="0">
      <w:lvlJc w:val="left"/>
      <w:lvlText w:val="(%1)"/>
      <w:numFmt w:val="decimal"/>
      <w:start w:val="1"/>
    </w:lvl>
  </w:abstractNum>
  <w:abstractNum w:abstractNumId="95">
    <w:nsid w:val="5B25ACE2"/>
    <w:multiLevelType w:val="hybridMultilevel"/>
    <w:lvl w:ilvl="0">
      <w:lvlJc w:val="left"/>
      <w:lvlText w:val="(%1)"/>
      <w:numFmt w:val="decimal"/>
      <w:start w:val="2"/>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
      <w:numFmt w:val="bullet"/>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1)"/>
      <w:numFmt w:val="decimal"/>
      <w:start w:val="1"/>
    </w:lvl>
  </w:abstractNum>
  <w:abstractNum w:abstractNumId="101">
    <w:nsid w:val="56438D15"/>
    <w:multiLevelType w:val="hybridMultilevel"/>
    <w:lvl w:ilvl="0">
      <w:lvlJc w:val="left"/>
      <w:lvlText w:val="(%1)"/>
      <w:numFmt w:val="decimal"/>
      <w:start w:val="1"/>
    </w:lvl>
  </w:abstractNum>
  <w:abstractNum w:abstractNumId="102">
    <w:nsid w:val="519E3149"/>
    <w:multiLevelType w:val="hybridMultilevel"/>
    <w:lvl w:ilvl="0">
      <w:lvlJc w:val="left"/>
      <w:lvlText w:val="(%1)"/>
      <w:numFmt w:val="decimal"/>
      <w:start w:val="1"/>
    </w:lvl>
  </w:abstractNum>
  <w:abstractNum w:abstractNumId="103">
    <w:nsid w:val="2C6E4AFD"/>
    <w:multiLevelType w:val="hybridMultilevel"/>
    <w:lvl w:ilvl="0">
      <w:lvlJc w:val="left"/>
      <w:lvlText w:val="(%1)"/>
      <w:numFmt w:val="decimal"/>
      <w:start w:val="3"/>
    </w:lvl>
  </w:abstractNum>
  <w:abstractNum w:abstractNumId="104">
    <w:nsid w:val="17A1B582"/>
    <w:multiLevelType w:val="hybridMultilevel"/>
    <w:lvl w:ilvl="0">
      <w:lvlJc w:val="left"/>
      <w:lvlText w:val="(%1)"/>
      <w:numFmt w:val="decimal"/>
      <w:start w:val="1"/>
    </w:lvl>
  </w:abstractNum>
  <w:abstractNum w:abstractNumId="105">
    <w:nsid w:val="4DF72E4E"/>
    <w:multiLevelType w:val="hybridMultilevel"/>
    <w:lvl w:ilvl="0">
      <w:lvlJc w:val="left"/>
      <w:lvlText w:val="(%1)"/>
      <w:numFmt w:val="decimal"/>
      <w:start w:val="1"/>
    </w:lvl>
  </w:abstractNum>
  <w:abstractNum w:abstractNumId="106">
    <w:nsid w:val="5046B5A9"/>
    <w:multiLevelType w:val="hybridMultilevel"/>
    <w:lvl w:ilvl="0">
      <w:lvlJc w:val="left"/>
      <w:lvlText w:val="•"/>
      <w:numFmt w:val="bullet"/>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
      <w:numFmt w:val="bullet"/>
      <w:start w:val="1"/>
    </w:lvl>
  </w:abstractNum>
  <w:abstractNum w:abstractNumId="110">
    <w:nsid w:val="19E21BB2"/>
    <w:multiLevelType w:val="hybridMultilevel"/>
    <w:lvl w:ilvl="0">
      <w:lvlJc w:val="left"/>
      <w:lvlText w:val="•"/>
      <w:numFmt w:val="bullet"/>
      <w:start w:val="1"/>
    </w:lvl>
  </w:abstractNum>
  <w:abstractNum w:abstractNumId="111">
    <w:nsid w:val="75E0858A"/>
    <w:multiLevelType w:val="hybridMultilevel"/>
    <w:lvl w:ilvl="0">
      <w:lvlJc w:val="left"/>
      <w:lvlText w:val="&amp;"/>
      <w:numFmt w:val="bullet"/>
      <w:start w:val="1"/>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
      <w:numFmt w:val="bullet"/>
      <w:start w:val="1"/>
    </w:lvl>
  </w:abstractNum>
  <w:abstractNum w:abstractNumId="114">
    <w:nsid w:val="20EE1348"/>
    <w:multiLevelType w:val="hybridMultilevel"/>
    <w:lvl w:ilvl="0">
      <w:lvlJc w:val="left"/>
      <w:lvlText w:val="•"/>
      <w:numFmt w:val="bullet"/>
      <w:start w:val="1"/>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1)"/>
      <w:numFmt w:val="lowerLetter"/>
      <w:start w:val="1"/>
    </w:lvl>
  </w:abstractNum>
  <w:abstractNum w:abstractNumId="119">
    <w:nsid w:val="57D2F10E"/>
    <w:multiLevelType w:val="hybridMultilevel"/>
    <w:lvl w:ilvl="0">
      <w:lvlJc w:val="left"/>
      <w:lvlText w:val="(%1)"/>
      <w:numFmt w:val="lowerLetter"/>
      <w:start w:val="1"/>
    </w:lvl>
  </w:abstractNum>
  <w:abstractNum w:abstractNumId="120">
    <w:nsid w:val="BFFAE18"/>
    <w:multiLevelType w:val="hybridMultilevel"/>
    <w:lvl w:ilvl="0">
      <w:lvlJc w:val="left"/>
      <w:lvlText w:val="(%1)"/>
      <w:numFmt w:val="lowerLetter"/>
      <w:start w:val="1"/>
    </w:lvl>
  </w:abstractNum>
  <w:abstractNum w:abstractNumId="121">
    <w:nsid w:val="E3E47A8"/>
    <w:multiLevelType w:val="hybridMultilevel"/>
    <w:lvl w:ilvl="0">
      <w:lvlJc w:val="left"/>
      <w:lvlText w:val="(%1)"/>
      <w:numFmt w:val="lowerRoman"/>
      <w:start w:val="3"/>
    </w:lvl>
  </w:abstractNum>
  <w:abstractNum w:abstractNumId="122">
    <w:nsid w:val="2E48F044"/>
    <w:multiLevelType w:val="hybridMultilevel"/>
    <w:lvl w:ilvl="0">
      <w:lvlJc w:val="left"/>
      <w:lvlText w:val="%1."/>
      <w:numFmt w:val="decimal"/>
      <w:start w:val="1"/>
    </w:lvl>
  </w:abstractNum>
  <w:abstractNum w:abstractNumId="123">
    <w:nsid w:val="49D0FEAC"/>
    <w:multiLevelType w:val="hybridMultilevel"/>
    <w:lvl w:ilvl="0">
      <w:lvlJc w:val="left"/>
      <w:lvlText w:val="%1."/>
      <w:numFmt w:val="decimal"/>
      <w:start w:val="2"/>
    </w:lvl>
  </w:abstractNum>
  <w:abstractNum w:abstractNumId="124">
    <w:nsid w:val="4BEE5A5B"/>
    <w:multiLevelType w:val="hybridMultilevel"/>
    <w:lvl w:ilvl="0">
      <w:lvlJc w:val="left"/>
      <w:lvlText w:val="(%1)"/>
      <w:numFmt w:val="lowerRoman"/>
      <w:start w:val="1"/>
    </w:lvl>
  </w:abstractNum>
  <w:abstractNum w:abstractNumId="125">
    <w:nsid w:val="5551B9F3"/>
    <w:multiLevelType w:val="hybridMultilevel"/>
    <w:lvl w:ilvl="0">
      <w:lvlJc w:val="left"/>
      <w:lvlText w:val="%1."/>
      <w:numFmt w:val="decimal"/>
      <w:start w:val="3"/>
    </w:lvl>
  </w:abstractNum>
  <w:abstractNum w:abstractNumId="126">
    <w:nsid w:val="24F6AB8E"/>
    <w:multiLevelType w:val="hybridMultilevel"/>
    <w:lvl w:ilvl="0">
      <w:lvlJc w:val="left"/>
      <w:lvlText w:val="%1."/>
      <w:numFmt w:val="decimal"/>
      <w:start w:val="4"/>
    </w:lvl>
  </w:abstractNum>
  <w:abstractNum w:abstractNumId="127">
    <w:nsid w:val="634C574C"/>
    <w:multiLevelType w:val="hybridMultilevel"/>
    <w:lvl w:ilvl="0">
      <w:lvlJc w:val="left"/>
      <w:lvlText w:val="%1."/>
      <w:numFmt w:val="decimal"/>
      <w:start w:val="5"/>
    </w:lvl>
  </w:abstractNum>
  <w:abstractNum w:abstractNumId="128">
    <w:nsid w:val="24E99DD7"/>
    <w:multiLevelType w:val="hybridMultilevel"/>
    <w:lvl w:ilvl="0">
      <w:lvlJc w:val="left"/>
      <w:lvlText w:val="%1."/>
      <w:numFmt w:val="decimal"/>
      <w:start w:val="6"/>
    </w:lvl>
  </w:abstractNum>
  <w:abstractNum w:abstractNumId="129">
    <w:nsid w:val="2A31B62D"/>
    <w:multiLevelType w:val="hybridMultilevel"/>
    <w:lvl w:ilvl="0">
      <w:lvlJc w:val="left"/>
      <w:lvlText w:val="%1."/>
      <w:numFmt w:val="decimal"/>
      <w:start w:val="7"/>
    </w:lvl>
  </w:abstractNum>
  <w:abstractNum w:abstractNumId="130">
    <w:nsid w:val="1849C29B"/>
    <w:multiLevelType w:val="hybridMultilevel"/>
    <w:lvl w:ilvl="0">
      <w:lvlJc w:val="left"/>
      <w:lvlText w:val="%1."/>
      <w:numFmt w:val="decimal"/>
      <w:start w:val="8"/>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1."/>
      <w:numFmt w:val="decimal"/>
      <w:start w:val="9"/>
    </w:lvl>
  </w:abstractNum>
  <w:abstractNum w:abstractNumId="133">
    <w:nsid w:val="69E7F3E5"/>
    <w:multiLevelType w:val="hybridMultilevel"/>
    <w:lvl w:ilvl="0">
      <w:lvlJc w:val="left"/>
      <w:lvlText w:val="%1."/>
      <w:numFmt w:val="decimal"/>
      <w:start w:val="10"/>
    </w:lvl>
  </w:abstractNum>
  <w:abstractNum w:abstractNumId="134">
    <w:nsid w:val="2A6DE806"/>
    <w:multiLevelType w:val="hybridMultilevel"/>
    <w:lvl w:ilvl="0">
      <w:lvlJc w:val="left"/>
      <w:lvlText w:val="%1"/>
      <w:numFmt w:val="lowerRoman"/>
      <w:start w:val="1"/>
    </w:lvl>
    <w:lvl w:ilvl="1">
      <w:lvlJc w:val="left"/>
      <w:lvlText w:val="(%2)"/>
      <w:numFmt w:val="lowerRoman"/>
      <w:start w:val="1"/>
    </w:lvl>
  </w:abstractNum>
  <w:abstractNum w:abstractNumId="135">
    <w:nsid w:val="1816F8C4"/>
    <w:multiLevelType w:val="hybridMultilevel"/>
    <w:lvl w:ilvl="0">
      <w:lvlJc w:val="left"/>
      <w:lvlText w:val="(%1)"/>
      <w:numFmt w:val="lowerRoman"/>
      <w:start w:val="2"/>
    </w:lvl>
    <w:lvl w:ilvl="1">
      <w:lvlJc w:val="left"/>
      <w:lvlText w:val="%2"/>
      <w:numFmt w:val="lowerRoman"/>
      <w:start w:val="1"/>
    </w:lvl>
  </w:abstractNum>
  <w:abstractNum w:abstractNumId="136">
    <w:nsid w:val="37DF2233"/>
    <w:multiLevelType w:val="hybridMultilevel"/>
    <w:lvl w:ilvl="0">
      <w:lvlJc w:val="left"/>
      <w:lvlText w:val="%1."/>
      <w:numFmt w:val="decimal"/>
      <w:start w:val="11"/>
    </w:lvl>
  </w:abstractNum>
  <w:abstractNum w:abstractNumId="137">
    <w:nsid w:val="7AB49DAF"/>
    <w:multiLevelType w:val="hybridMultilevel"/>
    <w:lvl w:ilvl="0">
      <w:lvlJc w:val="left"/>
      <w:lvlText w:val="%1."/>
      <w:numFmt w:val="decimal"/>
      <w:start w:val="12"/>
    </w:lvl>
  </w:abstractNum>
  <w:abstractNum w:abstractNumId="138">
    <w:nsid w:val="759F82CD"/>
    <w:multiLevelType w:val="hybridMultilevel"/>
    <w:lvl w:ilvl="0">
      <w:lvlJc w:val="left"/>
      <w:lvlText w:val="%1."/>
      <w:numFmt w:val="decimal"/>
      <w:start w:val="13"/>
    </w:lvl>
  </w:abstractNum>
  <w:abstractNum w:abstractNumId="139">
    <w:nsid w:val="61E74EA3"/>
    <w:multiLevelType w:val="hybridMultilevel"/>
    <w:lvl w:ilvl="0">
      <w:lvlJc w:val="left"/>
      <w:lvlText w:val="%1."/>
      <w:numFmt w:val="decimal"/>
      <w:start w:val="14"/>
    </w:lvl>
  </w:abstractNum>
  <w:abstractNum w:abstractNumId="140">
    <w:nsid w:val="597B4D84"/>
    <w:multiLevelType w:val="hybridMultilevel"/>
    <w:lvl w:ilvl="0">
      <w:lvlJc w:val="left"/>
      <w:lvlText w:val="%1."/>
      <w:numFmt w:val="decimal"/>
      <w:start w:val="15"/>
    </w:lvl>
  </w:abstractNum>
  <w:abstractNum w:abstractNumId="141">
    <w:nsid w:val="F819E7F"/>
    <w:multiLevelType w:val="hybridMultilevel"/>
    <w:lvl w:ilvl="0">
      <w:lvlJc w:val="left"/>
      <w:lvlText w:val="$"/>
      <w:numFmt w:val="bullet"/>
      <w:start w:val="1"/>
    </w:lvl>
  </w:abstractNum>
  <w:abstractNum w:abstractNumId="142">
    <w:nsid w:val="57C7D42D"/>
    <w:multiLevelType w:val="hybridMultilevel"/>
    <w:lvl w:ilvl="0">
      <w:lvlJc w:val="left"/>
      <w:lvlText w:val="$"/>
      <w:numFmt w:val="bullet"/>
      <w:start w:val="1"/>
    </w:lvl>
  </w:abstractNum>
  <w:abstractNum w:abstractNumId="143">
    <w:nsid w:val="312167AD"/>
    <w:multiLevelType w:val="hybridMultilevel"/>
    <w:lvl w:ilvl="0">
      <w:lvlJc w:val="left"/>
      <w:lvlText w:val="(%1)"/>
      <w:numFmt w:val="decimal"/>
      <w:start w:val="1"/>
    </w:lvl>
  </w:abstractNum>
  <w:abstractNum w:abstractNumId="144">
    <w:nsid w:val="631B64D4"/>
    <w:multiLevelType w:val="hybridMultilevel"/>
    <w:lvl w:ilvl="0">
      <w:lvlJc w:val="left"/>
      <w:lvlText w:val="(%1)"/>
      <w:numFmt w:val="decimal"/>
      <w:start w:val="11"/>
    </w:lvl>
  </w:abstractNum>
  <w:abstractNum w:abstractNumId="145">
    <w:nsid w:val="78B5E776"/>
    <w:multiLevelType w:val="hybridMultilevel"/>
    <w:lvl w:ilvl="0">
      <w:lvlJc w:val="left"/>
      <w:lvlText w:val="(%1)"/>
      <w:numFmt w:val="lowerLetter"/>
      <w:start w:val="1"/>
    </w:lvl>
  </w:abstractNum>
  <w:abstractNum w:abstractNumId="146">
    <w:nsid w:val="75486E47"/>
    <w:multiLevelType w:val="hybridMultilevel"/>
    <w:lvl w:ilvl="0">
      <w:lvlJc w:val="left"/>
      <w:lvlText w:val="(%1)"/>
      <w:numFmt w:val="lowerLetter"/>
      <w:start w:val="2"/>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2024-05-27T00:34:12Z</dcterms:created>
  <dcterms:modified xsi:type="dcterms:W3CDTF">2024-05-27T00:34:12Z</dcterms:modified>
</cp:coreProperties>
</file>