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April 26, 2022.</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This draft registration statement has not been publicly filed with the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 and all information herein remains strictly confidential.</w:t>
      </w:r>
    </w:p>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127635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Tempus Labs,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160020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2" w:lineRule="exact"/>
        <w:rPr>
          <w:sz w:val="24"/>
          <w:szCs w:val="24"/>
          <w:color w:val="auto"/>
        </w:rPr>
      </w:pPr>
    </w:p>
    <w:tbl>
      <w:tblPr>
        <w:tblLayout w:type="fixed"/>
        <w:tblInd w:w="840" w:type="dxa"/>
        <w:tblCellMar>
          <w:top w:w="0" w:type="dxa"/>
          <w:left w:w="0" w:type="dxa"/>
          <w:bottom w:w="0" w:type="dxa"/>
          <w:right w:w="0" w:type="dxa"/>
        </w:tblCellMar>
      </w:tblPr>
      <w:tr>
        <w:trPr>
          <w:trHeight w:val="161"/>
        </w:trPr>
        <w:tc>
          <w:tcPr>
            <w:tcW w:w="252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20" w:type="dxa"/>
            <w:vAlign w:val="bottom"/>
          </w:tcPr>
          <w:p>
            <w:pPr>
              <w:jc w:val="center"/>
              <w:ind w:right="2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2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3"/>
        </w:trPr>
        <w:tc>
          <w:tcPr>
            <w:tcW w:w="2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5"/>
                <w:szCs w:val="15"/>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2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2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213"/>
        </w:trPr>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8"/>
        </w:trPr>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8"/>
                <w:szCs w:val="18"/>
                <w:color w:val="auto"/>
              </w:rPr>
            </w:pPr>
          </w:p>
        </w:tc>
      </w:tr>
      <w:tr>
        <w:trPr>
          <w:trHeight w:val="144"/>
        </w:trPr>
        <w:tc>
          <w:tcPr>
            <w:tcW w:w="252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spacing w:after="0"/>
              <w:rPr>
                <w:sz w:val="12"/>
                <w:szCs w:val="12"/>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2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227"/>
        </w:trPr>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8"/>
        </w:trPr>
        <w:tc>
          <w:tcPr>
            <w:tcW w:w="2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3"/>
        </w:trPr>
        <w:tc>
          <w:tcPr>
            <w:tcW w:w="252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Nicole Brookshire</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Executive Vice President and</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Administrative and Legal Officer</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20" w:type="dxa"/>
            <w:vAlign w:val="bottom"/>
          </w:tcPr>
          <w:p>
            <w:pPr>
              <w:jc w:val="center"/>
              <w:ind w:right="4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444 West Lake Street, Suite 1700</w:t>
            </w:r>
          </w:p>
        </w:tc>
        <w:tc>
          <w:tcPr>
            <w:tcW w:w="3520" w:type="dxa"/>
            <w:vAlign w:val="bottom"/>
            <w:gridSpan w:val="2"/>
          </w:tcPr>
          <w:p>
            <w:pPr>
              <w:jc w:val="center"/>
              <w:ind w:left="1073"/>
              <w:spacing w:after="0" w:line="145"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52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Chicago, Illinois 60606</w:t>
            </w: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140335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126365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3"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9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9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DE1A1E"/>
        </w:rPr>
        <w:t>Issued</w:t>
      </w:r>
      <w:r>
        <w:rPr>
          <w:sz w:val="20"/>
          <w:szCs w:val="20"/>
          <w:color w:val="auto"/>
        </w:rPr>
        <w:tab/>
      </w:r>
      <w:r>
        <w:rPr>
          <w:rFonts w:ascii="Times New Roman" w:cs="Times New Roman" w:eastAsia="Times New Roman" w:hAnsi="Times New Roman"/>
          <w:sz w:val="18"/>
          <w:szCs w:val="18"/>
          <w:i w:val="1"/>
          <w:iCs w:val="1"/>
          <w:color w:val="DE1A1E"/>
        </w:rPr>
        <w:t>, 2022</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142240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51" w:lineRule="exact"/>
        <w:rPr>
          <w:sz w:val="20"/>
          <w:szCs w:val="20"/>
          <w:color w:val="auto"/>
        </w:rPr>
      </w:pPr>
    </w:p>
    <w:p>
      <w:pPr>
        <w:spacing w:after="0"/>
        <w:tabs>
          <w:tab w:leader="none" w:pos="7440" w:val="left"/>
        </w:tabs>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Labs, Inc. We are offering</w:t>
      </w:r>
      <w:r>
        <w:rPr>
          <w:sz w:val="20"/>
          <w:szCs w:val="20"/>
          <w:color w:val="auto"/>
        </w:rPr>
        <w:tab/>
      </w:r>
      <w:r>
        <w:rPr>
          <w:rFonts w:ascii="Times New Roman" w:cs="Times New Roman" w:eastAsia="Times New Roman" w:hAnsi="Times New Roman"/>
          <w:sz w:val="15"/>
          <w:szCs w:val="15"/>
          <w:b w:val="1"/>
          <w:bCs w:val="1"/>
          <w:i w:val="1"/>
          <w:iCs w:val="1"/>
          <w:color w:val="auto"/>
        </w:rPr>
        <w:t>shares of our Class A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w:t>
      </w:r>
    </w:p>
    <w:p>
      <w:pPr>
        <w:spacing w:after="0" w:line="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 share.</w:t>
      </w:r>
    </w:p>
    <w:p>
      <w:pPr>
        <w:spacing w:after="0" w:line="52"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6"/>
          <w:szCs w:val="16"/>
          <w:b w:val="1"/>
          <w:bCs w:val="1"/>
          <w:i w:val="1"/>
          <w:iCs w:val="1"/>
          <w:color w:val="auto"/>
        </w:rPr>
        <w:t>The selling stockholders identified in this prospectus have granted the underwriters the option to purchase up to an additional</w:t>
      </w:r>
      <w:r>
        <w:rPr>
          <w:sz w:val="20"/>
          <w:szCs w:val="20"/>
          <w:color w:val="auto"/>
        </w:rPr>
        <w:tab/>
      </w:r>
      <w:r>
        <w:rPr>
          <w:rFonts w:ascii="Times New Roman" w:cs="Times New Roman" w:eastAsia="Times New Roman" w:hAnsi="Times New Roman"/>
          <w:sz w:val="15"/>
          <w:szCs w:val="15"/>
          <w:b w:val="1"/>
          <w:bCs w:val="1"/>
          <w:i w:val="1"/>
          <w:iCs w:val="1"/>
          <w:color w:val="auto"/>
        </w:rPr>
        <w:t>shares of Class A common stock on</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the same terms as set forth above within 30 days from the date of this prospectus to cover over-allotments, if any. We will not receive any proceeds from any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95250</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on the date that our Chief Executive Officer, Founder and Chairman (i) ceases to serve as an executive officer or member of our Board of Directors or (ii)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104775</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applied to list our Class A common stock on the Nasdaq Global Select Market under the symbol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136525</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124460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0"/>
          <w:szCs w:val="20"/>
          <w:color w:val="auto"/>
        </w:rPr>
      </w:pPr>
    </w:p>
    <w:p>
      <w:pPr>
        <w:ind w:left="9420"/>
        <w:spacing w:after="0"/>
        <w:tabs>
          <w:tab w:leader="none" w:pos="10960" w:val="left"/>
        </w:tabs>
        <w:rPr>
          <w:sz w:val="20"/>
          <w:szCs w:val="20"/>
          <w:color w:val="auto"/>
        </w:rPr>
      </w:pPr>
      <w:r>
        <w:rPr>
          <w:rFonts w:ascii="Times New Roman" w:cs="Times New Roman" w:eastAsia="Times New Roman" w:hAnsi="Times New Roman"/>
          <w:sz w:val="14"/>
          <w:szCs w:val="14"/>
          <w:b w:val="1"/>
          <w:bCs w:val="1"/>
          <w:i w:val="1"/>
          <w:iCs w:val="1"/>
          <w:color w:val="auto"/>
        </w:rPr>
        <w:t>Per Share</w:t>
      </w:r>
      <w:r>
        <w:rPr>
          <w:sz w:val="20"/>
          <w:szCs w:val="20"/>
          <w:color w:val="auto"/>
        </w:rPr>
        <w:tab/>
      </w:r>
      <w:r>
        <w:rPr>
          <w:rFonts w:ascii="Times New Roman" w:cs="Times New Roman" w:eastAsia="Times New Roman" w:hAnsi="Times New Roman"/>
          <w:sz w:val="13"/>
          <w:szCs w:val="13"/>
          <w:b w:val="1"/>
          <w:bCs w:val="1"/>
          <w:i w:val="1"/>
          <w:iCs w:val="1"/>
          <w:color w:val="auto"/>
        </w:rPr>
        <w:t>Total</w:t>
      </w:r>
    </w:p>
    <w:p>
      <w:pPr>
        <w:sectPr>
          <w:pgSz w:w="11900" w:h="16838" w:orient="portrait"/>
          <w:cols w:equalWidth="0" w:num="1">
            <w:col w:w="11340"/>
          </w:cols>
          <w:pgMar w:left="320" w:top="448" w:right="2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public offering price</w:t>
      </w:r>
    </w:p>
    <w:p>
      <w:pPr>
        <w:spacing w:after="0" w:line="182" w:lineRule="auto"/>
        <w:rPr>
          <w:sz w:val="20"/>
          <w:szCs w:val="20"/>
          <w:color w:val="auto"/>
        </w:rPr>
      </w:pPr>
      <w:r>
        <w:rPr>
          <w:rFonts w:ascii="Times New Roman" w:cs="Times New Roman" w:eastAsia="Times New Roman" w:hAnsi="Times New Roman"/>
          <w:sz w:val="16"/>
          <w:szCs w:val="16"/>
          <w:i w:val="1"/>
          <w:iCs w:val="1"/>
          <w:color w:val="auto"/>
        </w:rPr>
        <w:t xml:space="preserve">Underwriting discounts and commissions </w:t>
      </w:r>
      <w:r>
        <w:rPr>
          <w:rFonts w:ascii="Times New Roman" w:cs="Times New Roman" w:eastAsia="Times New Roman" w:hAnsi="Times New Roman"/>
          <w:sz w:val="26"/>
          <w:szCs w:val="26"/>
          <w:i w:val="1"/>
          <w:iCs w:val="1"/>
          <w:color w:val="auto"/>
          <w:vertAlign w:val="superscript"/>
        </w:rPr>
        <w:t>(1)</w:t>
      </w:r>
    </w:p>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Tempus Labs,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Proceeds, before expenses, to the selling stockholders </w:t>
      </w:r>
      <w:r>
        <w:rPr>
          <w:rFonts w:ascii="Times New Roman" w:cs="Times New Roman" w:eastAsia="Times New Roman" w:hAnsi="Times New Roman"/>
          <w:sz w:val="26"/>
          <w:szCs w:val="26"/>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(1)</w:t>
            </w:r>
          </w:p>
        </w:tc>
        <w:tc>
          <w:tcPr>
            <w:tcW w:w="85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See “Underwriting” for additional information regarding compensation payable to the underwriters.</w:t>
            </w:r>
          </w:p>
        </w:tc>
      </w:tr>
      <w:tr>
        <w:trPr>
          <w:trHeight w:val="185"/>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(2)</w:t>
            </w: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Assumes the exercise in full of the underwriters’ option to purchase</w:t>
            </w:r>
          </w:p>
        </w:tc>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w w:val="99"/>
              </w:rPr>
              <w:t>additional shares of Class A common stock from the selling stockholders.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Borders>
              <w:top w:val="single" w:sz="8" w:color="auto"/>
            </w:tcBorders>
          </w:tcPr>
          <w:p>
            <w:pPr>
              <w:jc w:val="right"/>
              <w:ind w:right="421"/>
              <w:spacing w:after="0" w:line="175" w:lineRule="exact"/>
              <w:rPr>
                <w:sz w:val="20"/>
                <w:szCs w:val="20"/>
                <w:color w:val="auto"/>
              </w:rPr>
            </w:pPr>
            <w:r>
              <w:rPr>
                <w:rFonts w:ascii="Times New Roman" w:cs="Times New Roman" w:eastAsia="Times New Roman" w:hAnsi="Times New Roman"/>
                <w:sz w:val="16"/>
                <w:szCs w:val="16"/>
                <w:i w:val="1"/>
                <w:iCs w:val="1"/>
                <w:color w:val="auto"/>
                <w:w w:val="74"/>
              </w:rPr>
              <w:t>$</w:t>
            </w:r>
          </w:p>
        </w:tc>
        <w:tc>
          <w:tcPr>
            <w:tcW w:w="980" w:type="dxa"/>
            <w:vAlign w:val="bottom"/>
          </w:tcPr>
          <w:p>
            <w:pPr>
              <w:spacing w:after="0"/>
              <w:rPr>
                <w:sz w:val="15"/>
                <w:szCs w:val="15"/>
                <w:color w:val="auto"/>
              </w:rPr>
            </w:pPr>
          </w:p>
        </w:tc>
        <w:tc>
          <w:tcPr>
            <w:tcW w:w="300" w:type="dxa"/>
            <w:vAlign w:val="bottom"/>
            <w:tcBorders>
              <w:top w:val="single" w:sz="8" w:color="auto"/>
            </w:tcBorders>
          </w:tcPr>
          <w:p>
            <w:pPr>
              <w:jc w:val="right"/>
              <w:ind w:right="61"/>
              <w:spacing w:after="0" w:line="175" w:lineRule="exact"/>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08"/>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bl>
    <w:p>
      <w:pPr>
        <w:spacing w:after="0" w:line="513" w:lineRule="exact"/>
        <w:rPr>
          <w:sz w:val="20"/>
          <w:szCs w:val="20"/>
          <w:color w:val="auto"/>
        </w:rPr>
      </w:pPr>
    </w:p>
    <w:p>
      <w:pPr>
        <w:sectPr>
          <w:pgSz w:w="11900" w:h="16838" w:orient="portrait"/>
          <w:cols w:equalWidth="0" w:num="2">
            <w:col w:w="8800" w:space="620"/>
            <w:col w:w="1920"/>
          </w:cols>
          <w:pgMar w:left="320" w:top="448" w:right="239" w:bottom="1440" w:gutter="0" w:footer="0" w:header="0"/>
          <w:type w:val="continuous"/>
        </w:sect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111125</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4" w:lineRule="exact"/>
        <w:rPr>
          <w:sz w:val="20"/>
          <w:szCs w:val="20"/>
          <w:color w:val="auto"/>
        </w:rPr>
      </w:pPr>
    </w:p>
    <w:p>
      <w:pPr>
        <w:spacing w:after="0"/>
        <w:tabs>
          <w:tab w:leader="none" w:pos="5120" w:val="left"/>
          <w:tab w:leader="none" w:pos="7700" w:val="left"/>
        </w:tabs>
        <w:rPr>
          <w:sz w:val="20"/>
          <w:szCs w:val="20"/>
          <w:color w:val="auto"/>
        </w:rPr>
      </w:pPr>
      <w:r>
        <w:rPr>
          <w:rFonts w:ascii="Times New Roman" w:cs="Times New Roman" w:eastAsia="Times New Roman" w:hAnsi="Times New Roman"/>
          <w:sz w:val="21"/>
          <w:szCs w:val="21"/>
          <w:i w:val="1"/>
          <w:iCs w:val="1"/>
          <w:color w:val="auto"/>
        </w:rPr>
        <w:t>MORGAN STANLEY</w:t>
      </w:r>
      <w:r>
        <w:rPr>
          <w:sz w:val="20"/>
          <w:szCs w:val="20"/>
          <w:color w:val="auto"/>
        </w:rPr>
        <w:tab/>
      </w:r>
      <w:r>
        <w:rPr>
          <w:rFonts w:ascii="Times New Roman" w:cs="Times New Roman" w:eastAsia="Times New Roman" w:hAnsi="Times New Roman"/>
          <w:sz w:val="21"/>
          <w:szCs w:val="21"/>
          <w:i w:val="1"/>
          <w:iCs w:val="1"/>
          <w:color w:val="auto"/>
        </w:rPr>
        <w:t>J.P. MORGAN</w:t>
      </w:r>
      <w:r>
        <w:rPr>
          <w:sz w:val="20"/>
          <w:szCs w:val="20"/>
          <w:color w:val="auto"/>
        </w:rPr>
        <w:tab/>
      </w:r>
      <w:r>
        <w:rPr>
          <w:rFonts w:ascii="Times New Roman" w:cs="Times New Roman" w:eastAsia="Times New Roman" w:hAnsi="Times New Roman"/>
          <w:sz w:val="20"/>
          <w:szCs w:val="20"/>
          <w:i w:val="1"/>
          <w:iCs w:val="1"/>
          <w:color w:val="auto"/>
        </w:rPr>
        <w:t>ALLEN &amp; COMPANY LLC</w:t>
      </w:r>
    </w:p>
    <w:p>
      <w:pPr>
        <w:spacing w:after="0" w:line="34" w:lineRule="exact"/>
        <w:rPr>
          <w:sz w:val="20"/>
          <w:szCs w:val="20"/>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i w:val="1"/>
          <w:iCs w:val="1"/>
          <w:color w:val="auto"/>
        </w:rPr>
        <w:t>BofA SECURITIES</w:t>
      </w:r>
      <w:r>
        <w:rPr>
          <w:sz w:val="20"/>
          <w:szCs w:val="20"/>
          <w:color w:val="auto"/>
        </w:rPr>
        <w:tab/>
      </w:r>
      <w:r>
        <w:rPr>
          <w:rFonts w:ascii="Times New Roman" w:cs="Times New Roman" w:eastAsia="Times New Roman" w:hAnsi="Times New Roman"/>
          <w:sz w:val="16"/>
          <w:szCs w:val="16"/>
          <w:i w:val="1"/>
          <w:iCs w:val="1"/>
          <w:color w:val="auto"/>
        </w:rPr>
        <w:t>COWEN</w:t>
      </w:r>
    </w:p>
    <w:p>
      <w:pPr>
        <w:spacing w:after="0" w:line="215" w:lineRule="auto"/>
        <w:tabs>
          <w:tab w:leader="none" w:pos="7700" w:val="left"/>
        </w:tabs>
        <w:rPr>
          <w:sz w:val="20"/>
          <w:szCs w:val="20"/>
          <w:color w:val="auto"/>
        </w:rPr>
      </w:pPr>
      <w:r>
        <w:rPr>
          <w:rFonts w:ascii="Times New Roman" w:cs="Times New Roman" w:eastAsia="Times New Roman" w:hAnsi="Times New Roman"/>
          <w:sz w:val="14"/>
          <w:szCs w:val="14"/>
          <w:i w:val="1"/>
          <w:iCs w:val="1"/>
          <w:color w:val="auto"/>
        </w:rPr>
        <w:t>STIFEL</w:t>
      </w:r>
      <w:r>
        <w:rPr>
          <w:sz w:val="20"/>
          <w:szCs w:val="20"/>
          <w:color w:val="auto"/>
        </w:rPr>
        <w:tab/>
      </w:r>
      <w:r>
        <w:rPr>
          <w:rFonts w:ascii="Times New Roman" w:cs="Times New Roman" w:eastAsia="Times New Roman" w:hAnsi="Times New Roman"/>
          <w:sz w:val="14"/>
          <w:szCs w:val="14"/>
          <w:i w:val="1"/>
          <w:iCs w:val="1"/>
          <w:color w:val="auto"/>
        </w:rPr>
        <w:t>WILLIAM BLAIR</w:t>
      </w:r>
    </w:p>
    <w:p>
      <w:pPr>
        <w:spacing w:after="0"/>
        <w:tabs>
          <w:tab w:leader="none" w:pos="7700" w:val="left"/>
        </w:tabs>
        <w:rPr>
          <w:sz w:val="20"/>
          <w:szCs w:val="20"/>
          <w:color w:val="auto"/>
        </w:rPr>
      </w:pPr>
      <w:r>
        <w:rPr>
          <w:rFonts w:ascii="Times New Roman" w:cs="Times New Roman" w:eastAsia="Times New Roman" w:hAnsi="Times New Roman"/>
          <w:sz w:val="14"/>
          <w:szCs w:val="14"/>
          <w:i w:val="1"/>
          <w:iCs w:val="1"/>
          <w:color w:val="auto"/>
        </w:rPr>
        <w:t>LOOP CAPITAL MARKETS</w:t>
      </w:r>
      <w:r>
        <w:rPr>
          <w:sz w:val="20"/>
          <w:szCs w:val="20"/>
          <w:color w:val="auto"/>
        </w:rPr>
        <w:tab/>
      </w:r>
      <w:r>
        <w:rPr>
          <w:rFonts w:ascii="Times New Roman" w:cs="Times New Roman" w:eastAsia="Times New Roman" w:hAnsi="Times New Roman"/>
          <w:sz w:val="13"/>
          <w:szCs w:val="13"/>
          <w:i w:val="1"/>
          <w:iCs w:val="1"/>
          <w:color w:val="auto"/>
        </w:rPr>
        <w:t>NEEDHAM &amp; COMPANY</w:t>
      </w:r>
    </w:p>
    <w:p>
      <w:pPr>
        <w:spacing w:after="0" w:line="27" w:lineRule="exact"/>
        <w:rPr>
          <w:sz w:val="20"/>
          <w:szCs w:val="20"/>
          <w:color w:val="auto"/>
        </w:rPr>
      </w:pPr>
    </w:p>
    <w:p>
      <w:pPr>
        <w:ind w:left="4600"/>
        <w:spacing w:after="0"/>
        <w:tabs>
          <w:tab w:leader="none" w:pos="6300" w:val="left"/>
        </w:tabs>
        <w:rPr>
          <w:sz w:val="20"/>
          <w:szCs w:val="20"/>
          <w:color w:val="auto"/>
        </w:rPr>
      </w:pPr>
      <w:r>
        <w:rPr>
          <w:rFonts w:ascii="Times New Roman" w:cs="Times New Roman" w:eastAsia="Times New Roman" w:hAnsi="Times New Roman"/>
          <w:sz w:val="16"/>
          <w:szCs w:val="16"/>
          <w:i w:val="1"/>
          <w:iCs w:val="1"/>
          <w:color w:val="auto"/>
        </w:rPr>
        <w:t>Prospectus dated</w:t>
      </w:r>
      <w:r>
        <w:rPr>
          <w:sz w:val="20"/>
          <w:szCs w:val="20"/>
          <w:color w:val="auto"/>
        </w:rPr>
        <w:tab/>
      </w:r>
      <w:r>
        <w:rPr>
          <w:rFonts w:ascii="Times New Roman" w:cs="Times New Roman" w:eastAsia="Times New Roman" w:hAnsi="Times New Roman"/>
          <w:sz w:val="15"/>
          <w:szCs w:val="15"/>
          <w:i w:val="1"/>
          <w:iCs w:val="1"/>
          <w:color w:val="auto"/>
        </w:rPr>
        <w:t>, 2022.</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3"/>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97</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of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of Our Class A Common Stock</w:t>
            </w:r>
          </w:p>
        </w:tc>
        <w:tc>
          <w:tcPr>
            <w:tcW w:w="250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102</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106</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124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190</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81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55816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Labs,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laboratory tests, an Intelligent Diagnostic contextualizes the laboratory test result to a specific patient, by incorporating an individual’s longitudinal clinical data into the result.</w:t>
      </w:r>
    </w:p>
    <w:p>
      <w:pPr>
        <w:spacing w:after="0" w:line="184"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To accomplish this, we built both a technology platform to free healthcare data from silos and an operating system to make this data useful. We refer to the combination of those as the Tempus Platform. Our proprietary technology has allowed us to amass what we consider to be one of the largest libraries of clinical and molecular oncology data in the world. Our goal is to embed AI throughout every aspect of diagnostic testing to enable physicians and researchers to make personalized, data-driven decisions that improve patient care. We started in oncology in 2016 and have expanded into neuropsychology, infectious diseases, and cardiology, with aspirations to eventually be in all major disease areas.</w:t>
      </w:r>
    </w:p>
    <w:p>
      <w:pPr>
        <w:spacing w:after="0" w:line="187" w:lineRule="exact"/>
        <w:rPr>
          <w:sz w:val="20"/>
          <w:szCs w:val="20"/>
          <w:color w:val="auto"/>
        </w:rPr>
      </w:pPr>
    </w:p>
    <w:p>
      <w:pPr>
        <w:jc w:val="both"/>
        <w:ind w:left="200" w:firstLine="438"/>
        <w:spacing w:after="0" w:line="288" w:lineRule="auto"/>
        <w:rPr>
          <w:sz w:val="20"/>
          <w:szCs w:val="20"/>
          <w:color w:val="auto"/>
        </w:rPr>
      </w:pPr>
      <w:r>
        <w:rPr>
          <w:rFonts w:ascii="Times New Roman" w:cs="Times New Roman" w:eastAsia="Times New Roman" w:hAnsi="Times New Roman"/>
          <w:sz w:val="16"/>
          <w:szCs w:val="16"/>
          <w:color w:val="auto"/>
        </w:rPr>
        <w:t>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56"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oncology, and other diseases, in the United States. Our Platform connects multiple stakeholders within the larger healthcare ecosystem, often in near real time, to assemble and integrate the data we collect, thereby providing an opportunity for physicians to</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314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53149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make data-driven decisions in the clinic and for researchers to discover and develop therapeutics. We aim to help doctors find the best therapies for their patients, help pharmaceutical and biotechnology companies make the best drugs possible, and enable patients to access emerging therapies and clinical trials when appropriate.</w:t>
      </w:r>
    </w:p>
    <w:p>
      <w:pPr>
        <w:spacing w:after="0" w:line="18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81" w:lineRule="auto"/>
        <w:rPr>
          <w:sz w:val="20"/>
          <w:szCs w:val="20"/>
          <w:color w:val="auto"/>
        </w:rPr>
      </w:pPr>
      <w:r>
        <w:rPr>
          <w:rFonts w:ascii="Times New Roman" w:cs="Times New Roman" w:eastAsia="Times New Roman" w:hAnsi="Times New Roman"/>
          <w:sz w:val="16"/>
          <w:szCs w:val="16"/>
          <w:color w:val="auto"/>
        </w:rPr>
        <w:t>Our Platform includes proprietary software and dedicated data pipelines that create a network of healthcare institutions through more than 250 unique data connections, many of which supply us with complex multimodal data in near real time, across over 1,500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We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and to increase the effectiveness of our clinical trial matching services. In certain circumstances, we may cover the actual direct costs associated with the technical integrations needed to create a data connection.</w:t>
      </w:r>
    </w:p>
    <w:p>
      <w:pPr>
        <w:spacing w:after="0" w:line="16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have launched a suite of different products derived from our Platform, which have gained significant traction over the past five years. In 2020 alone, we performed more than one million diagnostic laboratory tests, and our clinical NGS volume in oncology rose from approximately 31,000 samples in 2018 to approximately 145,000 in 2021. Through December 31, 2021, our offerings have been used by more than 5,000 oncologists across hundreds of provider networks, including more than half of all academic medical centers in the United States. Our database has grown to be approximately 19 times the size of The Cancer Genome Atlas, the largest public genomic dataset that we know of in oncology, as we now have approximately 48 petabytes of connected clinical and molecular data. Between our sequencing and data collection efforts, we are connected in some way to approximately 40% of all oncologists practicing in the United States.</w:t>
      </w:r>
    </w:p>
    <w:p>
      <w:pPr>
        <w:spacing w:after="0" w:line="189"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revenues. Even though our cancer business was at an early stage, we next expanded into neuropsychology, as we believed our model was extensible across disease areas. Having gained early traction in depression, we moved into infectious disease, which was largely prioritized due to the COVID-19 pandemic. With the decline of COVID-19 testing revenue, we intend to expand our infectious disease offering to cover broader viral testing. Our next category is in cardiology, through our collaboration with Geisinger. Each time we enter a new disease area we look to expand upon the model we deployed in oncology by developing Intelligent Diagnostics connected to clinical data, and by amassing large amounts of de-identified data to advance patient care and accelerate drug discovery and development. Once we obtain sufficient data, we also expect to deploy our AI and machine learning capabilities to build algorithmic diagnostics at scale across diseases.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148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71488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1,500 employees, including hundreds with diverse expertise across genetics, molecular and computational biology, bioinformatics, regulatory affairs, medical, product and engineering, and data science. Roughly one-third of our team is technical, with over 180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200" w:firstLine="438"/>
        <w:spacing w:after="0" w:line="285" w:lineRule="auto"/>
        <w:rPr>
          <w:sz w:val="20"/>
          <w:szCs w:val="20"/>
          <w:color w:val="auto"/>
        </w:rPr>
      </w:pPr>
      <w:r>
        <w:rPr>
          <w:rFonts w:ascii="Times New Roman" w:cs="Times New Roman" w:eastAsia="Times New Roman" w:hAnsi="Times New Roman"/>
          <w:sz w:val="16"/>
          <w:szCs w:val="16"/>
          <w:color w:val="auto"/>
        </w:rPr>
        <w:t>We generated total revenue of $188.0 million and $257.9 million in the years ended December 31, 2020 and 2021, respectively. Revenue generated from COVID-19 testing was $89.5 million, or 47.6% of our total revenue, and $94.7 million, or 36.7% of our total revenue, for the years ended December 31, 2020 and 2021, respectively. We anticipate that demand for, and revenue from, our COVID-19 testing products will decrease materially in future periods due to the lower prevalence of COVID-19 from successful containment efforts and the vaccination of a substantial majority of Americans, reduced testing needs of many of our clients, and the entrance of other testing providers into the market, and that such decreases would have an adverse effect on our results of operations. We incurred net losses of $209.9 million and $259.2 million in the years ended December 31, 2020 and 2021, respectively.</w:t>
      </w: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482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74822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their data warehouse, or their third-party data provider to pull relevant structured and unstructured data that the provider has agreed to contribute to us, including longitudinal follow-up data in certain circumstances. We have established relationships with hundreds of provider networks in the United States, including approximately half of all academic medical centers. In addition, we work with numerous industry associations, including the American Society of Clinical Oncology, or ASCO, to structure and distribute the cancer data that they collect as part of CancerLinq, which is their oncology data effort. We also ingest data via our two high-throughput diagnostic testing labs in Chicago and Atlanta, through which we offer a range of anatomical and molecular NGS tests. We intend to expand these capabilities with a new genomics lab in Raleigh, North Carolina, which we are currently operationalizing and from which we expect to begin offering commercial laboratory tests in 2022.</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to streamline and help secure this process. Once appropriately de-identified, we store the data in our multimodal database.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8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6581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almost 500 million documents and more than 5.0 million de-identified patient records, including over 950,000 with imaging data, more than 500,000 with matched clinical records linked with genomic information, and approximately 80,000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also retain the rights to broadly commercialize the de-identified data we collect. As our database continues to grow from its current size of approximately 48 petabytes, we believe new AI applications and opportunities will emerge that are only possible with scale that will drive further innovations in patient treatment. The graph below shows our historical database growth and its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and other statistical learning techniques to generate patient-specific insights. Some of these AI models can be not only trained and validated for research use, but also developed into clinical-grade algorithmic tests, or Algos, and deployed clinically as part of routine care. As our data advantage and system architecture continue to improve, we believe our existing Intelligent Diagnostics will gain further adoption thereby accelerating our ability to deploy technologies, including Algos, in the clinical setting.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40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56400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80" w:lineRule="auto"/>
        <w:rPr>
          <w:sz w:val="20"/>
          <w:szCs w:val="20"/>
          <w:color w:val="auto"/>
        </w:rPr>
      </w:pPr>
      <w:r>
        <w:rPr>
          <w:rFonts w:ascii="Times New Roman" w:cs="Times New Roman" w:eastAsia="Times New Roman" w:hAnsi="Times New Roman"/>
          <w:sz w:val="16"/>
          <w:szCs w:val="16"/>
          <w:color w:val="auto"/>
        </w:rPr>
        <w:t>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 We describe below our three product lines— Genomics, Data, and Algos. For the year ended December 31, 2020, Genomics and Data represented 81% and 19% of our total revenue, respectively. For the year ended December 31, 2021, Genomics and Data represented 76% and 24% of our total revenue, respectively. For the years ended December 31, 2020 and 2021, revenue generated from Algos was less than $1.0 million and was reported within our Data and other product line.</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0"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product line leverages our laboratories to provide NGS diagnostics, polymerase chain reaction, or PCR, profiling, molecular genotyping, and other anatomic and molecular pathology testing to healthcare providers, life sciences companies, researchers, and other third parties. We operate robotic sequencing labs in Chicago and Atlanta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We are also currently operationalizing an additional sequencing lab in Raleigh, North Carolina.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72"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 (we are currently performing analytical validation on a larger 523 gene version);</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neuropsychology;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 – PCR test for COVID-19; and</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w:t>
      </w:r>
    </w:p>
    <w:p>
      <w:pPr>
        <w:spacing w:after="0" w:line="213" w:lineRule="exact"/>
        <w:rPr>
          <w:sz w:val="20"/>
          <w:szCs w:val="20"/>
          <w:color w:val="auto"/>
        </w:rPr>
      </w:pPr>
    </w:p>
    <w:p>
      <w:pPr>
        <w:jc w:val="both"/>
        <w:ind w:left="200" w:right="20" w:firstLine="438"/>
        <w:spacing w:after="0" w:line="267" w:lineRule="auto"/>
        <w:rPr>
          <w:sz w:val="20"/>
          <w:szCs w:val="20"/>
          <w:color w:val="auto"/>
        </w:rPr>
      </w:pPr>
      <w:r>
        <w:rPr>
          <w:rFonts w:ascii="Times New Roman" w:cs="Times New Roman" w:eastAsia="Times New Roman" w:hAnsi="Times New Roman"/>
          <w:sz w:val="18"/>
          <w:szCs w:val="18"/>
          <w:color w:val="auto"/>
        </w:rPr>
        <w:t>We are also currently developing xM, a low pass whole genome + methylation assay for monitoring for cancer recurrence and minimal residual disease.</w:t>
      </w:r>
    </w:p>
    <w:p>
      <w:pPr>
        <w:spacing w:after="0" w:line="17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clinical and molecular oncology datasets in the world, which we make available to physicians and life sciences companies. Because our Platform is designed to be extensible across disease areas, we hope, over time, to have similar success in neuropsychology, cardiology, infectious disease, and the other disease categories in which we choose to expand.</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248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5248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w:t>
      </w:r>
      <w:r>
        <w:rPr>
          <w:rFonts w:ascii="Times New Roman" w:cs="Times New Roman" w:eastAsia="Times New Roman" w:hAnsi="Times New Roman"/>
          <w:sz w:val="18"/>
          <w:szCs w:val="18"/>
          <w:i w:val="1"/>
          <w:iCs w:val="1"/>
          <w:color w:val="auto"/>
        </w:rPr>
        <w:t>Insights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xml:space="preserve">. Through our </w:t>
      </w:r>
      <w:r>
        <w:rPr>
          <w:rFonts w:ascii="Times New Roman" w:cs="Times New Roman" w:eastAsia="Times New Roman" w:hAnsi="Times New Roman"/>
          <w:sz w:val="18"/>
          <w:szCs w:val="18"/>
          <w:i w:val="1"/>
          <w:iCs w:val="1"/>
          <w:color w:val="auto"/>
        </w:rPr>
        <w:t>Insights</w:t>
      </w:r>
      <w:r>
        <w:rPr>
          <w:rFonts w:ascii="Times New Roman" w:cs="Times New Roman" w:eastAsia="Times New Roman" w:hAnsi="Times New Roman"/>
          <w:sz w:val="18"/>
          <w:szCs w:val="18"/>
          <w:color w:val="auto"/>
        </w:rPr>
        <w:t xml:space="preserve">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 from discovery, research and development, to commercialization. Customers either pay us on a per file basis or through multi-year data licensing agreements to access our de-identified database of clinical records. At present, we work with 16 of the 20 largest public pharmaceutical companies based on 2020 revenue, and, as of December 31, 2021, we have signed contracts with a remaining total contract value of $428 million, a majority of which we expect to deliver over the next several years. See “Business” for additional discussion regarding our remaining total contract value.</w:t>
      </w:r>
    </w:p>
    <w:p>
      <w:pPr>
        <w:spacing w:after="0" w:line="193"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over time, the value of a single de-identified record can increase over time.</w:t>
      </w:r>
    </w:p>
    <w:p>
      <w:pPr>
        <w:spacing w:after="0" w:line="18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To evaluate the revenue stream in our Data product line, we rely on “Cohort Lifetime Value.”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other in the Consolidated Statement of Operations. Cost of revenues, data and other were $7.1 million and $11.9 million for the years ended December 31, 2020 and 2021, respectively. These costs represent 19.6% and 19.0% of data and other revenue for the years ended December 31, 2020 and 2021, respectively.</w:t>
      </w:r>
    </w:p>
    <w:p>
      <w:pPr>
        <w:spacing w:after="0" w:line="195"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2018, the first full year that we operated a laboratory, we sequenced samples from approximately 7,500 patients. From that 2018 cohort of sequenced patients, through December 31, 2021, we generated $47.4 million of combined revenue from sequencing, data licensing of de-identified data derived from those records, and clinical trials matching, which is approximately 5.3 times the revenue we received from sequencing at the onset. The total cost to sequence the 2018 cohort was $17.4 million, of which $9.0 million was covered by reimbursement for the corresponding sequencing tests. We then generated $16.3 million of data revenue from that cohort in 2018, finishing the year with a “Cohort Lifetime Value” of $7.9 million. As more customers licensed de-identified records from the 2018 cohort in subsequent years, we generated additional revenue in 2019, 2020 and 2021 from the 2018 cohort, and as of December 31, 2021, the 2018 “Cohort Lifetime Value” for this cohort was $30.0 million. We maintained similar trends for the 2019, 2020 and 2021 cohorts. As of December 31, 2021, the 2019 “Cohort Lifetime Value” was $34.2 million, the 2020 “Cohort Lifetime Value” was $19.2 million and the 2021 “Cohort Lifetime Value” was $17.1 million.</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4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57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65570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“Cohort Lifetime Value” for the 2018, 2019, 2020 and 2021 data cohorts is illustrated in the graphs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44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75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7757160"/>
                    </a:xfrm>
                    <a:prstGeom prst="rect">
                      <a:avLst/>
                    </a:prstGeom>
                    <a:noFill/>
                  </pic:spPr>
                </pic:pic>
              </a:graphicData>
            </a:graphic>
          </wp:anchor>
        </w:drawing>
      </w:r>
    </w:p>
    <w:p>
      <w:pPr>
        <w:sectPr>
          <w:pgSz w:w="11900" w:h="16838" w:orient="portrait"/>
          <w:cols w:equalWidth="0" w:num="1">
            <w:col w:w="11160"/>
          </w:cols>
          <w:pgMar w:left="320" w:top="44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 xml:space="preserve">Our second product within our Data product line,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is designed to leverage the broad network of physicians we work with in oncology to provide clinical trial matching services for pharmaceutical companies that are looking to reach hard-to-find and underserved patient populations. Our clinical trial matching product is built on top of our near real-time data feeds and harnesses AI to accelerate the connection between patients, clinical trial providers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1,500 oncologists fully enrolled, more than 75 clinical trials onboarded and active, and more than 5,800 patients were identified for potential enrollment into clinical trials in our network, as of December 31, 2021.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0" w:lineRule="exact"/>
        <w:rPr>
          <w:sz w:val="20"/>
          <w:szCs w:val="20"/>
          <w:color w:val="auto"/>
        </w:rPr>
      </w:pPr>
    </w:p>
    <w:p>
      <w:pPr>
        <w:jc w:val="both"/>
        <w:ind w:left="200" w:firstLine="438"/>
        <w:spacing w:after="0" w:line="270" w:lineRule="auto"/>
        <w:rPr>
          <w:sz w:val="20"/>
          <w:szCs w:val="20"/>
          <w:color w:val="auto"/>
        </w:rPr>
      </w:pPr>
      <w:r>
        <w:rPr>
          <w:rFonts w:ascii="Times New Roman" w:cs="Times New Roman" w:eastAsia="Times New Roman" w:hAnsi="Times New Roman"/>
          <w:sz w:val="18"/>
          <w:szCs w:val="18"/>
          <w:color w:val="auto"/>
        </w:rPr>
        <w:t xml:space="preserve">Our newest product line,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focuses on developing and providing diagnostics that are algorithmic in nature. Algos are tests that can be run without additional chemistry or biology; they are simply 0’s and 1’s</w:t>
      </w:r>
    </w:p>
    <w:p>
      <w:pPr>
        <w:sectPr>
          <w:pgSz w:w="11900" w:h="16838" w:orient="portrait"/>
          <w:cols w:equalWidth="0" w:num="1">
            <w:col w:w="11160"/>
          </w:cols>
          <w:pgMar w:left="320" w:top="448" w:right="419" w:bottom="1440" w:gutter="0" w:footer="0" w:header="0"/>
          <w:type w:val="continuous"/>
        </w:sectPr>
      </w:pPr>
    </w:p>
    <w:p>
      <w:pPr>
        <w:spacing w:after="0" w:line="2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60"/>
          </w:cols>
          <w:pgMar w:left="320" w:top="448" w:right="4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15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61150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running on digitized data derived from a laboratory test. Algos leverage AI-driven insights to produce clinically validated and actionable information for physicians.</w:t>
      </w:r>
    </w:p>
    <w:p>
      <w:pPr>
        <w:spacing w:after="0" w:line="17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currently offer three algorithmic tests in oncology: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(CPIC).</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are also developing Algos in other disease areas. In cardiology, for example, we entered into a collaboration with Geisinger to build algorithmic models that aid clinicians in identifying patients at increased risk of developing atrial fibrillation, or AFib, along with a variety of other cardiac conditions. These Algos are trained using de-identified data derived from Geisinger’s dataset of approximately 3.2 million electrocardiograms, or ECGs, across approximately 600,000 patients, with decades of longitudinal connected clinical data, including outcome and response data. As part of this initiative, the U.S. Food and Drug Administration, or FDA, recently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w:t>
      </w:r>
    </w:p>
    <w:p>
      <w:pPr>
        <w:spacing w:after="0" w:line="186"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Algos product line represents an emerging category of diagnostics and has the potential to be highly disruptive across diagnostic tests in a broad set of disease areas. We believe that as our database grows, we will be able to expand our Algos offering, with the goal of launching hundreds or thousands of Algos at some point in the future, representing a significant long-term opportunity that may be substantially larger than our other existing product lines. We believe our ability to launch Algos at scale could be a unique differentiator of our Platform. For Algos, we use data the same way legacy diagnostic companies use chemistry in the battle against disease, improving patient care by learning from the patients who have come before, and tailoring test results based on a patient’s unique profile. While we only have four Algos tests at present, we have a goal of launching at least 50 Algos by year end 2025. Some Algos will likely yield little to no reimbursement until their clinical utility is well established, and some may obtain reimbursement at prevailing rates for comparable tests. Through December 31, 2021 our Algos have been ordered more than 13,600 times and have generated approximately $100 per test on average. Eventually, we would like to launch hundreds, if not thousands, of Algos.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and infectious diseases, in which there is over $4 trillion of economic burden according to publicly available sources.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981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69818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third party research for “real world evidence”, as estimated according to Mordor Intelligence and our internal estimates. Over time, we believe that the potential market opportunity for our Algos product line could be substantially larger than our other product lines combined.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product line is powered by dedicated, near real-time data pipelines that we believe are increasingly difficult to replicate; and our proprietary technology has allowed us to scale where others have been unable. As we are now connected to approximately 40% of all oncologists practicing in the United States in some way, and a growing number of neuropsychiatric, infectious disease,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06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59067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a glimpse into how these technologies might influence care over time:</w:t>
      </w:r>
    </w:p>
    <w:p>
      <w:pPr>
        <w:spacing w:after="0" w:line="211" w:lineRule="exact"/>
        <w:rPr>
          <w:sz w:val="20"/>
          <w:szCs w:val="20"/>
          <w:color w:val="auto"/>
        </w:rPr>
      </w:pPr>
    </w:p>
    <w:p>
      <w:pPr>
        <w:jc w:val="both"/>
        <w:ind w:left="200" w:firstLine="438"/>
        <w:spacing w:after="0" w:line="256" w:lineRule="auto"/>
        <w:rPr>
          <w:sz w:val="20"/>
          <w:szCs w:val="20"/>
          <w:color w:val="auto"/>
        </w:rPr>
      </w:pPr>
      <w:r>
        <w:rPr>
          <w:rFonts w:ascii="Times New Roman" w:cs="Times New Roman" w:eastAsia="Times New Roman" w:hAnsi="Times New Roman"/>
          <w:sz w:val="18"/>
          <w:szCs w:val="18"/>
          <w:i w:val="1"/>
          <w:iCs w:val="1"/>
          <w:color w:val="auto"/>
        </w:rPr>
        <w:t>Imagine the world as it exists today. A 44 year old female feels a lump in her left breast. She sees her gynecologist, who orders a biopsy. The patient is diagnosed with triple negative breast cancer, which has metastasized to her lung. The patient is prescribed chemotherapy (paclitaxel), but her tumors don’t respond. Despite another course of chemotherapy (capecitabine), the patient’s survival rate is limited to approximately a year.</w:t>
      </w:r>
    </w:p>
    <w:p>
      <w:pPr>
        <w:spacing w:after="0" w:line="178" w:lineRule="exact"/>
        <w:rPr>
          <w:sz w:val="20"/>
          <w:szCs w:val="20"/>
          <w:color w:val="auto"/>
        </w:rPr>
      </w:pPr>
    </w:p>
    <w:p>
      <w:pPr>
        <w:jc w:val="both"/>
        <w:ind w:left="200" w:firstLine="438"/>
        <w:spacing w:after="0" w:line="256" w:lineRule="auto"/>
        <w:rPr>
          <w:sz w:val="20"/>
          <w:szCs w:val="20"/>
          <w:color w:val="auto"/>
        </w:rPr>
      </w:pPr>
      <w:r>
        <w:rPr>
          <w:rFonts w:ascii="Times New Roman" w:cs="Times New Roman" w:eastAsia="Times New Roman" w:hAnsi="Times New Roman"/>
          <w:sz w:val="18"/>
          <w:szCs w:val="18"/>
          <w:i w:val="1"/>
          <w:iCs w:val="1"/>
          <w:color w:val="auto"/>
        </w:rPr>
        <w:t>Now imagine a future world, where artificial intelligence and technology combine at scale to revolutionize treatment options. Not only does the same 44 year old patient receive a biopsy and scans, but her physician has access to a wealth of clinically relevant information including her clinical history, pathology images, germline, and tumor molecular profile to better inform precision care:</w:t>
      </w:r>
    </w:p>
    <w:p>
      <w:pPr>
        <w:spacing w:after="0" w:line="204" w:lineRule="exact"/>
        <w:rPr>
          <w:sz w:val="20"/>
          <w:szCs w:val="20"/>
          <w:color w:val="auto"/>
        </w:rPr>
      </w:pPr>
    </w:p>
    <w:p>
      <w:pPr>
        <w:jc w:val="both"/>
        <w:ind w:left="1160" w:right="20" w:hanging="268"/>
        <w:spacing w:after="0" w:line="256" w:lineRule="auto"/>
        <w:tabs>
          <w:tab w:leader="none" w:pos="1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Once the patient receives a biopsy, her diagnostic pathology slides are automatically connected to Tempus’ cloud platform. Within minutes, dozens of diagnostic algorithms run on her pathology images. Of note, the algorithm suggests the patient has HRD and an overexpression of c-Met protein.</w:t>
      </w:r>
    </w:p>
    <w:p>
      <w:pPr>
        <w:spacing w:after="0" w:line="204" w:lineRule="exact"/>
        <w:rPr>
          <w:rFonts w:ascii="Times New Roman" w:cs="Times New Roman" w:eastAsia="Times New Roman" w:hAnsi="Times New Roman"/>
          <w:sz w:val="18"/>
          <w:szCs w:val="18"/>
          <w:i w:val="1"/>
          <w:iCs w:val="1"/>
          <w:color w:val="auto"/>
        </w:rPr>
      </w:pPr>
    </w:p>
    <w:p>
      <w:pPr>
        <w:jc w:val="both"/>
        <w:ind w:left="1160" w:hanging="268"/>
        <w:spacing w:after="0" w:line="256" w:lineRule="auto"/>
        <w:tabs>
          <w:tab w:leader="none" w:pos="1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patient’s physician orders molecular profiling of her tumor using Tempus’ whole genome &amp; whole transcriptome assay. The results confirm the patient is HRD positive and c-Met amplified. Sequencing also reveals the patient has high expression levels of CD4O along with loss of heterozygosity for HLA A*01:01 in her tumor and is eligible for an immunotherapy trial targeting CD40.</w:t>
      </w:r>
    </w:p>
    <w:p>
      <w:pPr>
        <w:spacing w:after="0" w:line="204" w:lineRule="exact"/>
        <w:rPr>
          <w:rFonts w:ascii="Times New Roman" w:cs="Times New Roman" w:eastAsia="Times New Roman" w:hAnsi="Times New Roman"/>
          <w:sz w:val="18"/>
          <w:szCs w:val="18"/>
          <w:i w:val="1"/>
          <w:iCs w:val="1"/>
          <w:color w:val="auto"/>
        </w:rPr>
      </w:pPr>
    </w:p>
    <w:p>
      <w:pPr>
        <w:jc w:val="both"/>
        <w:ind w:left="1160" w:right="20" w:hanging="268"/>
        <w:spacing w:after="0" w:line="256" w:lineRule="auto"/>
        <w:tabs>
          <w:tab w:leader="none" w:pos="1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Tempus automatically scans the patient’s clinical history, which reveals that the patient had an ECG at her last visit. Tempus runs a body of cardiology-focused algorithms against the ECG and detects a high probability of developing atrial fibrillation, a potentially serious condition the patient and physician were unaware of.</w:t>
      </w:r>
    </w:p>
    <w:p>
      <w:pPr>
        <w:spacing w:after="0" w:line="178"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With access to both multimodal data and artificial intelligence, the physician prescribes a different course of treatment. Her oncologist starts with a PARP inhibitor to address her HRD status, and surgical ablation to address her atrial fibrillation. The patient also enrolls in an immunotherapy clinical trial, which begins after chemotherapy, with an immunotherapy drug targeting CD40. The patient responds well, having a complete radiologic response with no tumors in her breast or lung. Her physician orders quarterly minimal residual disease testing using Tempus’ cell free DNA assay, and the patient is routinely monitored on an annual basis thereafter.</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5580" w:right="200" w:hanging="4688"/>
        <w:spacing w:after="0" w:line="648" w:lineRule="auto"/>
        <w:tabs>
          <w:tab w:leader="none" w:pos="11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both a technology company and a healthcare company, allowing us to harness the advantages of both to advance precision medicine. 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48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57480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121" w:lineRule="exact"/>
        <w:rPr>
          <w:rFonts w:ascii="Times New Roman" w:cs="Times New Roman" w:eastAsia="Times New Roman" w:hAnsi="Times New Roman"/>
          <w:sz w:val="18"/>
          <w:szCs w:val="18"/>
          <w:color w:val="auto"/>
        </w:rPr>
      </w:pPr>
    </w:p>
    <w:p>
      <w:pPr>
        <w:ind w:left="1160" w:right="20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Algos at scale.</w:t>
      </w:r>
    </w:p>
    <w:p>
      <w:pPr>
        <w:spacing w:after="0" w:line="121" w:lineRule="exact"/>
        <w:rPr>
          <w:rFonts w:ascii="Times New Roman" w:cs="Times New Roman" w:eastAsia="Times New Roman" w:hAnsi="Times New Roman"/>
          <w:sz w:val="18"/>
          <w:szCs w:val="18"/>
          <w:color w:val="auto"/>
        </w:rPr>
      </w:pPr>
    </w:p>
    <w:p>
      <w:pPr>
        <w:ind w:left="1160" w:right="20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neuropsychology, infectious disease,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0" w:lineRule="exact"/>
        <w:rPr>
          <w:sz w:val="20"/>
          <w:szCs w:val="20"/>
          <w:color w:val="auto"/>
        </w:rPr>
      </w:pPr>
    </w:p>
    <w:p>
      <w:pPr>
        <w:jc w:val="both"/>
        <w:ind w:left="200" w:right="180" w:firstLine="438"/>
        <w:spacing w:after="0" w:line="276" w:lineRule="auto"/>
        <w:rPr>
          <w:sz w:val="20"/>
          <w:szCs w:val="20"/>
          <w:color w:val="auto"/>
        </w:rPr>
      </w:pPr>
      <w:r>
        <w:rPr>
          <w:rFonts w:ascii="Times New Roman" w:cs="Times New Roman" w:eastAsia="Times New Roman" w:hAnsi="Times New Roman"/>
          <w:sz w:val="16"/>
          <w:szCs w:val="16"/>
          <w:color w:val="auto"/>
        </w:rPr>
        <w:t>On April 18, 2022, we entered into a stock purchase agreement with certain of our existing investors, including Mr. Lefkofsky, pursuant to which we issued and sold 1,483,242 shares of our Series G-3 preferred stock at a price per share of $57.3069, for an aggregate purchase price of approximately $85.0 million (the “Series G-3 Financing”). As of the date hereof, we have received $68.5 million of the committed $85.0 million, with the remainder committed from one additional investor, which is due by April 29, 2022. As part of the Series G-3 Financing, we may sell up to an additional 2,006,739 shares of Series G-3 preferred stock within sixty days from April 18, 2022.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 after June 30, 2023, 85% of the public offering price in this offering). Based on an assumed</w:t>
      </w:r>
    </w:p>
    <w:p>
      <w:pPr>
        <w:spacing w:after="0" w:line="6" w:lineRule="exact"/>
        <w:rPr>
          <w:sz w:val="20"/>
          <w:szCs w:val="20"/>
          <w:color w:val="auto"/>
        </w:rPr>
      </w:pPr>
    </w:p>
    <w:p>
      <w:pPr>
        <w:ind w:left="200" w:right="180"/>
        <w:spacing w:after="0" w:line="243" w:lineRule="auto"/>
        <w:rPr>
          <w:sz w:val="20"/>
          <w:szCs w:val="20"/>
          <w:color w:val="auto"/>
        </w:rPr>
      </w:pPr>
      <w:r>
        <w:rPr>
          <w:rFonts w:ascii="Times New Roman" w:cs="Times New Roman" w:eastAsia="Times New Roman" w:hAnsi="Times New Roman"/>
          <w:sz w:val="18"/>
          <w:szCs w:val="18"/>
          <w:color w:val="auto"/>
        </w:rPr>
        <w:t>initial public offering price of $ per share, which is the midpoint of the estimated price range set forth on the cover page of this prospectus, all of the shares of Series G-3 preferred stock will convert into an aggregate of shares of our Class A common stock in connection with this offering. Each $1.00 increase or decrease in the assumed initial public offering price of $ per share, which is the midpoint of the estimated price range set forth 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cover page of this prospectus, would increase or decrease, as applicable, the number of shares of Class A common stock into which all shares of Series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G-3 preferred stock would convert in connection with this offering by approximately</w:t>
            </w:r>
          </w:p>
        </w:tc>
        <w:tc>
          <w:tcPr>
            <w:tcW w:w="4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w:t>
            </w:r>
          </w:p>
        </w:tc>
      </w:tr>
      <w:tr>
        <w:trPr>
          <w:trHeight w:val="150"/>
        </w:trPr>
        <w:tc>
          <w:tcPr>
            <w:tcW w:w="644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spacing w:after="0"/>
              <w:rPr>
                <w:sz w:val="13"/>
                <w:szCs w:val="13"/>
                <w:color w:val="auto"/>
              </w:rPr>
            </w:pPr>
          </w:p>
        </w:tc>
      </w:tr>
      <w:tr>
        <w:trPr>
          <w:trHeight w:val="351"/>
        </w:trPr>
        <w:tc>
          <w:tcPr>
            <w:tcW w:w="64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13</w:t>
            </w:r>
          </w:p>
        </w:tc>
        <w:tc>
          <w:tcPr>
            <w:tcW w:w="490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73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59734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w:t>
      </w:r>
    </w:p>
    <w:p>
      <w:pPr>
        <w:spacing w:after="0" w:line="88"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our tests, our business, financial condition and results of operations will be negatively affected.</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88"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481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54813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80" w:right="20"/>
        <w:spacing w:after="0" w:line="267" w:lineRule="auto"/>
        <w:rPr>
          <w:sz w:val="20"/>
          <w:szCs w:val="20"/>
          <w:color w:val="auto"/>
        </w:rPr>
      </w:pPr>
      <w:r>
        <w:rPr>
          <w:rFonts w:ascii="Times New Roman" w:cs="Times New Roman" w:eastAsia="Times New Roman" w:hAnsi="Times New Roman"/>
          <w:sz w:val="18"/>
          <w:szCs w:val="18"/>
          <w:color w:val="auto"/>
        </w:rPr>
        <w:t>attract and retain highly skilled scientists, clinicians, sales representatives and business development managers could adversely affect our business, financial condition and results of operations.</w:t>
      </w:r>
    </w:p>
    <w:p>
      <w:pPr>
        <w:spacing w:after="0" w:line="78" w:lineRule="exact"/>
        <w:rPr>
          <w:sz w:val="20"/>
          <w:szCs w:val="20"/>
          <w:color w:val="auto"/>
        </w:rPr>
      </w:pPr>
    </w:p>
    <w:p>
      <w:pPr>
        <w:ind w:left="1160" w:hanging="268"/>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We were originally formed under the name Bioin LLC in Delaware in August 2015 and we converted to a Delaware corporation in September 2015 under the name Bioin Inc. We changed our name to Tempus Health, Inc. later in 2015 and in 2016, we changed our name to Tempus Labs,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87"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Labs, Inc. or our subsidiaries. Other trade names, trademarks and service marks used in this prospectus are the property of their respective owners.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$1.07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98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57981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642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the selling stockholders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22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net proceeds from the sale of our Class A common</w:t>
      </w:r>
    </w:p>
    <w:p>
      <w:pPr>
        <w:spacing w:after="0" w:line="21"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stock that we are offering will be approximately $</w:t>
      </w:r>
      <w:r>
        <w:rPr>
          <w:sz w:val="20"/>
          <w:szCs w:val="20"/>
          <w:color w:val="auto"/>
        </w:rPr>
        <w:tab/>
      </w:r>
      <w:r>
        <w:rPr>
          <w:rFonts w:ascii="Times New Roman" w:cs="Times New Roman" w:eastAsia="Times New Roman" w:hAnsi="Times New Roman"/>
          <w:sz w:val="16"/>
          <w:szCs w:val="16"/>
          <w:color w:val="auto"/>
        </w:rPr>
        <w:t>million,</w:t>
      </w:r>
    </w:p>
    <w:p>
      <w:pPr>
        <w:spacing w:after="0" w:line="3"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assuming an initial public offering price of $</w:t>
      </w:r>
      <w:r>
        <w:rPr>
          <w:sz w:val="20"/>
          <w:szCs w:val="20"/>
          <w:color w:val="auto"/>
        </w:rPr>
        <w:tab/>
      </w:r>
      <w:r>
        <w:rPr>
          <w:rFonts w:ascii="Times New Roman" w:cs="Times New Roman" w:eastAsia="Times New Roman" w:hAnsi="Times New Roman"/>
          <w:sz w:val="18"/>
          <w:szCs w:val="18"/>
          <w:color w:val="auto"/>
        </w:rPr>
        <w:t>per share, the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 common stock will automatically convert into shares of Class A common stock in certain circumstances,</w:t>
      </w:r>
    </w:p>
    <w:p>
      <w:pPr>
        <w:spacing w:after="0" w:line="200" w:lineRule="exact"/>
        <w:rPr>
          <w:sz w:val="20"/>
          <w:szCs w:val="20"/>
          <w:color w:val="auto"/>
        </w:rPr>
      </w:pPr>
    </w:p>
    <w:p>
      <w:pPr>
        <w:sectPr>
          <w:pgSz w:w="11900" w:h="16838" w:orient="portrait"/>
          <w:cols w:equalWidth="0" w:num="2">
            <w:col w:w="5620" w:space="280"/>
            <w:col w:w="5260"/>
          </w:cols>
          <w:pgMar w:left="320" w:top="448" w:right="419" w:bottom="1440" w:gutter="0" w:footer="0" w:header="0"/>
          <w:type w:val="continuous"/>
        </w:sectPr>
      </w:pP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364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3644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including on the date that Eric Lefkofsky, our Chief Executive Officer,</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Founder and Chairman (1) ceases to serve as an executive officer or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member of our Board of Directors or (2) ceases to own, together with 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controlled entities, at least 10,000,000 shares of our capital stock (as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adjusted for stock splits, stock dividends, combinations, subdivisions and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8"/>
              </w:rPr>
              <w:t>generally vote together as a single class, unless otherwise required by law</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7"/>
              </w:rPr>
              <w:t>Founder and Chairman, Eric Lefkofsky, will beneficially own 100% of our</w:t>
            </w:r>
          </w:p>
        </w:tc>
      </w:tr>
      <w:tr>
        <w:trPr>
          <w:trHeight w:val="210"/>
        </w:trPr>
        <w:tc>
          <w:tcPr>
            <w:tcW w:w="3720" w:type="dxa"/>
            <w:vAlign w:val="bottom"/>
          </w:tcPr>
          <w:p>
            <w:pPr>
              <w:spacing w:after="0"/>
              <w:rPr>
                <w:sz w:val="18"/>
                <w:szCs w:val="18"/>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outstanding Class B common stock and will hold approximately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9"/>
              </w:rPr>
              <w:t>outcome of matters submitted to our stockholders for approval, including</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transaction. See the sections titled “Principal and Selling Stockholders”</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tc>
        <w:tc>
          <w:tcPr>
            <w:tcW w:w="500" w:type="dxa"/>
            <w:vAlign w:val="bottom"/>
          </w:tcPr>
          <w:p>
            <w:pPr>
              <w:spacing w:after="0"/>
              <w:rPr>
                <w:sz w:val="19"/>
                <w:szCs w:val="19"/>
                <w:color w:val="auto"/>
              </w:rPr>
            </w:pPr>
          </w:p>
        </w:tc>
      </w:tr>
      <w:tr>
        <w:trPr>
          <w:trHeight w:val="27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You should carefully read the section titled “Risk Factors” beginning on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page 23 and the other information included in this prospectus for a</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discussion of facts that you should consider before deciding to invest in</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shares of our Class A common stock.</w:t>
            </w:r>
          </w:p>
        </w:tc>
        <w:tc>
          <w:tcPr>
            <w:tcW w:w="500" w:type="dxa"/>
            <w:vAlign w:val="bottom"/>
          </w:tcPr>
          <w:p>
            <w:pPr>
              <w:spacing w:after="0"/>
              <w:rPr>
                <w:sz w:val="19"/>
                <w:szCs w:val="19"/>
                <w:color w:val="auto"/>
              </w:rPr>
            </w:pPr>
          </w:p>
        </w:tc>
      </w:tr>
      <w:tr>
        <w:trPr>
          <w:trHeight w:val="27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Proposed trading symbol</w:t>
            </w: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“TIME”</w:t>
            </w:r>
          </w:p>
        </w:tc>
        <w:tc>
          <w:tcPr>
            <w:tcW w:w="500" w:type="dxa"/>
            <w:vAlign w:val="bottom"/>
          </w:tcPr>
          <w:p>
            <w:pPr>
              <w:spacing w:after="0"/>
              <w:rPr>
                <w:sz w:val="23"/>
                <w:szCs w:val="23"/>
                <w:color w:val="auto"/>
              </w:rPr>
            </w:pPr>
          </w:p>
        </w:tc>
      </w:tr>
    </w:tbl>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w:t>
      </w:r>
    </w:p>
    <w:p>
      <w:pPr>
        <w:spacing w:after="0" w:line="4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18"/>
          <w:szCs w:val="18"/>
          <w:color w:val="auto"/>
        </w:rPr>
        <w:t>based on shares of Class A common stock and 5,374,899 shares of Class B common stock outstanding as of (after giving effect to the Series G-3 Financing and assuming the conversion of all outstanding shares of redeemable convertible preferred stock, other than our Series B redeemable convertible preferred stock and non-voting common stock into Class A common stock and all outstanding shares of Series B redeemable convertible preferred stock into Class B common stock as described below) and excludes:</w:t>
      </w:r>
    </w:p>
    <w:p>
      <w:pPr>
        <w:spacing w:after="0" w:line="99" w:lineRule="exact"/>
        <w:rPr>
          <w:sz w:val="20"/>
          <w:szCs w:val="20"/>
          <w:color w:val="auto"/>
        </w:rPr>
      </w:pPr>
    </w:p>
    <w:p>
      <w:pPr>
        <w:jc w:val="both"/>
        <w:ind w:left="1160" w:hanging="535"/>
        <w:spacing w:after="0" w:line="281" w:lineRule="auto"/>
        <w:tabs>
          <w:tab w:leader="none" w:pos="171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restricted stock units, or RSUs, outstanding as of December 31, 2021 under our Third Amended and Restated 2015 Stock Plan, as amended, or 2015 Plan, for which the performance-based vesting condition will be satisfied in connection with this offering, but for which the service-based vesting condition will not be satisfied on or before</w:t>
      </w:r>
    </w:p>
    <w:p>
      <w:pPr>
        <w:spacing w:after="0" w:line="1" w:lineRule="exact"/>
        <w:rPr>
          <w:rFonts w:ascii="Times New Roman" w:cs="Times New Roman" w:eastAsia="Times New Roman" w:hAnsi="Times New Roman"/>
          <w:sz w:val="16"/>
          <w:szCs w:val="16"/>
          <w:color w:val="auto"/>
        </w:rPr>
      </w:pPr>
    </w:p>
    <w:p>
      <w:pPr>
        <w:ind w:left="1780" w:hanging="92"/>
        <w:spacing w:after="0"/>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w:t>
      </w:r>
    </w:p>
    <w:p>
      <w:pPr>
        <w:spacing w:after="0" w:line="103" w:lineRule="exact"/>
        <w:rPr>
          <w:rFonts w:ascii="Times New Roman" w:cs="Times New Roman" w:eastAsia="Times New Roman" w:hAnsi="Times New Roman"/>
          <w:sz w:val="18"/>
          <w:szCs w:val="18"/>
          <w:color w:val="auto"/>
        </w:rPr>
      </w:pPr>
    </w:p>
    <w:p>
      <w:pPr>
        <w:ind w:left="1160" w:hanging="535"/>
        <w:spacing w:after="0" w:line="267" w:lineRule="auto"/>
        <w:tabs>
          <w:tab w:leader="none" w:pos="17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that may become issuable upon the vesting and settlement of Performance-Vesting Restricted Stock Units, or PSUs, outstanding as of December 31, 2021 under</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73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62731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our 2015 Plan, for which the performance-based vesting condition may be satisfied in connection with this offering, but for which the service-</w:t>
      </w:r>
    </w:p>
    <w:p>
      <w:pPr>
        <w:spacing w:after="0" w:line="44" w:lineRule="exact"/>
        <w:rPr>
          <w:sz w:val="20"/>
          <w:szCs w:val="20"/>
          <w:color w:val="auto"/>
        </w:rPr>
      </w:pPr>
    </w:p>
    <w:tbl>
      <w:tblPr>
        <w:tblLayout w:type="fixed"/>
        <w:tblInd w:w="1180" w:type="dxa"/>
        <w:tblCellMar>
          <w:top w:w="0" w:type="dxa"/>
          <w:left w:w="0" w:type="dxa"/>
          <w:bottom w:w="0" w:type="dxa"/>
          <w:right w:w="0" w:type="dxa"/>
        </w:tblCellMar>
      </w:tblP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jc w:val="both"/>
        <w:ind w:left="1160" w:right="2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Equity Incentive Plan, or 2022 Plan, as well as any future increases, including annual automatic evergreen increases, in the number of shares of Class A common stock reserved for issuance under the 2022 Plan;</w:t>
      </w:r>
    </w:p>
    <w:p>
      <w:pPr>
        <w:spacing w:after="0" w:line="88"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our 2022 Employee Stock Purchase Plan, or the ESPP, as well as any future increases, including annual automatic evergreen increases,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2021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49"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an outstanding convertible promissory note, which is convertible beginning in March 2026 into a number of shares determined by dividing (i) the then outstanding principal amount of such note (which was $238.2 million as of December 31, 2021)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AB with an exercise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equal to the initial public offering price, as more fully described in the section of this prospectus titled “Business—Operations—Our Strategic</w:t>
            </w:r>
          </w:p>
        </w:tc>
      </w:tr>
      <w:tr>
        <w:trPr>
          <w:trHeight w:val="228"/>
        </w:trPr>
        <w:tc>
          <w:tcPr>
            <w:tcW w:w="300" w:type="dxa"/>
            <w:vAlign w:val="bottom"/>
          </w:tcPr>
          <w:p>
            <w:pPr>
              <w:spacing w:after="0"/>
              <w:rPr>
                <w:sz w:val="19"/>
                <w:szCs w:val="19"/>
                <w:color w:val="auto"/>
              </w:rPr>
            </w:pPr>
          </w:p>
        </w:tc>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with AstraZeneca”;</w:t>
            </w:r>
          </w:p>
        </w:tc>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w:t>
            </w:r>
          </w:p>
        </w:tc>
      </w:tr>
    </w:tbl>
    <w:p>
      <w:pPr>
        <w:jc w:val="both"/>
        <w:ind w:left="1160"/>
        <w:spacing w:after="0" w:line="245"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issuable to one of our stockholders pursuant to a contingent payment right, which payment may be made in cash or shares of Class A common stock, upon mutual agreement of the Company and such stockholder;</w:t>
      </w:r>
    </w:p>
    <w:p>
      <w:pPr>
        <w:spacing w:after="0" w:line="97" w:lineRule="exact"/>
        <w:rPr>
          <w:sz w:val="20"/>
          <w:szCs w:val="20"/>
          <w:color w:val="auto"/>
        </w:rPr>
      </w:pPr>
    </w:p>
    <w:p>
      <w:pPr>
        <w:jc w:val="both"/>
        <w:ind w:left="1160" w:hanging="535"/>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$4.0 million in shares of Class A common stock which may become issuable as contingent consideration in connection with our acquisition of Highline Consulting, LLC, as more fully described in the section of this prospectus titled “Management’s Discussion and Analysis of Financial Condition and Results of Operations—Acquisition of Highline Consulting, LLC”; and</w:t>
      </w:r>
    </w:p>
    <w:p>
      <w:pPr>
        <w:spacing w:after="0" w:line="88"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80"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 w:hanging="535"/>
        <w:spacing w:after="0" w:line="26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all outstanding shares of redeemable convertible preferred stock, other than our Series B redeemable convertible preferred</w:t>
      </w:r>
    </w:p>
    <w:p>
      <w:pPr>
        <w:spacing w:after="0" w:line="44" w:lineRule="exact"/>
        <w:rPr>
          <w:sz w:val="20"/>
          <w:szCs w:val="20"/>
          <w:color w:val="auto"/>
        </w:rPr>
      </w:pPr>
    </w:p>
    <w:p>
      <w:pPr>
        <w:ind w:left="1160"/>
        <w:spacing w:after="0" w:line="247" w:lineRule="auto"/>
        <w:rPr>
          <w:sz w:val="20"/>
          <w:szCs w:val="20"/>
          <w:color w:val="auto"/>
        </w:rPr>
      </w:pPr>
      <w:r>
        <w:rPr>
          <w:rFonts w:ascii="Times New Roman" w:cs="Times New Roman" w:eastAsia="Times New Roman" w:hAnsi="Times New Roman"/>
          <w:sz w:val="18"/>
          <w:szCs w:val="18"/>
          <w:color w:val="auto"/>
        </w:rPr>
        <w:t>stock, into an aggregate of shares of Class A common stock, assuming an initial public offering price of $ per share, the midpoint of the estimated price range set forth on the cover page of this prospectus, which will occur upon the closing of this offering;</w:t>
      </w: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723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47231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additional shares of Class A common stock, which we refer to as the Additional Class A Conversion Shares, upon the</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8"/>
              </w:rPr>
              <w:t>conversion of all outstanding shares of our redeemable convertible preferred stock upon the closing of this offering, pursuant to provisions of</w:t>
            </w:r>
          </w:p>
        </w:tc>
      </w:tr>
      <w:tr>
        <w:trPr>
          <w:trHeight w:val="210"/>
        </w:trPr>
        <w:tc>
          <w:tcPr>
            <w:tcW w:w="300" w:type="dxa"/>
            <w:vAlign w:val="bottom"/>
          </w:tcPr>
          <w:p>
            <w:pPr>
              <w:spacing w:after="0"/>
              <w:rPr>
                <w:sz w:val="18"/>
                <w:szCs w:val="18"/>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our certificate of incorporation as currently in effect, assuming an initial public offering price of $</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28"/>
        </w:trPr>
        <w:tc>
          <w:tcPr>
            <w:tcW w:w="300" w:type="dxa"/>
            <w:vAlign w:val="bottom"/>
          </w:tcPr>
          <w:p>
            <w:pPr>
              <w:spacing w:after="0"/>
              <w:rPr>
                <w:sz w:val="19"/>
                <w:szCs w:val="19"/>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w:t>
            </w:r>
          </w:p>
        </w:tc>
        <w:tc>
          <w:tcPr>
            <w:tcW w:w="250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upon the settlement of RSUs outstanding as of December 31, 2021 under our 2015</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Plan for which the performance-based vesting condition will be satisfied in connection with this offering and for which any service-based</w:t>
            </w:r>
          </w:p>
        </w:tc>
      </w:tr>
      <w:tr>
        <w:trPr>
          <w:trHeight w:val="210"/>
        </w:trPr>
        <w:tc>
          <w:tcPr>
            <w:tcW w:w="300" w:type="dxa"/>
            <w:vAlign w:val="bottom"/>
          </w:tcPr>
          <w:p>
            <w:pPr>
              <w:spacing w:after="0"/>
              <w:rPr>
                <w:sz w:val="18"/>
                <w:szCs w:val="18"/>
                <w:color w:val="auto"/>
              </w:rPr>
            </w:pPr>
          </w:p>
        </w:tc>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vesting condition was satisfied on or before</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 which settlement will be effected upon the expiration of the lock-up period in</w:t>
            </w:r>
          </w:p>
        </w:tc>
      </w:tr>
      <w:tr>
        <w:trPr>
          <w:trHeight w:val="228"/>
        </w:trPr>
        <w:tc>
          <w:tcPr>
            <w:tcW w:w="30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connection with this offering;</w:t>
            </w:r>
          </w:p>
        </w:tc>
        <w:tc>
          <w:tcPr>
            <w:tcW w:w="398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100" w:lineRule="exact"/>
        <w:rPr>
          <w:sz w:val="20"/>
          <w:szCs w:val="20"/>
          <w:color w:val="auto"/>
        </w:rPr>
      </w:pPr>
    </w:p>
    <w:p>
      <w:pPr>
        <w:ind w:left="1160" w:right="200" w:hanging="535"/>
        <w:spacing w:after="0" w:line="267"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4,612,450 shares of Class A common stock, which will occur upon the closing of this offering;</w:t>
      </w:r>
    </w:p>
    <w:p>
      <w:pPr>
        <w:sectPr>
          <w:pgSz w:w="11900" w:h="16838" w:orient="portrait"/>
          <w:cols w:equalWidth="0" w:num="1">
            <w:col w:w="11340"/>
          </w:cols>
          <w:pgMar w:left="320" w:top="448" w:right="239" w:bottom="1440" w:gutter="0" w:footer="0" w:header="0"/>
        </w:sectPr>
      </w:pP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no exercise of the underwriters’ option to purchase up to this offering to cover over-allotments, if any;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shares of Class A common stock from the selling stockholders in</w:t>
      </w:r>
    </w:p>
    <w:p>
      <w:pPr>
        <w:spacing w:after="0" w:line="354" w:lineRule="exact"/>
        <w:rPr>
          <w:sz w:val="20"/>
          <w:szCs w:val="20"/>
          <w:color w:val="auto"/>
        </w:rPr>
      </w:pPr>
    </w:p>
    <w:p>
      <w:pPr>
        <w:sectPr>
          <w:pgSz w:w="11900" w:h="16838" w:orient="portrait"/>
          <w:cols w:equalWidth="0" w:num="3">
            <w:col w:w="680" w:space="480"/>
            <w:col w:w="3980" w:space="720"/>
            <w:col w:w="5480"/>
          </w:cols>
          <w:pgMar w:left="320" w:top="448" w:right="239" w:bottom="1440" w:gutter="0" w:footer="0" w:header="0"/>
          <w:type w:val="continuous"/>
        </w:sectPr>
      </w:pPr>
    </w:p>
    <w:p>
      <w:pPr>
        <w:ind w:left="1160" w:hanging="53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except as described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right="180" w:firstLine="438"/>
        <w:spacing w:after="0" w:line="285"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stock. As of the date of this prospectus, shares of redeemable convertible preferred stock have accrued approximately $ million in unpaid dividends, which we expect to pay in shares of our Class A common stock. As a result, at the closing of this offering, we expect to issue the Additional Class A Conversion Shares to holders of shares of our redeemable convertible preferred stock. The number of Additional Class A Conversion Shares to be</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issued depends on the initial public offering price of our Class A common stock. Based on an assumed initial public offering price of $ per share, the midpoint of the estimated price range set forth on the cover page of this prospectus, we will issue Additional Class A Conversion Shares</w:t>
      </w:r>
    </w:p>
    <w:p>
      <w:pPr>
        <w:spacing w:after="0" w:line="1" w:lineRule="exact"/>
        <w:rPr>
          <w:sz w:val="20"/>
          <w:szCs w:val="20"/>
          <w:color w:val="auto"/>
        </w:rPr>
      </w:pPr>
    </w:p>
    <w:p>
      <w:pPr>
        <w:jc w:val="both"/>
        <w:ind w:left="200" w:right="180"/>
        <w:spacing w:after="0" w:line="245" w:lineRule="auto"/>
        <w:rPr>
          <w:sz w:val="20"/>
          <w:szCs w:val="20"/>
          <w:color w:val="auto"/>
        </w:rPr>
      </w:pPr>
      <w:r>
        <w:rPr>
          <w:rFonts w:ascii="Times New Roman" w:cs="Times New Roman" w:eastAsia="Times New Roman" w:hAnsi="Times New Roman"/>
          <w:sz w:val="18"/>
          <w:szCs w:val="18"/>
          <w:color w:val="auto"/>
        </w:rPr>
        <w:t>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0" w:type="dxa"/>
            <w:vAlign w:val="bottom"/>
          </w:tcPr>
          <w:p>
            <w:pPr>
              <w:spacing w:after="0"/>
              <w:rPr>
                <w:sz w:val="1"/>
                <w:szCs w:val="1"/>
                <w:color w:val="auto"/>
              </w:rPr>
            </w:pPr>
          </w:p>
        </w:tc>
      </w:tr>
      <w:tr>
        <w:trPr>
          <w:trHeight w:val="144"/>
        </w:trPr>
        <w:tc>
          <w:tcPr>
            <w:tcW w:w="5240" w:type="dxa"/>
            <w:vAlign w:val="bottom"/>
            <w:gridSpan w:val="3"/>
            <w:vMerge w:val="restart"/>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9"/>
              </w:rPr>
              <w:t>Assumed Initial Public</w:t>
            </w: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Class A</w:t>
            </w:r>
          </w:p>
        </w:tc>
        <w:tc>
          <w:tcPr>
            <w:tcW w:w="2100" w:type="dxa"/>
            <w:vAlign w:val="bottom"/>
            <w:gridSpan w:val="2"/>
          </w:tcPr>
          <w:p>
            <w:pPr>
              <w:jc w:val="center"/>
              <w:ind w:right="1000"/>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3"/>
        </w:trPr>
        <w:tc>
          <w:tcPr>
            <w:tcW w:w="5240" w:type="dxa"/>
            <w:vAlign w:val="bottom"/>
            <w:gridSpan w:val="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2100" w:type="dxa"/>
            <w:vAlign w:val="bottom"/>
            <w:gridSpan w:val="2"/>
          </w:tcPr>
          <w:p>
            <w:pPr>
              <w:jc w:val="center"/>
              <w:ind w:right="10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080" w:type="dxa"/>
            <w:vAlign w:val="bottom"/>
            <w:gridSpan w:val="2"/>
          </w:tcPr>
          <w:p>
            <w:pPr>
              <w:jc w:val="center"/>
              <w:ind w:right="30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Offering 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40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Conversion Shares</w:t>
            </w:r>
          </w:p>
        </w:tc>
        <w:tc>
          <w:tcPr>
            <w:tcW w:w="2100" w:type="dxa"/>
            <w:vAlign w:val="bottom"/>
            <w:gridSpan w:val="2"/>
          </w:tcPr>
          <w:p>
            <w:pPr>
              <w:jc w:val="center"/>
              <w:ind w:right="10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8"/>
                <w:szCs w:val="18"/>
                <w:color w:val="auto"/>
              </w:rPr>
              <w:t>19</w:t>
            </w: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985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62985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2020 and 2021 have been derived from our audited consolidated financial statements included elsewhere in this prospectus.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results are not necessarily indicative of the results to be expected for the full year or any other period in the future.</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12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gridSpan w:val="4"/>
          </w:tcPr>
          <w:p>
            <w:pPr>
              <w:jc w:val="center"/>
              <w:ind w:right="13"/>
              <w:spacing w:after="0" w:line="113"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share and per share data)</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151,911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195,012</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36,093</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188,004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257,853</w:t>
            </w:r>
          </w:p>
        </w:tc>
        <w:tc>
          <w:tcPr>
            <w:tcW w:w="0" w:type="dxa"/>
            <w:vAlign w:val="bottom"/>
          </w:tcPr>
          <w:p>
            <w:pPr>
              <w:spacing w:after="0"/>
              <w:rPr>
                <w:sz w:val="1"/>
                <w:szCs w:val="1"/>
                <w:color w:val="auto"/>
              </w:rPr>
            </w:pPr>
          </w:p>
        </w:tc>
      </w:tr>
      <w:tr>
        <w:trPr>
          <w:trHeight w:val="21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152,198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162,276</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7,092</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45,861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67,190</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45,415</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61,161</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130,892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199,004</w:t>
            </w:r>
          </w:p>
        </w:tc>
        <w:tc>
          <w:tcPr>
            <w:tcW w:w="0" w:type="dxa"/>
            <w:vAlign w:val="bottom"/>
          </w:tcPr>
          <w:p>
            <w:pPr>
              <w:spacing w:after="0"/>
              <w:rPr>
                <w:sz w:val="1"/>
                <w:szCs w:val="1"/>
                <w:color w:val="auto"/>
              </w:rPr>
            </w:pPr>
          </w:p>
        </w:tc>
      </w:tr>
      <w:tr>
        <w:trPr>
          <w:trHeight w:val="223"/>
        </w:trPr>
        <w:tc>
          <w:tcPr>
            <w:tcW w:w="8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381,458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9"/>
              </w:rPr>
              <w:t>(193,454)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(18,929)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9"/>
              </w:rPr>
              <w:t>(211,354)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(258,588)</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Pr>
          <w:p>
            <w:pPr>
              <w:spacing w:after="0"/>
              <w:rPr>
                <w:sz w:val="18"/>
                <w:szCs w:val="18"/>
                <w:color w:val="auto"/>
              </w:rPr>
            </w:pPr>
          </w:p>
        </w:tc>
        <w:tc>
          <w:tcPr>
            <w:tcW w:w="96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(209,854</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(259,192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58"/>
              <w:spacing w:after="0" w:line="202" w:lineRule="exact"/>
              <w:rPr>
                <w:sz w:val="20"/>
                <w:szCs w:val="20"/>
                <w:color w:val="auto"/>
              </w:rPr>
            </w:pPr>
            <w:r>
              <w:rPr>
                <w:rFonts w:ascii="Times New Roman" w:cs="Times New Roman" w:eastAsia="Times New Roman" w:hAnsi="Times New Roman"/>
                <w:sz w:val="18"/>
                <w:szCs w:val="18"/>
                <w:color w:val="auto"/>
              </w:rPr>
              <w:t>(7,381)</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Dividends on Series A, B, B-1, B-2, C, D, E, F and G preferred shares</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(34,420)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(35,758)</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(2,250)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1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(253,905)</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(297,736)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58"/>
              <w:spacing w:after="0" w:line="202" w:lineRule="exact"/>
              <w:rPr>
                <w:sz w:val="20"/>
                <w:szCs w:val="20"/>
                <w:color w:val="auto"/>
              </w:rPr>
            </w:pPr>
            <w:r>
              <w:rPr>
                <w:rFonts w:ascii="Times New Roman" w:cs="Times New Roman" w:eastAsia="Times New Roman" w:hAnsi="Times New Roman"/>
                <w:sz w:val="18"/>
                <w:szCs w:val="18"/>
                <w:color w:val="auto"/>
              </w:rPr>
              <w:t>(4.05)</w:t>
            </w: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 and diluted</w:t>
            </w:r>
            <w:r>
              <w:rPr>
                <w:rFonts w:ascii="Times New Roman" w:cs="Times New Roman" w:eastAsia="Times New Roman" w:hAnsi="Times New Roman"/>
                <w:sz w:val="14"/>
                <w:szCs w:val="14"/>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62,706</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62,975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pro forma net loss per share attributable to common stockholders, basic and</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14"/>
                <w:szCs w:val="14"/>
                <w:color w:val="auto"/>
              </w:rPr>
              <w:t>(2)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20" w:type="dxa"/>
            <w:vAlign w:val="bottom"/>
            <w:tcBorders>
              <w:bottom w:val="single" w:sz="8" w:color="auto"/>
            </w:tcBorders>
          </w:tcPr>
          <w:p>
            <w:pPr>
              <w:spacing w:after="0"/>
              <w:rPr>
                <w:sz w:val="10"/>
                <w:szCs w:val="10"/>
                <w:color w:val="auto"/>
              </w:rPr>
            </w:pPr>
          </w:p>
        </w:tc>
        <w:tc>
          <w:tcPr>
            <w:tcW w:w="7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20" w:right="20" w:hanging="428"/>
        <w:spacing w:after="0" w:line="267"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11 to our consolidated financial statements included elsewhere in this prospectus for an explanation of the calculations of our basic and diluted net loss per share attributable to common stockholders.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320" w:top="448"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48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60483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620" w:hanging="428"/>
        <w:spacing w:after="0" w:line="253"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loss per share gives effect to (a) the Series G-3 Financing, (b) the automatic conversion of all of our outstanding shares of Series B redeemable convertible preferred stock into 5,374,899 shares of Class B common stock, which will occur upon the closing of this offering, (c) the</w:t>
      </w:r>
    </w:p>
    <w:p>
      <w:pPr>
        <w:spacing w:after="0" w:line="1"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of all of our outstanding shares of redeemable convertible preferred stock, other than our Series B preferred stock, into</w:t>
      </w:r>
    </w:p>
    <w:p>
      <w:pPr>
        <w:spacing w:after="0" w:line="194" w:lineRule="exact"/>
        <w:rPr>
          <w:sz w:val="20"/>
          <w:szCs w:val="20"/>
          <w:color w:val="auto"/>
        </w:rPr>
      </w:pPr>
    </w:p>
    <w:p>
      <w:pPr>
        <w:ind w:left="620" w:firstLine="801"/>
        <w:spacing w:after="0" w:line="250" w:lineRule="auto"/>
        <w:rPr>
          <w:sz w:val="20"/>
          <w:szCs w:val="20"/>
          <w:color w:val="auto"/>
        </w:rPr>
      </w:pPr>
      <w:r>
        <w:rPr>
          <w:rFonts w:ascii="Times New Roman" w:cs="Times New Roman" w:eastAsia="Times New Roman" w:hAnsi="Times New Roman"/>
          <w:sz w:val="18"/>
          <w:szCs w:val="18"/>
          <w:color w:val="auto"/>
        </w:rPr>
        <w:t>shares of Class A common stock, which will occur upon the closing of this offering, assuming an initial public offering price of $ per share, the midpoint of the estimated price range set forth on the cover page of this prospectus, (d) the issuance of Additional Class A Conversion Shares, assuming an initial public offering price of $ per share, the midpoint of the estimated price range set forth on the cover page</w:t>
      </w:r>
    </w:p>
    <w:p>
      <w:pPr>
        <w:spacing w:after="0" w:line="1" w:lineRule="exact"/>
        <w:rPr>
          <w:sz w:val="20"/>
          <w:szCs w:val="20"/>
          <w:color w:val="auto"/>
        </w:rPr>
      </w:pPr>
    </w:p>
    <w:p>
      <w:pPr>
        <w:jc w:val="both"/>
        <w:ind w:left="620"/>
        <w:spacing w:after="0" w:line="820" w:lineRule="auto"/>
        <w:rPr>
          <w:sz w:val="20"/>
          <w:szCs w:val="20"/>
          <w:color w:val="auto"/>
        </w:rPr>
      </w:pPr>
      <w:r>
        <w:rPr>
          <w:rFonts w:ascii="Times New Roman" w:cs="Times New Roman" w:eastAsia="Times New Roman" w:hAnsi="Times New Roman"/>
          <w:sz w:val="16"/>
          <w:szCs w:val="16"/>
          <w:color w:val="auto"/>
        </w:rPr>
        <w:t>of this prospectus, which will occur upon the conversion of all outstanding shares of our redeemable convertible preferred stock and upon the closing of this offering, (e) the automatic conversion of all of our nonvoting common stock into 4,612,450 shares of Class A common stock, which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upon the closing of this offering, (f) the issuance of shares of Class A common stock upon settlement of RSUs for which the service-based vesting condition was satisfied on or before ,2022 and for which the performance-based vesting condition will be satisfied in connection</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with this offering, which settlement will occur upon the expiration of the lock-up period in connection with this offering, (g) stock-based</w:t>
      </w:r>
    </w:p>
    <w:p>
      <w:pPr>
        <w:spacing w:after="0" w:line="399"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compensation expense of approximately $ million related to the vesting of RSUs and PSUs for which the service-based vesting condition was satisfied on or before , 2022 and for which the performance-based vesting condition will be satisfied in connection with this offering, as</w:t>
      </w:r>
    </w:p>
    <w:p>
      <w:pPr>
        <w:spacing w:after="0" w:line="2" w:lineRule="exact"/>
        <w:rPr>
          <w:sz w:val="20"/>
          <w:szCs w:val="20"/>
          <w:color w:val="auto"/>
        </w:rPr>
      </w:pPr>
    </w:p>
    <w:p>
      <w:pPr>
        <w:jc w:val="both"/>
        <w:ind w:left="620" w:right="20"/>
        <w:spacing w:after="0" w:line="244" w:lineRule="auto"/>
        <w:rPr>
          <w:sz w:val="20"/>
          <w:szCs w:val="20"/>
          <w:color w:val="auto"/>
        </w:rPr>
      </w:pPr>
      <w:r>
        <w:rPr>
          <w:rFonts w:ascii="Times New Roman" w:cs="Times New Roman" w:eastAsia="Times New Roman" w:hAnsi="Times New Roman"/>
          <w:sz w:val="18"/>
          <w:szCs w:val="18"/>
          <w:color w:val="auto"/>
        </w:rPr>
        <w:t>further described in Note 9 to our consolidated financial statements included elsewhere in this prospectus, and (h)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7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Pro</w:t>
            </w:r>
          </w:p>
        </w:tc>
        <w:tc>
          <w:tcPr>
            <w:tcW w:w="980" w:type="dxa"/>
            <w:vAlign w:val="bottom"/>
          </w:tcPr>
          <w:p>
            <w:pPr>
              <w:jc w:val="center"/>
              <w:ind w:left="50"/>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620" w:type="dxa"/>
            <w:vAlign w:val="bottom"/>
          </w:tcPr>
          <w:p>
            <w:pPr>
              <w:spacing w:after="0"/>
              <w:rPr>
                <w:sz w:val="12"/>
                <w:szCs w:val="12"/>
                <w:color w:val="auto"/>
              </w:rPr>
            </w:pPr>
          </w:p>
        </w:tc>
        <w:tc>
          <w:tcPr>
            <w:tcW w:w="9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vMerge w:val="continue"/>
          </w:tcPr>
          <w:p>
            <w:pPr>
              <w:spacing w:after="0"/>
              <w:rPr>
                <w:sz w:val="12"/>
                <w:szCs w:val="12"/>
                <w:color w:val="auto"/>
              </w:rPr>
            </w:pPr>
          </w:p>
        </w:tc>
        <w:tc>
          <w:tcPr>
            <w:tcW w:w="1020" w:type="dxa"/>
            <w:vAlign w:val="bottom"/>
            <w:gridSpan w:val="2"/>
          </w:tcPr>
          <w:p>
            <w:pPr>
              <w:jc w:val="center"/>
              <w:ind w:lef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As Adjusted</w:t>
            </w:r>
            <w:r>
              <w:rPr>
                <w:rFonts w:ascii="Times New Roman" w:cs="Times New Roman" w:eastAsia="Times New Roman" w:hAnsi="Times New Roman"/>
                <w:sz w:val="11"/>
                <w:szCs w:val="11"/>
                <w:b w:val="1"/>
                <w:bCs w:val="1"/>
                <w:color w:val="auto"/>
                <w:w w:val="99"/>
              </w:rPr>
              <w:t>(2)</w:t>
            </w: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tcPr>
          <w:p>
            <w:pPr>
              <w:ind w:left="400"/>
              <w:spacing w:after="0" w:line="157" w:lineRule="exact"/>
              <w:rPr>
                <w:sz w:val="20"/>
                <w:szCs w:val="20"/>
                <w:color w:val="auto"/>
              </w:rPr>
            </w:pPr>
            <w:r>
              <w:rPr>
                <w:rFonts w:ascii="Times New Roman" w:cs="Times New Roman" w:eastAsia="Times New Roman" w:hAnsi="Times New Roman"/>
                <w:sz w:val="14"/>
                <w:szCs w:val="14"/>
                <w:b w:val="1"/>
                <w:bCs w:val="1"/>
                <w:color w:val="auto"/>
              </w:rPr>
              <w:t>Forma</w:t>
            </w:r>
            <w:r>
              <w:rPr>
                <w:rFonts w:ascii="Times New Roman" w:cs="Times New Roman" w:eastAsia="Times New Roman" w:hAnsi="Times New Roman"/>
                <w:sz w:val="11"/>
                <w:szCs w:val="11"/>
                <w:b w:val="1"/>
                <w:bCs w:val="1"/>
                <w:color w:val="auto"/>
              </w:rPr>
              <w:t>(1)</w:t>
            </w:r>
          </w:p>
        </w:tc>
        <w:tc>
          <w:tcPr>
            <w:tcW w:w="9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7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99"/>
              </w:rPr>
              <w:t>$ 278,466</w:t>
            </w:r>
          </w:p>
        </w:tc>
        <w:tc>
          <w:tcPr>
            <w:tcW w:w="1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531,354</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4"/>
                <w:szCs w:val="14"/>
                <w:color w:val="auto"/>
              </w:rPr>
              <w:t>(4)</w:t>
            </w: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289,182</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898,291</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(807,491)</w:t>
            </w: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20" w:hanging="428"/>
        <w:spacing w:after="0" w:line="281" w:lineRule="auto"/>
        <w:tabs>
          <w:tab w:leader="none" w:pos="6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consolidated balance sheet data gives effect to (a) the Series G-3 Financing, (b) the automatic conversion of all of our outstanding shares of Series B redeemable convertible preferred stock into 5,374,899 shares of Class B common stock, which will occur upon the closing of this offering, (c) the automatic conversion of all of our outstanding shares of redeemable convertible preferred stock, other than our Series B preferred</w:t>
      </w:r>
    </w:p>
    <w:p>
      <w:pPr>
        <w:spacing w:after="0" w:line="2"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8"/>
          <w:szCs w:val="18"/>
          <w:color w:val="auto"/>
        </w:rPr>
        <w:t>stock, into shares of Class A common stock, assuming an initial public offering price of $ per share, the midpoint of the estimated price range set forth on the cover page of this prospectus, which will occur upon the closing of this offering, (d) the issuance of the Additional Class A Conversion Shares, which will occur upon the conversion of all outstanding shares of our redeemable convertible preferred stock and upon the</w:t>
      </w:r>
    </w:p>
    <w:p>
      <w:pPr>
        <w:spacing w:after="0" w:line="1" w:lineRule="exact"/>
        <w:rPr>
          <w:sz w:val="20"/>
          <w:szCs w:val="20"/>
          <w:color w:val="auto"/>
        </w:rPr>
      </w:pPr>
    </w:p>
    <w:p>
      <w:pPr>
        <w:jc w:val="both"/>
        <w:ind w:left="620"/>
        <w:spacing w:after="0" w:line="547" w:lineRule="auto"/>
        <w:rPr>
          <w:sz w:val="20"/>
          <w:szCs w:val="20"/>
          <w:color w:val="auto"/>
        </w:rPr>
      </w:pPr>
      <w:r>
        <w:rPr>
          <w:rFonts w:ascii="Times New Roman" w:cs="Times New Roman" w:eastAsia="Times New Roman" w:hAnsi="Times New Roman"/>
          <w:sz w:val="16"/>
          <w:szCs w:val="16"/>
          <w:color w:val="auto"/>
        </w:rPr>
        <w:t>closing of this offering, assuming an initial public offering price of $ per share, the midpoint of the estimated price range set forth on the cover page of this prospectus, (e) the automatic conversion of all of our nonvoting common stock into 4,612,450 shares of Class A common stock, which will occur upon the closing of this offering, (f) the filing and effectiveness of our amended and restated certificate of incorporation, which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upon the closing of this offering, (g) the issuance of shares of Class A common stock upon settlement of RSUs for which the service-based vesting condition was satisfied on or before , 2022 and for which the performance-based vesting condition will be satisfied in</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connection with this offering, which settlement will occur upon the expiration of the lock-up period in connection with this offering, and (h) stock-</w:t>
      </w:r>
    </w:p>
    <w:p>
      <w:pPr>
        <w:spacing w:after="0" w:line="376"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based compensation expense of approximately $ million related to the vesting of RSUs and PSUs for which the service-based vesting condition was satisfied on or before , 2022 and for which the performance-based vesting condition will be satisfied in connection with this</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offering, as further described in Note 9 to our consolidated financial statements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448"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2246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22466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20" w:right="20"/>
        <w:spacing w:after="0" w:line="285" w:lineRule="auto"/>
        <w:rPr>
          <w:sz w:val="20"/>
          <w:szCs w:val="20"/>
          <w:color w:val="auto"/>
        </w:rPr>
      </w:pPr>
      <w:r>
        <w:rPr>
          <w:rFonts w:ascii="Times New Roman" w:cs="Times New Roman" w:eastAsia="Times New Roman" w:hAnsi="Times New Roman"/>
          <w:sz w:val="16"/>
          <w:szCs w:val="16"/>
          <w:color w:val="auto"/>
        </w:rPr>
        <w:t>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 w:lineRule="exact"/>
        <w:rPr>
          <w:sz w:val="20"/>
          <w:szCs w:val="20"/>
          <w:color w:val="auto"/>
        </w:rPr>
      </w:pPr>
    </w:p>
    <w:p>
      <w:pPr>
        <w:ind w:left="620" w:hanging="428"/>
        <w:spacing w:after="0"/>
        <w:tabs>
          <w:tab w:leader="none" w:pos="6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and (b) our receipt of</w:t>
      </w:r>
    </w:p>
    <w:p>
      <w:pPr>
        <w:spacing w:after="0" w:line="26" w:lineRule="exact"/>
        <w:rPr>
          <w:sz w:val="20"/>
          <w:szCs w:val="20"/>
          <w:color w:val="auto"/>
        </w:rPr>
      </w:pPr>
    </w:p>
    <w:p>
      <w:pPr>
        <w:ind w:left="1440" w:hanging="815"/>
        <w:spacing w:after="0"/>
        <w:tabs>
          <w:tab w:leader="none" w:pos="1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in net proceeds from the sale of shares of Class A common stock that we are offering at an assumed initial public offering price of</w:t>
      </w:r>
    </w:p>
    <w:p>
      <w:pPr>
        <w:spacing w:after="0" w:line="26" w:lineRule="exact"/>
        <w:rPr>
          <w:sz w:val="20"/>
          <w:szCs w:val="20"/>
          <w:color w:val="auto"/>
        </w:rPr>
      </w:pPr>
    </w:p>
    <w:p>
      <w:pPr>
        <w:ind w:left="620" w:right="20" w:firstLine="5"/>
        <w:spacing w:after="0" w:line="243" w:lineRule="auto"/>
        <w:tabs>
          <w:tab w:leader="none" w:pos="17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after deducting the estimated underwriting discounts and commissions and estimated offering expenses payable by us.</w:t>
      </w:r>
    </w:p>
    <w:p>
      <w:pPr>
        <w:spacing w:after="0" w:line="1" w:lineRule="exact"/>
        <w:rPr>
          <w:sz w:val="20"/>
          <w:szCs w:val="20"/>
          <w:color w:val="auto"/>
        </w:rPr>
      </w:pPr>
    </w:p>
    <w:p>
      <w:pPr>
        <w:jc w:val="both"/>
        <w:ind w:left="620" w:hanging="419"/>
        <w:spacing w:after="0" w:line="243" w:lineRule="auto"/>
        <w:tabs>
          <w:tab w:leader="none" w:pos="600" w:val="left"/>
        </w:tabs>
        <w:rPr>
          <w:sz w:val="20"/>
          <w:szCs w:val="20"/>
          <w:color w:val="auto"/>
        </w:rPr>
      </w:pPr>
      <w:r>
        <w:rPr>
          <w:rFonts w:ascii="Times New Roman" w:cs="Times New Roman" w:eastAsia="Times New Roman" w:hAnsi="Times New Roman"/>
          <w:sz w:val="18"/>
          <w:szCs w:val="18"/>
          <w:color w:val="auto"/>
        </w:rPr>
        <w:t>(3)</w:t>
        <w:tab/>
        <w:t>Each $1.00 increase (decrease) in the assumed initial public offering price of $        per share, the midpoint of the estimated price range set forth on the cover page of this prospectus, would increase (decrease) each of our pro forma as adjusted cash, cash equivalents and restricted cash, total</w:t>
      </w:r>
    </w:p>
    <w:p>
      <w:pPr>
        <w:spacing w:after="0" w:line="1" w:lineRule="exact"/>
        <w:rPr>
          <w:sz w:val="20"/>
          <w:szCs w:val="20"/>
          <w:color w:val="auto"/>
        </w:rPr>
      </w:pPr>
    </w:p>
    <w:p>
      <w:pPr>
        <w:jc w:val="both"/>
        <w:ind w:left="620"/>
        <w:spacing w:after="0" w:line="274" w:lineRule="auto"/>
        <w:rPr>
          <w:sz w:val="20"/>
          <w:szCs w:val="20"/>
          <w:color w:val="auto"/>
        </w:rPr>
      </w:pPr>
      <w:r>
        <w:rPr>
          <w:rFonts w:ascii="Times New Roman" w:cs="Times New Roman" w:eastAsia="Times New Roman" w:hAnsi="Times New Roman"/>
          <w:sz w:val="16"/>
          <w:szCs w:val="16"/>
          <w:color w:val="auto"/>
        </w:rPr>
        <w:t>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 total stockholders’ (deficit) equity by</w:t>
      </w:r>
    </w:p>
    <w:p>
      <w:pPr>
        <w:sectPr>
          <w:pgSz w:w="11900" w:h="16838" w:orient="portrait"/>
          <w:cols w:equalWidth="0" w:num="1">
            <w:col w:w="11160"/>
          </w:cols>
          <w:pgMar w:left="320" w:top="448" w:right="419" w:bottom="1440" w:gutter="0" w:footer="0" w:header="0"/>
        </w:sectPr>
      </w:pPr>
    </w:p>
    <w:p>
      <w:pPr>
        <w:ind w:left="620" w:right="20"/>
        <w:spacing w:after="0" w:line="243"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the estimated underwriting discounts and commissions.</w:t>
      </w:r>
    </w:p>
    <w:p>
      <w:pPr>
        <w:sectPr>
          <w:pgSz w:w="11900" w:h="16838" w:orient="portrait"/>
          <w:cols w:equalWidth="0" w:num="1">
            <w:col w:w="11160"/>
          </w:cols>
          <w:pgMar w:left="320" w:top="448" w:right="419" w:bottom="1440" w:gutter="0" w:footer="0" w:header="0"/>
          <w:type w:val="continuous"/>
        </w:sectPr>
      </w:pPr>
    </w:p>
    <w:p>
      <w:pPr>
        <w:spacing w:after="0" w:line="1" w:lineRule="exact"/>
        <w:rPr>
          <w:sz w:val="20"/>
          <w:szCs w:val="20"/>
          <w:color w:val="auto"/>
        </w:rPr>
      </w:pPr>
    </w:p>
    <w:p>
      <w:pPr>
        <w:ind w:left="620" w:hanging="4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448" w:right="4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incurred significant losses since our inception. For the years ended December 31, 2020 and 2021, we incurred net losses of $209.9 million and $259.2 million, respectively. As of December 31, 2021, we had an accumulated deficit of $807.5 million. To date, we have financed our operations principally from the sale of stock and convertible securities, and revenue from precision oncology and COVID-19 testing in our Genomics business, and from our Insights product in our Data business.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63"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offer reverse transcription polymerase chain reaction, or PCR, diagnostic tests for the qualitative detection of nucleic acid from the SARS-CoV-2 virus in nasopharyngeal swab specimens from individuals suspected of having COVID-19. We anticipate that demand for our COVID-19 testing products will decrease in future periods due to successful containment efforts, the successful vaccination of a majority of Americans and other factors, and such decreases would have an adverse effect on our results of operations. Revenue from COVID-19 testing accounted for $89.5 million, or 47.6%, of our revenue in the year ended December 31, 2020 and $94.7 million, or 36.7%, of our revenue in the year ended December 31, 2021, of which $32.3 million and $11.3 million, and $45.2 million and $71.0 million, was derived from contracts with the Illinois Department of Public Health, or IDPH, and CVS Pharmacy, Inc., or CVS, respectively. We expect revenue from our contracts with the IDPH and CVS, and from other customers seeking COVID-19 testing products, to decrease substantially over time as the prevalence of COVID-19 subsides and as other COVID-19 testing providers enter the market. Pursuant to our agreement with the IDPH, we have agreed to provide COVID-19 testing services for up to 6,000 specimens per day, subject to our ability to reduce our volume commitment if IDPH does not deliver 60,000 tests to us over any 14-day period. The term of the agreement runs through June 30, 2022, prior to which IDPH may terminate the agreement for convenience upon ten days’ prior written notice. Our agreement with CVS, which accounted for 24.0% of our revenue for the year ended December 31, 2020, expired in July 2021. Effective October 2021, we entered into a substantially similar agreement with CVS, under which CVS has agreed to purchase certain COVID-19 testing products and services from us without a minimum purchase commitment. Sales of COVID-19 testing products and services to CVS accounted for 27.5% of our revenue for the year ended December 31, 2021. The term of our agreement with CVS runs through October 1, 2022, prior to which either party may terminate the agreement for convenience upon 90 days’ prior written notice or for the other party’s uncured material breach. CVS may also terminate the agreement if we fail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40"/>
          </w:cols>
          <w:pgMar w:left="320" w:top="44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to return test results within a certain period of time, and the agreement will terminate automatically upon the expiration or termination, as and if applicable, of CVS’s arrangements with the U.S. Department of Health and Human Services.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we currently provide our COVID-19 testing products under emergency use authorizations, or EUAs, issued by the Food &amp; Drug Administration, or FDA, to us or our licensor, permitting us to offer these tests without having completed the normally applicable FDA review and clearance or approval process for marketing authorization (with the related standards that would apply to demonstrate safety and effectiveness) or in some cases, as an LDT. Although the FDA has waived certain regulatory requirements for the duration of the EUAs, we remain subject to specific conditions of the authorizations, including ensuring appropriate labeling as approved by the FDA specifically for purposes of the EUAs, maintaining records of distribution to authorized laboratories, collecting data on occurrences of any false positives or false negatives, and tracking any adverse events. As with other FDA-regulated products, compliance or product performance issues could emerge during the course of the marketing and use of our products under an EUA, that could impact our ability to continue the sale and distribution of these products.</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EUAs or those of our licensors could be terminated or revoked at any time, including if the FDA determines the criteria for issuance are no longer met or other circumstances make such revocation appropriate to protect public health or safety, which could harm our future business prospects. Once an EUA is revoked or terminated, we will be required to stop marketing the applicable COVID-19 test immediately unless we can obtain FDA clearance for that COVID-19 test under a traditional regulatory pathway, which is lengthy and expensive, and which we may never receive. We also would be subject to the full and usual regulatory obligations for device manufacturers, including the FDA’s quality system regulations.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including diagnostic tests in oncology and infectious diseases,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Algos tests.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Algos diagnostic tests, including new product offerings as they become available;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Algos diagnostic tests by clinicians, pharmaceutical and biotechnology companies, KOLs, and advocacy groups;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Algos,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infectious disease, neuropsychology and other indications;</w:t>
      </w:r>
    </w:p>
    <w:p>
      <w:pPr>
        <w:spacing w:after="0" w:line="121" w:lineRule="exact"/>
        <w:rPr>
          <w:rFonts w:ascii="Times New Roman" w:cs="Times New Roman" w:eastAsia="Times New Roman" w:hAnsi="Times New Roman"/>
          <w:sz w:val="18"/>
          <w:szCs w:val="18"/>
          <w:color w:val="auto"/>
        </w:rPr>
      </w:pPr>
    </w:p>
    <w:p>
      <w:pPr>
        <w:ind w:left="5580" w:right="160" w:hanging="5129"/>
        <w:spacing w:after="0" w:line="435" w:lineRule="auto"/>
        <w:tabs>
          <w:tab w:leader="none" w:pos="9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maintain robust data sets with respect to patient populations in geographic regions that we may seek to enter in the future; 24</w:t>
      </w:r>
    </w:p>
    <w:p>
      <w:pPr>
        <w:sectPr>
          <w:pgSz w:w="11900" w:h="16838" w:orient="portrait"/>
          <w:cols w:equalWidth="0" w:num="1">
            <w:col w:w="11340"/>
          </w:cols>
          <w:pgMar w:left="320" w:top="4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 including reduced demand for our COVID-19 tests, which may result in, among other things, write-downs of inventory;</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Algos diagnostic testing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 between Russia and Ukraine), terrorism, and political unrest, epidemics or pandemics, boycotts, curtailment of trade and other business restrictions;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high and rising inflation rates, and other factors, including factors unrelated to our operating performance or the operating performance of our competitors.</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Additionally, it is difficult to predict the amounts, if any, we will be able to collect for our diagnostic tests from commercial payers. We are a participating network provider in an extremely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 between Russia and Ukraine), the political climate and the ongoing impact of the COVID-19 pandemic;</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including delays caused by these customers’ reducing activities in response to the COVID-19 pandemic. Further, many of our data licensing agreements allow us to deliver data to our customers over a period of time, which can span a year or longer. Revenue pursuant to our data licensing agreements is recognized upon delivery of the data to the customer. The actual timing of data deliveries can be based on a variety of factors, including, but not limited to, the customer’s requirements and/or our technological, operational, and human capital capacity.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is critical to our ability to offer our Data and Algos products and services. We have historically generated more revenue from the sale of products and services that leverage our de-identified data than we have from the provision of the underlying Genomics test related to such data, and we expect this trend to continue. Our Platform also includes proprietary software and dedicated data pipelines that create a network of healthcare institutions that supply us with complex multimodal data. Further, we rely on certain collaborations and licensing agreements to access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320" w:top="44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ability to maintain, expand and monetize our datasets are subject to a number of factors, many of which are outside of our control. With respect to data included in our Data and Algos products, we rely on a combination of the statutory rights available to us as a HIPAA covered entity and as a HIPAA business associate. As a HIPAA covered entity, we utilize data generated through our provision of Genomic tests. As a HIPAA business associate, we rely on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QCCA, NCCA, Geisinger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27% and 32% of our revenue in the years ended December 31, 2020 and 2021, respectively. We cannot assure that our oncology tests will continue to maintain or gain market acceptance, and any failure to do so would materially harm our business, financial condition and results of operations.</w:t>
      </w:r>
    </w:p>
    <w:p>
      <w:pPr>
        <w:spacing w:after="0" w:line="189"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scope and robustness of the Data products and Algos that we can offer our customers also depend significantly on the continued success of our Genomics product line, as the data that we collect through genomic testing is an essential component of our Data products and Algos. Further, we believe that growth in the use of our Data products will help drive awareness and adoption of our Genomics product line, which in turn will drive further growth within our Data and Algos product lines. However, there can be no assurance that we will realize these synergies.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Algos product line is nascent.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December 31, 2021, we had only three commercialized Algos. While we have a number of additional Algos in development, we may not be successful in developing and commercializing these or future Algos, or in attaining our Algo development targets. Further, the scope and robustness of the Algos that we can offer our customers depend significantly on the continued success of our Genomics product line and access to third-party data, of which there can be no assurance. We also cannot accurately estimate how our future Algos will be priced, whether reimbursement can be obtained or whether we will generate any revenue from such Algos. Further, the use of diagnostics that are entirely algorithmic in nature is novel and today represent only a small proportion of the diagnostics market. While we believe Algos represent a significant long-term opportunity for us, there can be no assurances that a robust and sustained market for such diagnostics will develop or that we will successfully compete in any such market.</w:t>
      </w:r>
    </w:p>
    <w:p>
      <w:pPr>
        <w:spacing w:after="0" w:line="290"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Algos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Algos business, and we may exert limited or no control over such development efforts.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2021, we had developed eight genomics diagnostics tests across oncology, infectious diseases, and neuropsychology, and four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2021, our products have been mentioned in 59 peer-reviewed articles published in major journals, including 40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may negatively impact our prospects.</w:t>
      </w:r>
    </w:p>
    <w:p>
      <w:pPr>
        <w:spacing w:after="0" w:line="200" w:lineRule="exact"/>
        <w:rPr>
          <w:sz w:val="20"/>
          <w:szCs w:val="20"/>
          <w:color w:val="auto"/>
        </w:rPr>
      </w:pPr>
    </w:p>
    <w:p>
      <w:pPr>
        <w:spacing w:after="0" w:line="278"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Genomics and Algos products depends in part on patients’, physicians’ and third-party payers’ confidence that our Platform can provide reliable, high-quality intelligent diagnostics that will improve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clinical outcomes and lower healthcare costs, as well as our ability to comply with applicable privacy and data security requirements. We believe that patients, physicians and third-party payers are likely to be particularly sensitive to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90"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81"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including commercial payers and government healthcare programs, do not provide coverage of, or adequate reimbursement for, our tests, our business, financial condition and results of operations will be negatively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performed from January 1, 2020 through June 30, 2021. For the years ended December 31, 2020 and 2021, our average reimbursement for NGS tests billed to insurance in oncology was approximately $1,100. In addition, we receive a substantial portion of our diagnostic revenue from a limited number of third-party commercial payers, most of which have not contracted with us to be a participating provider. We also receive reimbursement from Medicare for claims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submitted with respect to our various diagnostic tests. Approximately 29% and 29% of our clinical tests were for Medicare beneficiaries in the years 2020 and 2021,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because our Genomics and Algos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Although we are a participating provider with an extremely small number of commercial payers, other large, national commercial payers, including Anthem, Aetna and Humana,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Medicare’s NCD for next generation sequencing, 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National Government Services, Inc., or the Local MAC, is the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February 10, 2022, the Local MAC jurisdiction issued a revised LCD (L37810), and a corresponding Billing and Coding update (A56867). The increased scope of coverage provided for in the revised LCD will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are in the process of assessing the impact of the LCD on any claims submitted after April 1, 2022, as well as monitoring any impact the LCD has on the claims currently in the appeal process.</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During the fourth quarter of 2021, we began receiving favorable results on outstanding level 2 claims that were adjudicated and have received payment on a subset of these claims as a result of the appeal process. As a result, beginning in the second quarter of 2021, we estimated the reimbursement rate for tests performed within our contractual allowances with a significantly reduced percent expected reimbursement for these tests, which is guided by the updated Local MAC guidance and appeal outcomes through year-end. As of December 31, 2021, Medicare claims represent 29% of our clinical testing volume.</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0"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2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Artificial intelligence is enabled by or integrated into our Platform and, as a result, our diagnostic and data products and is a significant element of our current business and our future strategy. As with many developing technologies, artificial intelligence presents risks and challenges that could affect its further development, adoption, and use, and therefore our business.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recommendations, forecasts or analyses that our Platform’s artificial intelligence applications assist in producing are deficient or inaccurate, we could be subjected to competitive harm, potential legal liability and brand or reputational harm.</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inappropriate or controversial data practices by data scientists, engineers and end-users of our or our competitors’ products could impair the acceptance of artificial intelligence products. Though our business practices are designed to mitigate many of these risks, if we enable or offer artificial intelligence products that are controversial because of their purported or real impact on human rights, privacy, employment, or other social issues, we may experience brand or reputational harm. Additionally, regulation in the artificial intelligence space is constantly changing and increasing, and may make it difficult for us to continue using our artificial intelligence approach to diagnostics and data analysis.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our Platform does not function reliably, fails to meet expectations in terms of performance, or cannot be fully utilized due to increasing regulation or reputational concerns, we may be unable to provide or our customers may stop using our products.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8"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artificial intelligence-driven data platforms and diagnostic products.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neuropsychology include Myriad Genetics, Inc. and Genomind, Inc.</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Data products include Flatiron Health, Inc., IQVIA Holdings Inc., and ConcertAI, among others. Furthermore, our Data products also face competition from CROs, such as Covance, ICON, Syneos, PPD, and others, who provide data and clinical trial matching services to pharmaceutical and biotechnology companies.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Algos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and Eko Devices, Inc. In addition, we are aware that academic medical centers may be developing their own Algos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artificial intelligence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artificial intelligence,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0"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Algos tests to clinicians and hospital systems in the United States through our own sales organization, and we sell our Data products to pharmaceutical and biotechnology companies through our business development team.</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Each of our target markets is large, distinctive and diverse. As a result, we believe it is necessary for many of our sales representatives and business development managers to have established diagnostic- or healthcare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3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Sales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2021, we derived $35.4 million, or approximately 56%, of our Data product line revenue from three customers. After removing the impact of COVID-19 testing revenue, we derived $34.1 million, or approximately 21%, of total revenue from the same three customers for the year ended December 31, 2021. We expect to continue to derive a significant portion of our Data product line revenues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5" w:lineRule="exact"/>
        <w:rPr>
          <w:sz w:val="20"/>
          <w:szCs w:val="20"/>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products after the license ends, and many of our contracts may be terminated or reduced in scope either immediately or upon notice. In addition, our customers may negotiate terms less advantageous to us upon renewal, which may reduce our revenues from these customers. Factors that are not within our control may contribute to a reduction in our Data product line revenues.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revenues may decline and our future revenues may be constrained.</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product line revenues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significant portion of our current Data products sales are to customers in the life sciences industry, in particular the pharmaceutical and biotechnology industry. Demand for our Data products could be affected by factors that adversely affect the life sciences industry. The life sciences industry is highly regulated and competitive and has experienced periods of considerable consolidation. Consolidation among our customers could cause us to lose customers, decrease the available market for our products, and adversely affect our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88"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288"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23% and 25% of total vendor payments for the year ended December 31, 2020 and 2021, respectively. Amounts due to this supplier approximated $5.3 million and $0.9 million at December 31, 2020 and 2021,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 (including the armed conflict between Russia and Ukraine), civil unrest, acts of terrorism or other interruptions to or difficulties in the employment of labor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90"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currently derive nearly all of our diagnostic revenue from tests performed at laboratory facilities located in Chicago, Illinois and Atlanta, Georgia, and these facilities generally do not have redundant capabilities. Further, while we are currently in the process of validating our new laboratory facility in Raleigh, North Carolina, there is no assurance that we will successfully complete such validation in a timely manner or at all, and we will not be able to operationalize this facility until such validation is complete.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or Atlanta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If we cannot provide quality technical support and services for our Data products, we could lose customers and our business and prospects will suffer.</w:t>
      </w:r>
    </w:p>
    <w:p>
      <w:pPr>
        <w:spacing w:after="0" w:line="13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 Additionally, impacts of the COVID-19 pandemic could cause unpredictable temporary or permanent fluctuations in seasonal or cyclical variations, including seasonal demand for COVID-19 tests.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and Massachusetts, have implemented similar privacy laws and regulations, such as the California Confidentiality of Medical Information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Act, that impose restrictive requirements regulating the use and disclosure of health information and other personally identifiable information, and the California Consumer Privacy Act, which came into effect on January 1, 2020, and creates new data privacy rights for users. For example,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it is anticipated that the CCPA will be expanded on January 1, 2023, when the California Privacy Rights Act of 2020, or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become effective in 2023.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3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laboratory resides.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pseudonymised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39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the decision in Schrems II and subsequent draft guidance from the European Data Protection Board, or EDPB, may require the parties to that transfer to implement certain supplementary technical, organizational and/or contractual measures to rely on the standard contractual clauses as a GDPR-compliant ‘transfer mechanism.’ However, the aforementioned draft guidance from the EDPB on such supplementary technical, organizational</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Schrems II on relevant powers of U.S. public authorities and commentary in that draft EDPB guidance, include the United States in certain circumstances (e.g., where Section 702 of the US Foreign Intelligence Surveillance Act applies). If we are unable to implement a valid compliance mechanism for cross-border personal data transfers, we may face increased exposure to regulatory actions, substantial fines and injunctions against processing or transferring personal data from Europe.</w:t>
      </w:r>
    </w:p>
    <w:p>
      <w:pPr>
        <w:spacing w:after="0" w:line="159"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form the EEA to the United Kingdom to continue.</w:t>
      </w:r>
    </w:p>
    <w:p>
      <w:pPr>
        <w:spacing w:after="0" w:line="19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87"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artificial intelligence in analyzing data, including data in healthcare related areas;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artificial intelligence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8"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market some of our tests as LDTs. While we believe that we are in material compliance with applicable laws and regulations, we cannot assure that the FDA will agree with us.</w:t>
      </w:r>
    </w:p>
    <w:p>
      <w:pPr>
        <w:spacing w:after="0" w:line="17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 and deliver the results of the LDTs) in a way that would subject our products marketed as LDTs to the enforcement of regulatory requirements. If such changes to the regulatory framework occur, we could be subject to enforcement of regulatory requirements as a device manufacturer such as registration and listing requirements, 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The FDA has also largely refrained from regulating pharmacogenomic tests like those we perform in our neuropsychology business.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a PMA is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would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90"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in the event of material deficiencies or defects in design or manufacture. We may also, on our own initiative, recall a product. The FDA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285"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8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the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and Georgia, and we will be required to maintain these licenses to perform testing at our proposed facility in Raleigh,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a version of our Tempus|xT test has been approved by NYSDOH. We will need to seek NYSDOH approval of any future LDTs we develop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apply for CAP accreditation for our planned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45"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302" w:lineRule="auto"/>
        <w:rPr>
          <w:sz w:val="20"/>
          <w:szCs w:val="20"/>
          <w:color w:val="auto"/>
        </w:rPr>
      </w:pPr>
      <w:r>
        <w:rPr>
          <w:rFonts w:ascii="Times New Roman" w:cs="Times New Roman" w:eastAsia="Times New Roman" w:hAnsi="Times New Roman"/>
          <w:sz w:val="16"/>
          <w:szCs w:val="16"/>
          <w:color w:val="auto"/>
        </w:rPr>
        <w:t>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54" w:lineRule="exact"/>
        <w:rPr>
          <w:sz w:val="20"/>
          <w:szCs w:val="20"/>
          <w:color w:val="auto"/>
        </w:rPr>
      </w:pPr>
    </w:p>
    <w:p>
      <w:pPr>
        <w:jc w:val="both"/>
        <w:ind w:left="1000" w:hanging="549"/>
        <w:spacing w:after="0" w:line="24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and teaching hospitals, and, beginning in 2022, payments and other transfers of value provided to physician assistants, nurse practitioners, clinical nurse specialists, certified registered nurse anesthetists and certified nurse midwives during the previous year;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45"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302"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5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294"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from our customers have been collected from patients, subjects or participants who have provided the necessary informed consent for purposes that extend to our development activities. In many instances, this requires the physician or hospital system ordering the diagnostic system to obtain the consent of the patient.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under a large number of different legal systems. Therefore, with respect to data and samples received from our customers, we rely on physicians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88"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87"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tests and the reimbursement rates of payers;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adequate reimbursement rates. Third-party payers usually require us to identify the test for which we are seeking reimbursement using a CPT code. CPT coding plays a significant role in how our diagnostic tests are reimbursed both from commercial and governmental payers. For example, no CPT code comprehensively describes our NGS oncology tests, so we have historically submitted claims using individual codes or combinations of codes based on the cancer subtype profiled. However, providers, such as the Local MAC,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are currently disputing denials of a substantial number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290"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revenues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 and our business.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benefits. Certain of these changes could impose additional limitations on the prices we will be able to charge for our tests, the coverage of, or the amounts of reimbursement available for our tests from commercial and government payers. Further, it is possible that additional governmental action will be taken in response to the COVID-19 pandemic.</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189"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37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88"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6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6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28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artificial intelligence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 and our business, financial condition and results of operations.</w:t>
      </w:r>
    </w:p>
    <w:p>
      <w:pPr>
        <w:spacing w:after="0" w:line="200" w:lineRule="exact"/>
        <w:rPr>
          <w:sz w:val="20"/>
          <w:szCs w:val="20"/>
          <w:color w:val="auto"/>
        </w:rPr>
      </w:pPr>
    </w:p>
    <w:p>
      <w:pPr>
        <w:spacing w:after="0" w:line="279"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w:t>
      </w:r>
    </w:p>
    <w:p>
      <w:pPr>
        <w:spacing w:after="0" w:line="186"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81"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04"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COVID-19 global pandemic and the worldwide attempts to contain it could harm our business and our results of operations have been and could continue to be adversely impacted by such pandemic.</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COVID-19 global pandemic and the various attempts throughout the world to contain it, have created significant volatility, uncertainty and disruption. In response to government directives and guidelines, health care advisories and employee and customer concerns, we altered certain aspects of our operations. Many of our employees worked remotely from home and those on site followed social distance guidelines, which have impacted their productivity. Any resurgence of COVID-19 could cause us or government authorities to reimpose these operating restrictions.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continues to cause or again causes severe disruption, vendors of equipment and reagents for our operations could also reduce production or even go out of business, resulting in supply constraints for us. The COVID-19 pandemic has resulted in, and could continue to cause, increased costs or delays to production and development of our products.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full extent to which the COVID-19 pandemic and the various responses to it impacts our business, operations and financial results will depend on numerous evolving factors that we may not be able to accurately predict, including: the duration and scope of the pandemic, including any resurgence in the United States; governmental, business and individuals’ actions that have been and continue to be taken in response to the pandemic; the availability, cost to access and effectiveness of COVID-19 tests, vaccines and medicines; the effect on our customers and customer demand for and ability to pay for our tests; restrictions on our employees’ ability to work and travel; disruptions related to the distribution of our tests, including impacts on logistics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shipping and receiving blood collection kits; and any stoppages, disruptions or increased costs associated with development, production and marketing of our products. During the COVID-19 pandemic, we may not be able to maintain the same level of customer outreach and service, which could negatively impact our customers’ perception of us. We will continue to actively monitor the issues raised by the COVID-19 pandemic and may take further actions that alter our operations, as may be required by federal, state, local or foreign authorities, or that we determine are in the best interests of our employees, customers and stockholders. It is not clear what the potential effects any such alterations or modifications may have on our business, including the effects on our financial results.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revenues, operating margins, cash flows, tests performed, and other financial and operating metrics, may not be indicative of our results for future periods. For example, we expect our COVID-19 diagnostic testing revenue to decline substantially over time as the COVID-19 pandemic wanes and demand for testing subsides. In addition,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 In addition to the impacts to our business, the global economy is likely to be significantly weakened as a result of actions taken in response to the COVID-19 pandemic. To the extent that such a weakened global economy impacts customers’ ability or willingness to pay for our tests, our business, financial condition and results of operations could be negatively impacted.</w:t>
      </w:r>
    </w:p>
    <w:p>
      <w:pPr>
        <w:spacing w:after="0" w:line="290"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We also may pursue strategic alliances and additional joint ventures that leverage our Platform and 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9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These changes may adversely affect our future cash flow.</w:t>
      </w:r>
    </w:p>
    <w:p>
      <w:pPr>
        <w:spacing w:after="0" w:line="296"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For example, in connection with adopting and implementing the new revenue recognition standard,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management has made and will continue to make judgments and assumptions based on our interpretation of the new standard. The new revenue recognition standard is principle-based and interpretation of those principles may vary from company to company based on their unique circumstances.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member of the board of directors of Groupon, Inc., which he co-founded.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individual and collective efforts of Mr. Lefkofsky and our other employees will be important as we continue to develop our Platform and additional products, and as we expand our commercial activities. The loss or incapacity of existing members of our executive management team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and Atlanta and our planned laboratory in Raleigh, North Carolina.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This material weakness did not result in a material misstatement to the financial statements. However, this material weakness could result in material misstatements potentially impacting one or more of the financial statement accounts and disclosures that would not be prevented or detected.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have taken steps to remediate this material weakness by hiring a Chief Accounting Officer and other key technical accounting and financial reporting roles to further develop and document our accounting policies and financial reporting procedures, including ongoing senior management review. Management will continue to work to remediate this material weakness by hiring additional qualified accounting and financial reporting personnel, training existing personnel, and further evolving our accounting processes. At this time, we do not anticipate the costs associated with remediating this material weakness will be material. We expect that completion of the remediation of the material weakness could extend beyond December 31, 2022. There is no assurance that we will be able to remediate the material weakness in a timely manner or that in the future additional material weaknesses will not exist or otherwise be discovered. If we are not able to remedy this material weakness, we may not be able to manage our business effectively or accurately report our financial performance on a timely basis, which could cause a decline in our common stock price and adversely affect our business, financial condition, and results of operations.</w:t>
      </w:r>
    </w:p>
    <w:p>
      <w:pPr>
        <w:spacing w:after="0" w:line="262"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 and to remediate our material weakness described above.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we are unable to remediate our material weakness described above, or if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Accordingly, because of the inherent limitations in our control system, misstatements due to error or fraud may occur and not be detected.</w:t>
      </w:r>
    </w:p>
    <w:p>
      <w:pPr>
        <w:spacing w:after="0" w:line="314"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63"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artificial intelligence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00" w:lineRule="exact"/>
        <w:rPr>
          <w:sz w:val="20"/>
          <w:szCs w:val="20"/>
          <w:color w:val="auto"/>
        </w:rPr>
      </w:pPr>
    </w:p>
    <w:p>
      <w:pPr>
        <w:spacing w:after="0" w:line="39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8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6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9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302"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including regulations that limit our ability to collect and distribute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 between Russia and Ukraine),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damage or disrupt international commerce and the global economy, and could have a material adverse effect on our business and results of operations. While our business and operations are currently not impacted, it is not possible to predict the broader or longer-term consequences of this crisis. Consequences of the crisis could include further sanctions, embargoes, regional instability, geopolitical shifts and adverse effects on macroeconomic conditions, security conditions, currency exchange rates and financial markets. There can be no assurance that the Russia-Ukraine crisis, including any resulting sanctions, export controls or other restrictive actions, will not have a material adverse impact on our future operations and results.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2020 and December 31, 2021, we had indebtedness of $250 million and $238.2 million, respectively, under the convertible promissory note, or Note, that we issued to Google LLC, or Google. For as long as the Note is outstanding, it may have significant negative effects on our future operations, including:</w:t>
      </w:r>
    </w:p>
    <w:p>
      <w:pPr>
        <w:spacing w:after="0" w:line="89" w:lineRule="exact"/>
        <w:rPr>
          <w:sz w:val="20"/>
          <w:szCs w:val="20"/>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Note if we terminate our agreement with Google for use of Google Cloud or as a result of an event of default under the operating covenants in the Note, which could impair our liquidity and reduce the availability of our cash flow to fund working capital, capital expenditures, acquisitions and other important needs;</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Note contains restrictions on our ability to incur additional debt. Complying with these covenants may cause us to take actions that make it more difficult to successfully execute our business strategy and we may face competition from companies not subject to such restrictions.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common stock, will beneficially own shares representing approximately %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87"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the section titled “Use of Proceeds,” and you will not have the opportunity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 publicly disclose an intention to, during the period ending o</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color w:val="auto"/>
        </w:rPr>
        <w:t xml:space="preserve"> the 180th day after the date of this prospectus,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stock or any securities convertible into or exchangeable for or that represent the right to receive 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December 31, 2021 and 10,344,419 shares of Class A common stock issuable upon the vesting and settlement of restricted stock units outstanding as of December 31, 2021. The shares of Class A common stock will become eligible for sale in the public market to the extent such options are exercised or restricted stock units vested and settled, subject to the lock-up agreements described above and compliance 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applicable securities laws. We intend to register all of the shares of Class A common stock issuable upon the vesting and settlement of outstanding restricted stock units, and other equity incentives we may grant in the future, for public resale under the Securities Act.</w:t>
      </w:r>
    </w:p>
    <w:p>
      <w:pPr>
        <w:spacing w:after="0" w:line="17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Further, based on shares outstanding as of December 31, 2021, holders of approximately shares of Class A common stock (assuming the issuance of the Additional Class A Conversion Shares, as discussed under “Prospectus Summary” above, and assuming no exercise of the underwriters’ option to purchase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 shares) and approximately shares of Class B common stock,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w:t>
      </w:r>
    </w:p>
    <w:tbl>
      <w:tblPr>
        <w:tblLayout w:type="fixed"/>
        <w:tblInd w:w="0" w:type="dxa"/>
        <w:tblCellMar>
          <w:top w:w="0" w:type="dxa"/>
          <w:left w:w="0" w:type="dxa"/>
          <w:bottom w:w="0" w:type="dxa"/>
          <w:right w:w="0" w:type="dxa"/>
        </w:tblCellMar>
      </w:tblPr>
      <w:tr>
        <w:trPr>
          <w:trHeight w:val="194"/>
        </w:trPr>
        <w:tc>
          <w:tcPr>
            <w:tcW w:w="7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per share, or $</w:t>
            </w:r>
          </w:p>
        </w:tc>
        <w:tc>
          <w:tcPr>
            <w:tcW w:w="88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per share if the underwriters exercise their option to purchase additional shares in full, representing the difference between our</w:t>
            </w:r>
          </w:p>
        </w:tc>
      </w:tr>
      <w:tr>
        <w:trPr>
          <w:trHeight w:val="21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 after giving effect to the sale of Class A common stock in this offering and the</w:t>
            </w:r>
          </w:p>
        </w:tc>
      </w:tr>
      <w:tr>
        <w:trPr>
          <w:trHeight w:val="21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assumed public offering price of $</w:t>
            </w:r>
          </w:p>
        </w:tc>
        <w:tc>
          <w:tcPr>
            <w:tcW w:w="8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 of this prospectus. See the section titled</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4"/>
              </w:rPr>
              <w:t>“Dilution.”</w:t>
            </w:r>
          </w:p>
        </w:tc>
        <w:tc>
          <w:tcPr>
            <w:tcW w:w="1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520" w:type="dxa"/>
            <w:vAlign w:val="bottom"/>
          </w:tcPr>
          <w:p>
            <w:pPr>
              <w:spacing w:after="0"/>
              <w:rPr>
                <w:sz w:val="19"/>
                <w:szCs w:val="19"/>
                <w:color w:val="auto"/>
              </w:rPr>
            </w:pPr>
          </w:p>
        </w:tc>
      </w:tr>
    </w:tbl>
    <w:p>
      <w:pPr>
        <w:spacing w:after="0" w:line="293"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as well as the anticipation of lock-up releases;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5"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Algos;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2020, Outlook to 2026, July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September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2020: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2020 database, 2020: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September 2018</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2019-2021, 2019</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44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ind w:left="460"/>
        <w:spacing w:after="0"/>
        <w:tabs>
          <w:tab w:leader="none" w:pos="7140" w:val="left"/>
        </w:tabs>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w:t>
      </w:r>
      <w:r>
        <w:rPr>
          <w:sz w:val="20"/>
          <w:szCs w:val="20"/>
          <w:color w:val="auto"/>
        </w:rPr>
        <w:tab/>
      </w:r>
      <w:r>
        <w:rPr>
          <w:rFonts w:ascii="Times New Roman" w:cs="Times New Roman" w:eastAsia="Times New Roman" w:hAnsi="Times New Roman"/>
          <w:sz w:val="16"/>
          <w:szCs w:val="16"/>
          <w:color w:val="auto"/>
        </w:rPr>
        <w:t>million based on an assumed initial public offering price of</w:t>
      </w:r>
    </w:p>
    <w:p>
      <w:pPr>
        <w:spacing w:after="0" w:line="21" w:lineRule="exact"/>
        <w:rPr>
          <w:sz w:val="20"/>
          <w:szCs w:val="20"/>
          <w:color w:val="auto"/>
        </w:rPr>
      </w:pPr>
    </w:p>
    <w:p>
      <w:pPr>
        <w:jc w:val="both"/>
        <w:ind w:firstLine="5"/>
        <w:spacing w:after="0" w:line="244" w:lineRule="auto"/>
        <w:tabs>
          <w:tab w:leader="none" w:pos="8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w:t>
      </w:r>
    </w:p>
    <w:p>
      <w:pPr>
        <w:spacing w:after="0" w:line="19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w:t>
      </w:r>
    </w:p>
    <w:p>
      <w:pPr>
        <w:spacing w:after="0" w:line="2" w:lineRule="exact"/>
        <w:rPr>
          <w:sz w:val="20"/>
          <w:szCs w:val="20"/>
          <w:color w:val="auto"/>
        </w:rPr>
      </w:pPr>
    </w:p>
    <w:p>
      <w:pPr>
        <w:ind w:left="1060" w:hanging="1055"/>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estimated underwriting discounts and commissions. Similarly, each increase (decrease) of 1,000,000 shares in the number of shares of Class A common stock</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40"/>
          </w:cols>
          <w:pgMar w:left="320" w:top="448"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Since our incorporation in 2015, we have paid an aggregate of $21.2 million in cash dividends to holders of our preferred stock in satisfaction of dividend obligations accruing pursuant to our certificate of incorporation in effect prior to this offering. As of the date of this prospectus, shares of our convertible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8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December 31, 2021:</w:t>
      </w:r>
    </w:p>
    <w:p>
      <w:pPr>
        <w:spacing w:after="0" w:line="121" w:lineRule="exact"/>
        <w:rPr>
          <w:sz w:val="20"/>
          <w:szCs w:val="20"/>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81"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giving effect to (1) the Series G-3 Financing; (2) the automatic conversion of all of our outstanding shares of Series B redeemable convertible preferred stock into 5,374,899 shares of Class B common stock, which will occur upon the closing of this offering; (3) the automatic conversion of all of our outstanding shares of redeemable convertible preferred stock, other than our Series B preferred stock, into</w:t>
      </w:r>
    </w:p>
    <w:tbl>
      <w:tblPr>
        <w:tblLayout w:type="fixed"/>
        <w:tblInd w:w="460" w:type="dxa"/>
        <w:tblCellMar>
          <w:top w:w="0" w:type="dxa"/>
          <w:left w:w="0" w:type="dxa"/>
          <w:bottom w:w="0" w:type="dxa"/>
          <w:right w:w="0" w:type="dxa"/>
        </w:tblCellMar>
      </w:tblPr>
      <w:tr>
        <w:trPr>
          <w:trHeight w:val="194"/>
        </w:trPr>
        <w:tc>
          <w:tcPr>
            <w:tcW w:w="300" w:type="dxa"/>
            <w:vAlign w:val="bottom"/>
          </w:tcPr>
          <w:p>
            <w:pPr>
              <w:spacing w:after="0"/>
              <w:rPr>
                <w:sz w:val="16"/>
                <w:szCs w:val="16"/>
                <w:color w:val="auto"/>
              </w:rPr>
            </w:pPr>
          </w:p>
        </w:tc>
        <w:tc>
          <w:tcPr>
            <w:tcW w:w="7040" w:type="dxa"/>
            <w:vAlign w:val="bottom"/>
            <w:gridSpan w:val="2"/>
          </w:tcPr>
          <w:p>
            <w:pPr>
              <w:ind w:left="1040"/>
              <w:spacing w:after="0" w:line="194" w:lineRule="exact"/>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5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9"/>
              </w:rPr>
              <w:t>range set forth on the cover page of this prospectus, which will occur upon the closing of this offering, which will occur upon the closing of this</w:t>
            </w:r>
          </w:p>
        </w:tc>
      </w:tr>
      <w:tr>
        <w:trPr>
          <w:trHeight w:val="210"/>
        </w:trPr>
        <w:tc>
          <w:tcPr>
            <w:tcW w:w="300" w:type="dxa"/>
            <w:vAlign w:val="bottom"/>
          </w:tcPr>
          <w:p>
            <w:pPr>
              <w:spacing w:after="0"/>
              <w:rPr>
                <w:sz w:val="18"/>
                <w:szCs w:val="18"/>
                <w:color w:val="auto"/>
              </w:rPr>
            </w:pPr>
          </w:p>
        </w:tc>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 (4) the issuance of</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Additional Class A Conversion Shares, assuming an initial public offering price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7"/>
              </w:rPr>
              <w:t>midpoint of the estimated price range set forth on the cover page of this prospectus, which will occur upon the conversion of all outstanding shares</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8"/>
              </w:rPr>
              <w:t>of our redeemable convertible preferred stock and upon the closing of this offering; (5) the automatic conversion of all of our nonvoting common</w:t>
            </w:r>
          </w:p>
        </w:tc>
      </w:tr>
      <w:tr>
        <w:trPr>
          <w:trHeight w:val="210"/>
        </w:trPr>
        <w:tc>
          <w:tcPr>
            <w:tcW w:w="300" w:type="dxa"/>
            <w:vAlign w:val="bottom"/>
          </w:tcPr>
          <w:p>
            <w:pPr>
              <w:spacing w:after="0"/>
              <w:rPr>
                <w:sz w:val="18"/>
                <w:szCs w:val="18"/>
                <w:color w:val="auto"/>
              </w:rPr>
            </w:pPr>
          </w:p>
        </w:tc>
        <w:tc>
          <w:tcPr>
            <w:tcW w:w="9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stock into 4,612,450 shares of Class A common stock, which will occur upon the closing of this offering; (6) the issuance of</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w:t>
            </w:r>
          </w:p>
        </w:tc>
      </w:tr>
      <w:tr>
        <w:trPr>
          <w:trHeight w:val="210"/>
        </w:trPr>
        <w:tc>
          <w:tcPr>
            <w:tcW w:w="300" w:type="dxa"/>
            <w:vAlign w:val="bottom"/>
          </w:tcPr>
          <w:p>
            <w:pPr>
              <w:spacing w:after="0"/>
              <w:rPr>
                <w:sz w:val="18"/>
                <w:szCs w:val="18"/>
                <w:color w:val="auto"/>
              </w:rPr>
            </w:pPr>
          </w:p>
        </w:tc>
        <w:tc>
          <w:tcPr>
            <w:tcW w:w="9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Class A common stock upon settlement of RSUs for which the service-based vesting condition was satisfied on or before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 and for</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6"/>
              </w:rPr>
              <w:t>which the performance-based vesting condition will be satisfied in connection with this offering, which settlement will occur upon the expiration of</w:t>
            </w:r>
          </w:p>
        </w:tc>
      </w:tr>
      <w:tr>
        <w:trPr>
          <w:trHeight w:val="210"/>
        </w:trPr>
        <w:tc>
          <w:tcPr>
            <w:tcW w:w="300" w:type="dxa"/>
            <w:vAlign w:val="bottom"/>
          </w:tcPr>
          <w:p>
            <w:pPr>
              <w:spacing w:after="0"/>
              <w:rPr>
                <w:sz w:val="18"/>
                <w:szCs w:val="18"/>
                <w:color w:val="auto"/>
              </w:rPr>
            </w:pPr>
          </w:p>
        </w:tc>
        <w:tc>
          <w:tcPr>
            <w:tcW w:w="8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lock-up period in connection with this offering; (7) stock-based compensation expense of approximately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 related to the vesting</w:t>
            </w:r>
          </w:p>
        </w:tc>
      </w:tr>
      <w:tr>
        <w:trPr>
          <w:trHeight w:val="210"/>
        </w:trPr>
        <w:tc>
          <w:tcPr>
            <w:tcW w:w="300" w:type="dxa"/>
            <w:vAlign w:val="bottom"/>
          </w:tcPr>
          <w:p>
            <w:pPr>
              <w:spacing w:after="0"/>
              <w:rPr>
                <w:sz w:val="18"/>
                <w:szCs w:val="18"/>
                <w:color w:val="auto"/>
              </w:rPr>
            </w:pPr>
          </w:p>
        </w:tc>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 RSUs and PSUs for which the service-based vesting condition was satisfied on or before</w:t>
            </w:r>
          </w:p>
        </w:tc>
        <w:tc>
          <w:tcPr>
            <w:tcW w:w="3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 and for which the performance-based</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7"/>
              </w:rPr>
              <w:t>vesting condition will be satisfied in connection with this offering, as further described in Note 9 to our consolidated financial statements included</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9"/>
              </w:rPr>
              <w:t>elsewhere in this prospectus; and (8) the filing and effectiveness of our amended and restated certificate of incorporation, which will occur upon</w:t>
            </w:r>
          </w:p>
        </w:tc>
      </w:tr>
      <w:tr>
        <w:trPr>
          <w:trHeight w:val="228"/>
        </w:trPr>
        <w:tc>
          <w:tcPr>
            <w:tcW w:w="300" w:type="dxa"/>
            <w:vAlign w:val="bottom"/>
          </w:tcPr>
          <w:p>
            <w:pPr>
              <w:spacing w:after="0"/>
              <w:rPr>
                <w:sz w:val="19"/>
                <w:szCs w:val="19"/>
                <w:color w:val="auto"/>
              </w:rPr>
            </w:pPr>
          </w:p>
        </w:tc>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closing of this offering; and</w:t>
            </w:r>
          </w:p>
        </w:tc>
        <w:tc>
          <w:tcPr>
            <w:tcW w:w="4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on a pro forma as adjusted basis, giving effect to (1) the pro forma adjustments set forth above and (2) our receipt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net</w:t>
            </w:r>
          </w:p>
        </w:tc>
      </w:tr>
      <w:tr>
        <w:trPr>
          <w:trHeight w:val="210"/>
        </w:trPr>
        <w:tc>
          <w:tcPr>
            <w:tcW w:w="300" w:type="dxa"/>
            <w:vAlign w:val="bottom"/>
          </w:tcPr>
          <w:p>
            <w:pPr>
              <w:spacing w:after="0"/>
              <w:rPr>
                <w:sz w:val="18"/>
                <w:szCs w:val="18"/>
                <w:color w:val="auto"/>
              </w:rPr>
            </w:pPr>
          </w:p>
        </w:tc>
        <w:tc>
          <w:tcPr>
            <w:tcW w:w="9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proceeds from the sale of shares of Class A common stock that we are offering at an assumed initial public offering price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after deducting the estimated underwriting discounts and</w:t>
            </w:r>
          </w:p>
        </w:tc>
      </w:tr>
      <w:tr>
        <w:trPr>
          <w:trHeight w:val="228"/>
        </w:trPr>
        <w:tc>
          <w:tcPr>
            <w:tcW w:w="300" w:type="dxa"/>
            <w:vAlign w:val="bottom"/>
          </w:tcPr>
          <w:p>
            <w:pPr>
              <w:spacing w:after="0"/>
              <w:rPr>
                <w:sz w:val="19"/>
                <w:szCs w:val="19"/>
                <w:color w:val="auto"/>
              </w:rPr>
            </w:pPr>
          </w:p>
        </w:tc>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As of December 31, 2021</w:t>
            </w: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80" w:type="dxa"/>
            <w:vAlign w:val="bottom"/>
          </w:tcPr>
          <w:p>
            <w:pPr>
              <w:spacing w:after="0"/>
              <w:rPr>
                <w:sz w:val="9"/>
                <w:szCs w:val="9"/>
                <w:color w:val="auto"/>
              </w:rPr>
            </w:pPr>
          </w:p>
        </w:tc>
        <w:tc>
          <w:tcPr>
            <w:tcW w:w="14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780" w:type="dxa"/>
            <w:vAlign w:val="bottom"/>
            <w:tcBorders>
              <w:top w:val="single" w:sz="8" w:color="auto"/>
            </w:tcBorders>
            <w:gridSpan w:val="6"/>
          </w:tcPr>
          <w:p>
            <w:pPr>
              <w:jc w:val="center"/>
              <w:ind w:right="93"/>
              <w:spacing w:after="0" w:line="138" w:lineRule="exact"/>
              <w:rPr>
                <w:sz w:val="20"/>
                <w:szCs w:val="20"/>
                <w:color w:val="auto"/>
              </w:rPr>
            </w:pPr>
            <w:r>
              <w:rPr>
                <w:rFonts w:ascii="Times New Roman" w:cs="Times New Roman" w:eastAsia="Times New Roman" w:hAnsi="Times New Roman"/>
                <w:sz w:val="14"/>
                <w:szCs w:val="14"/>
                <w:b w:val="1"/>
                <w:bCs w:val="1"/>
                <w:color w:val="auto"/>
                <w:w w:val="99"/>
              </w:rPr>
              <w:t>(in thousands except share and per share amounts)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278,466</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40" w:type="dxa"/>
            <w:vAlign w:val="bottom"/>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64,760,746 shares authorized,</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61,078,813 shares issued and outstanding, actual; no shares authorized, issued and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1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898,291</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40" w:type="dxa"/>
            <w:vAlign w:val="bottom"/>
            <w:gridSpan w:val="3"/>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w w:val="98"/>
              </w:rPr>
              <w:t>Preferred stock, $0.0001 par value, no shares authorized, issued and outstanding, actual;</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2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20,000,000 shares authorized, no shares issued and outstanding, pro forma and pro forma</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 adjusted</w:t>
            </w:r>
          </w:p>
        </w:tc>
        <w:tc>
          <w:tcPr>
            <w:tcW w:w="1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640" w:type="dxa"/>
            <w:vAlign w:val="bottom"/>
            <w:gridSpan w:val="3"/>
          </w:tcPr>
          <w:p>
            <w:pPr>
              <w:ind w:left="360"/>
              <w:spacing w:after="0" w:line="192" w:lineRule="exact"/>
              <w:rPr>
                <w:sz w:val="20"/>
                <w:szCs w:val="20"/>
                <w:color w:val="auto"/>
              </w:rPr>
            </w:pPr>
            <w:r>
              <w:rPr>
                <w:rFonts w:ascii="Times New Roman" w:cs="Times New Roman" w:eastAsia="Times New Roman" w:hAnsi="Times New Roman"/>
                <w:sz w:val="18"/>
                <w:szCs w:val="18"/>
                <w:color w:val="auto"/>
              </w:rPr>
              <w:t>Non-voting common stock, $0.001 par value, 63,946,627 shares authorized, 4,612,450</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6"/>
              </w:rPr>
              <w:t>shares issued and outstanding, actual; no shares authorized, issued and outstanding, pro</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52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$0.001 par value, 181,700,285 shares authorized, 58,367,961 shares</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actual; 1,000,000,000 shares authorized,</w:t>
            </w:r>
          </w:p>
        </w:tc>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shares issued and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 and shares issued and outstanding, pro forma as adjusted</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52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$0.001 par value, 5,374,899 shares authorized, no shares issued and</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actual; 5,500,000 shares authorized,</w:t>
            </w:r>
          </w:p>
        </w:tc>
        <w:tc>
          <w:tcPr>
            <w:tcW w:w="3380" w:type="dxa"/>
            <w:vAlign w:val="bottom"/>
            <w:gridSpan w:val="4"/>
          </w:tcPr>
          <w:p>
            <w:pPr>
              <w:jc w:val="right"/>
              <w:ind w:right="698"/>
              <w:spacing w:after="0"/>
              <w:rPr>
                <w:sz w:val="20"/>
                <w:szCs w:val="20"/>
                <w:color w:val="auto"/>
              </w:rPr>
            </w:pPr>
            <w:r>
              <w:rPr>
                <w:rFonts w:ascii="Times New Roman" w:cs="Times New Roman" w:eastAsia="Times New Roman" w:hAnsi="Times New Roman"/>
                <w:sz w:val="18"/>
                <w:szCs w:val="18"/>
                <w:color w:val="auto"/>
              </w:rPr>
              <w:t>shares issued and outstanding, pro</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(807,486)</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(807,491</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capitalization</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329,036</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47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per share of Class A common stock, the midpoint of the estimated</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price range set forth on the cover page of this prospectus, would increase (decrease) each of our pro forma as adjusted cash, cash equivalents and restricted cash,</w:t>
      </w:r>
    </w:p>
    <w:p>
      <w:pPr>
        <w:spacing w:after="0" w:line="2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3"/>
          <w:szCs w:val="13"/>
          <w:color w:val="auto"/>
        </w:rPr>
        <w:t>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w:t>
      </w:r>
    </w:p>
    <w:p>
      <w:pPr>
        <w:spacing w:after="0" w:line="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shares of Class A common stock and 5,374,899 shares of Class B common stock outstanding as of (after giving effect to the Series G-3 Financing and assuming the conversion of all outstanding shares of redeemable convertible preferred stock, other than our Series B redeemable convertible preferred stock and non-voting common stock into Class 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320" w:top="44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8"/>
          <w:szCs w:val="18"/>
          <w:color w:val="auto"/>
        </w:rPr>
        <w:t>common stock, assuming an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 the cover page of this</w:t>
      </w:r>
    </w:p>
    <w:p>
      <w:pPr>
        <w:spacing w:after="0" w:line="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prospectus, which will occur upon the closing of this offering,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85" w:lineRule="auto"/>
        <w:tabs>
          <w:tab w:leader="none" w:pos="171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December 31, 2021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jc w:val="both"/>
        <w:ind w:left="1000" w:hanging="549"/>
        <w:spacing w:after="0" w:line="285" w:lineRule="auto"/>
        <w:tabs>
          <w:tab w:leader="none" w:pos="160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December 31, 2021 under our 2015 Plan, for which the performance-based vesting condition may be satisfied in connection with this offering, but for which the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Plan, as well as any future increases, including annual automatic evergreen increases, in the number of shares of Class A common stock reserved for issuance under the 2022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2021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an outstanding convertible promissory note, which is convertible beginning in March 2026 into a number of shares determined by dividing (i) the then outstanding principal amount of such note (which was $238.2 million as of December 31, 2021)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w:t>
            </w:r>
          </w:p>
        </w:tc>
      </w:tr>
    </w:tbl>
    <w:p>
      <w:pPr>
        <w:spacing w:after="0" w:line="100" w:lineRule="exact"/>
        <w:rPr>
          <w:sz w:val="20"/>
          <w:szCs w:val="20"/>
          <w:color w:val="auto"/>
        </w:rPr>
      </w:pPr>
    </w:p>
    <w:p>
      <w:pPr>
        <w:jc w:val="both"/>
        <w:ind w:left="1000" w:hanging="549"/>
        <w:spacing w:after="0" w:line="255"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$4.0 million in shares of Class A common stock which may become issuable as contingent consideration in connection with our acquisition of Highline Consulting, LLC, as more fully described in the section of this prospectus titled “Management’s Discussion and Analysis of Financial Condition and Results of Operations—Acquisition of Highline Consulting, LLC”; and</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2021 was $ million, or $ per share. Our pro forma net tangible book value per share represents the amount of our total tangible assets less our total liabilities, divided by the number of our shares of common stock outstanding as of December 31, 2021, after giving effect to (1) the Series G-3 Financing; (2) the automatic conversion of all outstanding shares of our Series B redeemable preferred stock into 5,374,899 shares of Class B common stock, which will occur upon the closing of this offering; (3) the automatic conversion of all</w:t>
      </w:r>
    </w:p>
    <w:p>
      <w:pPr>
        <w:spacing w:after="0" w:line="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outstanding shares of our redeemable convertible preferred stock, other than our Series B preferred stock, into an aggregate of shares of Class A common stock, assuming an initial public offering price of $ per share, the midpoint of the estimated price range set forth on the cover page of this prospectus, which will occur upon the closing of this offering; (4) the issuance of Additional Class A Conversion Shares, assuming an initial public offering price of $ per share, the midpoint of the estimated price range set forth on the cover page of this prospectus, which will occur upon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conversion of all outstanding shares of our redeemable convertible preferred stock and upon the closing of this offering; (5) the automatic conversion of all of our</w:t>
      </w:r>
    </w:p>
    <w:p>
      <w:pPr>
        <w:spacing w:after="0" w:line="3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nonvoting common stock into 4,612,450 shares of Class A common stock, which will occur upon the closing of this offering; (6) the issuance of shares of Class A common stock upon settlement of RSUs for which the service-based vesting condition was satisfied on or before , 2022 and for which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performance-based vesting condition will be satisfied in connection with this offering, which settlement will occur upon the expiration of the lock-up period in</w:t>
      </w:r>
    </w:p>
    <w:p>
      <w:pPr>
        <w:spacing w:after="0" w:line="3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connection with this offering; (7) stock-based compensation expense of approximately $ million related to the vesting of RSUs and PSUs for which the service-based vesting condition was satisfied on or before , 2022 and for which the performance-based vesting condition will be satisfied in</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connection with this offering, as further described in Note 9 to our consolidated financial statements included elsewhere in this prospectus; and (8)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1" w:lineRule="exact"/>
        <w:rPr>
          <w:sz w:val="20"/>
          <w:szCs w:val="20"/>
          <w:color w:val="auto"/>
        </w:rPr>
      </w:pPr>
    </w:p>
    <w:p>
      <w:pPr>
        <w:ind w:left="460"/>
        <w:spacing w:after="0"/>
        <w:tabs>
          <w:tab w:leader="none" w:pos="4460" w:val="left"/>
        </w:tabs>
        <w:rPr>
          <w:sz w:val="20"/>
          <w:szCs w:val="20"/>
          <w:color w:val="auto"/>
        </w:rPr>
      </w:pPr>
      <w:r>
        <w:rPr>
          <w:rFonts w:ascii="Times New Roman" w:cs="Times New Roman" w:eastAsia="Times New Roman" w:hAnsi="Times New Roman"/>
          <w:sz w:val="18"/>
          <w:szCs w:val="18"/>
          <w:color w:val="auto"/>
        </w:rPr>
        <w:t>After giving effect to the sale by us of</w:t>
      </w:r>
      <w:r>
        <w:rPr>
          <w:sz w:val="20"/>
          <w:szCs w:val="20"/>
          <w:color w:val="auto"/>
        </w:rPr>
        <w:tab/>
      </w:r>
      <w:r>
        <w:rPr>
          <w:rFonts w:ascii="Times New Roman" w:cs="Times New Roman" w:eastAsia="Times New Roman" w:hAnsi="Times New Roman"/>
          <w:sz w:val="18"/>
          <w:szCs w:val="18"/>
          <w:color w:val="auto"/>
        </w:rPr>
        <w:t>shares of Class A common stock in this offering at an assumed initial public offering price of</w:t>
      </w:r>
    </w:p>
    <w:p>
      <w:pPr>
        <w:spacing w:after="0" w:line="21" w:lineRule="exact"/>
        <w:rPr>
          <w:sz w:val="20"/>
          <w:szCs w:val="20"/>
          <w:color w:val="auto"/>
        </w:rPr>
      </w:pPr>
    </w:p>
    <w:p>
      <w:pPr>
        <w:ind w:left="900" w:hanging="895"/>
        <w:spacing w:after="0"/>
        <w:tabs>
          <w:tab w:leader="none" w:pos="9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the midpoint of the estimated price range set forth on the cover page of this prospectus, after deducting estimated underwriting discounts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commissions and estimated offering expenses payable by us, our pro forma as adjusted net tangible book value as of December 31, 2021 would have been</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million, or $ per share. This amount represents an immediate increase in pro forma as adjusted net tangible book value of $ per share to our existing stockholders and an immediate dilution of $ per share to new investors purchasing Class A common stock in this offering. We determine dilution by subtracting the pro forma as adjusted net tangible book value per share after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60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2021</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$0.53</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per share attributable to the pro forma adjustments described above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Increase in pro forma as adjusted net tangible book value per share attributable to new investors purchasing shares in this offering</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60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88"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following table summarizes, as of December 31, 2021, on a pro forma as adjusted basis as described above, the aggregate number of shares of our Class A common stock and Class B common stock, the total consideration and the average price per share (1) paid to us by existing stockholders, and (2) to be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140" w:type="dxa"/>
            <w:vAlign w:val="bottom"/>
            <w:gridSpan w:val="4"/>
            <w:vMerge w:val="restart"/>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80" w:type="dxa"/>
            <w:vAlign w:val="bottom"/>
            <w:gridSpan w:val="4"/>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2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60" w:type="dxa"/>
            <w:vAlign w:val="bottom"/>
          </w:tcPr>
          <w:p>
            <w:pPr>
              <w:spacing w:after="0"/>
              <w:rPr>
                <w:sz w:val="11"/>
                <w:szCs w:val="11"/>
                <w:color w:val="auto"/>
              </w:rPr>
            </w:pPr>
          </w:p>
        </w:tc>
        <w:tc>
          <w:tcPr>
            <w:tcW w:w="680" w:type="dxa"/>
            <w:vAlign w:val="bottom"/>
            <w:tcBorders>
              <w:top w:val="single" w:sz="8" w:color="auto"/>
            </w:tcBorders>
          </w:tcPr>
          <w:p>
            <w:pPr>
              <w:jc w:val="right"/>
              <w:ind w:right="24"/>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43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7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CCEEFF"/>
            </w:tcBorders>
            <w:gridSpan w:val="2"/>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4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12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Sales by the selling stockholders upon the exercise in full of the underwriters’ option to purchase additional shares to cover over-allotments, if any, would</w:t>
      </w:r>
    </w:p>
    <w:p>
      <w:pPr>
        <w:spacing w:after="0" w:line="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w:t>
      </w:r>
    </w:p>
    <w:p>
      <w:pPr>
        <w:spacing w:after="0" w:line="188" w:lineRule="exact"/>
        <w:rPr>
          <w:sz w:val="20"/>
          <w:szCs w:val="20"/>
          <w:color w:val="auto"/>
        </w:rPr>
      </w:pPr>
    </w:p>
    <w:p>
      <w:pPr>
        <w:ind w:left="460"/>
        <w:spacing w:after="0"/>
        <w:tabs>
          <w:tab w:leader="none" w:pos="6800" w:val="left"/>
        </w:tabs>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w:t>
      </w:r>
    </w:p>
    <w:p>
      <w:pPr>
        <w:spacing w:after="0" w:line="21" w:lineRule="exact"/>
        <w:rPr>
          <w:sz w:val="20"/>
          <w:szCs w:val="20"/>
          <w:color w:val="auto"/>
        </w:rPr>
      </w:pPr>
    </w:p>
    <w:p>
      <w:pPr>
        <w:jc w:val="center"/>
        <w:ind w:right="400"/>
        <w:spacing w:after="0" w:line="414" w:lineRule="auto"/>
        <w:rPr>
          <w:sz w:val="20"/>
          <w:szCs w:val="20"/>
          <w:color w:val="auto"/>
        </w:rPr>
      </w:pPr>
      <w:r>
        <w:rPr>
          <w:rFonts w:ascii="Times New Roman" w:cs="Times New Roman" w:eastAsia="Times New Roman" w:hAnsi="Times New Roman"/>
          <w:sz w:val="18"/>
          <w:szCs w:val="18"/>
          <w:color w:val="auto"/>
        </w:rPr>
        <w:t>the cover page of this prospectus, would increase (decrease) the total consideration paid by new investors and total consideration paid by all stockholders by 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5"/>
        <w:spacing w:after="0" w:line="285" w:lineRule="auto"/>
        <w:tabs>
          <w:tab w:leader="none" w:pos="92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offered by us would increase (decrease) the total consideration paid by new investors and total consideration paid by all stockholders by</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shares of Class A common stock and 5,374,899 shares of Class B common stock outstanding as of (after giving effect to the Series G-3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and assuming the conversion of all outstanding shares of redeemable convertible preferred stock, other than our Series B redeemable convertible</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preferred stock and non-voting common stock into Class A common stock, assuming an initial public offering price of $ per share, the midpoint of the estimated price range set forth on the cover page of this prospectus, and all outstanding shares of Series B redeemable convertible preferred stock into Class B common stock), and excludes:</w:t>
      </w:r>
    </w:p>
    <w:p>
      <w:pPr>
        <w:spacing w:after="0" w:line="97" w:lineRule="exact"/>
        <w:rPr>
          <w:sz w:val="20"/>
          <w:szCs w:val="20"/>
          <w:color w:val="auto"/>
        </w:rPr>
      </w:pPr>
    </w:p>
    <w:p>
      <w:pPr>
        <w:jc w:val="both"/>
        <w:ind w:left="1000" w:hanging="549"/>
        <w:spacing w:after="0" w:line="285" w:lineRule="auto"/>
        <w:tabs>
          <w:tab w:leader="none" w:pos="171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December 31, 2021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jc w:val="both"/>
        <w:ind w:left="1000" w:hanging="549"/>
        <w:spacing w:after="0" w:line="285" w:lineRule="auto"/>
        <w:tabs>
          <w:tab w:leader="none" w:pos="160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December 31, 2021 under our 2015 Plan, for which the performance-based vesting condition may be satisfied in connection with this offering, but for which the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Plan, as well as any future increases, including annual automatic evergreen increases, in the number of shares of Class A common stock reserved for issuance under the 2022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2021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an outstanding convertible promissory note, which is convertible beginning in March 2026 into a number of shares determined by dividing (i) the then outstanding principal amount of such note (which was $238.2 million as of December 31, 2021)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w:t>
            </w:r>
          </w:p>
        </w:tc>
      </w:tr>
      <w:tr>
        <w:trPr>
          <w:trHeight w:val="354"/>
        </w:trPr>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8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5"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$4.0 million in shares of Class A common stock which may become issuable as contingent consideration in connection with our acquisition of Highline Consulting, LLC, as more fully described in the section of this prospectus titled “Management’s Discussion and Analysis of Financial Condition and Results of Operations—Acquisition of Highline Consulting, LLC”; and</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December 31, 2021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To accomplish this, we built both a technology platform to free healthcare data from silos and an operating system to make this data useful. We refer to the combination of those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$188.0 million and $257.9 million in the years ended December 31, 2020 and 2021, respectively. In the year ended December 31, 2020, revenue from one customer accounted for approximately 16.6% of our total revenues. Revenues from this customer did not represent a significant portion of total revenues for the year ended December 31, 2021. We also incurred net losses of $209.9 million and $259.2 million in the years ended December 31, 2020 and 2021, respectively.</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offer three product lines: Genomics, Data, and Algos.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 companies that need to focus on maximizing gross profit when performing a test. At its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Although we are only five years old, the network effects described above have already been demonstrated with the cohort of records that were added to our database in 2018, 2019, 2020, and 2021. To evaluate the revenue stream in our Data product line, we rely on “Cohort Lifetime Value.”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In 2018, the first full year that we operated a laboratory, we sequenced samples from approximately 7,500 patients. From that 2018 cohort of sequenced patients, through December 31, 2021, we generated $47.4 million of combined revenue from sequencing, data licensing of de-identified data derived from those records, and clinical trials matching, which is approximately 5.3 times the revenue we received from sequencing at the onset. The total cost to sequence the 2018 cohort was $17.4 million, of which $9.0 million was covered by reimbursement for the corresponding sequencing tests. We then generated $16.3 million of data revenue from that cohort in 2018, finishing the year with a “Cohort Lifetime Value” of $7.9 million. As more customers licensed de-identified records from the 2018 cohort in subsequent years, we generated additional revenue in 2019, 2020 and 2021 from the 2018 cohort, and as of December 31, 2021, the 2018 “Cohort Lifetime Value” for this cohort was $30.0 million. We maintained similar trends for the 2019, 2020 and 2021 cohorts. As of December 31, 2021, the 2019 “Cohort Lifetime Value” was $34.2 million, the 2020 “Cohort Lifetime Value” was $19.2 million and the 2021 “Cohort Lifetime Value” was $17.1 million.</w:t>
      </w:r>
    </w:p>
    <w:p>
      <w:pPr>
        <w:spacing w:after="0" w:line="37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below charts which illustrate our 2018, 2019, 2020 and 2021 “Cohort Lifetime Values,”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340"/>
          </w:cols>
          <w:pgMar w:left="320" w:top="44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87617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5775" cy="8761730"/>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139"/>
          </w:cols>
          <w:pgMar w:left="320" w:top="448" w:right="1440"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256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5775" cy="256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revenue was $151.9 million and $195.0 million for the years ended December 31, 2020 and 2021, respectively. COVID-19 PCR testing accounted for $89.5 million and $94.7 million of revenue for the years ended December 31, 2020 and 2021,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products, Insights and Therapies.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or upon the completion of performance obligations for related services.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320" w:top="448"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Therapies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Therapies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revenue was $36.1 million and $62.8 million for the years ended December 31, 2020 and 2021, respectively. Our Data revenue is typically back-weighted towards the second half of the year based on the budgeting cycles of our customers.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Algos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newest product line, Algos, is focused on developing and providing diagnostics that are algorithmic in nature. Algos are tests that can be run without chemistry or biology; they are simply 0’s and 1’s running on digitized data derived from a laboratory test. Algos leverage AI-driven insights to produce clinically validated and actionable information for physicians.</w:t>
      </w:r>
    </w:p>
    <w:p>
      <w:pPr>
        <w:spacing w:after="0" w:line="18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launched our Algos product line in the fourth quarter of 2020 and currently offer three algorithmic tests in oncology: our Tumor Origin, TO, test, our Homologous Recombination Deficiency, HRD, test, and our Dihydropyrimidine Dehydrogenase Deficiency, DPYD, test. Similar to our Genomics product line, we typically bill commercial payers or government-funded programs (i.e., Medicare and Medicaid) after delivering a test result. The amount that we charge varies depending on the algorithms being run, the party being billed and other information about the patient’s diagnosis. Revenue is generally recognized based on estimated cash receipts determined by historical and current payment trends. We currently report our Algos revenue within our Data and Other product line.</w:t>
      </w:r>
    </w:p>
    <w:p>
      <w:pPr>
        <w:spacing w:after="0" w:line="15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Algos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 with 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term of the MSA will continue through December 31, 2026, unless terminated sooner.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 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See “Description of Capital Stock — Warrant.” The warrant will be automatically cancelled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 See “Business—Operations—Our Strategic Collaboration with AstraZeneca.”</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Consulting, LLC, a California limited liability company, or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In addition,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restricted stock units with an aggregate value of $4.0 million to be allocated among Highline employees retained by us. The retention bonus pool will be recorded as compensation expense over the requisite service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preliminary valuation of the acquired assets and liabilities is not yet complete, and as such, we have not yet completed our allocation of the purchase price for the Highline Acquisition.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$45.4 million and $61.2 million during the years ended December 31, 2020 and 2021,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Algos, this entails demonstrating the utility of these algorithms in a clinical setting. Since our inception, our offerings have been used by more than 5,000 oncologists and 40 pharmaceutical and biotechnology customers licensing data through our Insights product, including 16 of the 20 largest public pharmaceutical companies based on 2020 revenue. Our financial performance relies heavily on our ability to add customers to our Platform and expand the relationships with our current customers through adoption of our new products.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$45.9 million and $67.2 million during the years ended December 31, 2020 and 2021,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We received payment on approximately 45% of our clinical oncology NGS tests performed from January 1, 2020 through June 30, 2021. For the years ended December 31, 2020 and 2021, our average reimbursement for NGS tests billed to insurance in oncology was approximately $1,100.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$89.5 million and $94.7 million of revenue for the years ended December 31, 2020 and 2021, respectively. Given the unpredictability surrounding the COVID-19 testing needs going forward, we are unable to predict testing volumes for our test on a go-forward basis, although there is a reasonable likelihood that levels will decline. We expect revenue from COVID-19 testing to decrease materially as a result of a lower prevalence of COVID-19 from successful containment efforts and the vaccination of a substantial majority of Americans, reduced testing needs of many of our clients, including as a result of the expiration and renegotiation of our COVID-19 testing agreement with CVS Pharmacy, Inc. in July 2021 and November 2021, respectively, and the entrance of other testing providers into the market. In addition, our agreement with CVS, which accounted for 24.0% of our revenue for the year ended December 31, 2020, expired in July 2021. Effective October 2021, we entered into a substantially similar agreement with CVS under which CVS has agreed to purchase certain COVID-19 testing products and services from us without a minimum purchase commitment. Sales of COVID-19 tests and related services to CVS accounted for 27.5% of our revenue for the year ended December 31, 2021.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Other.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Other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Algos revenue within this line item as it is immaterial.</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incur costs to generate revenue for each of our two primary product lines. Cost of revenues for our Genomics product line is a higher percentage of the Genomics revenue than cost of revenues for Data and Other is as a percentage of Data and Other revenue. As revenue shifts between these product lines, total cost of revenue as a percentage of revenue will be impacted. Our total cost of revenues will also increase in the quarter in which this offering occurs due to stock-</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Other primarily includes data acquisition and royalty fees, and personnel costs related to delivery of our data services and platform, and certain allocated overhead expenses. Costs associated with performing data product services are recorded as incurred. We expect these costs will increase in absolute dollars as our Data and Other revenues continue to grow. We currently report our Algos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quarter in which this offering occurs due to 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platform and applications and the research and development of new products that we hope to bring to the market. Technology research and development costs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expensed as incurred. We plan to continue to invest in technology personnel to support our Platform and new algorithm development. We expect that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will increase in absolute dollars for the foreseeable future as we continue to invest to support these activities. Our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will increase in the quarter in which this offering occurs due to stock-based compensation expenses of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RSUs and PSUs for which the service-based vesting condition was satisfied and for which the performance-based vesting condition will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in connection with this offering.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consists primarily of interest from our convertible debt, and capital leases. In 2020, we recorded a loss on extinguishment of debt relating to the conversion of convertible debt into Series G-2 preferred shares. Interest expense related to our convertible debt will continue, but should decrease over time as the principal amount decreases.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8"/>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r>
      <w:tr>
        <w:trPr>
          <w:trHeight w:val="138"/>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5"/>
          </w:tcPr>
          <w:p>
            <w:pPr>
              <w:jc w:val="right"/>
              <w:ind w:right="453"/>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151,911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195,012</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36,093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62,841</w:t>
            </w:r>
          </w:p>
        </w:tc>
      </w:tr>
      <w:tr>
        <w:trPr>
          <w:trHeight w:val="223"/>
        </w:trPr>
        <w:tc>
          <w:tcPr>
            <w:tcW w:w="20" w:type="dxa"/>
            <w:vAlign w:val="bottom"/>
          </w:tcPr>
          <w:p>
            <w:pPr>
              <w:spacing w:after="0"/>
              <w:rPr>
                <w:sz w:val="19"/>
                <w:szCs w:val="19"/>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152,198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162,276</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7,092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11,933</w:t>
            </w: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45,861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67,190</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45,415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61,161</w:t>
            </w: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130,892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199,004</w:t>
            </w: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381,458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501,564</w:t>
            </w:r>
          </w:p>
        </w:tc>
      </w:tr>
      <w:tr>
        <w:trPr>
          <w:trHeight w:val="223"/>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(193,454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1,495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623</w:t>
            </w:r>
          </w:p>
        </w:tc>
      </w:tr>
      <w:tr>
        <w:trPr>
          <w:trHeight w:val="210"/>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(18,929)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(15,184)</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(211,354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(209,854)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(259,192)</w:t>
            </w: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2020 and 2021</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$188.0 million for the year ended December 31, 2020 compared to $257.9 million for the year ended December 31, 2021, an increase of $69.9 million, or 37.2%. Adjusted for the impact of COVID-19 PCR testing, revenue increased $64.6 million or 65.6%, from $98.5 million for the year ended December 31, 2020, compared to $163.1 million for the year ended December 31, 2021. The increase in revenue is due to increased volume of clinical oncology tests performed in Genomics and increased data deliveries in our Data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Genomics, adjusted for the impact of COVID-19 PCR testing, increased $37.9 million, or 60.7%, from $62.4 million for the year ended December 31, 2020, compared to $100.3 million for the year ended December 31, 2021. This increase was primarily driven by increases in the number of next generation sequencing tests delivered in oncology, which increased from 44,667 tests for the year ended December 31, 2020 to 69,223 tests in the year ended December 31,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and Other increased $26.7 million, or 74.1%, from $36.1 million for the year ended December 31, 2020, compared to $62.8 million for the year ended December 31, 2021. Generally, increases in revenue are a result of increases in adoption of our products and services within our existing customer base or adoption by new customers.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$159.3 million for the year ended December 31, 2020 compared to $174.2 million for the year ended December 31, 2021, an increase of $14.9 million, or 9.4%. Adjusted for the impact of COVID-19 PCR testing, cost of revenue increased $25.7 million, or 31.2%, from $82.8 million for the year ended December 31, 2020, compared to $108.5 million for the year ended December 31, 2021. This increase was primarily due to an increase of $15.6 million of material and service costs and $3.1 million in personnel costs.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Genomics was $75.7 million for the year ended December 31, 2020 compared to $96.6 million for the year ended December 31, 2021, an increase of $20.9 million, or 27.6%. This increase was primarily due to an increase of $15.6 million in material and service costs and a $1.8 million increase in inventory write-downs.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Data and Other was $7.1 million for the year ended December 31, 2020 compared to $11.9 million for the year ended December 31, 2021, an increase of $4.8 million, or 68.2%. This increase was primarily due to an increase in personnel costs.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$45.4 million for the year ended December 31, 2020 compared to $61.2 million for the year ended December 31, 2021, an increase of $15.7 million, or 34.6%. This increase was primarily due to a $14.0 million increase in personnel-related costs for employees in our research and development group, as we increased our spend and headcount to support continued investment in our technology.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$45.9 million for the year ended December 31, 2020 compared to $67.2 million for the year ended December 31, 2021, an increase of $21.3 million, or 46.5%.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Selling, general and administrative expenses were $130.9 million for the year ended December 31, 2020 compared to $199.0 million for the year ended December 31, 2021, an increase of $68.1 million, or 52.0%. This increase was primarily due to an increase of $27.1 million in personnel-related costs, inclusive of $7.0 million of software licenses, as a result of an increase in our headcount, an increase of $29.6 million related to cloud storage costs, an increase of $3.1 million in rent expense as a result of increased office space to accommodate our increased headcount, and an increase of $1.8 million professional service expenses related to accounting and marketing.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income was $1.5 million for the year ended December 31, 2020 compared to $0.6 million for the year ended December 31, 2021, a decrease of $0.9 million, or 58.3%. This decrease was primarily due to a significant decrease in interest rate as the U.S. Federal Reserve lowered the risk-free interest rate to nearly zero.</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$18.9 million for the year ended December 31, 2020 compared to $15.2 million for the year ended December 31, 2021, a decrease of $3.7 million, or 19.8%. This decrease was primarily due to $8.9 million of loss on extinguishment of $80 million of our promissory note which was converted in November 2020, offset by a $5.1 million increase in interest expense.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2020, other expense was $0.5 million compared to other expense of $0.3 million for the year ended December 31, 2021, a decrease of $0.2 million, or 32.2%. The decrease was driven by a $0.2 million decrease in bad debt expense.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earnings of $1.5 million for the year ended December 31, 2020 compared to a loss of $0.6 million for the year ended December 31, 2021, resulting in a decrease of $2.1 million, or 140.3%. Losses from equity method investments consist of earnings from our joint venture into which we entered during the third quarter of 2020.</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December 31, 2021.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0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9"/>
                <w:szCs w:val="9"/>
                <w:color w:val="auto"/>
              </w:rPr>
            </w:pPr>
          </w:p>
        </w:tc>
        <w:tc>
          <w:tcPr>
            <w:tcW w:w="780" w:type="dxa"/>
            <w:vAlign w:val="bottom"/>
            <w:gridSpan w:val="3"/>
          </w:tcPr>
          <w:p>
            <w:pPr>
              <w:jc w:val="right"/>
              <w:ind w:right="199"/>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Pr>
          <w:p>
            <w:pPr>
              <w:spacing w:after="0"/>
              <w:rPr>
                <w:sz w:val="9"/>
                <w:szCs w:val="9"/>
                <w:color w:val="auto"/>
              </w:rPr>
            </w:pPr>
          </w:p>
        </w:tc>
        <w:tc>
          <w:tcPr>
            <w:tcW w:w="10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c>
          <w:tcPr>
            <w:tcW w:w="100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9"/>
                <w:szCs w:val="9"/>
                <w:color w:val="auto"/>
              </w:rPr>
            </w:pPr>
          </w:p>
        </w:tc>
        <w:tc>
          <w:tcPr>
            <w:tcW w:w="80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9"/>
                <w:szCs w:val="9"/>
                <w:color w:val="auto"/>
              </w:rPr>
            </w:pPr>
          </w:p>
        </w:tc>
        <w:tc>
          <w:tcPr>
            <w:tcW w:w="840" w:type="dxa"/>
            <w:vAlign w:val="bottom"/>
            <w:gridSpan w:val="2"/>
          </w:tcPr>
          <w:p>
            <w:pPr>
              <w:jc w:val="right"/>
              <w:ind w:right="279"/>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6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6"/>
          </w:tcPr>
          <w:p>
            <w:pPr>
              <w:jc w:val="right"/>
              <w:ind w:right="539"/>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Genomics(1)</w:t>
            </w:r>
          </w:p>
        </w:tc>
        <w:tc>
          <w:tcPr>
            <w:tcW w:w="1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13,645</w:t>
            </w:r>
          </w:p>
        </w:tc>
        <w:tc>
          <w:tcPr>
            <w:tcW w:w="260" w:type="dxa"/>
            <w:vAlign w:val="bottom"/>
            <w:gridSpan w:val="2"/>
          </w:tcPr>
          <w:p>
            <w:pPr>
              <w:jc w:val="right"/>
              <w:ind w:right="4"/>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12,500</w:t>
            </w:r>
          </w:p>
        </w:tc>
        <w:tc>
          <w:tcPr>
            <w:tcW w:w="3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47,079</w:t>
            </w:r>
          </w:p>
        </w:tc>
        <w:tc>
          <w:tcPr>
            <w:tcW w:w="3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78,687</w:t>
            </w:r>
          </w:p>
        </w:tc>
        <w:tc>
          <w:tcPr>
            <w:tcW w:w="2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59,830</w:t>
            </w:r>
          </w:p>
        </w:tc>
        <w:tc>
          <w:tcPr>
            <w:tcW w:w="960" w:type="dxa"/>
            <w:vAlign w:val="bottom"/>
            <w:gridSpan w:val="3"/>
          </w:tcPr>
          <w:p>
            <w:pPr>
              <w:jc w:val="right"/>
              <w:ind w:right="279"/>
              <w:spacing w:after="0" w:line="145" w:lineRule="exact"/>
              <w:rPr>
                <w:sz w:val="20"/>
                <w:szCs w:val="20"/>
                <w:color w:val="auto"/>
              </w:rPr>
            </w:pPr>
            <w:r>
              <w:rPr>
                <w:rFonts w:ascii="Times New Roman" w:cs="Times New Roman" w:eastAsia="Times New Roman" w:hAnsi="Times New Roman"/>
                <w:sz w:val="14"/>
                <w:szCs w:val="14"/>
                <w:color w:val="auto"/>
              </w:rPr>
              <w:t>$ 53,070</w:t>
            </w:r>
          </w:p>
        </w:tc>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color w:val="auto"/>
              </w:rPr>
              <w:t>41,614</w:t>
            </w:r>
          </w:p>
        </w:tc>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40,498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Data and Other</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4,597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5,677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3,654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22,165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10,280</w:t>
            </w:r>
          </w:p>
        </w:tc>
        <w:tc>
          <w:tcPr>
            <w:tcW w:w="960" w:type="dxa"/>
            <w:vAlign w:val="bottom"/>
            <w:gridSpan w:val="3"/>
            <w:shd w:val="clear" w:color="auto" w:fill="CCEEFF"/>
          </w:tcPr>
          <w:p>
            <w:pPr>
              <w:jc w:val="right"/>
              <w:ind w:right="279"/>
              <w:spacing w:after="0" w:line="145" w:lineRule="exact"/>
              <w:rPr>
                <w:sz w:val="20"/>
                <w:szCs w:val="20"/>
                <w:color w:val="auto"/>
              </w:rPr>
            </w:pPr>
            <w:r>
              <w:rPr>
                <w:rFonts w:ascii="Times New Roman" w:cs="Times New Roman" w:eastAsia="Times New Roman" w:hAnsi="Times New Roman"/>
                <w:sz w:val="14"/>
                <w:szCs w:val="14"/>
                <w:color w:val="auto"/>
              </w:rPr>
              <w:t>8,915</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5" w:lineRule="exact"/>
              <w:rPr>
                <w:sz w:val="20"/>
                <w:szCs w:val="20"/>
                <w:color w:val="auto"/>
              </w:rPr>
            </w:pPr>
            <w:r>
              <w:rPr>
                <w:rFonts w:ascii="Times New Roman" w:cs="Times New Roman" w:eastAsia="Times New Roman" w:hAnsi="Times New Roman"/>
                <w:sz w:val="14"/>
                <w:szCs w:val="14"/>
                <w:color w:val="auto"/>
              </w:rPr>
              <w:t>10,834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32,812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net revenue</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50,733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100,852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70,110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$ 61,985</w:t>
            </w: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52,448</w:t>
            </w: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Cost and operating expenses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Cost of revenues, genomics(1)</w:t>
            </w:r>
          </w:p>
        </w:tc>
        <w:tc>
          <w:tcPr>
            <w:tcW w:w="120" w:type="dxa"/>
            <w:vAlign w:val="bottom"/>
          </w:tcPr>
          <w:p>
            <w:pPr>
              <w:spacing w:after="0"/>
              <w:rPr>
                <w:sz w:val="12"/>
                <w:szCs w:val="12"/>
                <w:color w:val="auto"/>
              </w:rPr>
            </w:pPr>
          </w:p>
        </w:tc>
        <w:tc>
          <w:tcPr>
            <w:tcW w:w="68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16,832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17,226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46,358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71,782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58,152</w:t>
            </w:r>
          </w:p>
        </w:tc>
        <w:tc>
          <w:tcPr>
            <w:tcW w:w="960" w:type="dxa"/>
            <w:vAlign w:val="bottom"/>
            <w:gridSpan w:val="3"/>
          </w:tcPr>
          <w:p>
            <w:pPr>
              <w:jc w:val="right"/>
              <w:ind w:right="279"/>
              <w:spacing w:after="0" w:line="145" w:lineRule="exact"/>
              <w:rPr>
                <w:sz w:val="20"/>
                <w:szCs w:val="20"/>
                <w:color w:val="auto"/>
              </w:rPr>
            </w:pPr>
            <w:r>
              <w:rPr>
                <w:rFonts w:ascii="Times New Roman" w:cs="Times New Roman" w:eastAsia="Times New Roman" w:hAnsi="Times New Roman"/>
                <w:sz w:val="14"/>
                <w:szCs w:val="14"/>
                <w:color w:val="auto"/>
              </w:rPr>
              <w:t>39,351</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color w:val="auto"/>
              </w:rPr>
              <w:t>31,780</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32,993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Cost of revenues, data products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1,411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1,478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2,139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2,064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2,249</w:t>
            </w:r>
          </w:p>
        </w:tc>
        <w:tc>
          <w:tcPr>
            <w:tcW w:w="960" w:type="dxa"/>
            <w:vAlign w:val="bottom"/>
            <w:gridSpan w:val="3"/>
            <w:shd w:val="clear" w:color="auto" w:fill="CCEEFF"/>
          </w:tcPr>
          <w:p>
            <w:pPr>
              <w:jc w:val="right"/>
              <w:ind w:right="279"/>
              <w:spacing w:after="0" w:line="145" w:lineRule="exact"/>
              <w:rPr>
                <w:sz w:val="20"/>
                <w:szCs w:val="20"/>
                <w:color w:val="auto"/>
              </w:rPr>
            </w:pPr>
            <w:r>
              <w:rPr>
                <w:rFonts w:ascii="Times New Roman" w:cs="Times New Roman" w:eastAsia="Times New Roman" w:hAnsi="Times New Roman"/>
                <w:sz w:val="14"/>
                <w:szCs w:val="14"/>
                <w:color w:val="auto"/>
              </w:rPr>
              <w:t>2,668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5" w:lineRule="exact"/>
              <w:rPr>
                <w:sz w:val="20"/>
                <w:szCs w:val="20"/>
                <w:color w:val="auto"/>
              </w:rPr>
            </w:pPr>
            <w:r>
              <w:rPr>
                <w:rFonts w:ascii="Times New Roman" w:cs="Times New Roman" w:eastAsia="Times New Roman" w:hAnsi="Times New Roman"/>
                <w:sz w:val="14"/>
                <w:szCs w:val="14"/>
                <w:color w:val="auto"/>
              </w:rPr>
              <w:t>3,031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3,985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4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(47,674</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(51,432</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(52,300)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(42,048)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(61,434</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(62,874</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(64,607)</w:t>
            </w:r>
          </w:p>
        </w:tc>
        <w:tc>
          <w:tcPr>
            <w:tcW w:w="3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(54,796)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(47,102)</w:t>
            </w:r>
          </w:p>
        </w:tc>
        <w:tc>
          <w:tcPr>
            <w:tcW w:w="260" w:type="dxa"/>
            <w:vAlign w:val="bottom"/>
            <w:gridSpan w:val="2"/>
            <w:shd w:val="clear" w:color="auto" w:fill="CCEEFF"/>
          </w:tcPr>
          <w:p>
            <w:pPr>
              <w:jc w:val="right"/>
              <w:ind w:right="4"/>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(51,100)</w:t>
            </w:r>
          </w:p>
        </w:tc>
        <w:tc>
          <w:tcPr>
            <w:tcW w:w="3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(57,510)</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(54,142)</w:t>
            </w:r>
          </w:p>
        </w:tc>
        <w:tc>
          <w:tcPr>
            <w:tcW w:w="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(65,020)</w:t>
            </w:r>
          </w:p>
        </w:tc>
        <w:tc>
          <w:tcPr>
            <w:tcW w:w="960" w:type="dxa"/>
            <w:vAlign w:val="bottom"/>
            <w:gridSpan w:val="3"/>
            <w:shd w:val="clear" w:color="auto" w:fill="CCEEFF"/>
          </w:tcPr>
          <w:p>
            <w:pPr>
              <w:jc w:val="right"/>
              <w:ind w:right="239"/>
              <w:spacing w:after="0" w:line="14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(66,849)</w:t>
            </w:r>
          </w:p>
        </w:tc>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(68,342)</w:t>
            </w:r>
          </w:p>
        </w:tc>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(58,981)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918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84" w:lineRule="exact"/>
        <w:rPr>
          <w:sz w:val="20"/>
          <w:szCs w:val="20"/>
          <w:color w:val="auto"/>
        </w:rPr>
      </w:pPr>
    </w:p>
    <w:p>
      <w:pPr>
        <w:ind w:left="180" w:hanging="175"/>
        <w:spacing w:after="0"/>
        <w:tabs>
          <w:tab w:leader="none" w:pos="180" w:val="left"/>
        </w:tabs>
        <w:numPr>
          <w:ilvl w:val="0"/>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4"/>
          <w:szCs w:val="14"/>
          <w:b w:val="1"/>
          <w:bCs w:val="1"/>
          <w:color w:val="auto"/>
        </w:rPr>
        <w:t>Revenue and cost of revenue from COVID-19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197725" cy="914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2"/>
        </w:trPr>
        <w:tc>
          <w:tcPr>
            <w:tcW w:w="27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Genomics</w:t>
            </w:r>
          </w:p>
        </w:tc>
        <w:tc>
          <w:tcPr>
            <w:tcW w:w="2080" w:type="dxa"/>
            <w:vAlign w:val="bottom"/>
          </w:tcPr>
          <w:p>
            <w:pPr>
              <w:ind w:left="16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29,489</w:t>
            </w:r>
          </w:p>
        </w:tc>
        <w:tc>
          <w:tcPr>
            <w:tcW w:w="102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60,015</w:t>
            </w:r>
          </w:p>
        </w:tc>
        <w:tc>
          <w:tcPr>
            <w:tcW w:w="102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38,887</w:t>
            </w:r>
          </w:p>
        </w:tc>
        <w:tc>
          <w:tcPr>
            <w:tcW w:w="104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32,680</w:t>
            </w:r>
          </w:p>
        </w:tc>
        <w:tc>
          <w:tcPr>
            <w:tcW w:w="104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13,373</w:t>
            </w:r>
          </w:p>
        </w:tc>
        <w:tc>
          <w:tcPr>
            <w:tcW w:w="6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9,783</w:t>
            </w:r>
          </w:p>
        </w:tc>
        <w:tc>
          <w:tcPr>
            <w:tcW w:w="0" w:type="dxa"/>
            <w:vAlign w:val="bottom"/>
          </w:tcPr>
          <w:p>
            <w:pPr>
              <w:spacing w:after="0"/>
              <w:rPr>
                <w:sz w:val="1"/>
                <w:szCs w:val="1"/>
                <w:color w:val="auto"/>
              </w:rPr>
            </w:pPr>
          </w:p>
        </w:tc>
      </w:tr>
      <w:tr>
        <w:trPr>
          <w:trHeight w:val="122"/>
        </w:trPr>
        <w:tc>
          <w:tcPr>
            <w:tcW w:w="274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Cost of revenue,</w:t>
            </w:r>
          </w:p>
        </w:tc>
        <w:tc>
          <w:tcPr>
            <w:tcW w:w="2080" w:type="dxa"/>
            <w:vAlign w:val="bottom"/>
            <w:vMerge w:val="restart"/>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26,367</w:t>
            </w:r>
          </w:p>
        </w:tc>
        <w:tc>
          <w:tcPr>
            <w:tcW w:w="10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50,120</w:t>
            </w:r>
          </w:p>
        </w:tc>
        <w:tc>
          <w:tcPr>
            <w:tcW w:w="10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36,095</w:t>
            </w:r>
          </w:p>
        </w:tc>
        <w:tc>
          <w:tcPr>
            <w:tcW w:w="10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17,740</w:t>
            </w:r>
          </w:p>
        </w:tc>
        <w:tc>
          <w:tcPr>
            <w:tcW w:w="10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6,498</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genomics</w:t>
            </w:r>
          </w:p>
        </w:tc>
        <w:tc>
          <w:tcPr>
            <w:tcW w:w="20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Beginning in the second quarter of 2020, revenue from COVID-19 testing impacted the Genomics revenue line as illustrated in the table above.</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Other revenue experienced fluctuations due to seasonality driven by the procurement and budgeting cycles of many of our customers. As a result, the majority of our data deliveries occurred during the fourth quarter of 2020 and 2021, resulting in approximately 60% and 50% of Data and Other revenue for the years ended December 31, 2020 and 2021, respectively, recognized in the fourth quarter of the applicable year.</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second quarter of 2020, costs associated with COVID-19 testing impacted the Cost of revenues, genomics line as illustrated in the table above.</w:t>
      </w:r>
    </w:p>
    <w:p>
      <w:pPr>
        <w:spacing w:after="0" w:line="17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costs and operating expenses primarily increased during the periods presented due to the addition of personnel in connection with the growth of our business. The fluctuations in Cost of revenues, genomics as a result of COVID-19 testing is due to testing related expenses associated with our customer mix.</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December 31, 2021, we had an accumulated deficit of $807.5 million.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in clinical trials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and sales of our products. As of December 31, 2021, we had cash, cash equivalents and restricted cash of $278.5 million. On January 4, 2022, we funded through cash on hand, the $35.5 million acquisition of Highline Consulting, LLC (which purchase price is subject to customary cash and net working capital adjustments). From April 18 to April 22, 2022, we sold an aggregate of 1,483,242 shares of our Series G-3 convertible preferred stock at a price per share of $57.3069 for an aggregate purchase price of approximately $85.0 million in private placements to accredited investors.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and anticipated cash flows from operations will be sufficient to meet our anticipated cash requirements for more than twelve months from the date of this prospectus. We will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including because of lower demand for our products as a result of lower than currently expected rates of reimbursement from our customers or other risks described elsewhere in this prospectus,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3"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5080</wp:posOffset>
            </wp:positionV>
            <wp:extent cx="12172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956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-3810</wp:posOffset>
            </wp:positionV>
            <wp:extent cx="12172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9840"/>
        <w:spacing w:after="0" w:line="225"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(206,562)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(211,984)</w:t>
            </w: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(21,724)</w:t>
            </w: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506,107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2020 was $206.6 million, which resulted from a net loss of $209.9 million and net change in our operating assets and liabilities of $35.5 million, offset by non-cash charges of $38.7 million. Non-cash charges primarily consisted of $23.1 million of depreciation and amortization and a $8.9 million relating to loss on extinguishment of convertible promissory notes. The net change in our operating assets and liabilities was primarily the result of a $55.8 million increase in accounts receivable primarily as a result of Genomics revenue, specifically COVID-19 sample testing, $29.3 million increase in inventory as a result of supplies for COVID kit tests.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2021 was $212.0 million, which resulted from a net loss of $259.2 million and net change in our operating assets and liabilities of $14.6 million, offset by non-cash charges of $32.7 million. Non-cash charges primarily consisted of $23.9 million of depreciation and amortization and a $5.2 million change in fair value of contingent consideration. The net change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operating assets and liabilities was primarily the result of a $14.6 million decrease in inventory as a result of reducing supplies for COVID-19 kit tests and the expiration of COVID-19 testing kits and oncology lab supplies. The remaining net change in our operating assets and liabilities is a result of a $9.5 million increase in deferred revenue primarily related to the volume and timing of our data contracts.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2020 was $13.4 million, which resulted entirely from purchases of property and equipment.</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2021 was $21.7 million, which resulted from investments in non-marketable security of $6.0 million, the release of escrow related to the AKESOgen purchase of $4.0 million, and purchases of property and equipment of $11.8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2020 was $506.1 million which was primarily due to net proceeds of $189.9 million from the issuance of convertible preferred stock and net proceeds of $330.0 million from the issuance of a convertible promissory note.</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2021 was $2.0 million, which was primarily due to net proceeds of $8.9 million from the issuance of convertible preferred stock, offset by dividends of $5.6 million, payment of contingent consideration of $3.4 million, and payment of deferred offering costs of $1.1 million.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1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1-</w:t>
            </w:r>
          </w:p>
        </w:tc>
        <w:tc>
          <w:tcPr>
            <w:tcW w:w="46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1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60,313</w:t>
            </w:r>
          </w:p>
        </w:tc>
        <w:tc>
          <w:tcPr>
            <w:tcW w:w="4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6"/>
              </w:rPr>
              <w:t>17,253</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14,433</w:t>
            </w: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136,812</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31,063</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60,710</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41,210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Covertible Promissory Note*</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261,326</w:t>
            </w:r>
          </w:p>
        </w:tc>
        <w:tc>
          <w:tcPr>
            <w:tcW w:w="14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261,326</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458,451</w:t>
            </w:r>
          </w:p>
        </w:tc>
        <w:tc>
          <w:tcPr>
            <w:tcW w:w="4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39,507</w:t>
            </w:r>
          </w:p>
        </w:tc>
        <w:tc>
          <w:tcPr>
            <w:tcW w:w="480" w:type="dxa"/>
            <w:vAlign w:val="bottom"/>
          </w:tcPr>
          <w:p>
            <w:pPr>
              <w:spacing w:after="0"/>
              <w:rPr>
                <w:sz w:val="19"/>
                <w:szCs w:val="19"/>
                <w:color w:val="auto"/>
              </w:rPr>
            </w:pPr>
          </w:p>
        </w:tc>
        <w:tc>
          <w:tcPr>
            <w:tcW w:w="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77,963</w:t>
            </w:r>
          </w:p>
        </w:tc>
        <w:tc>
          <w:tcPr>
            <w:tcW w:w="4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316,969</w:t>
            </w:r>
          </w:p>
        </w:tc>
        <w:tc>
          <w:tcPr>
            <w:tcW w:w="4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$23,090 of interest payable.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generally accepted accounting principles in the United States, or GAAP. Our preparation of these consolidated financial statements requires 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Other revenue from the commercialization of data generated in the lab through the licensing of de-identified datasets to third parties and from matching patients to clinical trials enrolled in its clinical trial network. The majority of our revenue is generated in North America.</w:t>
      </w:r>
    </w:p>
    <w:p>
      <w:pPr>
        <w:spacing w:after="0" w:line="17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condition exists to be vested, which will be satisfied upon achievement of a specific market condition, which could result in recognition of stock-based compensation expense upon the consummation of this offering.</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and a probability-weighted expected return method, or PWERM, which involves the estimation of multiple future potential outcomes for us, and estimates of the probability of each potential outcome. The per share value of our common stock determined using the PWERM approach is ultimately based upon probability-weighted per share values resulting from the various future scenarios, which include an initial public offering, merger or sale or continued operation as a private company.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we expect to incur approximately $ million of stock-based compensation expense related to RSUs and PSUs granted through December 31, 2021, for which the service-based vesting condition was satisfied and for which the performance-based vesting condition will be</w:t>
      </w:r>
    </w:p>
    <w:p>
      <w:pPr>
        <w:spacing w:after="0" w:line="2"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8"/>
          <w:szCs w:val="18"/>
          <w:color w:val="auto"/>
        </w:rPr>
        <w:t>satisfied in connection with this offering. In addition, based on RSUs and PSUs outstanding as of</w:t>
      </w:r>
      <w:r>
        <w:rPr>
          <w:sz w:val="20"/>
          <w:szCs w:val="20"/>
          <w:color w:val="auto"/>
        </w:rPr>
        <w:tab/>
      </w:r>
      <w:r>
        <w:rPr>
          <w:rFonts w:ascii="Times New Roman" w:cs="Times New Roman" w:eastAsia="Times New Roman" w:hAnsi="Times New Roman"/>
          <w:sz w:val="18"/>
          <w:szCs w:val="18"/>
          <w:color w:val="auto"/>
        </w:rPr>
        <w:t>, 2022, we expect to recognize approximately</w:t>
      </w:r>
    </w:p>
    <w:p>
      <w:pPr>
        <w:spacing w:after="0" w:line="3" w:lineRule="exact"/>
        <w:rPr>
          <w:sz w:val="20"/>
          <w:szCs w:val="20"/>
          <w:color w:val="auto"/>
        </w:rPr>
      </w:pPr>
    </w:p>
    <w:p>
      <w:pPr>
        <w:ind w:left="660" w:hanging="655"/>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of additional stock-based compensation expense related to these awards during the next twelve months.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December 31, 2021, we had cash, cash equivalents and restricted cash of $278.5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December 31, 2021,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2021,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audited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endeavor to unlock the true power of precision medicine by creating Intelligent Diagnostics through the practical application of artificial intelligence, or AI, in healthcare. Intelligent Diagnostics use AI to make laboratory tests more accurate, tailored, and personal. Unlike traditional laboratory tests, an Intelligent Diagnostic contextualizes the laboratory test result to a specific patient, by incorporating an individual’s longitudinal clinical data into the result. We believe Intelligent Diagnostics represents an emerging industry that we are pioneering. To accomplish this, we built both a technology platform to free healthcare data from silos and an operating system to make this data useful. We refer to the combination of those as the Tempus Platform. Our investment in this technology has allowed us to amass what we consider to be one of the largest libraries of oncology focused clinical and molecular data in the world. Our goal is to embed AI throughout every aspect of diagnostics to enable physicians and researchers to make data-driven decisions that improve patient care. We started in oncology in 2016 and have expanded into neuropsychology, infectious diseases, and cardiology, with aspirations to eventually be in all major disease areas.</w:t>
      </w:r>
    </w:p>
    <w:p>
      <w:pPr>
        <w:spacing w:after="0" w:line="16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make tests intelligent by connecting laboratory results to a patient’s own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advance personalized medicine. Unlike traditional diagnostic labs, we can incorporate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therapeutics. We believe their adoption could empower physicians to deliver better care and researchers to develop more precise therapies, with the potential to save millions of lives.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Tempus has built this integrated Platform, and we are now deploying it at scale in oncology in the United States.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 We endeavor to help doctors find the best therapies for their patients, help life sciences companies make the best drugs possible, and enable patients to access emerging therapies and clinical trials when appropriate.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250 unique data connections, many of which supply us with complex multimodal data in near real time, across over 1,500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We integrate this data into a unified software Platform through which we offer numerous analytical and decision support capabilities to our customers. We establish dedicated and integrated data connections with healthcare institutions to enhance the information we provide in our clinical reports, and to increase the effectiveness of our clinical trial matching services. In certain circumstances, we may cover the actual direct costs associated with the technical integrations needed to create a data connection.</w:t>
      </w:r>
    </w:p>
    <w:p>
      <w:pPr>
        <w:spacing w:after="0" w:line="187"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Algos</w:t>
      </w:r>
      <w:r>
        <w:rPr>
          <w:rFonts w:ascii="Times New Roman" w:cs="Times New Roman" w:eastAsia="Times New Roman" w:hAnsi="Times New Roman"/>
          <w:sz w:val="16"/>
          <w:szCs w:val="16"/>
          <w:color w:val="auto"/>
        </w:rPr>
        <w:t>.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130810</wp:posOffset>
            </wp:positionV>
            <wp:extent cx="7002780" cy="28676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0278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Genomics</w:t>
      </w:r>
      <w:r>
        <w:rPr>
          <w:rFonts w:ascii="Times New Roman" w:cs="Times New Roman" w:eastAsia="Times New Roman" w:hAnsi="Times New Roman"/>
          <w:sz w:val="18"/>
          <w:szCs w:val="18"/>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Insights and Therapies. Through our Insights product, we license de-identified libraries of linked clinical, molecular, and imaging data and provide a suite of analytic and cloud-and-compute tools to pharmaceutical and biotechnology companies. Our second product within our Data product line,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xml:space="preserve">, leverages our broad network of oncologists to provide clinical trial matching services for pharmaceutical companies that are looking to reach hard-to-find and underserved patient populations. Our newest product line,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xml:space="preserve"> is focused on developing and providing diagnostics that are algorithmic in nature. We currently offer three Algos in oncology and are also developing Algos in other disease areas.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ability to leverage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5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147955</wp:posOffset>
            </wp:positionV>
            <wp:extent cx="7002780" cy="44018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investigational studies, care pathways, real world evidentiary studies, and phenotypic and morphologic data. We already have the ability to incorporate many of these data elements today.</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and technology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diagnostic testing upon request, generate results leveraging our multimodal database, and provide clinical context for a specific patient. Below is a graphic illustrating our Platform’s core functionality.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183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02780" cy="441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infectious disease,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43681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02780" cy="436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Platform comprises multiple elements that work together to grow our database, generate Intelligent Diagnostics, and integrate the data we collect into clinical practice so that physicians and researchers can make data-driven decisions. Our technology stack allows us to ingest large amounts of multimodal healthcare data, which we then structure and harmonize into a common database that powers a variety of healthcare applications. Our scaled, interconnected provider network covers approximately 40%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these elements is difficult for competitors to replicate, and together provide us a significant advantage. The following diagram represents the different elements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10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and generate healthcare data at scale through multiple methods into our Platform, including molecular, clinical, and imaging data. Between our sequencing and data collection efforts, we are connected in some way to approximately 40% of all oncologists practicing in the United States, along with a growing number of patients in neuropsychology,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Ingesting data through our relationships and partnerships with healthcare providers. </w:t>
      </w:r>
      <w:r>
        <w:rPr>
          <w:rFonts w:ascii="Times New Roman" w:cs="Times New Roman" w:eastAsia="Times New Roman" w:hAnsi="Times New Roman"/>
          <w:sz w:val="16"/>
          <w:szCs w:val="16"/>
          <w:color w:val="auto"/>
        </w:rPr>
        <w:t>We have developed proprietary tools to establish more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250 direct data connections, many of which are bi-directional. We have established relationships with hundreds of provider networks, including approximately half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contribute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left="460" w:firstLine="43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 and distribute the oncology data ASCO collects as part of CancerLinq, which is their oncology data effort. We work with other large associations such as Quality Cancer Care Alliance, or QCCA, and National Cancer Care Alliance, or NCCA, and have agreements in place with large integrated community practices. While our relationships in oncology are widespread, we are making inroads in other disease areas. For example, we hold a perpetual, royalty-bearing license from Geisinger to build algorithmic models and commercialize a de-identified dataset of approximately 3.2 million ECGs, across approximately 600,000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w:t>
      </w:r>
    </w:p>
    <w:p>
      <w:pPr>
        <w:spacing w:after="0" w:line="191" w:lineRule="exact"/>
        <w:rPr>
          <w:sz w:val="20"/>
          <w:szCs w:val="20"/>
          <w:color w:val="auto"/>
        </w:rPr>
      </w:pPr>
    </w:p>
    <w:p>
      <w:pPr>
        <w:jc w:val="both"/>
        <w:ind w:left="460" w:firstLine="43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two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and Atlanta. We intend to expand these capabilities with a new genomics lab in Raleigh, North Carolina, which we are currently operationalizing and from which we expect to begin offering commercial laboratory tests in 2022.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9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018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Once data is ingested, we apply AI and other technologies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provided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Multimodal Database</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an oncology database that is approximately 19 times the size of The Cancer Genome Atlas, which we believe to be the largest public genomic dataset in oncology, based on the number of data points collected (and approximately 14 times the size based on petabytes of data). This represents what we consider to be one of the largest matched molecular libraries of cancer patients in the world. Our Platform, across all diseases, has ingested almost 500 million documents and contains more than 5.0 million de-identified patient records, including more than 950,000 with imaging data, more than 500,000 with matched clinical records linked with genomic information, and approximately 80,000 with full transcriptomic profiles. The breadth of our database, the quality and diversity of its data, as well as its regularly updating nature, allow us to offer a variety of AI-enabled solutions to the market. We also retain the rights to broadly commercialize the de-identified data we collect. As our database continues to grow from its current size of approximately 48 petabytes, we believe new AI applications and opportunities will</w:t>
      </w:r>
    </w:p>
    <w:p>
      <w:pPr>
        <w:spacing w:after="0" w:line="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emerge that are only possible with scale, driving innovations in patient treatment that were previously unattainable. The following diagram represents the growth of our database over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598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02780" cy="375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December 31, 2021,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44100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ectPr>
          <w:pgSz w:w="11900" w:h="16838" w:orient="portrait"/>
          <w:cols w:equalWidth="0" w:num="1">
            <w:col w:w="11340"/>
          </w:cols>
          <w:pgMar w:left="320" w:top="448" w:right="239"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1340"/>
          </w:cols>
          <w:pgMar w:left="320" w:top="448" w:right="239" w:bottom="1054"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 We describe below some of the core software applications that form part of our Platform.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launched in May 2021. Lens is aligned with Insights, one of our products within Data, and allows users to identify, license, and ultimately analyze cohorts of data for research purposes. We typically enable our customers to access our software applications free of charge. However, in some cases we may charge for access to Lens when a customer is interested in some form of customization or Lens’ enhanced features.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TCR and BCR profiles, immune infiltrates and neoantigens. Finally,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Time on Therapy provides physicians a view into the Tempus Precision Medicine Library, which includes the treatment paths of thousands of patients who display similar molecular or phenotypic profiles to their own patients. These tools enable new patients to potentially benefit from the experience of those that came before.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76193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1340"/>
          </w:cols>
          <w:pgMar w:left="320" w:top="448" w:right="2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139"/>
          </w:cols>
          <w:pgMar w:left="320" w:top="448"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Lens is our software application for life sciences research. We designed Lens to expose our multimodal, de-identified dataset to two main constituencies: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clinicians interested in exploring data related both to their own patients and to similarly situated patients from the broader Tempus dataset, and</w:t>
      </w:r>
    </w:p>
    <w:p>
      <w:pPr>
        <w:spacing w:after="0" w:line="3" w:lineRule="exact"/>
        <w:rPr>
          <w:sz w:val="20"/>
          <w:szCs w:val="20"/>
          <w:color w:val="auto"/>
        </w:rPr>
      </w:pPr>
    </w:p>
    <w:p>
      <w:pPr>
        <w:ind w:firstLine="5"/>
        <w:spacing w:after="0" w:line="247" w:lineRule="auto"/>
        <w:tabs>
          <w:tab w:leader="none" w:pos="2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clients that are focused on drug discovery and development and want to explore our dataset and/or supplement their own analytics with our tools and data.</w:t>
      </w:r>
    </w:p>
    <w:p>
      <w:pPr>
        <w:spacing w:after="0" w:line="186"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With respect to the first constituency, Lens helps users filter our multimodal database to identify groups of patients that meet their research requirements. It allows browsing, segmenting, selecting, and analyzing cohorts</w:t>
      </w:r>
    </w:p>
    <w:p>
      <w:pPr>
        <w:sectPr>
          <w:pgSz w:w="11900" w:h="16838" w:orient="portrait"/>
          <w:cols w:equalWidth="0" w:num="1">
            <w:col w:w="11340"/>
          </w:cols>
          <w:pgMar w:left="320" w:top="448" w:right="239" w:bottom="897"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1340"/>
          </w:cols>
          <w:pgMar w:left="320" w:top="448" w:right="239" w:bottom="897"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37350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139"/>
          </w:cols>
          <w:pgMar w:left="320" w:top="448"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350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also have developed a mobile application in the infectious disease space that we use to deliver COVID-19 test results directly to patients. The application allows patients to connect to Tempus and contribute their data in an effort to combine clinical and molecular data for COVID-19 patients. To date, we have more than 22,000 users who have agreed to contribute data to Tempus to advance research and other valuable use cases.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Google Cloud Agreement</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we signed an agreement with Google to migrate most of our cloud-based infrastructure to the Google Cloud Platform, or GCP. The Agreement with Google has two components: (1) a Master Agreement through which Google provides us with cloud services, as well as other products and services, for a multi-year period during which we committed to make escalating minimum payments with certain termination rights, along with contractual penalties for early termination and (2) a Convertible Note, the balance of which is reduced based on the amount we spend on Google cloud services. We believe our strategic arrangement with Google offers Tempus a distinct competitive advantage because we believe it provides us with attractive cloud and computing rates, along with resources and teams at Google that are aligned to advancing elements of our product roadmap.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products are organized under three product lines, with each product line designed to enable and enhance the others, thereby creating network effects in the markets in which we operate. Our Genomics product line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40"/>
          </w:cols>
          <w:pgMar w:left="320" w:top="448"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provides a broad arrange of diagnostic testing services to healthcare providers. Our Data product line monetizes de-identified data that we collect and facilitates enrollment in clinical trials. Our Algos product line leverages our database to provide diagnostics entirely driven by data.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44932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02780" cy="449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Algos product lines. As we run more tests through our laboratories, and as those tests are linked to patient records and clinical outcomes, we grow our data assets and leverage them across our other product lines. We operate two laboratories that provide NGS diagnostics, PCR profiling, and other anatomic and molecular pathology tests, and we expect to operationalize a third laboratory in 2022.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clinical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40"/>
          </w:cols>
          <w:pgMar w:left="320" w:top="448"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7599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02780" cy="475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across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which, if validated, we expect to launch commercially by the end of 2022.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 Submitted pre-market approval, or PMA, to the FDA in March 2021 for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variation (xT-Onco) based in substantial part on a recent version of the xT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assay</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144</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 Run at 500x coverage for approximately 650 of the most significant onco-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driving mutations and 250x depth of coverage for more than 19,000 genes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panel</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 Currently validating an updated version of assay which covers 523 genes,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including bTMB, MSI, additional fusions and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200"/>
        <w:spacing w:after="0" w:line="435" w:lineRule="auto"/>
        <w:rPr>
          <w:sz w:val="20"/>
          <w:szCs w:val="20"/>
          <w:color w:val="auto"/>
        </w:rPr>
      </w:pPr>
      <w:r>
        <w:rPr>
          <w:rFonts w:ascii="Times New Roman" w:cs="Times New Roman" w:eastAsia="Times New Roman" w:hAnsi="Times New Roman"/>
          <w:sz w:val="18"/>
          <w:szCs w:val="18"/>
          <w:color w:val="auto"/>
        </w:rPr>
        <w:t>We are also currently developing xM, a low pass whole genome + methylation for monitoring for cancer recurrence and minimal residual disease. 145</w:t>
      </w:r>
    </w:p>
    <w:p>
      <w:pPr>
        <w:sectPr>
          <w:pgSz w:w="11900" w:h="16838" w:orient="portrait"/>
          <w:cols w:equalWidth="0" w:num="1">
            <w:col w:w="11340"/>
          </w:cols>
          <w:pgMar w:left="320" w:top="44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2512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02780" cy="325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145,000 in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0265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02780" cy="402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Neuropsychology Tests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40"/>
          </w:cols>
          <w:pgMar w:left="320" w:top="448"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may work better than another based on the genetic profile of the patient, and our assay is designed to elucidate these differences. The following table describes our nP assay.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Neuropsychology Test</w:t>
            </w:r>
          </w:p>
        </w:tc>
        <w:tc>
          <w:tcPr>
            <w:tcW w:w="19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Tempus|nP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r>
      <w:tr>
        <w:trPr>
          <w:trHeight w:val="228"/>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r>
      <w:tr>
        <w:trPr>
          <w:trHeight w:val="328"/>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 Covers 13 validated genes and approximately 90 variants (e.g., CYP2D6)</w:t>
            </w:r>
          </w:p>
        </w:tc>
      </w:tr>
      <w:tr>
        <w:trPr>
          <w:trHeight w:val="310"/>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 Run off whole exome platform at 50x depth of coverage, with an average depth of</w:t>
            </w:r>
          </w:p>
        </w:tc>
      </w:tr>
      <w:tr>
        <w:trPr>
          <w:trHeight w:val="228"/>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coverage of approximately 1050x for clinically reported variants</w:t>
            </w:r>
            <w:r>
              <w:rPr>
                <w:rFonts w:ascii="Times New Roman" w:cs="Times New Roman" w:eastAsia="Times New Roman" w:hAnsi="Times New Roman"/>
                <w:sz w:val="14"/>
                <w:szCs w:val="14"/>
                <w:color w:val="auto"/>
              </w:rPr>
              <w:t>*</w:t>
            </w:r>
          </w:p>
        </w:tc>
      </w:tr>
    </w:tbl>
    <w:p>
      <w:pPr>
        <w:spacing w:after="0" w:line="100" w:lineRule="exact"/>
        <w:rPr>
          <w:sz w:val="20"/>
          <w:szCs w:val="20"/>
          <w:color w:val="auto"/>
        </w:rPr>
      </w:pPr>
    </w:p>
    <w:p>
      <w:pPr>
        <w:jc w:val="both"/>
        <w:ind w:left="5020" w:hanging="349"/>
        <w:spacing w:after="0" w:line="248" w:lineRule="auto"/>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 spectrometry to analyze approximately 90 pharmacogenetic variants and cover the exonic regions of approximately 20,000 genes at an average coverage of 50X, with an average depth of coverage of approximately 1050x for clinically reported variants</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16" w:lineRule="exact"/>
        <w:rPr>
          <w:sz w:val="20"/>
          <w:szCs w:val="20"/>
          <w:color w:val="auto"/>
        </w:rPr>
      </w:pPr>
    </w:p>
    <w:p>
      <w:pPr>
        <w:ind w:firstLine="5"/>
        <w:spacing w:after="0" w:line="247" w:lineRule="auto"/>
        <w:tabs>
          <w:tab w:leader="none" w:pos="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 including Alzheimer’s disease/dementia, epilepsy, ALS, multiple sclerosis, and others.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expanded into infectious diseases in 2020 due to the growing focus from healthcare providers and pharmaceutical companies on better understanding, diagnosing, and treating infectious diseases. Our strategy in infectious diseases is to offer a suite of tests that enable a better understanding of infectious disease, to use the data we collect while running tests to contribute to our Platform, and ultimately to make infectious disease tests intelligent over time.</w:t>
      </w:r>
    </w:p>
    <w:p>
      <w:pPr>
        <w:spacing w:after="0" w:line="14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COVID-19 heightened our collective awareness of how we might use our Platform to combat viruses and other pathogens. We believe there is a need in infectious disease for a more data-driven approach to diagnosis, therapy recommendation, and drug development. For example, there is a limited understanding of why some patients have minimal reactions to viruses and others become ill, why certain patients respond to pathogens and corresponding therapeutics differently, and why some patients have severe adverse reactions to certain drugs while others do not. Collecting sufficient data that provides a more complete picture of the pathogen could result in a better understanding of the disease and improve clinical decisions and therapeutic development. Furthermore, the growing problem of antimicrobial resistance might be addressable with data that helps facilitate a better understanding of pathogens and effective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918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24" w:lineRule="exact"/>
        <w:rPr>
          <w:sz w:val="20"/>
          <w:szCs w:val="20"/>
          <w:color w:val="auto"/>
        </w:rPr>
      </w:pPr>
    </w:p>
    <w:p>
      <w:pPr>
        <w:ind w:left="5540" w:right="1080" w:hanging="5535"/>
        <w:spacing w:after="0" w:line="437" w:lineRule="auto"/>
        <w:tabs>
          <w:tab w:leader="none" w:pos="223"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i w:val="1"/>
          <w:iCs w:val="1"/>
          <w:color w:val="auto"/>
        </w:rPr>
        <w:t xml:space="preserve">Tempus is currently evaluating whether to transition the nP assay from a whole exome platform to a low-pass whole genome (LPWG) platform. </w:t>
      </w:r>
      <w:r>
        <w:rPr>
          <w:rFonts w:ascii="Times New Roman" w:cs="Times New Roman" w:eastAsia="Times New Roman" w:hAnsi="Times New Roman"/>
          <w:sz w:val="18"/>
          <w:szCs w:val="18"/>
          <w:color w:val="auto"/>
        </w:rPr>
        <w:t>148</w:t>
      </w:r>
    </w:p>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capitalized on the demand for COVID-19 testing to build our database by launching PCR and NGS tests for COVID-19. Our laboratory testing infrastructure and our relationships with a broad customer base enabled us to rapidly scale operations and deliver approximately 2.3 million COVID-19 clinical tests through December 31, 2021. We entered into clinical testing agreements with various clients, including pharmacies, urgent care centers, state departments of health, primary care providers, universities and schools, and corporate clients. In addition, as part of our multimodal data collection efforts, we launched a patient facing mobile application to return results to users and create a portal through which they could elect to contribute their clinical data to Tempus for research purposes.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COVID-19 testing has materially decreased in the United States in light of the broadly distributed vaccines and changes in CDC guidance as to whom should be tested, we have shifted resources away from COVID-19 testing and do not expect levels of COVID-19 testing to be material to our business going forward. As such, we are focusing our efforts on other infectious diseases areas and on broader respiratory pathogen testing.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product line facilitates drug discovery and development for pharmaceutical and biotechnology companies through two primary products: Insights and Therapies. We also maintain a growing tumor-derived biological modeling (or organoid) laboratory, which allows us to provide modeling and screening services to our pharmaceutical and biotech clients.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w:t>
      </w:r>
    </w:p>
    <w:p>
      <w:pPr>
        <w:spacing w:after="0" w:line="15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In 2020, we worked with 16 of the 20 largest public pharmaceutical companies based on 2020 revenue and, as of December 31, 2021, we have signed contracts with a remaining total contract value, or Remaining TCV, of $428 million. We expect to deliver a majority of this contract value over the next several years.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As of December 31, 2021, Remaining TCV is equal to the total potential value of signed contracts and assumes the exercise of all contract options, all discretionary opt-ins, and no early termination. Remaining TCV includes the total potential value of the company’s agreement with AstraZeneca (described in “Description of Capital Stock—Warrant”), which, although listed under the Data product line, could be satisfied by AstraZeneca’s purchase of any of the company’s products and services. Remaining TCV excludes any revenue recognized to date on these contracts or any future adjustments made to the contractual value as a result of amendments or terminations. Many of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and the exercise of contractual options. Moreover, Remaining TCV may differ from similarly titled metrics presented by other companies and may not be comparable to such other metrics.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40"/>
          </w:cols>
          <w:pgMar w:left="320" w:top="448"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32429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0278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2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increases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increases over time, in a manner similar to a content company where you pay to create content and then monetize the content over time as people subscribe to access the content.</w:t>
      </w:r>
    </w:p>
    <w:p>
      <w:pPr>
        <w:spacing w:after="0" w:line="12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To evaluate the revenue stream in our Data product line, we rely on “Cohort Lifetime Value.”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340"/>
          </w:cols>
          <w:pgMar w:left="320" w:top="448"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and other in the Consolidated Statement of Operations. Cost of revenues, data and other were $7.1 million and $11.9 million for the years ended December 31, 2020 and 2021, respectively. These costs represent 19.6% and 19.2% of data and other revenue for the years ended December 31, 2020 and 2021, respectively.</w:t>
      </w:r>
    </w:p>
    <w:p>
      <w:pPr>
        <w:spacing w:after="0" w:line="57"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December 31, 2021, we generated $47.4 million of combined revenue from sequencing, data licensing of de-identified data derived from those records, and clinical trials matching, which is approximately 5.3 times the revenue we received from sequencing at the onset. The total cost to sequence the 2018 cohort was $17.4 million, of which $9.0 million was covered by reimbursement for the corresponding sequencing tests. We then generated $16.3 million of data revenue from that cohort in 2018, finishing the year with a “Cohort Lifetime Value” of $7.9 million. As more customers licensed de-identified records from the 2018 cohort in subsequent years, we generated additional revenue in 2019, 2020 and 2021 from the 2018 cohort, and as of December 31, 2021, the 2018 “Cohort Lifetime Value” for this cohort was $30.0 million. We maintained similar trends for the 2019, 2020 and 2021 cohorts. As of December 31, 2021, the 2019 “Cohort Lifetime Value” was $34.2 million, the 2020 “Cohort Lifetime Value” was $19.2 million and the 2021 “Cohort Lifetime Value” was $17.1 million.</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“Cohort Lifetime Value” for the 2018, 2019, 2020 and 2021 data cohorts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163830</wp:posOffset>
            </wp:positionV>
            <wp:extent cx="6835775" cy="59524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5775" cy="595249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1340"/>
          </w:cols>
          <w:pgMar w:left="320" w:top="448" w:right="2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5377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5775" cy="537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Therapies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Therapies is our second offering within our Data product line and leverages our broad network of oncologists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Therapies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laboratory and provider; and (iv) an analytic engine able to stratify patients and follow each unique patient journey ensuring that patients actually enroll in the studies.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clinical trial matching product is called the TIME Trial</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and as of December 31, 2021, more than 180 provider networks and research institutions, representing more than 8,100 oncologists, have signed up to join the program. As of December 31, 2021, more than 1,500 oncologists were fully enrolled, more than 75 clinical trials were onboarded and active, and more than 5,800 patients were identified for potential enrollment into clinical trials in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145415</wp:posOffset>
            </wp:positionV>
            <wp:extent cx="7002780" cy="4343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02780" cy="434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340"/>
          </w:cols>
          <w:pgMar w:left="320" w:top="448"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One of the primary benefits of our Therapies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Therapies product taking 9 days on average between April 2020 and December 2021.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7515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02780" cy="375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In addition to our efforts to collect vast amounts of phenotypic, morphologic, and molecular data, we have built a large, biological modeling lab that allows us to test various theories in vitro through our large repository of tumor-derived organoids, or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w:t>
      </w:r>
    </w:p>
    <w:p>
      <w:pPr>
        <w:spacing w:after="0" w:line="3" w:lineRule="exact"/>
        <w:rPr>
          <w:sz w:val="20"/>
          <w:szCs w:val="20"/>
          <w:color w:val="auto"/>
        </w:rPr>
      </w:pPr>
    </w:p>
    <w:p>
      <w:pPr>
        <w:jc w:val="both"/>
        <w:ind w:firstLine="5"/>
        <w:spacing w:after="0" w:line="245" w:lineRule="auto"/>
        <w:tabs>
          <w:tab w:leader="none" w:pos="3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materially, as shown in the graphic below.</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0347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02780" cy="403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vastness of our dataset creates an opportunity to use data to algorithmically diagnose and treat patients. Our newest product line, Algos, is focused on developing diagnostics that are algorithmic in nature. We use data the same way legacy diagnostic companies use chemistry in the battle against disease, seeking to improve patient care by learning from all the patients who have come before, and tailoring test results based on each patient’s unique profile. Our Algos can be run without the need for additional chemistry or biology; they are simply 0’s and 1’s running on digitized data derived from a laboratory test. Algos leverage AI-driven insights to produce clinically validated and actionable information for physicians.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56686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02780"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340"/>
          </w:cols>
          <w:pgMar w:left="320" w:top="448"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As of December 31, 2021, we have three commercialized Algos, and we have approximately 24 more in various stages of development. Some Algos will likely yield little to no reimbursement until their clinical utility is established, and some may obtain reimbursement at prevailing rates for comparable tests. Through December 31, 2021 our Algos have been ordered more than 13,600 times and have generated approximately $100 per test on average. Eventually, we would like to launch hundreds, if not thousands, of Algos. The following table represents our current Algos products, as well as our nearer term Algos in the pipeline: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40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 Predicts the site of origin for cancer patients whose primary tumor site is unknown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 Intended use of the TO test is for cancers of unknown primary, or CUPs, and may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help clinicians make more informed decisions where other clinical information like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imaging and immunohistochemistry results do not provide a 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information from analysis of nucleic acids by NGS performed as part of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transcriptomic molecular data. By comparing the molecular profile (transcriptome)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the patient’s cancer with profiles of other cancers in our database, we can help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pinpoint the origin of the patient’s cancer, potentially helping to inform the course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 For the year ended December 31, 2021 ordered on approximately 7% of our solid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Homologous Recombination Deficiency (“HRD”) Test</w:t>
            </w:r>
          </w:p>
        </w:tc>
        <w:tc>
          <w:tcPr>
            <w:tcW w:w="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 A DNA-based algorithmic test that helps identify if a patient has HRD, providing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comprehensive view into a patient’s ability to repair double-stranded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 into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commonly mutated genes in the HR-pathway, along with a genome wide l LOH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 additional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2"/>
          </w:tcPr>
          <w:p>
            <w:pPr>
              <w:jc w:val="right"/>
              <w:ind w:right="55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64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36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accuracy and increase the percentage of tumors that the algorithm can be run on.</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 For the year ended December 31, 2021, ordered on approximately 18% of all solid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tumor orders.</w:t>
            </w:r>
          </w:p>
        </w:tc>
        <w:tc>
          <w:tcPr>
            <w:tcW w:w="0" w:type="dxa"/>
            <w:vAlign w:val="bottom"/>
          </w:tcPr>
          <w:p>
            <w:pPr>
              <w:spacing w:after="0"/>
              <w:rPr>
                <w:sz w:val="1"/>
                <w:szCs w:val="1"/>
                <w:color w:val="auto"/>
              </w:rPr>
            </w:pPr>
          </w:p>
        </w:tc>
      </w:tr>
      <w:tr>
        <w:trPr>
          <w:trHeight w:val="25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Dihydropyrimidine Dehydrogenase Deficiency</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 Identifies certain alterations in the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 which may be associated with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Implementation Consortium (CPIC).</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 Provides insight into the potential likelihood of a patient developing severe or even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fatal toxicity of 5- FU/Capecitabine chemotherapy by covering five SNVs in </w:t>
            </w:r>
            <w:r>
              <w:rPr>
                <w:rFonts w:ascii="Times New Roman" w:cs="Times New Roman" w:eastAsia="Times New Roman" w:hAnsi="Times New Roman"/>
                <w:sz w:val="18"/>
                <w:szCs w:val="18"/>
                <w:i w:val="1"/>
                <w:iCs w:val="1"/>
                <w:color w:val="auto"/>
              </w:rPr>
              <w:t>DPYD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genes, providing a more complete patient profile. According to CPIC, 5-7%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test positive for DPD deficiency and should be considered for monitoring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separately-ordered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 colorectal,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breast, pancreatic and GI cancer patients who are being considered for treatment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 5-FU/Capecitabine chemotherapy.</w:t>
            </w:r>
          </w:p>
        </w:tc>
        <w:tc>
          <w:tcPr>
            <w:tcW w:w="0" w:type="dxa"/>
            <w:vAlign w:val="bottom"/>
          </w:tcPr>
          <w:p>
            <w:pPr>
              <w:spacing w:after="0"/>
              <w:rPr>
                <w:sz w:val="1"/>
                <w:szCs w:val="1"/>
                <w:color w:val="auto"/>
              </w:rPr>
            </w:pPr>
          </w:p>
        </w:tc>
      </w:tr>
      <w:tr>
        <w:trPr>
          <w:trHeight w:val="239"/>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6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40" w:type="dxa"/>
            <w:vAlign w:val="bottom"/>
          </w:tcPr>
          <w:p>
            <w:pPr>
              <w:spacing w:after="0"/>
              <w:rPr>
                <w:sz w:val="20"/>
                <w:szCs w:val="20"/>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36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Cardiology</w:t>
            </w: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 We have developed an algorithm designed to predict AFib from a normal ECG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expected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certain populations.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launch</w:t>
            </w:r>
          </w:p>
        </w:tc>
        <w:tc>
          <w:tcPr>
            <w:tcW w:w="340" w:type="dxa"/>
            <w:vAlign w:val="bottom"/>
          </w:tcPr>
          <w:p>
            <w:pPr>
              <w:spacing w:after="0"/>
              <w:rPr>
                <w:sz w:val="19"/>
                <w:szCs w:val="19"/>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 About 3.5% of patients who receive ECGs appear not to have AFib but will develop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AFib, acute coronary syndrome, or similar condition within one year. This Algo 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designed to predict major cardiac trauma and stroke risk from these normal ECG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 The Tempus AFib test received FDA breakthrough designation in March 2021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40 years of age and older, without pre-existing or concurrent AFib or atrial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flutter, and who are at elevated risk of stroke based on a commonly used clinical</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stroke risk assessment tool (i.e., CHA</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-VASc score of ≥4).</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 We are also advancing Algos that are designed to predict aortic stenosis, and we 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working on other disease areas within cardiology, such as low ejection fraction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familial hypercholesterolemia.</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Algos Collaboration with Geisinger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40"/>
          </w:cols>
          <w:pgMar w:left="320" w:top="448"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84"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color w:val="auto"/>
        </w:rPr>
        <w:t>Our first cardiology products in development are a suite of algorithms that assess an individual’s risk of undiagnosed disease from an ECG. The FDA recently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-VASc score of ≥4)).</w:t>
      </w:r>
    </w:p>
    <w:p>
      <w:pPr>
        <w:spacing w:after="0" w:line="1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work in cardiology has been accelerated by a strategic collaboration with a multidisciplinary cardiovascular research team at Geisinger that leverages 25 years of valuable EHR data. We hold a perpetual, royalty-bearing license from Geisinger to build algorithmic models and commercialize a de-identified dataset of approximately 3.2 million ECGs, across approximately 600,000 patients, with decades of longitudinal clinical data, including outcome and response data.</w:t>
      </w:r>
    </w:p>
    <w:p>
      <w:pPr>
        <w:spacing w:after="0" w:line="184"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In parallel, we are working to build out a network of healthcare systems and clinical providers to deploy these clinical algorithms at scale. We believe we are well positioned to build such a network by leveraging the existing technical integrations in place through our current product lines in oncology and neurology.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data-driven decisions.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Genmab is an example of a pharmaceutical company that has used many of our products and services. We signed a strategic collaboration with Genmab to help identify novel molecular and immune targets in cancer indications of interest. One aspect of the collaboration is a shared interest in developing new treatments for patients with pancreatic cancer. Tempus and Genmab data scientists collaborated to explore multiple indications in an effort to validate biomarkers and accelerate research and development using Tempus’ multimodal datasets. We analyzed de-identified data derived from over 2,000 pancreatic cancer patients with comprehensive DNA sequencing, full transcriptomic sequencing, longitudinal EHR data, and digital pathology slides to fuel their discovery efforts. We believe comparable multimodal datasets of this depth and breadth have not previously been assembled for pancreatic cancer. Fueled with a unique and larger dataset, computational biologists and data scientists from both organizations identified for further assessment select subtype-specific surfaceome gene targets that were highly expressed in pancreatic cancer samples but lowly expressed in normal tissue. Ultimately, several hundred potential drug discovery targets were identified and are currently being assessed by Genmab using antibody databases, cell-type analyses, immune infiltration, and biological mechanism pathway analyses. The Genmab collaboration demonstrates how Tempus can work as a partner in the target identification and validation process and highlights the valuable insights that can be garnered using Tempus’ data. With the shared goal to bring novel drugs to patients in need, Tempus is entitled to receive milestone and royalty payments for programs that advance through clinical development under this collaboration.</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Therapies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nine days on average between April 2020 and December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5043805" cy="900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438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Sermonix is a powerful example of the potential for our Therapies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ten business days for each site. By comparison, it took on average 230 days for the CRO to open each new site. Tempus enrolled 14 of the ultimately 29 patients in the study, and helped shorten the full enrollment time down to ten months.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infectious diseases, in which there is over $4 trillion of economic burden according to publicly available sources.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8"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284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02780" cy="428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At present, we offer three main assays in cancer, including solid tumor profiling, liquid biopsy, and inherited cancer risk screening, and expect to commercialize our fourth assay for cancer recurrence monitoring and measuring minimal residual disease in 2022. We believe our assays provide a comprehensive and holistic range of options for physicians and patients. Over time, we anticipate being able to address other emerging NGS oncology markets, such as early disease screening, as our most recent cancer recurrence and MRD assay (xM) is based on low pass whole genome plus methylation technology, an approach that other companies have used in early detection and disease monitoring.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Therapy selection: </w:t>
      </w:r>
      <w:r>
        <w:rPr>
          <w:rFonts w:ascii="Times New Roman" w:cs="Times New Roman" w:eastAsia="Times New Roman" w:hAnsi="Times New Roman"/>
          <w:sz w:val="18"/>
          <w:szCs w:val="18"/>
          <w:color w:val="auto"/>
        </w:rPr>
        <w:t>We address the market for therapy selection with our current tissue and liquid biopsy assay offerings and immunohistochemistry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129540</wp:posOffset>
            </wp:positionV>
            <wp:extent cx="7002780" cy="3717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02780" cy="371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anticipate launching our liquid biopsy test for cancer recurrence monitoring and minimal residual disease in 2022. While this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2018.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Neuropsychology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16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2020, an estimated $219 billion was spent on clinical development in the United States. Within this market, our Data product line addresses the following spending categories for biotechnology and pharmaceutical researchers:</w:t>
      </w:r>
    </w:p>
    <w:p>
      <w:pPr>
        <w:spacing w:after="0" w:line="92" w:lineRule="exact"/>
        <w:rPr>
          <w:sz w:val="20"/>
          <w:szCs w:val="20"/>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$38 billion spend in 2020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$46 billion spend in 2021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$29 billion spend in 2020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 Product Line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 Data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1,500 employees, including hundreds with diverse expertise in genetics, molecular and computational biology, bioinformatics, regulatory affairs, medical, product and engineering, and data science. Roughly one-third of our team is technical, with over 180 PhDs and MDs on staff. In addition, as a testament to our balanced workforce, we have roughly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more than 250 direct data connections, many of which supply us with data in near real time, across over 1,500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 Diagnostics to enable precision medicine at scale. We have amassed an oncology database that is over 48 Petabytes in size and is approximately 19 times the size of The Cancer Genome Atlas, the largest public genomic dataset that we know of in oncology. We also recently extended our Platform into neuropsychology, infectious disease, and cardiology. We believe each of the elements of our Platform is difficult for others to replicate.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Therapies product offering, we also help oncologists identify patients eligible for clinical trials. Over time, we believe our Algos product line will offer physicians and patients unique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320" w:top="448"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product line, which in turn drives our Algos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 further enhances our revenue opportunity as the records we collect have value over time, given that outcomes and response evolve as patients progress through treatment.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We are able to leverage multimodal data to deploy AI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oncology and our emerging strength in other disease areas. We have successfully leveraged the core capabilities of our Platform to expand our offering beyond oncology as we entered into neuropsychology in 2020 (MDD, bipolar disease, anxiety), infectious disease (COVID-19 testing) in 2020, and hope to enter cardiology in the near future (ECG-based algorithms starting with AFib and Aortic Stenosis).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Algos at scale.</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our Algos product line represents an emerging category of diagnostics and has the potential to be highly disruptive across a broad set of disease areas. Our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Algos offering, with the goal of launching hundreds or thousands of Algos at some point in the future, representing a significant long-term opportunity that may be substantially larger than our other existing product lines. We believe our ability to launch Algos at scale is a key differentiator of our Platform. We currently offer three algorithmic tests in oncology, our TO test, our HRD test, and our DPYD test, and have ongoing development efforts in other disease areas, such as cardiology with our recent Afib algorithm that was awarded breakthrough designation by the FDA.</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half of all academic medical centers in the United States. We have more than 250 direct unique data connections, many of which supply us with complex multimodal data in near real time, across over 1,500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5,000 oncologists in some way. The value of our products is further evidenced by our volume of repeat ordering from oncologists. Through December 2021, the 12-month retention rate for oncologists ordering more than 5 tests was 92%. We define the 12-month retention rate as having placed an order within the previous 360 days. Between our sequencing and data collection efforts, we are connected in some way to approximately 40% of all oncologists practicing in the United States.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8"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 clinical trials and through the development of companion diagnostics. At present, we have approximately 159 sales representatives focused on our Genomics offering, and intend to significantly add resources to the team over time.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As of December 31, 2021, we had 40 pharmaceutical and biotechnology customers licensing data through our Insights product, including 16 of the 20 largest public pharmaceutical companies based on 2020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 researchers. For our Therapies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Algos at scale.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currently have three Algos that we have commercially launched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are commercializing our current Algos to physicians through our direct sales force focused on the clinical market. 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8"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Algos across multiple disease categories.</w:t>
      </w:r>
    </w:p>
    <w:p>
      <w:pPr>
        <w:spacing w:after="0" w:line="281"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neuropsychology, infectious disease, cardiology, and other disease categories.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infectious diseases,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December 31, 2021, our clinical sales organization in the United States included approximately 150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clinical specialists with extensive medical affairs experience who provide molecular support in the field. As of December 31, 2021, we had approximately 140 sales executives in the field focused on oncology and neurology, and we also have a team of 12 sales reps, who largely call on customers virtually throughout our outbound call center, focused predominantly on infectious disease.</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an oncologist starts using Tempus, if they order more than 5 NGS tests from us, their 12-month retention rate is 92%. We define the 12-month retention rate as having placed at least one order in the previous 360 days.</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December 31, 2021, we have either published or been acknowledged in the following:</w:t>
      </w:r>
    </w:p>
    <w:p>
      <w:pPr>
        <w:spacing w:after="0" w:line="76" w:lineRule="exact"/>
        <w:rPr>
          <w:sz w:val="20"/>
          <w:szCs w:val="20"/>
          <w:color w:val="auto"/>
        </w:rPr>
      </w:pPr>
    </w:p>
    <w:p>
      <w:pPr>
        <w:ind w:left="1000" w:hanging="549"/>
        <w:spacing w:after="0" w:line="27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59 total (40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total (66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 similar strategy in neuropsychology, in which we aim to increase the commercial adoption of our nP test for depression as part of the rapidly growing market for pharmacogenomic testing, with a goal to better understand, diagnose and treat neuropsychiatric disorders. As it relates to infectious disease, we started offering COVID-19 testing through our iC test, and are in the midst of validating a respiratory pathogen test, iD, which is expected to cover a wider range of viruses such as Influenza, Respiratory Syncytial Virus, COVID-19, etc.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448"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we had approximately 33 sales executives in our Data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most instances, we bill Algos to third-party payers just like our other clinical tests. We expect reimbursement will be limited for most Algos at launch and may grow over time as we build additional evidence to support the clinical utility and benefit of each Algo. In addition, we work with pharmaceutical companies from time to time to deploy algorithms that they have developed or are interested in developing with us, typically collecting some amount of fees upfront and on a per test basis every time the algorithm is run.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Neogenomics, and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products primarily face competition from companies that help pharmaceutical and biotechnology companies acquire data to inform drug discovery and development. Our main competitors in this area are Flatiron Health, Inc., IQVIA Holdings Inc., ConcertAI, and others. Our Data products also face competition from CROs, such as Covance,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Algos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6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performed from January 1, 2020 through June 30, 2021. For the years ended December 31, 2020 and 2021, our average reimbursement for NGS tests billed to insurance in oncology was approximately $1,100. Our strategy to improve reimbursement is as follows:</w:t>
      </w:r>
    </w:p>
    <w:p>
      <w:pPr>
        <w:spacing w:after="0" w:line="89" w:lineRule="exact"/>
        <w:rPr>
          <w:sz w:val="20"/>
          <w:szCs w:val="20"/>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improve coverage, and the amount they currently pay, for tests, through a reconsideration request for our main assays (xT, xF) and through various appeals when coverage is denied.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new MAC, Palmetto, who will cover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toward FDA approval of our main solid tumor assay, xT, for which we filed a PMA in early 2021, and once approved, work with CMS to apply a national coverage determination that covers our assay.</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commercial payers to both get in network and get our assay approved and reimbursement at a higher rate than it currently is.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currently perform our laboratory tests, including our NGS and anatomic pathology tests in our clinical laboratories in Chicago and Atlanta. We intend to expand these capabilities with a new genomics lab in Raleigh, North Carolina, which we are currently operationalizing and from which we expect to begin offering commercial laboratory tests in 2022. Our Chicago and Atlanta laboratories are CAP-accredited and CLIA-certified, and licensed in other states including New York, California, Maryland, Pennsylvania, and Rhode Island.</w:t>
      </w:r>
    </w:p>
    <w:p>
      <w:pPr>
        <w:spacing w:after="0" w:line="46" w:lineRule="exact"/>
        <w:rPr>
          <w:sz w:val="20"/>
          <w:szCs w:val="20"/>
          <w:color w:val="auto"/>
        </w:rPr>
      </w:pPr>
    </w:p>
    <w:p>
      <w:pPr>
        <w:jc w:val="both"/>
        <w:ind w:firstLine="454"/>
        <w:spacing w:after="0" w:line="263" w:lineRule="auto"/>
        <w:rPr>
          <w:sz w:val="20"/>
          <w:szCs w:val="20"/>
          <w:color w:val="auto"/>
        </w:rPr>
      </w:pPr>
      <w:r>
        <w:rPr>
          <w:rFonts w:ascii="Times New Roman" w:cs="Times New Roman" w:eastAsia="Times New Roman" w:hAnsi="Times New Roman"/>
          <w:sz w:val="17"/>
          <w:szCs w:val="17"/>
          <w:color w:val="auto"/>
        </w:rPr>
        <w:t xml:space="preserve">The scale our laboratories have been able to achieve in the approximately 4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w:t>
      </w:r>
    </w:p>
    <w:p>
      <w:pPr>
        <w:spacing w:after="0" w:line="17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2021, our average turnaround time for our xT assays was 10 days, and our average turnaround time for xF was seven days.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 As an example of this, Tempus was able to stand up our COVID testing assays in both Atlanta and Chicago, obtain EUA approvals, make necessary modifications to our laboratory information systems and provide connectivity integrations to our largest customers (who were each running thousands of tests per day for a period of time) efficiently delivering results to them with turn around times and error rates that met or exceeded industry standards, during the peak of the pandemic in 2020 and early 2021.</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 with AstraZeneca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2026, unless terminated sooner.</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the warrant, AstraZeneca has the right to purchase up to $100 million in shares of our Class A common stock at an exercise price equal to the initial public offering price in this offering. The number of shares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39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00"/>
        </w:trPr>
        <w:tc>
          <w:tcPr>
            <w:tcW w:w="10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Class A common stock issuable upon exercise of the warrant will be determined based on the initial public offering price in this offering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w:t>
            </w:r>
          </w:p>
        </w:tc>
      </w:tr>
      <w:tr>
        <w:trPr>
          <w:trHeight w:val="22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assuming an initial public offering price of $</w:t>
            </w:r>
          </w:p>
        </w:tc>
        <w:tc>
          <w:tcPr>
            <w:tcW w:w="6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 range set forth on the cover page of</w:t>
            </w:r>
          </w:p>
        </w:tc>
      </w:tr>
    </w:tbl>
    <w:p>
      <w:pPr>
        <w:jc w:val="both"/>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 and implemented COVID-19 testing in May of 2020, and have run approximately 2.3 million tests in the last twelve months ended December 31, 2021.</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3"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145415</wp:posOffset>
            </wp:positionV>
            <wp:extent cx="7002780" cy="51517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02780" cy="515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relays information contained in our oncology reports and supporting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ectPr>
          <w:pgSz w:w="11900" w:h="16838" w:orient="portrait"/>
          <w:cols w:equalWidth="0" w:num="1">
            <w:col w:w="11340"/>
          </w:cols>
          <w:pgMar w:left="320" w:top="448"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176</w:t>
      </w:r>
    </w:p>
    <w:p>
      <w:pPr>
        <w:sectPr>
          <w:pgSz w:w="11900" w:h="16838" w:orient="portrait"/>
          <w:cols w:equalWidth="0" w:num="1">
            <w:col w:w="11340"/>
          </w:cols>
          <w:pgMar w:left="320" w:top="448" w:right="23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March 31, 2022, our patent portfolio included owned and in-licensed patents and patent applications, including 33 issued or allowed U.S. patents or pending applications and 71 pending U.S. non-provisional patent applications, 24 pending U.S. provisional patent applications, 28 pending Patent Cooperation Treaty (international) patent applications, and 8 issued foreign patents and 74 pending foreign patent applications. Our issued patents are expected to begin expiring in December 2029, assuming payment of all appropriate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renewal, annuity or other governmental fees. These patents and applications generally fall into four broad categories:</w:t>
      </w:r>
    </w:p>
    <w:p>
      <w:pPr>
        <w:spacing w:after="0" w:line="121" w:lineRule="exact"/>
        <w:rPr>
          <w:sz w:val="20"/>
          <w:szCs w:val="20"/>
          <w:color w:val="auto"/>
        </w:rPr>
      </w:pPr>
    </w:p>
    <w:p>
      <w:pPr>
        <w:ind w:left="1000" w:hanging="549"/>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 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 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5540" w:right="200" w:hanging="5089"/>
        <w:spacing w:after="0" w:line="435" w:lineRule="auto"/>
        <w:tabs>
          <w:tab w:leader="none" w:pos="99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“off-label” uses of cleared or approved products; 180</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apply for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89"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also will be required to report such information regarding their payments and other transfers of value to physician assistants,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nurse practitioners, clinical nurse specialists, anesthesiologist assistants, certified registered nurse anesthetists and certified nurse midwives during the previous year.</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is expected to take effect on January 1, 2023 and create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its Consumer Data Protection Act, and Colorado passed the Colorado Privacy act, both of which differ from the CPRA and become effective in 2023.</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It is also possible that additional governmental action will be taken in response to the COVID-19 pandemic.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Although we are a participating provider with a limited number of commercial payers, certain other large, national commercial payers, including Anthem, Aetna and Humana, have issued non-coverage policies that consider tissue and liquid comprehensive genomic profile testing, including certain of our Genomics tests, as experimental or investigational.</w:t>
      </w:r>
    </w:p>
    <w:p>
      <w:pPr>
        <w:spacing w:after="0" w:line="18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8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or the Local MAC, is the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16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jurisdiction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are in the process of assessing the impact of the LCD on any claims submitted after April 1, 2022, as well as monitoring any impact the LCD has on the claims currently in the appeal process.</w:t>
      </w:r>
    </w:p>
    <w:p>
      <w:pPr>
        <w:spacing w:after="0" w:line="187"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During the fourth quarter of 2021, we began receiving favorable results on outstanding level 2 claims that were adjudicated and have received payment on a subset of these claims as a result of the appeal process. As a result, beginning in the second quarter of 2021, we estimated the reimbursement rate for tests performed within our contractual allowances with a significantly reduced percent expected reimbursement for these tests, which is guided by the updated Local MAC guidance and appeal outcomes through year-end. As of December 31, 2021, Medicare claims represent 29% of our clinical testing volume.</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2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are currently operationalizing a new genomics lab in Raleigh, North Carolina.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2021, we had a total of 1,567 employees, of which 575 were technical and were engaged in product and engineering, and research and development. As of December 31, 2021, 830 employees were based at our headquarters in Chicago, Illinois, and 65 employees were based in Atlanta, Georgia. None of our employees are represented by a labor union or covered under a collective bargaining agreement, and we have never experienced a work stoppage. We consider our relationship with our employees to be positive.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December 31, 2021,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Administrative and Legal Officer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5"/>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Ghenchev</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Eric Lefkofsky </w:t>
      </w:r>
      <w:r>
        <w:rPr>
          <w:rFonts w:ascii="Times New Roman" w:cs="Times New Roman" w:eastAsia="Times New Roman" w:hAnsi="Times New Roman"/>
          <w:sz w:val="16"/>
          <w:szCs w:val="16"/>
          <w:color w:val="auto"/>
        </w:rPr>
        <w:t>is our Founder and has served as our Chief Executive Officer and a member of our board of directors since our inception. Before founding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Tempus, Mr. Lefkofsky co-founded Groupon, Inc. in 2008, where he held various roles, including Executive Chairman (through August 2013), Chief Executive Officer (August 2013 to November 2015), and Chairman of the board of directors (November 2015 to June 2020). He continues to serve as a member of Groupon’s board of directors. Mr. Lefkofsky also co-founded Lightbank LLC in 2008, a private venture capital firm specializing in investments in technology companies, and has served as its managing member since inception. Mr. Lefkofsky also co-founded InnerWorkings, Inc., Mediaocean, LLC, and Echo Global Logistics,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61" w:lineRule="exact"/>
        <w:rPr>
          <w:sz w:val="20"/>
          <w:szCs w:val="20"/>
          <w:color w:val="auto"/>
        </w:rPr>
      </w:pPr>
    </w:p>
    <w:p>
      <w:pPr>
        <w:jc w:val="both"/>
        <w:ind w:firstLine="454"/>
        <w:spacing w:after="0" w:line="30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Ryan Fukushima </w:t>
      </w:r>
      <w:r>
        <w:rPr>
          <w:rFonts w:ascii="Times New Roman" w:cs="Times New Roman" w:eastAsia="Times New Roman" w:hAnsi="Times New Roman"/>
          <w:sz w:val="16"/>
          <w:szCs w:val="16"/>
          <w:color w:val="auto"/>
        </w:rPr>
        <w:t>has served as our Chief Operating Officer since September 2015. Prior to joining us, Mr. Fukushima was an Entrepreneur-in-Residence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Vice President at Lightbank LLC, a private venture capital firm specializing in investments in technology companies, from February 2014 to September 2015. Mr. Fukushima holds a B.S. from California Polytechnic University and a M.B.A. from the Ross School of Business at the University of Michigan.</w:t>
      </w:r>
    </w:p>
    <w:p>
      <w:pPr>
        <w:spacing w:after="0" w:line="139"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boards of directors of Berkshire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Grey, Inc. since April 2016, Sprout Social, Inc. since February 2011 and Groupon since January 2008.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Insulet Corp since October 2020, Forma Therapeutics Holdings, Inc. since July 2020, and Humana Inc. since February 2020. He also serves on the boards of directors of privately held companies and charitable organizations. Dr. Frederick is the President of Howard University, having held this position since July 2014, and also serves as the Charles R. Drew Endowed Chair of Surgery at Howard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7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Senior Partner at Novo Holdings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Inc. which provides consulting services to Novo Holdings A/S. Since January 2018, Mr. Ghenchev has also served as Head of Novo Growth at Novo Holdings A/S. Prior to joining Novo Holdings, Mr. Ghenchev served as a Senior Vice President at Moelis &amp; Company in London where he focused on mergers and acquisitions within the healthcare industry, from April 2010 to January 2018. Mr. Ghenchev also serves on the boards of directors of a European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Special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the Capital One Arena in Washington, D.C.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37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We currently have nine directors.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5540" w:right="340" w:hanging="5089"/>
        <w:spacing w:after="0" w:line="435" w:lineRule="auto"/>
        <w:tabs>
          <w:tab w:leader="none" w:pos="99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 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and Nadja West. The chair of our compensation committee will be Mr. Barris. Our board of directors has determined that each of Mr. Barris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6"/>
          <w:szCs w:val="16"/>
          <w:color w:val="auto"/>
        </w:rPr>
        <w:t>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2021:</w:t>
      </w: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00" w:type="dxa"/>
            <w:vAlign w:val="bottom"/>
            <w:vMerge w:val="restart"/>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3"/>
                <w:szCs w:val="13"/>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360" w:type="dxa"/>
            <w:vAlign w:val="bottom"/>
            <w:tcBorders>
              <w:bottom w:val="single" w:sz="8" w:color="auto"/>
            </w:tcBorders>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4"/>
                <w:szCs w:val="14"/>
                <w:color w:val="auto"/>
              </w:rPr>
            </w:pPr>
          </w:p>
        </w:tc>
        <w:tc>
          <w:tcPr>
            <w:tcW w:w="800" w:type="dxa"/>
            <w:vAlign w:val="bottom"/>
          </w:tcPr>
          <w:p>
            <w:pPr>
              <w:jc w:val="right"/>
              <w:ind w:right="336"/>
              <w:spacing w:after="0"/>
              <w:rPr>
                <w:sz w:val="20"/>
                <w:szCs w:val="20"/>
                <w:color w:val="auto"/>
              </w:rPr>
            </w:pPr>
            <w:r>
              <w:rPr>
                <w:rFonts w:ascii="Times New Roman" w:cs="Times New Roman" w:eastAsia="Times New Roman" w:hAnsi="Times New Roman"/>
                <w:sz w:val="12"/>
                <w:szCs w:val="12"/>
                <w:b w:val="1"/>
                <w:bCs w:val="1"/>
                <w:color w:val="auto"/>
              </w:rPr>
              <w:t>(2)</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1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r>
              <w:rPr>
                <w:rFonts w:ascii="Times New Roman" w:cs="Times New Roman" w:eastAsia="Times New Roman" w:hAnsi="Times New Roman"/>
                <w:sz w:val="14"/>
                <w:szCs w:val="14"/>
                <w:color w:val="auto"/>
              </w:rPr>
              <w:t>(3)</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800,500</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875,500</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800,500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875,500</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2,376,500</w:t>
            </w: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2,476,500</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r>
              <w:rPr>
                <w:rFonts w:ascii="Times New Roman" w:cs="Times New Roman" w:eastAsia="Times New Roman" w:hAnsi="Times New Roman"/>
                <w:sz w:val="14"/>
                <w:szCs w:val="14"/>
                <w:color w:val="auto"/>
              </w:rPr>
              <w:t>(5)</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800,500</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jc w:val="both"/>
        <w:ind w:left="460" w:hanging="455"/>
        <w:spacing w:after="0" w:line="279" w:lineRule="auto"/>
        <w:tabs>
          <w:tab w:leader="none" w:pos="4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directors during 2021 under our 2015 Plan, computed in accordance with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Times New Roman" w:cs="Times New Roman" w:eastAsia="Times New Roman" w:hAnsi="Times New Roman"/>
          <w:sz w:val="16"/>
          <w:szCs w:val="16"/>
          <w:color w:val="auto"/>
        </w:rPr>
      </w:pPr>
    </w:p>
    <w:p>
      <w:pPr>
        <w:ind w:left="460" w:hanging="455"/>
        <w:spacing w:after="0" w:line="247"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aggregate number of shares underlying outstanding RSUs under our 2015 Plan held by each of our non-employee directors was as follows: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tcPr>
          <w:p>
            <w:pPr>
              <w:spacing w:after="0"/>
              <w:rPr>
                <w:sz w:val="16"/>
                <w:szCs w:val="16"/>
                <w:color w:val="auto"/>
              </w:rPr>
            </w:pPr>
          </w:p>
        </w:tc>
        <w:tc>
          <w:tcPr>
            <w:tcW w:w="3480" w:type="dxa"/>
            <w:vAlign w:val="bottom"/>
            <w:gridSpan w:val="3"/>
          </w:tcPr>
          <w:p>
            <w:pPr>
              <w:ind w:left="242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96"/>
        </w:trPr>
        <w:tc>
          <w:tcPr>
            <w:tcW w:w="4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420" w:type="dxa"/>
            <w:vAlign w:val="bottom"/>
          </w:tcPr>
          <w:p>
            <w:pPr>
              <w:spacing w:after="0"/>
              <w:rPr>
                <w:sz w:val="18"/>
                <w:szCs w:val="18"/>
                <w:color w:val="auto"/>
              </w:rPr>
            </w:pPr>
          </w:p>
        </w:tc>
        <w:tc>
          <w:tcPr>
            <w:tcW w:w="106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Jennifer A. Doudna</w:t>
            </w:r>
            <w:r>
              <w:rPr>
                <w:rFonts w:ascii="Times New Roman" w:cs="Times New Roman" w:eastAsia="Times New Roman" w:hAnsi="Times New Roman"/>
                <w:sz w:val="14"/>
                <w:szCs w:val="14"/>
                <w:color w:val="auto"/>
              </w:rPr>
              <w:t>(3)</w:t>
            </w:r>
          </w:p>
        </w:tc>
        <w:tc>
          <w:tcPr>
            <w:tcW w:w="2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25,000</w:t>
            </w:r>
            <w:r>
              <w:rPr>
                <w:rFonts w:ascii="Times New Roman" w:cs="Times New Roman" w:eastAsia="Times New Roman" w:hAnsi="Times New Roman"/>
                <w:sz w:val="14"/>
                <w:szCs w:val="14"/>
                <w:color w:val="auto"/>
              </w:rPr>
              <w:t>(b)</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Wayne A.I. Frederick</w:t>
            </w:r>
          </w:p>
        </w:tc>
        <w:tc>
          <w:tcPr>
            <w:tcW w:w="24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25,000</w:t>
            </w:r>
            <w:r>
              <w:rPr>
                <w:rFonts w:ascii="Times New Roman" w:cs="Times New Roman" w:eastAsia="Times New Roman" w:hAnsi="Times New Roman"/>
                <w:sz w:val="14"/>
                <w:szCs w:val="14"/>
                <w:color w:val="auto"/>
              </w:rPr>
              <w:t>(c)</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Scott Gottlieb</w:t>
            </w:r>
          </w:p>
        </w:tc>
        <w:tc>
          <w:tcPr>
            <w:tcW w:w="24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50,000</w:t>
            </w:r>
            <w:r>
              <w:rPr>
                <w:rFonts w:ascii="Times New Roman" w:cs="Times New Roman" w:eastAsia="Times New Roman" w:hAnsi="Times New Roman"/>
                <w:sz w:val="14"/>
                <w:szCs w:val="14"/>
                <w:color w:val="auto"/>
              </w:rPr>
              <w:t>(d)</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Nadja West</w:t>
            </w:r>
            <w:r>
              <w:rPr>
                <w:rFonts w:ascii="Times New Roman" w:cs="Times New Roman" w:eastAsia="Times New Roman" w:hAnsi="Times New Roman"/>
                <w:sz w:val="14"/>
                <w:szCs w:val="14"/>
                <w:color w:val="auto"/>
              </w:rPr>
              <w:t>(5)</w:t>
            </w:r>
          </w:p>
        </w:tc>
        <w:tc>
          <w:tcPr>
            <w:tcW w:w="242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25,000</w:t>
            </w:r>
            <w:r>
              <w:rPr>
                <w:rFonts w:ascii="Times New Roman" w:cs="Times New Roman" w:eastAsia="Times New Roman" w:hAnsi="Times New Roman"/>
                <w:sz w:val="14"/>
                <w:szCs w:val="14"/>
                <w:color w:val="auto"/>
              </w:rPr>
              <w:t>(b)</w:t>
            </w:r>
          </w:p>
        </w:tc>
      </w:tr>
    </w:tbl>
    <w:p>
      <w:pPr>
        <w:spacing w:after="0" w:line="82" w:lineRule="exact"/>
        <w:rPr>
          <w:sz w:val="20"/>
          <w:szCs w:val="20"/>
          <w:color w:val="auto"/>
        </w:rPr>
      </w:pPr>
    </w:p>
    <w:p>
      <w:pPr>
        <w:jc w:val="both"/>
        <w:ind w:left="460" w:hanging="455"/>
        <w:spacing w:after="0" w:line="285" w:lineRule="auto"/>
        <w:tabs>
          <w:tab w:leader="none" w:pos="4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of 100,000 shares of our Class A common stock, one fourth of which vest on September 7, 2018, and 1/16 of which vest quarterly thereafter, provided that the recipient remains in continuous service with us through each vesting date, and subject to the earlier to occur of</w:t>
      </w:r>
    </w:p>
    <w:p>
      <w:pPr>
        <w:spacing w:after="0" w:line="1"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 consummation of this offering and (ii) a change in control of our company.</w:t>
      </w:r>
    </w:p>
    <w:p>
      <w:pPr>
        <w:spacing w:after="0" w:line="3" w:lineRule="exact"/>
        <w:rPr>
          <w:rFonts w:ascii="Times New Roman" w:cs="Times New Roman" w:eastAsia="Times New Roman" w:hAnsi="Times New Roman"/>
          <w:sz w:val="16"/>
          <w:szCs w:val="16"/>
          <w:color w:val="auto"/>
        </w:rPr>
      </w:pPr>
    </w:p>
    <w:p>
      <w:pPr>
        <w:jc w:val="both"/>
        <w:ind w:left="460" w:hanging="455"/>
        <w:spacing w:after="0" w:line="243"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January 13, 2022,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October 13,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74" w:lineRule="auto"/>
        <w:tabs>
          <w:tab w:leader="none" w:pos="4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 RSUs, one fourth of which vest on July 1, 2019, and 1/16 of which vest quarterly thereafter, provided that the recipient remains in continuous service with us through each vesting date, and subject to the earlier to occur of (i) the consummation of this offering and (ii) a change in control</w:t>
      </w:r>
    </w:p>
    <w:p>
      <w:pPr>
        <w:ind w:left="460"/>
        <w:spacing w:after="0"/>
        <w:rPr>
          <w:sz w:val="20"/>
          <w:szCs w:val="20"/>
          <w:color w:val="auto"/>
        </w:rPr>
      </w:pPr>
      <w:r>
        <w:rPr>
          <w:rFonts w:ascii="Times New Roman" w:cs="Times New Roman" w:eastAsia="Times New Roman" w:hAnsi="Times New Roman"/>
          <w:sz w:val="18"/>
          <w:szCs w:val="18"/>
          <w:color w:val="auto"/>
        </w:rPr>
        <w:t>of our company.</w:t>
      </w:r>
    </w:p>
    <w:p>
      <w:pPr>
        <w:spacing w:after="0" w:line="3" w:lineRule="exact"/>
        <w:rPr>
          <w:sz w:val="20"/>
          <w:szCs w:val="20"/>
          <w:color w:val="auto"/>
        </w:rPr>
      </w:pPr>
    </w:p>
    <w:p>
      <w:pPr>
        <w:ind w:left="460" w:hanging="455"/>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Doudna joined our board of directors in April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Gottlieb joined our board of directors in October 2019, in connection with which he was entitled to an award of 50,000 RSUs, which were granted and approved by our board of directors in July 2021. The amount shown represents the aggregate grant date fair value of such RSUs as of July 2021.</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West joined our board of directors in April 2021.</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intend to adopt a non-employee director compensation policy in connection with this offering on terms to be determined by our board of directors. Under the non-employee director policy, our non-employee directors will be eligible to receive compensation for service on our board of directors and committees of our board of directors.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w:t>
      </w:r>
    </w:p>
    <w:p>
      <w:pPr>
        <w:spacing w:after="0" w:line="103" w:lineRule="exact"/>
        <w:rPr>
          <w:sz w:val="20"/>
          <w:szCs w:val="20"/>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for the years ended December 31, 2020 and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3"/>
                <w:szCs w:val="13"/>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Stock Awards</w:t>
            </w:r>
            <w:r>
              <w:rPr>
                <w:rFonts w:ascii="Times New Roman" w:cs="Times New Roman" w:eastAsia="Times New Roman" w:hAnsi="Times New Roman"/>
                <w:sz w:val="11"/>
                <w:szCs w:val="11"/>
                <w:b w:val="1"/>
                <w:bCs w:val="1"/>
                <w:color w:val="auto"/>
                <w:w w:val="99"/>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60" w:type="dxa"/>
            <w:vAlign w:val="bottom"/>
            <w:gridSpan w:val="3"/>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right"/>
              <w:ind w:right="546"/>
              <w:spacing w:after="0" w:line="156"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3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4"/>
              </w:rPr>
              <w:t>2021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$207,486,240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620" w:type="dxa"/>
            <w:vAlign w:val="bottom"/>
            <w:tcBorders>
              <w:top w:val="single" w:sz="8" w:color="CCEEFF"/>
            </w:tcBorders>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w w:val="91"/>
              </w:rPr>
              <w:t>(2)</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$207,488,340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66"/>
              <w:spacing w:after="0"/>
              <w:rPr>
                <w:sz w:val="20"/>
                <w:szCs w:val="20"/>
                <w:color w:val="auto"/>
              </w:rPr>
            </w:pPr>
            <w:r>
              <w:rPr>
                <w:rFonts w:ascii="Times New Roman" w:cs="Times New Roman" w:eastAsia="Times New Roman" w:hAnsi="Times New Roman"/>
                <w:sz w:val="18"/>
                <w:szCs w:val="18"/>
                <w:color w:val="auto"/>
              </w:rPr>
              <w:t>525</w:t>
            </w:r>
            <w:r>
              <w:rPr>
                <w:rFonts w:ascii="Times New Roman" w:cs="Times New Roman" w:eastAsia="Times New Roman" w:hAnsi="Times New Roman"/>
                <w:sz w:val="14"/>
                <w:szCs w:val="14"/>
                <w:color w:val="auto"/>
              </w:rPr>
              <w:t>(2)</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7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Rogers</w:t>
            </w:r>
            <w:r>
              <w:rPr>
                <w:rFonts w:ascii="Times New Roman" w:cs="Times New Roman" w:eastAsia="Times New Roman" w:hAnsi="Times New Roman"/>
                <w:sz w:val="14"/>
                <w:szCs w:val="14"/>
                <w:color w:val="auto"/>
              </w:rPr>
              <w:t>(3)</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335,188</w:t>
            </w:r>
            <w:r>
              <w:rPr>
                <w:rFonts w:ascii="Times New Roman" w:cs="Times New Roman" w:eastAsia="Times New Roman" w:hAnsi="Times New Roman"/>
                <w:sz w:val="14"/>
                <w:szCs w:val="14"/>
                <w:color w:val="auto"/>
                <w:w w:val="96"/>
              </w:rPr>
              <w:t>(4)</w:t>
            </w:r>
          </w:p>
        </w:tc>
        <w:tc>
          <w:tcPr>
            <w:tcW w:w="1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3,871,600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6"/>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14"/>
                <w:szCs w:val="14"/>
                <w:color w:val="auto"/>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4,208,888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7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r>
              <w:rPr>
                <w:rFonts w:ascii="Times New Roman" w:cs="Times New Roman" w:eastAsia="Times New Roman" w:hAnsi="Times New Roman"/>
                <w:sz w:val="14"/>
                <w:szCs w:val="14"/>
                <w:color w:val="auto"/>
              </w:rPr>
              <w:t>(5)</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422,396</w:t>
            </w:r>
          </w:p>
        </w:tc>
        <w:tc>
          <w:tcPr>
            <w:tcW w:w="3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5,134,070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6"/>
              <w:spacing w:after="0"/>
              <w:rPr>
                <w:sz w:val="20"/>
                <w:szCs w:val="20"/>
                <w:color w:val="auto"/>
              </w:rPr>
            </w:pPr>
            <w:r>
              <w:rPr>
                <w:rFonts w:ascii="Times New Roman" w:cs="Times New Roman" w:eastAsia="Times New Roman" w:hAnsi="Times New Roman"/>
                <w:sz w:val="18"/>
                <w:szCs w:val="18"/>
                <w:color w:val="auto"/>
              </w:rPr>
              <w:t>67,316</w:t>
            </w:r>
            <w:r>
              <w:rPr>
                <w:rFonts w:ascii="Times New Roman" w:cs="Times New Roman" w:eastAsia="Times New Roman" w:hAnsi="Times New Roman"/>
                <w:sz w:val="14"/>
                <w:szCs w:val="14"/>
                <w:color w:val="auto"/>
              </w:rPr>
              <w:t>(6)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5,623,782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918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39" w:lineRule="exact"/>
        <w:rPr>
          <w:sz w:val="20"/>
          <w:szCs w:val="20"/>
          <w:color w:val="auto"/>
        </w:rPr>
      </w:pPr>
    </w:p>
    <w:p>
      <w:pPr>
        <w:jc w:val="both"/>
        <w:ind w:left="460" w:hanging="455"/>
        <w:spacing w:after="0" w:line="248"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represents the aggregate grant date fair value of RSUs granted to our executive officer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pro-rated parking fees in the amount of $525 earned during 2020 and $2,100 earned during 2021, as applicable. Our office was closed for part of 2020 and 2021 due to the COVID-19 pandemic during which our named executive officers did not receive parking benefits.</w:t>
      </w: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was not one of our named executive officers for the year ended December 31, 2020.</w:t>
      </w:r>
    </w:p>
    <w:p>
      <w:pPr>
        <w:spacing w:after="0" w:line="3"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was appointed as our Chief Financial Officer in April 2021. The salary reported represents a pro-rata portion of his salary in 2021. His annualized base salary for 2021 was $450,000.</w:t>
      </w: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 was not one of our named executive officers for the year ended December 31, 2020.</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a housing stipend in the amount of $67,316, paid on a monthly basis in the amount of $7,980 per month.</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remain outstanding as of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1"/>
                <w:szCs w:val="11"/>
                <w:b w:val="1"/>
                <w:bCs w:val="1"/>
                <w:color w:val="auto"/>
              </w:rPr>
              <w:t>(1)</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tcPr>
          <w:p>
            <w:pPr>
              <w:jc w:val="center"/>
              <w:ind w:right="426"/>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426"/>
              <w:spacing w:after="0" w:line="145"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6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520" w:type="dxa"/>
            <w:vAlign w:val="bottom"/>
            <w:gridSpan w:val="2"/>
          </w:tcPr>
          <w:p>
            <w:pPr>
              <w:jc w:val="center"/>
              <w:ind w:right="406"/>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26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vMerge w:val="restart"/>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520" w:type="dxa"/>
            <w:vAlign w:val="bottom"/>
            <w:gridSpan w:val="2"/>
          </w:tcPr>
          <w:p>
            <w:pPr>
              <w:jc w:val="center"/>
              <w:ind w:right="426"/>
              <w:spacing w:after="0" w:line="145" w:lineRule="exact"/>
              <w:rPr>
                <w:sz w:val="20"/>
                <w:szCs w:val="20"/>
                <w:color w:val="auto"/>
              </w:rPr>
            </w:pPr>
            <w:r>
              <w:rPr>
                <w:rFonts w:ascii="Times New Roman" w:cs="Times New Roman" w:eastAsia="Times New Roman" w:hAnsi="Times New Roman"/>
                <w:sz w:val="14"/>
                <w:szCs w:val="14"/>
                <w:b w:val="1"/>
                <w:bCs w:val="1"/>
                <w:color w:val="auto"/>
                <w:w w:val="97"/>
              </w:rPr>
              <w:t>that Have Not</w:t>
            </w:r>
          </w:p>
        </w:tc>
        <w:tc>
          <w:tcPr>
            <w:tcW w:w="126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9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4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520" w:type="dxa"/>
            <w:vAlign w:val="bottom"/>
            <w:gridSpan w:val="2"/>
          </w:tcPr>
          <w:p>
            <w:pPr>
              <w:jc w:val="center"/>
              <w:ind w:right="426"/>
              <w:spacing w:after="0" w:line="156" w:lineRule="exact"/>
              <w:rPr>
                <w:sz w:val="20"/>
                <w:szCs w:val="20"/>
                <w:color w:val="auto"/>
              </w:rPr>
            </w:pPr>
            <w:r>
              <w:rPr>
                <w:rFonts w:ascii="Times New Roman" w:cs="Times New Roman" w:eastAsia="Times New Roman" w:hAnsi="Times New Roman"/>
                <w:sz w:val="14"/>
                <w:szCs w:val="14"/>
                <w:b w:val="1"/>
                <w:bCs w:val="1"/>
                <w:color w:val="auto"/>
                <w:w w:val="96"/>
              </w:rPr>
              <w:t>Vested (#)</w:t>
            </w:r>
          </w:p>
        </w:tc>
        <w:tc>
          <w:tcPr>
            <w:tcW w:w="126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2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500" w:type="dxa"/>
            <w:vAlign w:val="bottom"/>
            <w:tcBorders>
              <w:top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w w:val="79"/>
              </w:rPr>
              <w:t>(3)</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248,360,640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December 11, 2017</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52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14"/>
                <w:szCs w:val="14"/>
                <w:color w:val="auto"/>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52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26,000</w:t>
            </w:r>
            <w:r>
              <w:rPr>
                <w:rFonts w:ascii="Times New Roman" w:cs="Times New Roman" w:eastAsia="Times New Roman" w:hAnsi="Times New Roman"/>
                <w:sz w:val="14"/>
                <w:szCs w:val="14"/>
                <w:color w:val="auto"/>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52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14"/>
                <w:szCs w:val="14"/>
                <w:color w:val="auto"/>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15, 2020</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52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14"/>
                <w:szCs w:val="14"/>
                <w:color w:val="auto"/>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20,000</w:t>
            </w:r>
            <w:r>
              <w:rPr>
                <w:rFonts w:ascii="Times New Roman" w:cs="Times New Roman" w:eastAsia="Times New Roman" w:hAnsi="Times New Roman"/>
                <w:sz w:val="14"/>
                <w:szCs w:val="14"/>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52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14"/>
                <w:szCs w:val="14"/>
                <w:color w:val="auto"/>
              </w:rPr>
              <w:t>(5)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52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14"/>
                <w:szCs w:val="14"/>
                <w:color w:val="auto"/>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52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50,000</w:t>
            </w:r>
            <w:r>
              <w:rPr>
                <w:rFonts w:ascii="Times New Roman" w:cs="Times New Roman" w:eastAsia="Times New Roman" w:hAnsi="Times New Roman"/>
                <w:sz w:val="14"/>
                <w:szCs w:val="14"/>
                <w:color w:val="auto"/>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October 16,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52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14"/>
                <w:szCs w:val="14"/>
                <w:color w:val="auto"/>
              </w:rPr>
              <w:t>(6)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150,000</w:t>
            </w:r>
            <w:r>
              <w:rPr>
                <w:rFonts w:ascii="Times New Roman" w:cs="Times New Roman" w:eastAsia="Times New Roman" w:hAnsi="Times New Roman"/>
                <w:sz w:val="14"/>
                <w:szCs w:val="14"/>
                <w:color w:val="auto"/>
              </w:rPr>
              <w:t>(3)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3,500</w:t>
            </w:r>
            <w:r>
              <w:rPr>
                <w:rFonts w:ascii="Times New Roman" w:cs="Times New Roman" w:eastAsia="Times New Roman" w:hAnsi="Times New Roman"/>
                <w:sz w:val="14"/>
                <w:szCs w:val="14"/>
                <w:color w:val="auto"/>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ind w:left="460" w:hanging="455"/>
        <w:spacing w:after="0" w:line="25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or PSUs, as applicable, granted pursuant to our 2015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Plans—2015 Stock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$51.04 as of November 17, 2021 as determined by our board of directors, multiplied by the amount shown in the column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Number of Shares or Units of Stock that Have Not Vested.”</w:t>
      </w:r>
    </w:p>
    <w:p>
      <w:pPr>
        <w:jc w:val="both"/>
        <w:ind w:left="460" w:hanging="455"/>
        <w:spacing w:after="0" w:line="24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PSUs vest on the one-year anniversary of the vesting commencement date and 1/12 of the remaining PSUs vest quarterly thereafter, provided that the recipient remains in continuous service with us through each vesting date, and subject to the earlier to occur of (i) the consummation of this offering and (ii) a change in control of our company, which we refer to as a Liquidity Event. These PSUs shall only become settleable into our common stock if, on the date on which such Liquidity Event occurs, the valuation of our company equals or exceeds $6 billion, as determined by our board of directors in its sole discretion.</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8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2022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Plans—2022 Equity Incentive Plan.”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January 2022, we entered into revised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January 2022. Mr. Lefkofsky’s employment agreement provides for an annual base salary of $0,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the event of a Change in Control (as defined in our 2015 Plan), 100% of Mr. Lefkofsky’s then-unvested equity will immediately accelerate, vest and become exercisable.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2022. Mr. Rogers’ employment agreement provides for an annual base salary of $450,000,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 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2022. Mr. Fukushima’s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board of directors has adopted the 2022 Equity Incentive Plan, or the 2022 Plan, that will become effective on the date of the underwriting agreement related to this offering. Our 2022 Plan will come into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existence upon its adoption by our board of directors, but no grants will be made under our 2022 Plan prior to its effectiveness. Once our 2022 Plan becomes effective, no further grants will be made under our 2015 Plan.</w:t>
      </w:r>
    </w:p>
    <w:p>
      <w:pPr>
        <w:spacing w:after="0" w:line="16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2022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The maximum number of shares of our Class A common stock that may be issued under our 2022 Plan is 10,000,000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common stock. The number of shares of our Class A common stock reserved for issuance under our 2022 Plan will automatically increase on January 1 of each year, beginning on January 1, 2023, and continuing through and including January 1, 2032, by 3% of the aggregate number of shares of common stock (both Class A and Class B) outstanding on December 31 of the preceding calendar year, or a lesser number of shares determined by our board of directors prior to the applicable January 1. The maximum number of shares that may be issued upon the exercise of ISOs under our 2022 Plan is 30,000,000 shares.</w:t>
      </w:r>
    </w:p>
    <w:p>
      <w:pPr>
        <w:spacing w:after="0" w:line="15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2022 Plan will be authorized but unissued or reacquired shares of Class A common stock. Shares subject to awards granted under our 2022 Plan that expire or terminate without being exercised in full, or that are paid out in cash rather than in shares, will not reduce the number of shares available for issuance under our 2022 Plan. Additionally, shares issued pursuant to awards under our 2022 Plan that we repurchase or that are forfeited, as well as shares used to pay the exercise price of an award or to satisfy the tax withholding obligations to an award, will become available for future grant under our 2022 Plan.</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2022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2022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2022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2022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2022 Plan, the administrator also has the power to modify outstanding awards under our 2022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2022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2022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14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2022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2022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9"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2022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2022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2022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2022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2022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9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2022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2022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2022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2022 Plan. No awards may be granted under our 2022 Plan while it is suspended or after it is terminated.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1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2023 and continuing through and including January 1, 2032, by the lesser of (1) 2% of the aggregate number of shares of common stock (both Class A and Class B) outstanding on December 31 of the preceding calendar year, (2) 6,000,000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The implementation of the ESPP and the terms of the offerings thereunder, if any, will be in the discretion of the administrator. The administrator does not currently have any intention to make offerings available under the ESPP.</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February 2022.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December 31, 2021, there were 16,339,419 shares of common stock issuable upon the vesting and settlement of RSUs and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under the 2015 Plan, there were 4,250,000 shares of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1,098,364 shares of common stock were available for future issuance under the 2015 Plan. In February 2022, we increased the share reserve under the 2015 plan by 3,000,000 shares. On and after the effective date of the 2022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25,115,750 shares. The maximum number of shares of Class A common stock that may be issued pursuant to the exercise of ISOs under our 2015 Plan is 25,115,750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 ISOs and NSOs granted under the 2015 Plan are evidenced by award agreements established by our board of directors.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37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78" w:lineRule="exact"/>
        <w:rPr>
          <w:sz w:val="20"/>
          <w:szCs w:val="20"/>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also granted Performance-Vesting Restricted Stock Unit awards, or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2019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E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From August 2018 through April 2019, we sold an aggregate of 6,630,905 shares of our Series E convertible preferred stock at a price per share of $16.7428, for an aggregate purchase price of approximately $111.0 million in private placements to accredited investors. During this period, we issued a total of 7,517,209 shares of our Series E convertible preferred stock, of which 886,304 shares were repurchased from Tempus Series E Investments, LLC at the original issue price per share, for an aggregate repurchase price of approximately $14.8 million, in order to accommodate the issuance and sale of shares of our Series E convertible preferred stock to additional purchasers. The table below sets forth the number of shares of our Series E convertible preferred stock purchased by our executive officers, directors, holders of more than 5% of our capital stock and their affiliated entities or immediate family members. Each share of Series E convertible preferred stock will automatically convert into one share of our Class A common stock upon the closing of this offering. The holders of our Series E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E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New Enterprise Associates 16, L.P.</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358,362</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5,999,983.29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Revolution Growth III, LP</w:t>
            </w:r>
            <w:r>
              <w:rPr>
                <w:rFonts w:ascii="Times New Roman" w:cs="Times New Roman" w:eastAsia="Times New Roman" w:hAnsi="Times New Roman"/>
                <w:sz w:val="14"/>
                <w:szCs w:val="14"/>
                <w:color w:val="auto"/>
              </w:rPr>
              <w:t>(2)</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597,271</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9,999,988.90</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Tempus Series E Investments, LLC</w:t>
            </w:r>
            <w:r>
              <w:rPr>
                <w:rFonts w:ascii="Times New Roman" w:cs="Times New Roman" w:eastAsia="Times New Roman" w:hAnsi="Times New Roman"/>
                <w:sz w:val="14"/>
                <w:szCs w:val="14"/>
                <w:color w:val="auto"/>
              </w:rPr>
              <w:t>(3)</w:t>
            </w:r>
          </w:p>
        </w:tc>
        <w:tc>
          <w:tcPr>
            <w:tcW w:w="1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1,134,816</w:t>
            </w:r>
            <w:r>
              <w:rPr>
                <w:rFonts w:ascii="Times New Roman" w:cs="Times New Roman" w:eastAsia="Times New Roman" w:hAnsi="Times New Roman"/>
                <w:sz w:val="14"/>
                <w:szCs w:val="14"/>
                <w:color w:val="auto"/>
              </w:rPr>
              <w:t>(4)</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18,999,997.32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Theodore J. Leonsis, a member of our board of directors, is a founder and partner at Revolution Growth..</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E Investments,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E Investments, LLC purchased an aggregate of 1,134,816 shares of our Series E convertible preferred stock, of which 886,304 shares were repurchased by us in April 2019. See the section titled “—Repurchases of Equity Securities—Redemptions of Preferred Stock” below. As a result, Tempus Series E Investments, LLC currently owns 248,512 shares of our Series E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F Convertible Preferred Stock Financing</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April through July 2019, we sold an aggregate of 8,077,674 shares of our Series F convertible preferred stock at a price per share of $24.7596, for an aggregate purchase price of approximately $200.0 million in private placements to accredited investors. During this period, we issued a total of 8,677,006 shares of our Series F convertible preferred stock, of which an aggregate of 599,332 shares of our Series F convertible preferred stock were repurchased from Tempus Series F Investments, LLC in May and July 2019 at the original issue price per share, for an aggregate repurchase price of approximately $14.8 million, in order to accommodate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issuance and sale of shares of our Series F convertible preferred stock to additional purchasers. The table below sets forth the number of shares of our Series F convertible preferred stock purchased by our executive officers, directors, holders of more than 5% of our capital stock and their affiliated entities or immediate family members. Each share of Series F convertible preferred stock will automatically convert into one share of our Class A common stock upon the closing of this offering. The holders of our Series F convertible preferred stock listed below are entitled to specified registration rights. See the section titled “Description of Capital Stock—Registration Rights” for additional information regarding these registration rights.</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240" w:type="dxa"/>
            <w:vAlign w:val="bottom"/>
            <w:vMerge w:val="restart"/>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4"/>
              </w:rPr>
              <w:t>F Shares</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240" w:type="dxa"/>
            <w:vAlign w:val="bottom"/>
            <w:vMerge w:val="continue"/>
          </w:tcPr>
          <w:p>
            <w:pPr>
              <w:spacing w:after="0"/>
              <w:rPr>
                <w:sz w:val="20"/>
                <w:szCs w:val="20"/>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New Enterprise Associates 16, L.P.</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403,883</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9,999,981.53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Revolution Growth III, LP</w:t>
            </w:r>
            <w:r>
              <w:rPr>
                <w:rFonts w:ascii="Times New Roman" w:cs="Times New Roman" w:eastAsia="Times New Roman" w:hAnsi="Times New Roman"/>
                <w:sz w:val="14"/>
                <w:szCs w:val="14"/>
                <w:color w:val="auto"/>
              </w:rPr>
              <w:t>(2)</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201,941</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4,999,978.38</w:t>
            </w:r>
          </w:p>
        </w:tc>
        <w:tc>
          <w:tcPr>
            <w:tcW w:w="0" w:type="dxa"/>
            <w:vAlign w:val="bottom"/>
          </w:tcPr>
          <w:p>
            <w:pPr>
              <w:spacing w:after="0"/>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Tempus Series F Investments, LLC</w:t>
            </w:r>
            <w:r>
              <w:rPr>
                <w:rFonts w:ascii="Times New Roman" w:cs="Times New Roman" w:eastAsia="Times New Roman" w:hAnsi="Times New Roman"/>
                <w:sz w:val="14"/>
                <w:szCs w:val="14"/>
                <w:color w:val="auto"/>
              </w:rPr>
              <w:t>(3)</w:t>
            </w:r>
          </w:p>
        </w:tc>
        <w:tc>
          <w:tcPr>
            <w:tcW w:w="1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599,332</w:t>
            </w:r>
            <w:r>
              <w:rPr>
                <w:rFonts w:ascii="Times New Roman" w:cs="Times New Roman" w:eastAsia="Times New Roman" w:hAnsi="Times New Roman"/>
                <w:sz w:val="14"/>
                <w:szCs w:val="14"/>
                <w:color w:val="auto"/>
              </w:rPr>
              <w:t>(4)</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14,839,220.59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Theodore J. Leonsis, a member of our board of directors, is a founder and partner at Revolution Growth.</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F Investments,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91" w:lineRule="auto"/>
        <w:tabs>
          <w:tab w:leader="none" w:pos="4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Series F Investments, LLC purchased an aggregate of 599,332 shares of our Series F convertible preferred stock, of which 203,521 shares were repurchased by us in May 2019 and the remaining 395,811 shares were repurchased by us in July 2019. See the section titled “—Repurchases of Equity Securities—Redemptions of Preferred Stock” below. As a result, Tempus Series F Investments, LLC is no longer a stockholder of our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From February through April 2020, we sold an aggregate of 2,537,290 shares of our Series G convertible preferred stock at a price per share of $38.3524, for an aggregate purchase price of approximately $97.3 million in private placements to accredited investors. During this period, we issued a total of 2,667,660 shares of our Series G convertible preferred stock, of which 130,370 shares of our Series G convertible preferred stock were repurchased from Tempus Series G Investments, LLC at the original issue price per share, for an aggregate repurchase price of approximately $5.0 million, in order to accommodate the issuance and sale of shares of our Series G convertible preferred stock to an additional purchaser. The table below sets forth the number of shares of our Series G convertible preferred stock purchased by our executive officers, directors, holders of more than 5% of our capital stock and their affiliated entities or immediate family members. Each share of Series G convertible preferred stock will automatically convert into one share of our Class A common stock upon the closing of this offering. The holders of our Series G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240" w:type="dxa"/>
            <w:vAlign w:val="bottom"/>
            <w:vMerge w:val="restart"/>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G Shares</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240" w:type="dxa"/>
            <w:vAlign w:val="bottom"/>
            <w:vMerge w:val="continue"/>
          </w:tcPr>
          <w:p>
            <w:pPr>
              <w:spacing w:after="0"/>
              <w:rPr>
                <w:sz w:val="20"/>
                <w:szCs w:val="20"/>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Innovation Group Investors, L.P. – 2011 Series</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130,370</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5,000,000.63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Enterprise Associates 16, L.P.</w:t>
            </w:r>
            <w:r>
              <w:rPr>
                <w:rFonts w:ascii="Times New Roman" w:cs="Times New Roman" w:eastAsia="Times New Roman" w:hAnsi="Times New Roman"/>
                <w:sz w:val="14"/>
                <w:szCs w:val="14"/>
                <w:color w:val="auto"/>
              </w:rPr>
              <w:t>(2)</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182,517</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6,999,962.52</w:t>
            </w:r>
          </w:p>
        </w:tc>
        <w:tc>
          <w:tcPr>
            <w:tcW w:w="0" w:type="dxa"/>
            <w:vAlign w:val="bottom"/>
          </w:tcPr>
          <w:p>
            <w:pPr>
              <w:spacing w:after="0"/>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Novo Holdings A/S </w:t>
            </w:r>
            <w:r>
              <w:rPr>
                <w:rFonts w:ascii="Times New Roman" w:cs="Times New Roman" w:eastAsia="Times New Roman" w:hAnsi="Times New Roman"/>
                <w:sz w:val="14"/>
                <w:szCs w:val="14"/>
                <w:color w:val="auto"/>
              </w:rPr>
              <w:t>(3)</w:t>
            </w:r>
          </w:p>
        </w:tc>
        <w:tc>
          <w:tcPr>
            <w:tcW w:w="1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260,739</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9,999,962.90</w:t>
            </w:r>
          </w:p>
        </w:tc>
        <w:tc>
          <w:tcPr>
            <w:tcW w:w="0" w:type="dxa"/>
            <w:vAlign w:val="bottom"/>
          </w:tcPr>
          <w:p>
            <w:pPr>
              <w:spacing w:after="0"/>
              <w:rPr>
                <w:sz w:val="1"/>
                <w:szCs w:val="1"/>
                <w:color w:val="auto"/>
              </w:rPr>
            </w:pPr>
          </w:p>
        </w:tc>
      </w:tr>
      <w:tr>
        <w:trPr>
          <w:trHeight w:val="22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Tempus Series G Investments, LLC</w:t>
            </w:r>
            <w:r>
              <w:rPr>
                <w:rFonts w:ascii="Times New Roman" w:cs="Times New Roman" w:eastAsia="Times New Roman" w:hAnsi="Times New Roman"/>
                <w:sz w:val="14"/>
                <w:szCs w:val="14"/>
                <w:color w:val="auto"/>
              </w:rPr>
              <w:t>(1)</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451,378</w:t>
            </w:r>
            <w:r>
              <w:rPr>
                <w:rFonts w:ascii="Times New Roman" w:cs="Times New Roman" w:eastAsia="Times New Roman" w:hAnsi="Times New Roman"/>
                <w:sz w:val="14"/>
                <w:szCs w:val="14"/>
                <w:color w:val="auto"/>
              </w:rPr>
              <w:t>(4)</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17,311,426.08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918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28" w:lineRule="exact"/>
        <w:rPr>
          <w:sz w:val="20"/>
          <w:szCs w:val="20"/>
          <w:color w:val="auto"/>
        </w:rPr>
      </w:pPr>
    </w:p>
    <w:p>
      <w:pPr>
        <w:ind w:left="460" w:hanging="455"/>
        <w:spacing w:after="0" w:line="253"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Innovation Group Investors, L.P. – 2011 Series and Tempus Series G Investments, LLC is affiliated with and controlled by Eric Lefkofsky, our Chief Executive Officer, Founder and Chairman.</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G Investments, LLC purchased an aggregate of 451,378 shares of our Series G convertible preferred stock, of which 130,370 shares were repurchased by us in April 2020. See the section titled “—Repurchases of Equity Securities—Redemptions of Preferred Stock” below. As a result, Tempus Series G Investments, LLC currently owns 321,008 shares of our Series G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5"/>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Novo Holdings A/S</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ind w:left="720"/>
              <w:spacing w:after="0" w:line="196" w:lineRule="exact"/>
              <w:rPr>
                <w:sz w:val="20"/>
                <w:szCs w:val="20"/>
                <w:color w:val="auto"/>
              </w:rPr>
            </w:pPr>
            <w:r>
              <w:rPr>
                <w:rFonts w:ascii="Times New Roman" w:cs="Times New Roman" w:eastAsia="Times New Roman" w:hAnsi="Times New Roman"/>
                <w:sz w:val="18"/>
                <w:szCs w:val="18"/>
                <w:color w:val="auto"/>
                <w:w w:val="95"/>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Media, LLC</w:t>
            </w:r>
            <w:r>
              <w:rPr>
                <w:rFonts w:ascii="Times New Roman" w:cs="Times New Roman" w:eastAsia="Times New Roman" w:hAnsi="Times New Roman"/>
                <w:sz w:val="14"/>
                <w:szCs w:val="14"/>
                <w:color w:val="auto"/>
              </w:rPr>
              <w:t>(2)</w:t>
            </w:r>
          </w:p>
        </w:tc>
        <w:tc>
          <w:tcPr>
            <w:tcW w:w="1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130,876</w:t>
            </w:r>
            <w:r>
              <w:rPr>
                <w:rFonts w:ascii="Times New Roman" w:cs="Times New Roman" w:eastAsia="Times New Roman" w:hAnsi="Times New Roman"/>
                <w:sz w:val="14"/>
                <w:szCs w:val="14"/>
                <w:color w:val="auto"/>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April 2022, we sold an aggregate of 1,483,242 shares of our Series G-3 convertible preferred stock at a price per share of $57.3069 for an aggregate purchase price of approximately $85.0 million in private placements to accredited investors. As of the date hereof we have received $68.5 million of the committed $85.0 million, with the remainder committed from one additional investor, which is due by April 29, 2022. As part of the Series G-3 Financing, we may sell up to an additional 2,006,739 shares of Series G-3 preferred stock within sixty days from April 18, 2022.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 after June 30, 2023, 85% of the public offering price in this offering). The holders of our G-3 convertible preferred stock listed below are entitled to specified registration rights. See the section titled “Description of Capital Stock—Registration Rights” for additional information regarding these registration rights.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95"/>
        </w:trPr>
        <w:tc>
          <w:tcPr>
            <w:tcW w:w="70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8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00" w:type="dxa"/>
            <w:vAlign w:val="bottom"/>
            <w:vMerge w:val="restart"/>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48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5300" w:type="dxa"/>
            <w:vAlign w:val="bottom"/>
            <w:vMerge w:val="continue"/>
          </w:tcPr>
          <w:p>
            <w:pPr>
              <w:spacing w:after="0"/>
              <w:rPr>
                <w:sz w:val="20"/>
                <w:szCs w:val="20"/>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80" w:type="dxa"/>
            <w:vAlign w:val="bottom"/>
          </w:tcPr>
          <w:p>
            <w:pPr>
              <w:spacing w:after="0"/>
              <w:rPr>
                <w:sz w:val="20"/>
                <w:szCs w:val="20"/>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2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Blue Media, LLC</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61,074</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3,499,961.61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$1.0 million remains to be amortized. We currently sublease a portion of this office space to Lightbank LLC, Lefkofsky Family Foundation and 346 Investment Partners, each an entity affiliated with and controlled by Mr. Lefkofsky, on a month-to-month basis. As of December 31, 2021, we have received an aggregate of $0.2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December 31, 2021,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August 2021, we entered into a master agreement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3"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written notice to the other party. In March 2022, Pathos paid us its first annual subscription fee of $0.4 million. As of the date of this prospectus, we have not exercised the warrant to purchase shares of Pathos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will run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will provide services to help Pathos use our de-identified data to answer research and development questions posed by Pathos. Under the program, we will initially provide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will increase proportionally.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6"/>
          <w:szCs w:val="16"/>
          <w:b w:val="1"/>
          <w:bCs w:val="1"/>
          <w:color w:val="auto"/>
        </w:rPr>
        <w:t>Repurchases of Equity Securities</w:t>
      </w:r>
    </w:p>
    <w:p>
      <w:pPr>
        <w:spacing w:after="0" w:line="129"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RSUs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In September 2019, we entered into a redemption agreement with Ryan Fukushima, our Chief Operating Officer. Pursuant to the redemption agreement, we repurchased 100,000 vested RSUs from Mr. Fukushima at a purchase price of $9.64 per RSU, for an aggregate repurchase price of approximately $1.0 million.</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we repurchased an aggregate of 190,639 shares of voting common stock from the Lefkofsky Family Foundation, an organization affiliated with Eric Lefkofsky, for a total purchase price of approximately $7.3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from April 2019 to January 2021, we repurchased an aggregate of 3,493,205 shares of various series of convertible preferred stock from entities affiliated with and controlled by Eric Lefkofsky at the original issue price for a total purchase price of approximately $56.5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December 31, 2021 by:</w:t>
      </w:r>
    </w:p>
    <w:p>
      <w:pPr>
        <w:spacing w:after="0" w:line="121" w:lineRule="exact"/>
        <w:rPr>
          <w:sz w:val="20"/>
          <w:szCs w:val="20"/>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shares of Class A common stock and 5,374,899 shares of Class B common stock outstanding as of December 31, 2021, after giving effect to the Series G-3 Financing and assuming the automatic conversion of all outstanding shares of</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redeemable convertible preferred stock, other than our Series B preferred stock, into shares of Class A common stock, assuming an initial public offering price of $ per share, the midpoint of the estimated price range set forth on the cover page of this prospectus, the issuance of Additional</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Class A Conversion Shares assuming an initial public offering price of $ per share, the midpoint of the estimated price range set forth on the cover page of this prospectus, the conversion of all outstanding shares of our Series B convertible preferred stock into 5,374,899 shares of Class B common stock, and the automatic conversion of all outstanding shares of our nonvoting common stock into 4,612,450 shares of Class A common stock, each of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Applicable percentage ownership after this offering assumes that the underwriters’ option to purchase additional shares to cover over-allotments, if any,</w:t>
      </w:r>
    </w:p>
    <w:p>
      <w:pPr>
        <w:spacing w:after="0" w:line="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from the selling stockholders is not exercised is based on (1) shares of Class A common stock and (2) 5,374,899 shares of Class B common stock outstanding immediately after the closing of this offering. Applicable percentage ownership after this offering if the underwriters’ option to purchase additional</w:t>
      </w:r>
    </w:p>
    <w:p>
      <w:pPr>
        <w:jc w:val="both"/>
        <w:spacing w:after="0" w:line="244" w:lineRule="auto"/>
        <w:rPr>
          <w:sz w:val="20"/>
          <w:szCs w:val="20"/>
          <w:color w:val="auto"/>
        </w:rPr>
      </w:pPr>
      <w:r>
        <w:rPr>
          <w:rFonts w:ascii="Times New Roman" w:cs="Times New Roman" w:eastAsia="Times New Roman" w:hAnsi="Times New Roman"/>
          <w:sz w:val="18"/>
          <w:szCs w:val="18"/>
          <w:color w:val="auto"/>
        </w:rPr>
        <w:t>shares to cover over-allotments, if any, from the selling stockholders is exercised in full is based on (1) shares of Class A common stock and (2) 5,374,899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December 31, 2021. However, except as described above, we did not deem such shares outstanding for the purpose of computing the percentage ownership of any other person.</w:t>
      </w:r>
    </w:p>
    <w:p>
      <w:pPr>
        <w:spacing w:after="0" w:line="19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Labs, Inc., 600 West Chicago Avenue, Suite 510 Chicago, Illinois 60654.</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ectPr>
          <w:pgSz w:w="11900" w:h="16838" w:orient="portrait"/>
          <w:cols w:equalWidth="0" w:num="1">
            <w:col w:w="11340"/>
          </w:cols>
          <w:pgMar w:left="320" w:top="448" w:right="239" w:bottom="1440" w:gutter="0" w:footer="0" w:header="0"/>
        </w:sectPr>
      </w:pP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272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Beneficial Ownership</w:t>
            </w:r>
          </w:p>
        </w:tc>
        <w:tc>
          <w:tcPr>
            <w:tcW w:w="1860" w:type="dxa"/>
            <w:vAlign w:val="bottom"/>
            <w:gridSpan w:val="4"/>
          </w:tcPr>
          <w:p>
            <w:pPr>
              <w:jc w:val="center"/>
              <w:ind w:left="570"/>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2720" w:type="dxa"/>
            <w:vAlign w:val="bottom"/>
            <w:gridSpan w:val="6"/>
            <w:vMerge w:val="continue"/>
          </w:tcPr>
          <w:p>
            <w:pPr>
              <w:spacing w:after="0"/>
              <w:rPr>
                <w:sz w:val="12"/>
                <w:szCs w:val="12"/>
                <w:color w:val="auto"/>
              </w:rPr>
            </w:pPr>
          </w:p>
        </w:tc>
        <w:tc>
          <w:tcPr>
            <w:tcW w:w="252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 Not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6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5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 the Offering</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660" w:type="dxa"/>
            <w:vAlign w:val="bottom"/>
            <w:tcBorders>
              <w:bottom w:val="single" w:sz="8" w:color="auto"/>
            </w:tcBorders>
          </w:tcPr>
          <w:p>
            <w:pPr>
              <w:spacing w:after="0"/>
              <w:rPr>
                <w:sz w:val="14"/>
                <w:szCs w:val="14"/>
                <w:color w:val="auto"/>
              </w:rPr>
            </w:pPr>
          </w:p>
        </w:tc>
        <w:tc>
          <w:tcPr>
            <w:tcW w:w="900" w:type="dxa"/>
            <w:vAlign w:val="bottom"/>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9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900" w:type="dxa"/>
            <w:vAlign w:val="bottom"/>
          </w:tcPr>
          <w:p>
            <w:pPr>
              <w:jc w:val="center"/>
              <w:ind w:left="132"/>
              <w:spacing w:after="0" w:line="125"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9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00" w:type="dxa"/>
            <w:vAlign w:val="bottom"/>
          </w:tcPr>
          <w:p>
            <w:pPr>
              <w:jc w:val="center"/>
              <w:ind w:left="132"/>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0" w:type="dxa"/>
            <w:vAlign w:val="bottom"/>
          </w:tcPr>
          <w:p>
            <w:pPr>
              <w:spacing w:after="0"/>
              <w:rPr>
                <w:sz w:val="1"/>
                <w:szCs w:val="1"/>
                <w:color w:val="auto"/>
              </w:rPr>
            </w:pPr>
          </w:p>
        </w:tc>
      </w:tr>
      <w:tr>
        <w:trPr>
          <w:trHeight w:val="158"/>
        </w:trPr>
        <w:tc>
          <w:tcPr>
            <w:tcW w:w="1860" w:type="dxa"/>
            <w:vAlign w:val="bottom"/>
            <w:vMerge w:val="restart"/>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w w:val="99"/>
              </w:rPr>
              <w:t>Name of Beneficial</w:t>
            </w: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86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900" w:type="dxa"/>
            <w:vAlign w:val="bottom"/>
          </w:tcPr>
          <w:p>
            <w:pPr>
              <w:jc w:val="center"/>
              <w:ind w:left="132"/>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0" w:type="dxa"/>
            <w:vAlign w:val="bottom"/>
          </w:tcPr>
          <w:p>
            <w:pPr>
              <w:spacing w:after="0"/>
              <w:rPr>
                <w:sz w:val="1"/>
                <w:szCs w:val="1"/>
                <w:color w:val="auto"/>
              </w:rPr>
            </w:pPr>
          </w:p>
        </w:tc>
      </w:tr>
      <w:tr>
        <w:trPr>
          <w:trHeight w:val="111"/>
        </w:trPr>
        <w:tc>
          <w:tcPr>
            <w:tcW w:w="1860" w:type="dxa"/>
            <w:vAlign w:val="bottom"/>
            <w:vMerge w:val="continue"/>
          </w:tcPr>
          <w:p>
            <w:pPr>
              <w:spacing w:after="0"/>
              <w:rPr>
                <w:sz w:val="9"/>
                <w:szCs w:val="9"/>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86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Before the</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66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900" w:type="dxa"/>
            <w:vAlign w:val="bottom"/>
          </w:tcPr>
          <w:p>
            <w:pPr>
              <w:jc w:val="center"/>
              <w:ind w:left="132"/>
              <w:spacing w:after="0" w:line="111" w:lineRule="exact"/>
              <w:rPr>
                <w:sz w:val="20"/>
                <w:szCs w:val="20"/>
                <w:color w:val="auto"/>
              </w:rPr>
            </w:pPr>
            <w:r>
              <w:rPr>
                <w:rFonts w:ascii="Times New Roman" w:cs="Times New Roman" w:eastAsia="Times New Roman" w:hAnsi="Times New Roman"/>
                <w:sz w:val="12"/>
                <w:szCs w:val="12"/>
                <w:b w:val="1"/>
                <w:bCs w:val="1"/>
                <w:color w:val="auto"/>
              </w:rPr>
              <w:t>Stock Being</w:t>
            </w:r>
          </w:p>
        </w:tc>
        <w:tc>
          <w:tcPr>
            <w:tcW w:w="0" w:type="dxa"/>
            <w:vAlign w:val="bottom"/>
          </w:tcPr>
          <w:p>
            <w:pPr>
              <w:spacing w:after="0"/>
              <w:rPr>
                <w:sz w:val="1"/>
                <w:szCs w:val="1"/>
                <w:color w:val="auto"/>
              </w:rPr>
            </w:pPr>
          </w:p>
        </w:tc>
      </w:tr>
      <w:tr>
        <w:trPr>
          <w:trHeight w:val="177"/>
        </w:trPr>
        <w:tc>
          <w:tcPr>
            <w:tcW w:w="1860" w:type="dxa"/>
            <w:vAlign w:val="bottom"/>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w w:val="96"/>
              </w:rPr>
              <w:t>Owner</w:t>
            </w: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900" w:type="dxa"/>
            <w:vAlign w:val="bottom"/>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97725" cy="1003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7725" cy="10033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15" w:lineRule="auto"/>
        <w:rPr>
          <w:sz w:val="20"/>
          <w:szCs w:val="20"/>
          <w:color w:val="auto"/>
        </w:rPr>
      </w:pPr>
      <w:r>
        <w:rPr>
          <w:rFonts w:ascii="Times New Roman" w:cs="Times New Roman" w:eastAsia="Times New Roman" w:hAnsi="Times New Roman"/>
          <w:sz w:val="14"/>
          <w:szCs w:val="14"/>
          <w:color w:val="auto"/>
        </w:rPr>
        <w:t>Eric Lefkofsky</w:t>
      </w:r>
      <w:r>
        <w:rPr>
          <w:rFonts w:ascii="Times New Roman" w:cs="Times New Roman" w:eastAsia="Times New Roman" w:hAnsi="Times New Roman"/>
          <w:sz w:val="11"/>
          <w:szCs w:val="11"/>
          <w:color w:val="auto"/>
        </w:rPr>
        <w:t>(1)</w:t>
      </w:r>
    </w:p>
    <w:p>
      <w:pPr>
        <w:spacing w:after="0" w:line="215" w:lineRule="auto"/>
        <w:rPr>
          <w:sz w:val="20"/>
          <w:szCs w:val="20"/>
          <w:color w:val="auto"/>
        </w:rPr>
      </w:pPr>
      <w:r>
        <w:rPr>
          <w:rFonts w:ascii="Times New Roman" w:cs="Times New Roman" w:eastAsia="Times New Roman" w:hAnsi="Times New Roman"/>
          <w:sz w:val="14"/>
          <w:szCs w:val="14"/>
          <w:color w:val="auto"/>
        </w:rPr>
        <w:t>Keeks, LLC</w:t>
      </w: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97725" cy="914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b w:val="1"/>
          <w:bCs w:val="1"/>
          <w:color w:val="auto"/>
        </w:rPr>
        <w:t>Other Directors and Named</w:t>
      </w:r>
    </w:p>
    <w:p>
      <w:pPr>
        <w:ind w:left="140"/>
        <w:spacing w:after="0" w:line="215" w:lineRule="auto"/>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215" w:lineRule="auto"/>
        <w:rPr>
          <w:sz w:val="20"/>
          <w:szCs w:val="20"/>
          <w:color w:val="auto"/>
        </w:rPr>
      </w:pPr>
      <w:r>
        <w:rPr>
          <w:rFonts w:ascii="Times New Roman" w:cs="Times New Roman" w:eastAsia="Times New Roman" w:hAnsi="Times New Roman"/>
          <w:sz w:val="14"/>
          <w:szCs w:val="14"/>
          <w:color w:val="auto"/>
        </w:rPr>
        <w:t>Erik Phelps</w:t>
      </w: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97725" cy="914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color w:val="auto"/>
        </w:rPr>
        <w:t>Vanessa Rollings</w:t>
      </w:r>
      <w:r>
        <w:rPr>
          <w:rFonts w:ascii="Times New Roman" w:cs="Times New Roman" w:eastAsia="Times New Roman" w:hAnsi="Times New Roman"/>
          <w:sz w:val="11"/>
          <w:szCs w:val="11"/>
          <w:color w:val="auto"/>
        </w:rPr>
        <w:t>(4)</w:t>
      </w:r>
    </w:p>
    <w:p>
      <w:pPr>
        <w:spacing w:after="0" w:line="215" w:lineRule="auto"/>
        <w:rPr>
          <w:sz w:val="20"/>
          <w:szCs w:val="20"/>
          <w:color w:val="auto"/>
        </w:rPr>
      </w:pPr>
      <w:r>
        <w:rPr>
          <w:rFonts w:ascii="Times New Roman" w:cs="Times New Roman" w:eastAsia="Times New Roman" w:hAnsi="Times New Roman"/>
          <w:sz w:val="14"/>
          <w:szCs w:val="14"/>
          <w:color w:val="auto"/>
        </w:rPr>
        <w:t>Peter J. Barris</w:t>
      </w: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914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4"/>
          <w:szCs w:val="14"/>
          <w:color w:val="auto"/>
        </w:rPr>
        <w:t>Eric D. Belcher</w:t>
      </w:r>
    </w:p>
    <w:p>
      <w:pPr>
        <w:spacing w:after="0" w:line="215" w:lineRule="auto"/>
        <w:rPr>
          <w:sz w:val="20"/>
          <w:szCs w:val="20"/>
          <w:color w:val="auto"/>
        </w:rPr>
      </w:pPr>
      <w:r>
        <w:rPr>
          <w:rFonts w:ascii="Times New Roman" w:cs="Times New Roman" w:eastAsia="Times New Roman" w:hAnsi="Times New Roman"/>
          <w:sz w:val="14"/>
          <w:szCs w:val="14"/>
          <w:color w:val="auto"/>
        </w:rPr>
        <w:t>Jennifer A. Doudna, Ph.D.</w:t>
      </w: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97725" cy="914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color w:val="auto"/>
        </w:rPr>
        <w:t>Wayne A.I. Frederick, M.D.</w:t>
      </w:r>
      <w:r>
        <w:rPr>
          <w:rFonts w:ascii="Times New Roman" w:cs="Times New Roman" w:eastAsia="Times New Roman" w:hAnsi="Times New Roman"/>
          <w:sz w:val="11"/>
          <w:szCs w:val="11"/>
          <w:color w:val="auto"/>
        </w:rPr>
        <w:t>(7)</w:t>
      </w:r>
    </w:p>
    <w:p>
      <w:pPr>
        <w:spacing w:after="0" w:line="215" w:lineRule="auto"/>
        <w:rPr>
          <w:sz w:val="20"/>
          <w:szCs w:val="20"/>
          <w:color w:val="auto"/>
        </w:rPr>
      </w:pPr>
      <w:r>
        <w:rPr>
          <w:rFonts w:ascii="Times New Roman" w:cs="Times New Roman" w:eastAsia="Times New Roman" w:hAnsi="Times New Roman"/>
          <w:sz w:val="14"/>
          <w:szCs w:val="14"/>
          <w:color w:val="auto"/>
        </w:rPr>
        <w:t>Robert Ghenchev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914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4"/>
          <w:szCs w:val="14"/>
          <w:color w:val="auto"/>
        </w:rPr>
        <w:t>Scott Gottlieb, M.D.</w:t>
      </w:r>
      <w:r>
        <w:rPr>
          <w:rFonts w:ascii="Times New Roman" w:cs="Times New Roman" w:eastAsia="Times New Roman" w:hAnsi="Times New Roman"/>
          <w:sz w:val="11"/>
          <w:szCs w:val="11"/>
          <w:color w:val="auto"/>
        </w:rPr>
        <w:t>(8)</w:t>
      </w:r>
    </w:p>
    <w:p>
      <w:pPr>
        <w:spacing w:after="0" w:line="216" w:lineRule="auto"/>
        <w:rPr>
          <w:sz w:val="20"/>
          <w:szCs w:val="20"/>
          <w:color w:val="auto"/>
        </w:rPr>
      </w:pPr>
      <w:r>
        <w:rPr>
          <w:rFonts w:ascii="Times New Roman" w:cs="Times New Roman" w:eastAsia="Times New Roman" w:hAnsi="Times New Roman"/>
          <w:sz w:val="14"/>
          <w:szCs w:val="14"/>
          <w:color w:val="auto"/>
        </w:rPr>
        <w:t>Theodore J. Leonsis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914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Nadja West, M.D.</w:t>
      </w:r>
      <w:r>
        <w:rPr>
          <w:rFonts w:ascii="Times New Roman" w:cs="Times New Roman" w:eastAsia="Times New Roman" w:hAnsi="Times New Roman"/>
          <w:sz w:val="11"/>
          <w:szCs w:val="11"/>
          <w:color w:val="auto"/>
        </w:rPr>
        <w:t>(9)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directors and executive officers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1835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7725" cy="183515"/>
                    </a:xfrm>
                    <a:prstGeom prst="rect">
                      <a:avLst/>
                    </a:prstGeom>
                    <a:noFill/>
                  </pic:spPr>
                </pic:pic>
              </a:graphicData>
            </a:graphic>
          </wp:anchor>
        </w:drawing>
      </w:r>
    </w:p>
    <w:p>
      <w:pPr>
        <w:ind w:left="140"/>
        <w:spacing w:after="0" w:line="215" w:lineRule="auto"/>
        <w:rPr>
          <w:sz w:val="20"/>
          <w:szCs w:val="20"/>
          <w:color w:val="auto"/>
        </w:rPr>
      </w:pPr>
      <w:r>
        <w:rPr>
          <w:rFonts w:ascii="Times New Roman" w:cs="Times New Roman" w:eastAsia="Times New Roman" w:hAnsi="Times New Roman"/>
          <w:sz w:val="14"/>
          <w:szCs w:val="14"/>
          <w:color w:val="auto"/>
        </w:rPr>
        <w:t>group (12 persons)</w:t>
      </w:r>
      <w:r>
        <w:rPr>
          <w:rFonts w:ascii="Times New Roman" w:cs="Times New Roman" w:eastAsia="Times New Roman" w:hAnsi="Times New Roman"/>
          <w:sz w:val="11"/>
          <w:szCs w:val="11"/>
          <w:color w:val="auto"/>
        </w:rPr>
        <w:t>(10)</w:t>
      </w:r>
    </w:p>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918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4" w:lineRule="exact"/>
        <w:rPr>
          <w:sz w:val="20"/>
          <w:szCs w:val="20"/>
          <w:color w:val="auto"/>
        </w:rPr>
      </w:pPr>
    </w:p>
    <w:p>
      <w:pPr>
        <w:ind w:left="460" w:hanging="455"/>
        <w:spacing w:after="0"/>
        <w:tabs>
          <w:tab w:leader="none" w:pos="4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left="540" w:right="40"/>
        <w:spacing w:after="0" w:line="224" w:lineRule="auto"/>
        <w:rPr>
          <w:sz w:val="20"/>
          <w:szCs w:val="20"/>
          <w:color w:val="auto"/>
        </w:rPr>
      </w:pPr>
      <w:r>
        <w:rPr>
          <w:rFonts w:ascii="Times New Roman" w:cs="Times New Roman" w:eastAsia="Times New Roman" w:hAnsi="Times New Roman"/>
          <w:sz w:val="14"/>
          <w:szCs w:val="14"/>
          <w:b w:val="1"/>
          <w:bCs w:val="1"/>
          <w:color w:val="auto"/>
        </w:rPr>
        <w:t>Beneficial Ownership After the Offering if Underwriters’ Option is Exercised in Full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60" w:type="dxa"/>
            <w:vAlign w:val="bottom"/>
            <w:tcBorders>
              <w:top w:val="single" w:sz="8" w:color="auto"/>
            </w:tcBorders>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740" w:type="dxa"/>
            <w:vAlign w:val="bottom"/>
            <w:tcBorders>
              <w:top w:val="single" w:sz="8" w:color="auto"/>
            </w:tcBorders>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44"/>
        </w:trPr>
        <w:tc>
          <w:tcPr>
            <w:tcW w:w="96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20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158"/>
        </w:trPr>
        <w:tc>
          <w:tcPr>
            <w:tcW w:w="76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13"/>
        </w:trPr>
        <w:tc>
          <w:tcPr>
            <w:tcW w:w="9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20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0" w:type="dxa"/>
            <w:vAlign w:val="bottom"/>
          </w:tcPr>
          <w:p>
            <w:pPr>
              <w:spacing w:after="0"/>
              <w:rPr>
                <w:sz w:val="1"/>
                <w:szCs w:val="1"/>
                <w:color w:val="auto"/>
              </w:rPr>
            </w:pPr>
          </w:p>
        </w:tc>
      </w:tr>
      <w:tr>
        <w:trPr>
          <w:trHeight w:val="169"/>
        </w:trPr>
        <w:tc>
          <w:tcPr>
            <w:tcW w:w="960" w:type="dxa"/>
            <w:vAlign w:val="bottom"/>
            <w:gridSpan w:val="4"/>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0" w:lineRule="exact"/>
        <w:rPr>
          <w:sz w:val="20"/>
          <w:szCs w:val="20"/>
          <w:color w:val="auto"/>
        </w:rPr>
      </w:pPr>
    </w:p>
    <w:p>
      <w:pPr>
        <w:sectPr>
          <w:pgSz w:w="11900" w:h="16838" w:orient="portrait"/>
          <w:cols w:equalWidth="0" w:num="2">
            <w:col w:w="8580" w:space="200"/>
            <w:col w:w="2560"/>
          </w:cols>
          <w:pgMar w:left="320" w:top="448" w:right="239" w:bottom="1440" w:gutter="0" w:footer="0" w:header="0"/>
          <w:type w:val="continuous"/>
        </w:sectPr>
      </w:pPr>
    </w:p>
    <w:p>
      <w:pPr>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w:t>
      </w:r>
    </w:p>
    <w:tbl>
      <w:tblPr>
        <w:tblLayout w:type="fixed"/>
        <w:tblInd w:w="0" w:type="dxa"/>
        <w:tblCellMar>
          <w:top w:w="0" w:type="dxa"/>
          <w:left w:w="0" w:type="dxa"/>
          <w:bottom w:w="0" w:type="dxa"/>
          <w:right w:w="0" w:type="dxa"/>
        </w:tblCellMar>
      </w:tblPr>
      <w:tr>
        <w:trPr>
          <w:trHeight w:val="129"/>
        </w:trPr>
        <w:tc>
          <w:tcPr>
            <w:tcW w:w="3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rPr>
              <w:t>entitled to</w:t>
            </w:r>
          </w:p>
        </w:tc>
        <w:tc>
          <w:tcPr>
            <w:tcW w:w="180" w:type="dxa"/>
            <w:vAlign w:val="bottom"/>
          </w:tcPr>
          <w:p>
            <w:pPr>
              <w:spacing w:after="0"/>
              <w:rPr>
                <w:sz w:val="11"/>
                <w:szCs w:val="11"/>
                <w:color w:val="auto"/>
              </w:rPr>
            </w:pPr>
          </w:p>
        </w:tc>
        <w:tc>
          <w:tcPr>
            <w:tcW w:w="1006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color w:val="auto"/>
              </w:rPr>
              <w:t>votes per share, and holders of our Class A common stock are entitled to one vote per share. See the section titled “Description of Capital Stock—Class A Common Stock and</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(1)</w:t>
            </w:r>
          </w:p>
        </w:tc>
        <w:tc>
          <w:tcPr>
            <w:tcW w:w="7160" w:type="dxa"/>
            <w:vAlign w:val="bottom"/>
            <w:gridSpan w:val="8"/>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for additional information about the voting rights of our Class A and Class B common stock.</w:t>
            </w:r>
          </w:p>
        </w:tc>
        <w:tc>
          <w:tcPr>
            <w:tcW w:w="3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Gray Media, LLC,</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264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Prior to this offering, consists of (a)</w:t>
            </w:r>
          </w:p>
        </w:tc>
        <w:tc>
          <w:tcPr>
            <w:tcW w:w="4520" w:type="dxa"/>
            <w:vAlign w:val="bottom"/>
            <w:gridSpan w:val="5"/>
          </w:tcPr>
          <w:p>
            <w:pPr>
              <w:ind w:left="4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(b)</w:t>
            </w:r>
          </w:p>
        </w:tc>
        <w:tc>
          <w:tcPr>
            <w:tcW w:w="3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w:t>
            </w:r>
          </w:p>
        </w:tc>
        <w:tc>
          <w:tcPr>
            <w:tcW w:w="5220" w:type="dxa"/>
            <w:vAlign w:val="bottom"/>
            <w:gridSpan w:val="6"/>
          </w:tcPr>
          <w:p>
            <w:pPr>
              <w:jc w:val="center"/>
              <w:ind w:right="3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Series 3, (d)</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 Series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1B, (e)</w:t>
            </w:r>
          </w:p>
        </w:tc>
        <w:tc>
          <w:tcPr>
            <w:tcW w:w="180" w:type="dxa"/>
            <w:vAlign w:val="bottom"/>
          </w:tcPr>
          <w:p>
            <w:pPr>
              <w:spacing w:after="0"/>
              <w:rPr>
                <w:sz w:val="12"/>
                <w:szCs w:val="12"/>
                <w:color w:val="auto"/>
              </w:rPr>
            </w:pPr>
          </w:p>
        </w:tc>
        <w:tc>
          <w:tcPr>
            <w:tcW w:w="5040" w:type="dxa"/>
            <w:vAlign w:val="bottom"/>
            <w:gridSpan w:val="5"/>
          </w:tcPr>
          <w:p>
            <w:pPr>
              <w:ind w:left="34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(f)</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A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w:t>
            </w:r>
          </w:p>
        </w:tc>
        <w:tc>
          <w:tcPr>
            <w:tcW w:w="180" w:type="dxa"/>
            <w:vAlign w:val="bottom"/>
          </w:tcPr>
          <w:p>
            <w:pPr>
              <w:spacing w:after="0"/>
              <w:rPr>
                <w:sz w:val="12"/>
                <w:szCs w:val="12"/>
                <w:color w:val="auto"/>
              </w:rPr>
            </w:pPr>
          </w:p>
        </w:tc>
        <w:tc>
          <w:tcPr>
            <w:tcW w:w="4800" w:type="dxa"/>
            <w:vAlign w:val="bottom"/>
            <w:gridSpan w:val="4"/>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B common stock held by Tempus Series B Investments, LLC, (h)</w:t>
            </w:r>
          </w:p>
        </w:tc>
        <w:tc>
          <w:tcPr>
            <w:tcW w:w="240" w:type="dxa"/>
            <w:vAlign w:val="bottom"/>
          </w:tcPr>
          <w:p>
            <w:pPr>
              <w:spacing w:after="0"/>
              <w:rPr>
                <w:sz w:val="12"/>
                <w:szCs w:val="12"/>
                <w:color w:val="auto"/>
              </w:rPr>
            </w:pP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B-1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(i)</w:t>
            </w:r>
          </w:p>
        </w:tc>
        <w:tc>
          <w:tcPr>
            <w:tcW w:w="180" w:type="dxa"/>
            <w:vAlign w:val="bottom"/>
          </w:tcPr>
          <w:p>
            <w:pPr>
              <w:spacing w:after="0"/>
              <w:rPr>
                <w:sz w:val="12"/>
                <w:szCs w:val="12"/>
                <w:color w:val="auto"/>
              </w:rPr>
            </w:pPr>
          </w:p>
        </w:tc>
        <w:tc>
          <w:tcPr>
            <w:tcW w:w="504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B-2 Investments, LLC, (j)</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C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(k)</w:t>
            </w:r>
          </w:p>
        </w:tc>
        <w:tc>
          <w:tcPr>
            <w:tcW w:w="180" w:type="dxa"/>
            <w:vAlign w:val="bottom"/>
          </w:tcPr>
          <w:p>
            <w:pPr>
              <w:spacing w:after="0"/>
              <w:rPr>
                <w:sz w:val="12"/>
                <w:szCs w:val="12"/>
                <w:color w:val="auto"/>
              </w:rPr>
            </w:pPr>
          </w:p>
        </w:tc>
        <w:tc>
          <w:tcPr>
            <w:tcW w:w="48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D Investments, LLC, (l)</w:t>
            </w:r>
          </w:p>
        </w:tc>
        <w:tc>
          <w:tcPr>
            <w:tcW w:w="240" w:type="dxa"/>
            <w:vAlign w:val="bottom"/>
          </w:tcPr>
          <w:p>
            <w:pPr>
              <w:spacing w:after="0"/>
              <w:rPr>
                <w:sz w:val="12"/>
                <w:szCs w:val="12"/>
                <w:color w:val="auto"/>
              </w:rPr>
            </w:pP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E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(m)</w:t>
            </w:r>
          </w:p>
        </w:tc>
        <w:tc>
          <w:tcPr>
            <w:tcW w:w="180" w:type="dxa"/>
            <w:vAlign w:val="bottom"/>
          </w:tcPr>
          <w:p>
            <w:pPr>
              <w:spacing w:after="0"/>
              <w:rPr>
                <w:sz w:val="12"/>
                <w:szCs w:val="12"/>
                <w:color w:val="auto"/>
              </w:rPr>
            </w:pPr>
          </w:p>
        </w:tc>
        <w:tc>
          <w:tcPr>
            <w:tcW w:w="504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F Investments, LLC, and (n)</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G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Concurrently with, and contingent upon, the effectiveness of the registration statement of which this prospectus forms a part, shares of Class A common stock held by each of Tempus Series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B-1 Investments, LLC, Tempus Series B-2 Investments, LLC, Tempus Series C Investments, LLC, Tempus Series D Investments, LLC, Tempus Series 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F Investments, LLC and Tempus Series G Investments, LLC will be distributed pro rata to the members of each entity. Following the distributions, no other</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stockholder will be a beneficial owner of more than 5% of the company’s common stock. Mr. Lefkofsky’s beneficial ownership after the offering gives effect to the foregoing distributions, and</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9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consists of (i)</w:t>
            </w:r>
          </w:p>
        </w:tc>
        <w:tc>
          <w:tcPr>
            <w:tcW w:w="480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(ii)</w:t>
            </w:r>
          </w:p>
        </w:tc>
        <w:tc>
          <w:tcPr>
            <w:tcW w:w="37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Gray Media, LLC, (iii)</w:t>
            </w:r>
          </w:p>
        </w:tc>
        <w:tc>
          <w:tcPr>
            <w:tcW w:w="560" w:type="dxa"/>
            <w:vAlign w:val="bottom"/>
          </w:tcPr>
          <w:p>
            <w:pPr>
              <w:spacing w:after="0"/>
              <w:rPr>
                <w:sz w:val="12"/>
                <w:szCs w:val="12"/>
                <w:color w:val="auto"/>
              </w:rPr>
            </w:pP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w w:val="99"/>
              </w:rPr>
              <w:t>common stock held by Innovation Group Investors, L.P. - Series 1B, (iv)</w:t>
            </w:r>
          </w:p>
        </w:tc>
        <w:tc>
          <w:tcPr>
            <w:tcW w:w="320" w:type="dxa"/>
            <w:vAlign w:val="bottom"/>
          </w:tcPr>
          <w:p>
            <w:pPr>
              <w:spacing w:after="0"/>
              <w:rPr>
                <w:sz w:val="12"/>
                <w:szCs w:val="12"/>
                <w:color w:val="auto"/>
              </w:rPr>
            </w:pPr>
          </w:p>
        </w:tc>
        <w:tc>
          <w:tcPr>
            <w:tcW w:w="5460" w:type="dxa"/>
            <w:vAlign w:val="bottom"/>
            <w:gridSpan w:val="5"/>
          </w:tcPr>
          <w:p>
            <w:pPr>
              <w:ind w:left="28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- 2011 Series, (v)</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rPr>
              <w:t>of Class A common stock held by Lightbank Global LLC, (vi)</w:t>
            </w:r>
          </w:p>
        </w:tc>
        <w:tc>
          <w:tcPr>
            <w:tcW w:w="5220" w:type="dxa"/>
            <w:vAlign w:val="bottom"/>
            <w:gridSpan w:val="5"/>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and (vii)</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B common</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held by Tempus Series B Investments, LLC. Mr. Lefkofsky is the controlling member of, and may be deemed to have shared voting, investment and dispositive power with respect to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shares held by, the aforementioned entities. On the date that is 181 days following the effective date of the registration statement of which this prospectus forms a part, Blue Media LLC,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580" w:type="dxa"/>
            <w:vAlign w:val="bottom"/>
            <w:gridSpan w:val="5"/>
          </w:tcPr>
          <w:p>
            <w:pPr>
              <w:ind w:left="160"/>
              <w:spacing w:after="0" w:line="145" w:lineRule="exact"/>
              <w:rPr>
                <w:sz w:val="20"/>
                <w:szCs w:val="20"/>
                <w:color w:val="auto"/>
              </w:rPr>
            </w:pPr>
            <w:r>
              <w:rPr>
                <w:rFonts w:ascii="Times New Roman" w:cs="Times New Roman" w:eastAsia="Times New Roman" w:hAnsi="Times New Roman"/>
                <w:sz w:val="14"/>
                <w:szCs w:val="14"/>
                <w:color w:val="auto"/>
              </w:rPr>
              <w:t>controlling member of Tempus Series B Investments, LLC, will exchange</w:t>
            </w:r>
          </w:p>
        </w:tc>
        <w:tc>
          <w:tcPr>
            <w:tcW w:w="64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for all interests in Tempus Series B Investments, LLC such that following</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0040" w:type="dxa"/>
            <w:vAlign w:val="bottom"/>
            <w:gridSpan w:val="10"/>
          </w:tcPr>
          <w:p>
            <w:pPr>
              <w:ind w:left="160"/>
              <w:spacing w:after="0" w:line="145" w:lineRule="exact"/>
              <w:rPr>
                <w:sz w:val="20"/>
                <w:szCs w:val="20"/>
                <w:color w:val="auto"/>
              </w:rPr>
            </w:pPr>
            <w:r>
              <w:rPr>
                <w:rFonts w:ascii="Times New Roman" w:cs="Times New Roman" w:eastAsia="Times New Roman" w:hAnsi="Times New Roman"/>
                <w:sz w:val="14"/>
                <w:szCs w:val="14"/>
                <w:color w:val="auto"/>
              </w:rPr>
              <w:t>the exchange, Mr. Lefkofsky will continue be the controlling member of, and may be deemed to have shared voting, investment and dispositive power with respect to the</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5780" w:type="dxa"/>
            <w:vAlign w:val="bottom"/>
            <w:gridSpan w:val="6"/>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held by, Tempus Series B Investments, LLC. Mr. Lefkofsky also holds</w:t>
            </w:r>
          </w:p>
        </w:tc>
        <w:tc>
          <w:tcPr>
            <w:tcW w:w="240" w:type="dxa"/>
            <w:vAlign w:val="bottom"/>
          </w:tcPr>
          <w:p>
            <w:pPr>
              <w:spacing w:after="0"/>
              <w:rPr>
                <w:sz w:val="12"/>
                <w:szCs w:val="12"/>
                <w:color w:val="auto"/>
              </w:rPr>
            </w:pP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RSUs,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(2)</w:t>
            </w: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1840" w:type="dxa"/>
            <w:vAlign w:val="bottom"/>
            <w:gridSpan w:val="2"/>
          </w:tcPr>
          <w:p>
            <w:pPr>
              <w:jc w:val="right"/>
              <w:ind w:right="1350"/>
              <w:spacing w:after="0" w:line="145" w:lineRule="exact"/>
              <w:rPr>
                <w:sz w:val="20"/>
                <w:szCs w:val="20"/>
                <w:color w:val="auto"/>
              </w:rPr>
            </w:pPr>
            <w:r>
              <w:rPr>
                <w:rFonts w:ascii="Times New Roman" w:cs="Times New Roman" w:eastAsia="Times New Roman" w:hAnsi="Times New Roman"/>
                <w:sz w:val="14"/>
                <w:szCs w:val="14"/>
                <w:color w:val="auto"/>
              </w:rPr>
              <w:t>, 2021.</w:t>
            </w: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 w:type="dxa"/>
            <w:vAlign w:val="bottom"/>
            <w:vMerge w:val="continue"/>
          </w:tcPr>
          <w:p>
            <w:pPr>
              <w:spacing w:after="0"/>
              <w:rPr>
                <w:sz w:val="13"/>
                <w:szCs w:val="1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Represents</w:t>
            </w:r>
          </w:p>
        </w:tc>
        <w:tc>
          <w:tcPr>
            <w:tcW w:w="180" w:type="dxa"/>
            <w:vAlign w:val="bottom"/>
          </w:tcPr>
          <w:p>
            <w:pPr>
              <w:spacing w:after="0"/>
              <w:rPr>
                <w:sz w:val="13"/>
                <w:szCs w:val="13"/>
                <w:color w:val="auto"/>
              </w:rPr>
            </w:pPr>
          </w:p>
        </w:tc>
        <w:tc>
          <w:tcPr>
            <w:tcW w:w="1006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Keeks, LLC. To our knowledge, Kimberly Keywell is the controlling shareholder of, and may be deemed to have shared voting,</w:t>
            </w:r>
          </w:p>
        </w:tc>
        <w:tc>
          <w:tcPr>
            <w:tcW w:w="0" w:type="dxa"/>
            <w:vAlign w:val="bottom"/>
          </w:tcPr>
          <w:p>
            <w:pPr>
              <w:spacing w:after="0"/>
              <w:rPr>
                <w:sz w:val="1"/>
                <w:szCs w:val="1"/>
                <w:color w:val="auto"/>
              </w:rPr>
            </w:pPr>
          </w:p>
        </w:tc>
      </w:tr>
    </w:tbl>
    <w:p>
      <w:pPr>
        <w:ind w:left="460"/>
        <w:spacing w:after="0"/>
        <w:rPr>
          <w:sz w:val="20"/>
          <w:szCs w:val="20"/>
          <w:color w:val="auto"/>
        </w:rPr>
      </w:pPr>
      <w:r>
        <w:rPr>
          <w:rFonts w:ascii="Times New Roman" w:cs="Times New Roman" w:eastAsia="Times New Roman" w:hAnsi="Times New Roman"/>
          <w:sz w:val="14"/>
          <w:szCs w:val="14"/>
          <w:color w:val="auto"/>
        </w:rPr>
        <w:t>investment and dispositive power with respect to the shares held by, the aforementioned entity.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Phelps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Rollings, for which the service-based vesting condition would be satisfied as of September 4,</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400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2021 pursuant to the terms of Ms. Rollings’ separation agreement.</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276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shares of Class A common stock.</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Doudna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Frederick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Gottlieb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West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27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shares of Class A common stock, (b)</w:t>
            </w:r>
          </w:p>
        </w:tc>
        <w:tc>
          <w:tcPr>
            <w:tcW w:w="27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shares of Class B common stock and (c)</w:t>
            </w:r>
          </w:p>
        </w:tc>
        <w:tc>
          <w:tcPr>
            <w:tcW w:w="4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the settlement of RSUs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12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Consists of (a)</w:t>
            </w:r>
          </w:p>
        </w:tc>
        <w:tc>
          <w:tcPr>
            <w:tcW w:w="27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0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for which the service-based vesting condition would be satisfied within 60 days of</w:t>
            </w:r>
          </w:p>
        </w:tc>
        <w:tc>
          <w:tcPr>
            <w:tcW w:w="1740" w:type="dxa"/>
            <w:vAlign w:val="bottom"/>
          </w:tcPr>
          <w:p>
            <w:pPr>
              <w:jc w:val="right"/>
              <w:ind w:right="1010"/>
              <w:spacing w:after="0"/>
              <w:rPr>
                <w:sz w:val="20"/>
                <w:szCs w:val="20"/>
                <w:color w:val="auto"/>
              </w:rPr>
            </w:pPr>
            <w:r>
              <w:rPr>
                <w:rFonts w:ascii="Times New Roman" w:cs="Times New Roman" w:eastAsia="Times New Roman" w:hAnsi="Times New Roman"/>
                <w:sz w:val="14"/>
                <w:szCs w:val="14"/>
                <w:color w:val="auto"/>
              </w:rPr>
              <w:t>, 2021.</w:t>
            </w: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2021, we had outstanding:</w:t>
      </w:r>
    </w:p>
    <w:p>
      <w:pPr>
        <w:sectPr>
          <w:pgSz w:w="11900" w:h="16838" w:orient="portrait"/>
          <w:cols w:equalWidth="0" w:num="1">
            <w:col w:w="11340"/>
          </w:cols>
          <w:pgMar w:left="320" w:top="448" w:right="239" w:bottom="1440" w:gutter="0" w:footer="0" w:header="0"/>
        </w:sectPr>
      </w:pP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firstLine="932"/>
        <w:spacing w:after="0" w:line="247" w:lineRule="auto"/>
        <w:rPr>
          <w:sz w:val="20"/>
          <w:szCs w:val="20"/>
          <w:color w:val="auto"/>
        </w:rPr>
      </w:pPr>
      <w:r>
        <w:rPr>
          <w:rFonts w:ascii="Times New Roman" w:cs="Times New Roman" w:eastAsia="Times New Roman" w:hAnsi="Times New Roman"/>
          <w:sz w:val="18"/>
          <w:szCs w:val="18"/>
          <w:color w:val="auto"/>
        </w:rPr>
        <w:t>shares of Class A common stock, which gives effect to (1) the Series G-3 Financing, (2) the conversion of all outstanding shares of convertible preferred stock, other than Series B preferred stock, into shares of Class A common stock, including the issuance of the Additional Class A Conversion Shares (based on an assumed initial public offering price of $ per share, the midpoint of the estimated price range set forth on the cover page of this prospectus), (3) the conversion of all outstanding shares of nonvoting common stock into 4,612,450 shares of Class A common stock, and (4) the issuance of approximately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expiration of the lock-up period in connection with this offering;</w:t>
      </w:r>
    </w:p>
    <w:p>
      <w:pPr>
        <w:spacing w:after="0" w:line="94"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ind w:left="1000" w:hanging="549"/>
        <w:spacing w:after="0" w:line="267"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which assumes the conversion of all outstanding shares of convertible Series B preferred stock into 5,374,899 shares of Class B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64 stockholders of record as of December 31, 2021. Our board of directors is authorized, without stockholder approval except as required by the listing standards of the Nasdaq stock market, to issue additional shares of our capital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23"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i w:val="1"/>
          <w:iCs w:val="1"/>
          <w:color w:val="auto"/>
        </w:rPr>
        <w:t>Change of Control Transactions</w:t>
      </w:r>
      <w:r>
        <w:rPr>
          <w:rFonts w:ascii="Times New Roman" w:cs="Times New Roman" w:eastAsia="Times New Roman" w:hAnsi="Times New Roman"/>
          <w:sz w:val="16"/>
          <w:szCs w:val="16"/>
          <w:color w:val="auto"/>
        </w:rPr>
        <w:t>. The holders of Class A common stock and Class B common stock will be treated equally and identically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twenty-year anniversary of the filing of the certificate of amendment to our ninth amended and restated certificate of incorporation, which is March 15, 2041; (3) the termination of Mr. Lefkofsky’s employment or service with us as an executive officer and member of our board of directors; and (4) the date that Mr. Lefkofsky and his controlled entities hold, in the aggregate, fewer than 10,000,000 shares of our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December 31, 2021, the value of the Amended Note was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$238.2 million, which consisted of $246.6 million gross principal, net of $8.4 million aggregate unapplied principal reduction.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upon exercise of the warrant will be determined based on the initial public offering price in this offering ( shares of Class A common stock, assuming an initial public offering price of $ per share, the midpoint of the estimated price range set forth on the cover page of this prospectus). The warrant may be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 with AstraZeneca.”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 of December 31, 2021, there were 61,078,813 shares of our convertible preferred stock outstanding.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 the midpoint of</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which we refer to as the Additional Class A Conversion Shares. See “Prospectus Summary—The Offering” for additional information.</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2021,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2021, we had outstanding 10,344,419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2021, we had outstanding 5,995,000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 exercise of the underwriters’ option</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8"/>
          <w:szCs w:val="18"/>
          <w:color w:val="auto"/>
        </w:rPr>
        <w:t>In connection with this offering, 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We have applied to have our Class A common stock approved for listing on the Nasdaq Global Select Market under the symbol “TIME.”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the closing of this offering, the transfer agent and registrar for our Class A common stock and Class B common stock will be American Stock Transfer</w:t>
      </w:r>
    </w:p>
    <w:p>
      <w:pPr>
        <w:spacing w:after="0" w:line="44" w:lineRule="exact"/>
        <w:rPr>
          <w:sz w:val="20"/>
          <w:szCs w:val="20"/>
          <w:color w:val="auto"/>
        </w:rPr>
      </w:pPr>
    </w:p>
    <w:p>
      <w:pPr>
        <w:ind w:left="5540" w:right="920" w:hanging="5535"/>
        <w:spacing w:after="0" w:line="414" w:lineRule="auto"/>
        <w:tabs>
          <w:tab w:leader="none" w:pos="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The transfer agent’s address is 6201 15th Avenue, Brooklyn, New York 11219, and its telephone number is (800) 937-5449. 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Based on our shares outstanding as of December 31, 2021, on the closing of this offering, a total of shares of Class A common stock and 5,374,899 shares of Class B common stock will be outstanding, assuming the automatic conversion of (1) all of our outstanding shares of convertible preferred</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stock, other than our Series B convertible preferred stock, into an aggregate of shares of Class A common stock, including the Additional Class A Conversion Shares (assuming an initial public offering price of $ per share, the midpoint of the estimated price range set forth on the cover page of this</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prospectus), (2) all of our outstanding shares of Series B convertible preferred stock into an aggregate of 5,374,899 shares of Class B common stock and (3) all of our outstanding shares of nonvoting common stock into 4,612,450 shares of Class A common stock. Of these shares, all of the Class A common stock sold in this 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6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the date of this prospectus, within any three-month period, such stockholders may sell a number of shares that does not exceed the greater of:</w:t>
      </w:r>
    </w:p>
    <w:p>
      <w:pPr>
        <w:sectPr>
          <w:pgSz w:w="11900" w:h="16838" w:orient="portrait"/>
          <w:cols w:equalWidth="0" w:num="1">
            <w:col w:w="11340"/>
          </w:cols>
          <w:pgMar w:left="320" w:top="448" w:right="239" w:bottom="1440" w:gutter="0" w:footer="0" w:header="0"/>
        </w:sectPr>
      </w:pPr>
    </w:p>
    <w:p>
      <w:pPr>
        <w:spacing w:after="0" w:line="14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1% of the number of shares of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immediately after this</w:t>
      </w:r>
    </w:p>
    <w:p>
      <w:pPr>
        <w:spacing w:after="0" w:line="354" w:lineRule="exact"/>
        <w:rPr>
          <w:sz w:val="20"/>
          <w:szCs w:val="20"/>
          <w:color w:val="auto"/>
        </w:rPr>
      </w:pPr>
    </w:p>
    <w:p>
      <w:pPr>
        <w:sectPr>
          <w:pgSz w:w="11900" w:h="16838" w:orient="portrait"/>
          <w:cols w:equalWidth="0" w:num="3">
            <w:col w:w="520" w:space="480"/>
            <w:col w:w="7580" w:space="720"/>
            <w:col w:w="2040"/>
          </w:cols>
          <w:pgMar w:left="320" w:top="448" w:right="239" w:bottom="1440" w:gutter="0" w:footer="0" w:header="0"/>
          <w:type w:val="continuous"/>
        </w:sectPr>
      </w:pPr>
    </w:p>
    <w:p>
      <w:pPr>
        <w:ind w:left="1000" w:hanging="549"/>
        <w:spacing w:after="0" w:line="267"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2022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 until 180 days after the date of this prospectus, or the restricted period, subject to certain exceptions,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Morgan Stanley &amp; Co. LLC and J.P. Morgan Securities LLC may release any of the securities subject to these lock-up agreements at any time, subject to applicable notice requirements.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ectPr>
          <w:pgSz w:w="11900" w:h="16838" w:orient="portrait"/>
          <w:cols w:equalWidth="0" w:num="1">
            <w:col w:w="11340"/>
          </w:cols>
          <w:pgMar w:left="320" w:top="448" w:right="239" w:bottom="1440" w:gutter="0" w:footer="0" w:header="0"/>
          <w:type w:val="continuous"/>
        </w:sectPr>
      </w:pP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Upon the closing of this offering, the holders of transferees, will be entitled to certain rights with respect to the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Class A common stock and of all shares of our Class B common stock, or their</w:t>
      </w:r>
    </w:p>
    <w:p>
      <w:pPr>
        <w:spacing w:after="0" w:line="380" w:lineRule="exact"/>
        <w:rPr>
          <w:sz w:val="20"/>
          <w:szCs w:val="20"/>
          <w:color w:val="auto"/>
        </w:rPr>
      </w:pPr>
    </w:p>
    <w:p>
      <w:pPr>
        <w:sectPr>
          <w:pgSz w:w="11900" w:h="16838" w:orient="portrait"/>
          <w:cols w:equalWidth="0" w:num="2">
            <w:col w:w="4380" w:space="340"/>
            <w:col w:w="6620"/>
          </w:cols>
          <w:pgMar w:left="320" w:top="44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228</w:t>
      </w:r>
    </w:p>
    <w:p>
      <w:pPr>
        <w:sectPr>
          <w:pgSz w:w="11900" w:h="16838" w:orient="portrait"/>
          <w:cols w:equalWidth="0" w:num="1">
            <w:col w:w="11340"/>
          </w:cols>
          <w:pgMar w:left="320" w:top="448" w:right="239"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40"/>
          </w:cols>
          <w:pgMar w:left="320" w:top="448"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acquisition, ownership, and disposition of our Class A common stock acquired in this offering.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340"/>
          </w:cols>
          <w:pgMar w:left="320" w:top="448" w:right="2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p>
      <w:pPr>
        <w:ind w:left="86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13335</wp:posOffset>
            </wp:positionV>
            <wp:extent cx="6118860" cy="133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2540</wp:posOffset>
            </wp:positionV>
            <wp:extent cx="8255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selling stockholders identified in this prospectus have granted to the underwriters an option, exercisable for 30 days from the date of this prospectus, to</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w:t>
      </w:r>
    </w:p>
    <w:p>
      <w:pPr>
        <w:spacing w:after="0" w:line="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additional</w:t>
      </w:r>
      <w:r>
        <w:rPr>
          <w:sz w:val="20"/>
          <w:szCs w:val="20"/>
          <w:color w:val="auto"/>
        </w:rPr>
        <w:tab/>
      </w:r>
      <w:r>
        <w:rPr>
          <w:rFonts w:ascii="Times New Roman" w:cs="Times New Roman" w:eastAsia="Times New Roman" w:hAnsi="Times New Roman"/>
          <w:sz w:val="18"/>
          <w:szCs w:val="18"/>
          <w:color w:val="auto"/>
        </w:rPr>
        <w:t>shares of Class A common stock.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3"/>
        </w:trPr>
        <w:tc>
          <w:tcPr>
            <w:tcW w:w="64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tcBorders>
              <w:top w:val="single" w:sz="8" w:color="auto"/>
            </w:tcBorders>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3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2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99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4"/>
              </w:rPr>
              <w:t>million. We have</w:t>
            </w:r>
          </w:p>
        </w:tc>
        <w:tc>
          <w:tcPr>
            <w:tcW w:w="0" w:type="dxa"/>
            <w:vAlign w:val="bottom"/>
          </w:tcPr>
          <w:p>
            <w:pPr>
              <w:spacing w:after="0"/>
              <w:rPr>
                <w:sz w:val="1"/>
                <w:szCs w:val="1"/>
                <w:color w:val="auto"/>
              </w:rPr>
            </w:pPr>
          </w:p>
        </w:tc>
      </w:tr>
      <w:tr>
        <w:trPr>
          <w:trHeight w:val="228"/>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up to $</w:t>
            </w:r>
          </w:p>
        </w:tc>
        <w:tc>
          <w:tcPr>
            <w:tcW w:w="900" w:type="dxa"/>
            <w:vAlign w:val="bottom"/>
            <w:gridSpan w:val="2"/>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 We have applied to list our Class A common stock on the Nasdaq Global Select Market under the trading symbol “TIME.”</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will agree that, subject to certain conditions, without the prior written consent of the representatives on behalf of the underwriters, we and they will not, and will not publicly disclose an intention to, during the period ending on and including the 180th day after the date of this prospectus, referred to as the restricted period:</w:t>
      </w:r>
    </w:p>
    <w:p>
      <w:pPr>
        <w:spacing w:after="0" w:line="89" w:lineRule="exact"/>
        <w:rPr>
          <w:sz w:val="20"/>
          <w:szCs w:val="20"/>
          <w:color w:val="auto"/>
        </w:rPr>
      </w:pPr>
    </w:p>
    <w:p>
      <w:pPr>
        <w:jc w:val="both"/>
        <w:ind w:left="1000" w:hanging="549"/>
        <w:spacing w:after="0" w:line="255"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or the SEC, relating to the offering of any shares of common stock or any securities convertible into or exercisable or exchangeable for common stock;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will agree that, without the prior written consent of the representatives on behalf of the underwriters, we or such other person will not, during the restricted period, make any demand for, or exercise any right with respect to, the registration of any shares of our common stock or any security convertible into or exercisable or exchangeable for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549"/>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549"/>
        <w:spacing w:after="0" w:line="255"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(ii) to an immediate family member or to any trust for the direct or indirect benefit of the holder or an immediate family member of the holder, (iii) to any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95" w:lineRule="exact"/>
        <w:rPr>
          <w:sz w:val="20"/>
          <w:szCs w:val="20"/>
          <w:color w:val="auto"/>
        </w:rPr>
      </w:pPr>
    </w:p>
    <w:p>
      <w:pPr>
        <w:jc w:val="both"/>
        <w:ind w:left="1000" w:hanging="549"/>
        <w:spacing w:after="0" w:line="248"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shares of common stock or any security convertible into or exercisable or exchangeable for common stock to general or limited partners, managers or members, stockholders, other equityholders or direct or indirect affiliates (within the meaning of Rule 405 under the Securities Act) of the undersigned or to the estates of any of the foregoing, provided that (i) each 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the company of shares of common stock or any securities convertible into or exercisable or exchangeable for common stock to satisfy any tax, including estimated tax, remittance, or other payment obligations of the holder arising in connection with a vesting event of the company’s securities, upon the settlement of restricted stock units or the payment due for the exercise of options or other rights to purchase securities of the company (including, in each case, by way of a “cashless” or “net exercise” basis and any transfer to the company necessary in respect of such amount needed for the payment of taxes, including estimated taxes, and remittance payments due as a result of such vesting, settlement or exercise including by means of a “net settlement,” “sell to cover” or otherwise), in all such cases pursuant to equity awards granted under a stock incentive plan or other equity award plan of the company described in this prospectus, provided that (i) any remaining shares of common stock received upon such vesting, settlement or exercise are subject to the aforementioned restrictions, (ii)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the company’s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common stock or any security convertible into or exercisable or exchangeable for common stock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common stock and other securities subject to the lock-up agreements described above in whole or in part at any time, subject to applicable notice requirements. In addition,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9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the selling stockholders and the underwriters have agreed to indemnify each other against certain liabilities, including liabilities under the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5" w:lineRule="exact"/>
        <w:rPr>
          <w:sz w:val="20"/>
          <w:szCs w:val="20"/>
          <w:color w:val="auto"/>
        </w:rPr>
      </w:pPr>
    </w:p>
    <w:p>
      <w:pPr>
        <w:ind w:left="1000" w:hanging="414"/>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340"/>
          </w:cols>
          <w:pgMar w:left="320" w:top="44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5" w:lineRule="exact"/>
        <w:rPr>
          <w:sz w:val="20"/>
          <w:szCs w:val="20"/>
          <w:color w:val="auto"/>
        </w:rPr>
      </w:pPr>
    </w:p>
    <w:p>
      <w:pPr>
        <w:ind w:left="1000" w:hanging="41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FMSA,</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1" w:lineRule="exact"/>
        <w:rPr>
          <w:sz w:val="20"/>
          <w:szCs w:val="20"/>
          <w:color w:val="auto"/>
        </w:rPr>
      </w:pPr>
    </w:p>
    <w:p>
      <w:pPr>
        <w:jc w:val="both"/>
        <w:ind w:left="1000" w:hanging="414"/>
        <w:spacing w:after="0" w:line="251"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w:t>
      </w:r>
    </w:p>
    <w:p>
      <w:pPr>
        <w:spacing w:after="0" w:line="92"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shares of Class A common stock may be sold only to purchasers purchasing, or deemed to be purchasing, as principal that are accredited investors, as defined in National Instrument 45-106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may not be offered or sold in Hong Kong by means of any document other than (i) in circumstances which do not constitute an offer to the public within the meaning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40"/>
          </w:cols>
          <w:pgMar w:left="320" w:top="448"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firstLine="5"/>
        <w:spacing w:after="0" w:line="247" w:lineRule="auto"/>
        <w:tabs>
          <w:tab w:leader="none" w:pos="31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Securities and Futures Act, Chapter 289 of Singapore, the shares of our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2021 and 2020, and for each of the two years in the period ended December 31, 2021,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95"/>
        </w:trPr>
        <w:tc>
          <w:tcPr>
            <w:tcW w:w="92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4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6"/>
              </w:rPr>
              <w:t>Tempus Labs, Inc.</w:t>
            </w:r>
          </w:p>
        </w:tc>
        <w:tc>
          <w:tcPr>
            <w:tcW w:w="204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8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4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8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40" w:type="dxa"/>
            <w:vAlign w:val="bottom"/>
          </w:tcPr>
          <w:p>
            <w:pPr>
              <w:spacing w:after="0"/>
              <w:rPr>
                <w:sz w:val="19"/>
                <w:szCs w:val="19"/>
                <w:color w:val="auto"/>
              </w:rPr>
            </w:pPr>
          </w:p>
        </w:tc>
      </w:tr>
      <w:tr>
        <w:trPr>
          <w:trHeight w:val="440"/>
        </w:trPr>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2"/>
        </w:trPr>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040" w:type="dxa"/>
            <w:vAlign w:val="bottom"/>
          </w:tcPr>
          <w:p>
            <w:pPr>
              <w:spacing w:after="0"/>
              <w:rPr>
                <w:sz w:val="18"/>
                <w:szCs w:val="18"/>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200" w:type="dxa"/>
            <w:vAlign w:val="bottom"/>
            <w:gridSpan w:val="5"/>
          </w:tcPr>
          <w:p>
            <w:pPr>
              <w:spacing w:after="0"/>
              <w:rPr>
                <w:sz w:val="16"/>
                <w:szCs w:val="16"/>
                <w:color w:val="auto"/>
              </w:rPr>
            </w:pPr>
          </w:p>
        </w:tc>
        <w:tc>
          <w:tcPr>
            <w:tcW w:w="2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680" w:type="dxa"/>
            <w:vAlign w:val="bottom"/>
            <w:gridSpan w:val="2"/>
          </w:tcPr>
          <w:p>
            <w:pPr>
              <w:spacing w:after="0"/>
              <w:rPr>
                <w:sz w:val="16"/>
                <w:szCs w:val="16"/>
                <w:color w:val="auto"/>
              </w:rPr>
            </w:pPr>
          </w:p>
        </w:tc>
        <w:tc>
          <w:tcPr>
            <w:tcW w:w="20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40" w:type="dxa"/>
            <w:vAlign w:val="bottom"/>
            <w:gridSpan w:val="4"/>
          </w:tcPr>
          <w:p>
            <w:pPr>
              <w:spacing w:after="0"/>
              <w:rPr>
                <w:sz w:val="16"/>
                <w:szCs w:val="16"/>
                <w:color w:val="auto"/>
              </w:rPr>
            </w:pPr>
          </w:p>
        </w:tc>
        <w:tc>
          <w:tcPr>
            <w:tcW w:w="20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40" w:type="dxa"/>
            <w:vAlign w:val="bottom"/>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80" w:type="dxa"/>
            <w:vAlign w:val="bottom"/>
          </w:tcPr>
          <w:p>
            <w:pPr>
              <w:spacing w:after="0"/>
              <w:rPr>
                <w:sz w:val="16"/>
                <w:szCs w:val="16"/>
                <w:color w:val="auto"/>
              </w:rPr>
            </w:pPr>
          </w:p>
        </w:tc>
        <w:tc>
          <w:tcPr>
            <w:tcW w:w="20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F-9–F-39</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468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w w:val="95"/>
              </w:rPr>
              <w:t>F-1</w:t>
            </w:r>
          </w:p>
        </w:tc>
        <w:tc>
          <w:tcPr>
            <w:tcW w:w="2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80"/>
          </w:cols>
          <w:pgMar w:left="320" w:top="443" w:right="2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Labs,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Labs, Inc. and its subsidiaries (the “Company”) as of December 31, 2021 and 2020,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9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513,436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$478 and $284 at December 31, 2020 and 2021, respectively</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87,259</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37,557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649,730</w:t>
            </w: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38,435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15,992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44,459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2,522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751,918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531,354</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53,571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20,178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6,965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accrued data licensing fees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9,000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1,320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dividends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5,625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101,382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lease obligations, less current maturities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10,271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Minimum accrued data licensing fees, less current maturities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19,554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 less current portion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13,594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payable and other long-term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10,221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23,090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405,746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440,554</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90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Convertible redeemable preferred stock, $0.001 par value, 64,760,746 and 64,760,746 shares authorized at December</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 2020 and 2021, respectively; 60,921,767 and 61,078,813 shares issued and outstanding at December 31, 2020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and 2021, respectively; aggregate liquidation preference of $871,530 and $913,138 at December 31, 2020 and 2021,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859,156</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898,291</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9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1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Voting Common Stock, $0.001 par value, 187,075,184 and 187,075,184 shares authorized at December 31, 2020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2021, respectively, 58,367,961 and 58,367,961 shares issued and outstanding at December 31, 2020 and 2021</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Non-voting Common Stock, $0.001 par value, 63,946,627 and 63,946,627 shares authorized at December 31, 2020 and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2021, respectively; 4,595,000 and 4,612,450 shares issued and outstanding at December 31, 2020 and 2021,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(512,989)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(807,486)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(512,984)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(807,491)</w:t>
            </w: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751,918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7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151,911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$195,012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products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36,093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62,841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2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152,198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162,276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products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7,092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45,861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67,190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45,415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61,161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130,892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199,004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381,458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(193,454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1,495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(18,929)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(211,354)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(258,588)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(209,854)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(7,381)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on Series A, B, B-1, B-2, C, D, E, F and G preferred shares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(34,420)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(253,905)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(4.05)</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62,706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62,975</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(209,854)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Comprehensive loss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(209,856)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2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8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(209,854)</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(259,192)</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8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6,891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5,234</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warrant asset</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1,517</w:t>
            </w: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23,052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23,881</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268</w:t>
            </w: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559</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equity-method Investments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604</w:t>
            </w: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convertible promissory notes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8,889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594</w:t>
            </w: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(55,844)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4,747</w:t>
            </w:r>
          </w:p>
        </w:tc>
      </w:tr>
      <w:tr>
        <w:trPr>
          <w:trHeight w:val="210"/>
        </w:trPr>
        <w:tc>
          <w:tcPr>
            <w:tcW w:w="20" w:type="dxa"/>
            <w:vAlign w:val="bottom"/>
          </w:tcPr>
          <w:p>
            <w:pPr>
              <w:spacing w:after="0"/>
              <w:rPr>
                <w:sz w:val="18"/>
                <w:szCs w:val="18"/>
                <w:color w:val="auto"/>
              </w:rPr>
            </w:pPr>
          </w:p>
        </w:tc>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(29,278)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14,649</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(3,012)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10"/>
        </w:trPr>
        <w:tc>
          <w:tcPr>
            <w:tcW w:w="20" w:type="dxa"/>
            <w:vAlign w:val="bottom"/>
          </w:tcPr>
          <w:p>
            <w:pPr>
              <w:spacing w:after="0"/>
              <w:rPr>
                <w:sz w:val="18"/>
                <w:szCs w:val="18"/>
                <w:color w:val="auto"/>
              </w:rPr>
            </w:pPr>
          </w:p>
        </w:tc>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(14,077)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38,132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r>
      <w:tr>
        <w:trPr>
          <w:trHeight w:val="210"/>
        </w:trPr>
        <w:tc>
          <w:tcPr>
            <w:tcW w:w="20" w:type="dxa"/>
            <w:vAlign w:val="bottom"/>
          </w:tcPr>
          <w:p>
            <w:pPr>
              <w:spacing w:after="0"/>
              <w:rPr>
                <w:sz w:val="18"/>
                <w:szCs w:val="18"/>
                <w:color w:val="auto"/>
              </w:rPr>
            </w:pPr>
          </w:p>
        </w:tc>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9,489</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4,103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r>
      <w:tr>
        <w:trPr>
          <w:trHeight w:val="210"/>
        </w:trPr>
        <w:tc>
          <w:tcPr>
            <w:tcW w:w="20" w:type="dxa"/>
            <w:vAlign w:val="bottom"/>
          </w:tcPr>
          <w:p>
            <w:pPr>
              <w:spacing w:after="0"/>
              <w:rPr>
                <w:sz w:val="18"/>
                <w:szCs w:val="18"/>
                <w:color w:val="auto"/>
              </w:rPr>
            </w:pPr>
          </w:p>
        </w:tc>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23,130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26,465</w:t>
            </w:r>
          </w:p>
        </w:tc>
      </w:tr>
      <w:tr>
        <w:trPr>
          <w:trHeight w:val="26"/>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(206,562)</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(211,984)</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8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(13,416)</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subsidiary</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(5,957)</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purchase of AKESOgen (Note 3)</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 net of offering costs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94,108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G-2 Preferred Stock, net of offering costs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95,823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8,894</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Common Shares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(7,311)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330,000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capital lease obligation</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88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Net increase (decrease) in Cash, Cash Equivalents and Restricted Cash</w:t>
            </w:r>
          </w:p>
        </w:tc>
        <w:tc>
          <w:tcPr>
            <w:tcW w:w="37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(235,750)</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8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228,100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514,216</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F-6</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9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1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513,436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277,686</w:t>
            </w: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2,053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7,381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Times New Roman" w:cs="Times New Roman" w:eastAsia="Times New Roman" w:hAnsi="Times New Roman"/>
                <w:sz w:val="18"/>
                <w:szCs w:val="18"/>
                <w:color w:val="auto"/>
              </w:rPr>
              <w:t>2,032</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Series G-2 issuance cost included in accounts payable</w:t>
            </w:r>
          </w:p>
        </w:tc>
        <w:tc>
          <w:tcPr>
            <w:tcW w:w="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Extinguishment of debt through conversion of convertible promissory note to Series G-2 preferred stock</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80,000</w:t>
            </w: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Redemption of convertible promissory note</w:t>
            </w:r>
          </w:p>
        </w:tc>
        <w:tc>
          <w:tcPr>
            <w:tcW w:w="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Issuance of warrant</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37,800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CONVERTIBLE PREFERRED STOCK, COMMON STOCK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3060" w:type="dxa"/>
            <w:vAlign w:val="bottom"/>
          </w:tcPr>
          <w:p>
            <w:pPr>
              <w:spacing w:after="0"/>
              <w:rPr>
                <w:sz w:val="3"/>
                <w:szCs w:val="3"/>
                <w:color w:val="auto"/>
              </w:rPr>
            </w:pPr>
          </w:p>
        </w:tc>
        <w:tc>
          <w:tcPr>
            <w:tcW w:w="156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156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560" w:type="dxa"/>
            <w:vAlign w:val="bottom"/>
            <w:gridSpan w:val="5"/>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Non-voting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560" w:type="dxa"/>
            <w:vAlign w:val="bottom"/>
            <w:gridSpan w:val="5"/>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1560" w:type="dxa"/>
            <w:vAlign w:val="bottom"/>
            <w:gridSpan w:val="5"/>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left="13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left="1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780" w:type="dxa"/>
            <w:vAlign w:val="bottom"/>
            <w:tcBorders>
              <w:top w:val="single" w:sz="8" w:color="auto"/>
            </w:tcBorders>
            <w:gridSpan w:val="3"/>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1"/>
                <w:szCs w:val="11"/>
                <w:color w:val="auto"/>
              </w:rPr>
            </w:pPr>
          </w:p>
        </w:tc>
        <w:tc>
          <w:tcPr>
            <w:tcW w:w="760" w:type="dxa"/>
            <w:vAlign w:val="bottom"/>
            <w:gridSpan w:val="2"/>
          </w:tcPr>
          <w:p>
            <w:pPr>
              <w:jc w:val="right"/>
              <w:ind w:right="25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1"/>
                <w:szCs w:val="11"/>
                <w:color w:val="auto"/>
              </w:rPr>
            </w:pPr>
          </w:p>
        </w:tc>
        <w:tc>
          <w:tcPr>
            <w:tcW w:w="104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306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January 1, 2020</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55,088,384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$544,161</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58,558,600</w:t>
            </w: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3,431</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(257,853)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(254,415)</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 Preferred Stock, net of stock</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2,537,290</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94,108</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costs of $3,203</w:t>
            </w: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 net of stock</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3,296,093</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184,711</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costs of $4,177</w:t>
            </w: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399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78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7,381</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(3,830)</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(3,551)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(7,381)</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Redemption of Common Shares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(190,639)</w:t>
            </w:r>
          </w:p>
        </w:tc>
        <w:tc>
          <w:tcPr>
            <w:tcW w:w="280" w:type="dxa"/>
            <w:vAlign w:val="bottom"/>
          </w:tcPr>
          <w:p>
            <w:pPr>
              <w:spacing w:after="0"/>
              <w:rPr>
                <w:sz w:val="12"/>
                <w:szCs w:val="12"/>
                <w:color w:val="auto"/>
              </w:rPr>
            </w:pPr>
          </w:p>
        </w:tc>
        <w:tc>
          <w:tcPr>
            <w:tcW w:w="3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(7,311)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(7,311)</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28,795</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(34,420)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(34,420)</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2"/>
                <w:szCs w:val="12"/>
                <w:color w:val="auto"/>
              </w:rPr>
            </w:pPr>
          </w:p>
        </w:tc>
        <w:tc>
          <w:tcPr>
            <w:tcW w:w="54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(209,854)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(209,854)</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vMerge w:val="continue"/>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60,921,767</w:t>
            </w: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859,156</w:t>
            </w:r>
          </w:p>
        </w:tc>
        <w:tc>
          <w:tcPr>
            <w:tcW w:w="240" w:type="dxa"/>
            <w:vAlign w:val="bottom"/>
            <w:vMerge w:val="continue"/>
          </w:tcPr>
          <w:p>
            <w:pPr>
              <w:spacing w:after="0"/>
              <w:rPr>
                <w:sz w:val="13"/>
                <w:szCs w:val="13"/>
                <w:color w:val="auto"/>
              </w:rPr>
            </w:pPr>
          </w:p>
        </w:tc>
        <w:tc>
          <w:tcPr>
            <w:tcW w:w="20" w:type="dxa"/>
            <w:vAlign w:val="bottom"/>
            <w:vMerge w:val="continue"/>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58,367,961</w:t>
            </w:r>
          </w:p>
        </w:tc>
        <w:tc>
          <w:tcPr>
            <w:tcW w:w="180" w:type="dxa"/>
            <w:vAlign w:val="bottom"/>
            <w:vMerge w:val="continue"/>
          </w:tcPr>
          <w:p>
            <w:pPr>
              <w:spacing w:after="0"/>
              <w:rPr>
                <w:sz w:val="13"/>
                <w:szCs w:val="13"/>
                <w:color w:val="auto"/>
              </w:rPr>
            </w:pPr>
          </w:p>
        </w:tc>
        <w:tc>
          <w:tcPr>
            <w:tcW w:w="2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vMerge w:val="continue"/>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vMerge w:val="continue"/>
          </w:tcPr>
          <w:p>
            <w:pPr>
              <w:spacing w:after="0"/>
              <w:rPr>
                <w:sz w:val="13"/>
                <w:szCs w:val="13"/>
                <w:color w:val="auto"/>
              </w:rPr>
            </w:pPr>
          </w:p>
        </w:tc>
        <w:tc>
          <w:tcPr>
            <w:tcW w:w="4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vMerge w:val="continue"/>
          </w:tcPr>
          <w:p>
            <w:pPr>
              <w:spacing w:after="0"/>
              <w:rPr>
                <w:sz w:val="13"/>
                <w:szCs w:val="13"/>
                <w:color w:val="auto"/>
              </w:rPr>
            </w:pPr>
          </w:p>
        </w:tc>
        <w:tc>
          <w:tcPr>
            <w:tcW w:w="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vMerge w:val="continue"/>
          </w:tcPr>
          <w:p>
            <w:pPr>
              <w:spacing w:after="0"/>
              <w:rPr>
                <w:sz w:val="13"/>
                <w:szCs w:val="13"/>
                <w:color w:val="auto"/>
              </w:rPr>
            </w:pPr>
          </w:p>
        </w:tc>
        <w:tc>
          <w:tcPr>
            <w:tcW w:w="1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(512,989</w:t>
            </w: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vMerge w:val="continue"/>
          </w:tcPr>
          <w:p>
            <w:pPr>
              <w:spacing w:after="0"/>
              <w:rPr>
                <w:sz w:val="13"/>
                <w:szCs w:val="13"/>
                <w:color w:val="auto"/>
              </w:rPr>
            </w:pPr>
          </w:p>
        </w:tc>
        <w:tc>
          <w:tcPr>
            <w:tcW w:w="1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(512,984)</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0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Issuance of Series G-2 Preferred Stock, net of stock</w:t>
            </w:r>
          </w:p>
        </w:tc>
        <w:tc>
          <w:tcPr>
            <w:tcW w:w="7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157,046</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8,894</w:t>
            </w:r>
          </w:p>
        </w:tc>
        <w:tc>
          <w:tcPr>
            <w:tcW w:w="20" w:type="dxa"/>
            <w:vAlign w:val="bottom"/>
            <w:shd w:val="clear" w:color="auto" w:fill="000000"/>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 of $106</w:t>
            </w: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559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78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17,450</w:t>
            </w:r>
          </w:p>
        </w:tc>
        <w:tc>
          <w:tcPr>
            <w:tcW w:w="440" w:type="dxa"/>
            <w:vAlign w:val="bottom"/>
          </w:tcPr>
          <w:p>
            <w:pPr>
              <w:spacing w:after="0"/>
              <w:rPr>
                <w:sz w:val="12"/>
                <w:szCs w:val="12"/>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79"/>
              </w:rPr>
              <w:t>0</w:t>
            </w: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30,135</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(453)</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(35,305)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(35,758)</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0" w:type="dxa"/>
            <w:vAlign w:val="bottom"/>
          </w:tcPr>
          <w:p>
            <w:pPr>
              <w:spacing w:after="0"/>
              <w:rPr>
                <w:sz w:val="1"/>
                <w:szCs w:val="1"/>
                <w:color w:val="auto"/>
              </w:rPr>
            </w:pPr>
          </w:p>
        </w:tc>
      </w:tr>
      <w:tr>
        <w:trPr>
          <w:trHeight w:val="151"/>
        </w:trPr>
        <w:tc>
          <w:tcPr>
            <w:tcW w:w="30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898,291</w:t>
            </w:r>
          </w:p>
        </w:tc>
        <w:tc>
          <w:tcPr>
            <w:tcW w:w="24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58,367,961</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4,612,450</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3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(807,486</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(807,491)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Labs,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and, ultimately, to Tempus Labs, Inc. in October 2016.</w:t>
      </w:r>
    </w:p>
    <w:p>
      <w:pPr>
        <w:spacing w:after="0" w:line="327" w:lineRule="exact"/>
        <w:rPr>
          <w:sz w:val="20"/>
          <w:szCs w:val="20"/>
          <w:color w:val="auto"/>
        </w:rPr>
      </w:pPr>
    </w:p>
    <w:p>
      <w:pPr>
        <w:ind w:left="460" w:right="6320" w:hanging="455"/>
        <w:spacing w:after="0" w:line="412" w:lineRule="auto"/>
        <w:tabs>
          <w:tab w:leader="none" w:pos="453"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Labs,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at December 31, 2021, inclusive of the Series G-3 Financing undertaken in April 2022, will be sufficient to allow the Company to fund its current operating plan through at least a period of one year after the date the consolidated financial statements are issued.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A reclassification has been made within the operating activities section of the consolidated statements of cash flows for the year ended December 31, 2020 to present the change in fair value of contingent consideration as a separate line within operating activities. This amount was previously presented within the change in accrued expenses &amp; other. This reclassification had no effect on the reported financial position, results of operations or cash flows of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contingent liabilities and the useful lives of property, equipment and intangible assets. Actual results could differ from those estimates.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COVID-19 global pandemic continues to impact daily life in the United States and abroad. While the negative impacts of the business in the years ended December 31, 2020 and 2021 were minimal, if there are additional disruptions for an extended period, it could have a material impact on the Company’s results. In addition, our agreement with CVS, which resulted in revenue from various customers, accounted for 24.0% and 27.5% of our revenue for the year ended December 31, 2020 and the year ended December 31, 2021, respectively, and expired in July 2021 and was renegotiated in November 2021. The term of the new agreement runs through October 1, 2022. As a result, we will continue to process samples under the renegotiated agreement. Revenue from COVID-19 testing accounted for $89.5 million, or 47.6%, of total revenue in the year ended December 31, 2020, and $94.7 million, or 36.7%, of total revenue in the year ended December 31, 2021.</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from the date of purchase to be cash equivalents. Restricted cash primarily represents amounts that the Company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unable to access for operational purposes pursuant to a letter of credit with a financial institution in connection with an equipment lease. The Company had $0.8 million of restricted cash as of December 31, 2020 and 2021,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The allowance for doubtful accounts is based on historical loss experience and any specific risks identified in collection matters. An allowance for doubtful accounts was not material as of December 31, 2020 and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Revenue from one customer accounted for approximately 16.6% of the Company’s total revenues for the year ended December 31, 2020. Revenues from this customer did not represent a significant portion of total revenues for the year ended December 31, 2021. The amount due from this customer is approximately $14.8 million or 17.0% of accounts receivable as of December 31, 2020. The amount due from this customer did not represent a significant portion of accounts receivable as of December 31, 2021. On April 2, 2022, this customer terminated its contract for COVID-19 testing services.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Revenue from a different customer accounted for approximately 7.2% of the Company’s revenues for the year ended December 31, 2021. Revenues from this customer did not represent a significant portion of total revenues for the year ended December 31, 2020. The amount due from this customer is approximately $9.7 million or 11.8%, respectively, of accounts receivable as of December 31, 2021. The amount due from this customer did not represent a significant portion of accounts receivable as of December 31, 2020.</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also has concentration risk around revenue generated from COVID-19 testing. Revenue from COVID-19 testing was $89.5 million and $94.7 million or 47.6% and 36.7% of the Company’s total revenues for the year ended December 31, 2020 and 2021,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Inventory write-downs for the year ended December 31, 2020 were not material. For the year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ended December 31, 2021, the Company recorded $5.1 million of inventory write-downs to cost of revenues, genomics, primarily related to the expiration of COVID-19 testing kits and oncology lab supplies. As of December 31, 2020, the Company had approximately $37.0 million of inventory and $0.6 million of inventory in process in the labs. As of December 31, 2021, the Company had approximately $22.2 million of inventory and $0.7 million of inventory in process in the labs.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23% and 25% of total vendor payments for the year ended December 31, 2020 and 2021, respectively. Amounts due to this vendor approximated $5.3 million and $0.9 million at December 31, 2020 and 2021 respectively.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The Company had $11.5 million and $17.3 million at December 31, 2020 and 2021, respectively.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capital leases are stated at the lesser of the present value of minimum lease payments or their fair market value. Depreciation is recognized using the 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There were no impairment charges recognized related to long-lived assets during the years ended December 31, 2020 and 2021.</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2020 and 2021.</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Company’s outstanding promissory note (see Note 10) is accounted for in accordance with ASC 470-20.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other”) through the licensing of de-identified datasets to third parties and from matching patients to clinical trials enrolled in its clinical trial network, and related services. The majority of the Company’s revenue is generated in North America.</w:t>
      </w:r>
    </w:p>
    <w:p>
      <w:pPr>
        <w:spacing w:after="0" w:line="182"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commences revenue recognition when control of these products is transferred to customers in an amount that reflects the consideration the Company expects to be entitled to in exchange for such products. This principle is achieved by applying the five-step approach:</w:t>
      </w:r>
    </w:p>
    <w:p>
      <w:pPr>
        <w:spacing w:after="0" w:line="180" w:lineRule="exact"/>
        <w:rPr>
          <w:sz w:val="20"/>
          <w:szCs w:val="20"/>
          <w:color w:val="auto"/>
        </w:rPr>
      </w:pPr>
    </w:p>
    <w:p>
      <w:pPr>
        <w:jc w:val="both"/>
        <w:ind w:firstLine="459"/>
        <w:spacing w:after="0" w:line="255" w:lineRule="auto"/>
        <w:tabs>
          <w:tab w:leader="none" w:pos="67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other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$151.9 million and $195.0 million for the years ended December 31, 2020 and 2021, respectively.</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The Company monitors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$104.1 million and $151.1 million for the years ended December 31, 2020 and 2021, respectively.</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$48.0 million and $43.9 million for the years ended December 31, 2020 and 2021,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Data and other revenue primarily represents data licensing and clinical trial matching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other product offering when it has met its performance obligation under the terms of the agreement with the customer. A description of the Company’s two product offerings are as follows: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transaction price is allocated to the distinct performance obligations and revenue is recognized once the performance obligation has been fulfilled.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our enhanced Lens application are separate and distinct performance obligations. For data deliveries, revenue is recognized upon delivery of the data to the customer, and the Company accounts for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individual licensed data records as a right to use license. Analytical services typically involve data analysis and research performed on behalf of the customer by the Company. The resulting delivery of data, or a report addressing a series of questions and analytical results, is considered a separate performance obligation. For analytical services or access to Lens, revenue is recognized as the services are provided or over the period to which access is granted. For the periods presented, revenue from analytical services and access to Lens are not material.</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Therapies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Company’s Therapies product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For Insights and Therapies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other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$36.1 million and $62.8 million for the years ended December 31, 2020 and 2021, respectively.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fourth quarter of 2021, the Company entered into certain new multi-year contracts that did not contain early termination or customer opt-in clauses. These contracts contained defined, noncancelable performance obligations that will be fulfilled in future years. The Company’s remaining performance obligations related to these contracts was $97.7 million as of December 31, 2021, of which the Company expects to recognize approximately 34% of its remaining performance obligations as revenue each year for the next two years, and the remaining 31% of its remaining performance obligations as revenue in year three.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or consideration payable to customers, and as a result, the Company has recognized two forms of contract assets as of December 31, 2021. The Company recognizes invoicing related contract assets when we have an unconditional right to payment, and when revenues earned on a contract exceeds the billings. These contract assets are presented under accounts receivable, net. Accounts receivable as of December 31, 2020 and December 31, 2021 included contract assets of $39.6 million and $18.5 million respectively.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fourth quarter of 2021, and in conjunction with the signing of a November 2021 Master Services Agreement (“the MSA”) with customer AstraZeneca AB (“AstraZeneca”), the Company recognized a contract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As revenue is recognized over the period of the contractual commitment of the MSA, the associated contract asset amortization is recorded as reduction of revenue. At each reporting period, the short-term portion of the warrant asset is adjusted based on the financial commitment and reclassified to Prepaids expenses and other current assets.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3"/>
        </w:trPr>
        <w:tc>
          <w:tcPr>
            <w:tcW w:w="65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3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31,067</w:t>
            </w:r>
          </w:p>
        </w:tc>
        <w:tc>
          <w:tcPr>
            <w:tcW w:w="40" w:type="dxa"/>
            <w:vAlign w:val="bottom"/>
          </w:tcPr>
          <w:p>
            <w:pPr>
              <w:spacing w:after="0"/>
              <w:rPr>
                <w:sz w:val="18"/>
                <w:szCs w:val="18"/>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4000" w:type="dxa"/>
            <w:vAlign w:val="bottom"/>
            <w:gridSpan w:val="2"/>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36,283</w:t>
            </w:r>
          </w:p>
        </w:tc>
      </w:tr>
      <w:tr>
        <w:trPr>
          <w:trHeight w:val="20"/>
        </w:trPr>
        <w:tc>
          <w:tcPr>
            <w:tcW w:w="6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product offering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Deferred revenue balances comprised current deferred revenue only as $7.0 million and $16.5 million as of December 31, 2020 and 2021, respectively. During the year ended December 31, 2021, deferred revenue increased $9.5 million as a result of $27.7 million of additional invoicing which was offset by $18.1 million of revenue recognized during the same period. The amount of revenue recognized during the year ended December 31, 2021 that was included in deferred revenue at the beginning of the period was $7.0 million. As of December 31, 2021 all deferred revenue recorded is expected to be recognized in the next twelve months.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Genomics consists of personnel lab expenses, including salaries, bonuses, employee benefits, amortization of intangible assets, cost of laboratory supplies and consumables,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other includes data acquisition and royalty fees, and personnel costs related to our delivery of our data services and platform,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2020 and 2021, the Company did not match any employee contributions.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8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federal and state net operating loss (“NOL”) carry forwards of approximately $616.7 million and $464.8 million, respectively, which may be available to offset future taxable income. The federal NOLs will begin to expire in 2037 and the state NOLs will begin to expire in 2028.</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2020 and 2021, there are no uncertain positions taken or expected to be taken that would require recognition of a liability in the financial statements.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2021, the Company was not under audit in any jurisdiction.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There were no deferred offering costs as of December 31, 2020. The Company had $3.9 million of deferred offering costs as of December 31,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9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13.</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 xml:space="preserve">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 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expense,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Company’s Series A, B, B-1, B-2, C, D, E, F, G and G-2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Gains or losses from balance sheet translation are the only component of accumulated other comprehensive loss in the consolidated balance sheet.</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 xml:space="preserve">In January 2017, the FASB issued ASU No. 2017-04, </w:t>
      </w:r>
      <w:r>
        <w:rPr>
          <w:rFonts w:ascii="Times New Roman" w:cs="Times New Roman" w:eastAsia="Times New Roman" w:hAnsi="Times New Roman"/>
          <w:sz w:val="16"/>
          <w:szCs w:val="16"/>
          <w:i w:val="1"/>
          <w:iCs w:val="1"/>
          <w:color w:val="auto"/>
        </w:rPr>
        <w:t>Intangibles—Goodwill and Other (Topic 350): Simplifying the Test for Goodwill Impairment.</w:t>
      </w:r>
      <w:r>
        <w:rPr>
          <w:rFonts w:ascii="Times New Roman" w:cs="Times New Roman" w:eastAsia="Times New Roman" w:hAnsi="Times New Roman"/>
          <w:sz w:val="16"/>
          <w:szCs w:val="16"/>
          <w:color w:val="auto"/>
        </w:rPr>
        <w:t xml:space="preserve"> ASU 2018-04 simplifies how an entity is required to test goodwill for impairment by eliminating Step 2 from the goodwill impairment test. The guidance is effective for the fiscal year beginning May 1, 2023 with early adoption permitted. The Company early adopted the guidance as of January 1, 2020 using a prospective transition method. Adoption of this guidance did not have a material impact to the Company’s consolidated financial statements and related disclosures.</w:t>
      </w:r>
    </w:p>
    <w:p>
      <w:pPr>
        <w:spacing w:after="0" w:line="15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 xml:space="preserve">In July 2017, the FASB issued ASU 2017-11, Earnings Per Share (Topic 260), </w:t>
      </w:r>
      <w:r>
        <w:rPr>
          <w:rFonts w:ascii="Times New Roman" w:cs="Times New Roman" w:eastAsia="Times New Roman" w:hAnsi="Times New Roman"/>
          <w:sz w:val="16"/>
          <w:szCs w:val="16"/>
          <w:i w:val="1"/>
          <w:iCs w:val="1"/>
          <w:color w:val="auto"/>
        </w:rPr>
        <w:t>Distinguishing Liabilities from Equity (Topic 480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Derivatives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Hedging (Topic 815)</w:t>
      </w:r>
      <w:r>
        <w:rPr>
          <w:rFonts w:ascii="Times New Roman" w:cs="Times New Roman" w:eastAsia="Times New Roman" w:hAnsi="Times New Roman"/>
          <w:sz w:val="16"/>
          <w:szCs w:val="16"/>
          <w:color w:val="auto"/>
        </w:rPr>
        <w:t>. The amendments in Part I of the Update change the reclassification analysis of certain equity-linked financial instruments (or embedded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features) with down-round features. The amendments in Part II of the update re-characterize the indefinite deferral of certain provisions of Topic 480 that now are presented as pending content in the ASC, to a scope exception. The amendments in Part I of this update was effective for the Company on January 1, 2020 (the date it was effective for private companies). The amendments in Part II of the update did not require any transition guidance because those amendments did not have an accounting effect. The adoption did not have a material effect on the Company’s consolidated financial statements as of the date of adoption.</w:t>
      </w:r>
    </w:p>
    <w:p>
      <w:pPr>
        <w:spacing w:after="0" w:line="159"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 Service Contract</w:t>
      </w:r>
      <w:r>
        <w:rPr>
          <w:rFonts w:ascii="Times New Roman" w:cs="Times New Roman" w:eastAsia="Times New Roman" w:hAnsi="Times New Roman"/>
          <w:sz w:val="18"/>
          <w:szCs w:val="18"/>
          <w:color w:val="auto"/>
        </w:rPr>
        <w:t>, In August 2018. ASU 2018-15 requires a customer in a cloud computing arrangement that is a service contract to follow the internal-use software guidance in ASC 350-40 to determine which implementation costs to defer and recognize as an asset. The guidance is effective for the fiscal year beginning January 1, 2021, and interim periods within annual periods beginning after December 15, 2021. Early adoption is permitted. The Company adopted the guidance as of January 1, 2021 on a prospective basis. The adoption did not have a material effect on the Company’s consolidated financial statements.</w:t>
      </w:r>
    </w:p>
    <w:p>
      <w:pPr>
        <w:spacing w:after="0" w:line="18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November 2018, the FASB issued ASU 2018-18, Collaborative Arrangements (Topic 808</w:t>
      </w:r>
      <w:r>
        <w:rPr>
          <w:rFonts w:ascii="Times New Roman" w:cs="Times New Roman" w:eastAsia="Times New Roman" w:hAnsi="Times New Roman"/>
          <w:sz w:val="18"/>
          <w:szCs w:val="18"/>
          <w:i w:val="1"/>
          <w:iCs w:val="1"/>
          <w:color w:val="auto"/>
        </w:rPr>
        <w:t>): Clarifying the Interaction between Topic 808 and Topic 606</w:t>
      </w:r>
      <w:r>
        <w:rPr>
          <w:rFonts w:ascii="Times New Roman" w:cs="Times New Roman" w:eastAsia="Times New Roman" w:hAnsi="Times New Roman"/>
          <w:sz w:val="18"/>
          <w:szCs w:val="18"/>
          <w:color w:val="auto"/>
        </w:rPr>
        <w:t>. This ASU provides guidance that clarifies when certain transactions between participants in a collaborative arrangement should be accounted for under ASC 606 when the counterparty is a customer, and amends ASC 808 to refer to the unit-of-account guidance in ASC 606. The guidance specifically precludes an entity from presenting consideration from a transaction in a collaborative arrangement as revenue from contracts with customers if the counterparty is not a customer for that transaction. The Company adopted the guidance as of January 1, 2021. The adoption did not have a material effect on the Company’s consolidated financial statements.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an emerging growth company, the Company is provided the option to adopt new or revised accounting guidance either (1) within the same periods as those otherwise applicable to public business entities or (2) within the same time periods as private companies, including early adoption when permissible.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as indicated below.</w:t>
      </w:r>
    </w:p>
    <w:p>
      <w:pPr>
        <w:spacing w:after="0" w:line="1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 xml:space="preserve">The FASB issued ASU 2016-02,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(Topic 842) (ASU 2016-02), in February 2016. ASU 2016-02 will require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ASU 2016-02 is effective for annual financial statements of private companies issued for fiscal years beginning after December 15, 2020, and should be applied using a modified retrospective approach, as specified in ASU 2019-10. As long as the Company is an emerging growth company, the current effective date of adoption is January 1, 2022 for calendar year-end private companies. Early adoption is permitted. While the Company continues to assess the effects of adoption, it currently believes the most significant effects relate to the recognition, on the consolidated balance sheet, of right-of-use assets and lease liabilities related to operating leases. The Company is evaluating the full effects that adoption of ASU 2016-02 will have on its financial position, results of operations, and disclosures.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No. 2016-13”). ASU No. 2016-13 requires the measurement and recognition of expected credit losses for financial assets that are held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including trade receivables. ASU No. 2016-13 replaces the previous incurred loss impairment model with an expected loss model which requires the use of forward-looking information to calculate credit loss estimates. The guidance is effective for the Company beginning January 1, 2023, with early adoption permitted. The Company is currently evaluating the effect that this guidance will have on the consolidated financial statements and related disclosures. The adoption of the standard is not expected to materially impact the Company’s financial statements.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guidance is effective for the Company beginning January 1, 2022. Early adoption is permitted. The Company is currently evaluating the effect that this guidance will have on the consolidated financial statements and related disclosures.</w:t>
      </w:r>
    </w:p>
    <w:p>
      <w:pPr>
        <w:spacing w:after="0" w:line="331" w:lineRule="exact"/>
        <w:rPr>
          <w:sz w:val="20"/>
          <w:szCs w:val="20"/>
          <w:color w:val="auto"/>
        </w:rPr>
      </w:pPr>
    </w:p>
    <w:p>
      <w:pPr>
        <w:ind w:left="460" w:hanging="455"/>
        <w:spacing w:after="0"/>
        <w:tabs>
          <w:tab w:leader="none" w:pos="4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Labs Inc. purchased 100% of the issued and outstanding shares of capital stock of AKESOgen for $30.3 million, with an adjustment for working capital. In accordance with the terms of the agreement, $4.0 million of the consideration was held back, which was subsequently paid in July 2021. The transaction also included a contingent consideration arrangement to transfer shares of non-voting common stock to the former owners with an acquisition date fair value of $3.4 million, which the company recognized under long-term liabilities. The consideration will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will be paid out on the third anniversary of the Closing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right="8100" w:firstLine="5"/>
        <w:spacing w:after="0" w:line="420" w:lineRule="auto"/>
        <w:tabs>
          <w:tab w:leader="none" w:pos="446"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Propertyand Equipment, net</w:t>
      </w:r>
    </w:p>
    <w:p>
      <w:pPr>
        <w:spacing w:after="0" w:line="1" w:lineRule="exact"/>
        <w:rPr>
          <w:rFonts w:ascii="Times New Roman" w:cs="Times New Roman" w:eastAsia="Times New Roman" w:hAnsi="Times New Roman"/>
          <w:sz w:val="16"/>
          <w:szCs w:val="16"/>
          <w:b w:val="1"/>
          <w:bCs w:val="1"/>
          <w:color w:val="auto"/>
        </w:rPr>
      </w:pP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2020 and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8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03"/>
        </w:trPr>
        <w:tc>
          <w:tcPr>
            <w:tcW w:w="8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38,217</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47,750</w:t>
            </w:r>
          </w:p>
        </w:tc>
        <w:tc>
          <w:tcPr>
            <w:tcW w:w="100" w:type="dxa"/>
            <w:vAlign w:val="bottom"/>
            <w:shd w:val="clear" w:color="auto" w:fill="CCEEFF"/>
          </w:tcPr>
          <w:p>
            <w:pPr>
              <w:spacing w:after="0"/>
              <w:rPr>
                <w:sz w:val="17"/>
                <w:szCs w:val="17"/>
                <w:color w:val="auto"/>
              </w:rPr>
            </w:pPr>
          </w:p>
        </w:tc>
      </w:tr>
      <w:tr>
        <w:trPr>
          <w:trHeight w:val="21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23,352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23,716</w:t>
            </w: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78,039</w:t>
            </w:r>
          </w:p>
        </w:tc>
        <w:tc>
          <w:tcPr>
            <w:tcW w:w="100" w:type="dxa"/>
            <w:vAlign w:val="bottom"/>
          </w:tcPr>
          <w:p>
            <w:pPr>
              <w:spacing w:after="0"/>
              <w:rPr>
                <w:sz w:val="18"/>
                <w:szCs w:val="18"/>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deprectiation</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(28,885)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(42,644)</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10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2021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88"/>
              </w:rPr>
              <w:t>7,206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5,885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6"/>
        </w:trPr>
        <w:tc>
          <w:tcPr>
            <w:tcW w:w="8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13,091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8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9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3"/>
              </w:rPr>
              <w:t>8,690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2"/>
              </w:rPr>
              <w:t>11,488</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40,694</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Other Assets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and other assets include amounts due from related parties (Note 14), and an equity method investment.</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June 21, 2021, the Company contributed $5.9 million in cash for a minority interest in a research platform in service of advancing data-driven medicine in psychiatry. The Company concurrently entered a Commercial partnership agreement with the investee for the purpose of furthering the commercialization efforts of the associated research platform.</w:t>
      </w:r>
    </w:p>
    <w:p>
      <w:pPr>
        <w:spacing w:after="0" w:line="178"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Consistent with purchase obligations disclosed in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the commercial partnership agreement includes committed payments for access to the data and additional payments contingent on the commercialization of such data. The annual license fee commitment is not materially significant.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1st. The changes in the carrying amount of goodwill for the years ended December 31, 2020 and 2021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4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$15,986</w:t>
            </w:r>
          </w:p>
        </w:tc>
      </w:tr>
      <w:tr>
        <w:trPr>
          <w:trHeight w:val="21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4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4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$15,992</w:t>
            </w:r>
          </w:p>
        </w:tc>
      </w:tr>
      <w:tr>
        <w:trPr>
          <w:trHeight w:val="21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$15,985</w:t>
            </w:r>
          </w:p>
        </w:tc>
      </w:tr>
    </w:tbl>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2020 and 2021.</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Intangible assets are initially recorded at their acquisition cost, or fair value if acquired as part of a business combination and amortized over their estimated useful lives. Intangible assets consist of a website domain, customer relationships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 During the years ended December 31, 2020 and 2021, the gross amount of intangible assets increased $13.1 million and $3.0 million, respectively, resulting from the extension of a research collaboration agreement. The amendment extended the minimum length of the contract from five years to seven years.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2020 and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9"/>
                <w:szCs w:val="9"/>
                <w:color w:val="auto"/>
              </w:rPr>
            </w:pPr>
          </w:p>
        </w:tc>
        <w:tc>
          <w:tcPr>
            <w:tcW w:w="118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9"/>
                <w:szCs w:val="9"/>
                <w:color w:val="auto"/>
              </w:rPr>
            </w:pPr>
          </w:p>
        </w:tc>
        <w:tc>
          <w:tcPr>
            <w:tcW w:w="120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4"/>
                <w:szCs w:val="14"/>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$ 17,300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2,471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14,829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2"/>
              </w:rPr>
              <w:t>17,300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4,943</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50,586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20,975</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53,535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28,625</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24,910</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$ 67,905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2"/>
              </w:rPr>
              <w:t>70,854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33,568</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Amortization of intangible assets is recognized using the straight-line method over their estimated useful lives, which range from five to seven years. Amortization expense was $9.9 million and $10.1 million for the years ended December 31, 2020 and December 31, 2021, respectively, and is recorded in cost of revenues, technology research and development or research and development, depending on use of the asset. The weighted average life of our intangibles is approximately seven years. As of December 31, 2021, the estimated future amortization expense related to intangible assets is as follows (in thousands):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8"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195"/>
        </w:trPr>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9000" w:type="dxa"/>
            <w:vAlign w:val="bottom"/>
            <w:gridSpan w:val="3"/>
          </w:tcPr>
          <w:p>
            <w:pPr>
              <w:jc w:val="right"/>
              <w:ind w:right="4980"/>
              <w:spacing w:after="0"/>
              <w:rPr>
                <w:sz w:val="20"/>
                <w:szCs w:val="20"/>
                <w:color w:val="auto"/>
              </w:rPr>
            </w:pPr>
            <w:r>
              <w:rPr>
                <w:rFonts w:ascii="Times New Roman" w:cs="Times New Roman" w:eastAsia="Times New Roman" w:hAnsi="Times New Roman"/>
                <w:sz w:val="18"/>
                <w:szCs w:val="18"/>
                <w:b w:val="1"/>
                <w:bCs w:val="1"/>
                <w:color w:val="auto"/>
              </w:rPr>
              <w:t>Tempus Labs, Inc.</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0" w:type="dxa"/>
            <w:vAlign w:val="bottom"/>
            <w:gridSpan w:val="3"/>
          </w:tcPr>
          <w:p>
            <w:pPr>
              <w:jc w:val="right"/>
              <w:ind w:righ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shd w:val="clear" w:color="auto" w:fill="CCEEFF"/>
          </w:tcPr>
          <w:p>
            <w:pPr>
              <w:spacing w:after="0"/>
              <w:rPr>
                <w:sz w:val="18"/>
                <w:szCs w:val="18"/>
                <w:color w:val="auto"/>
              </w:rPr>
            </w:pPr>
          </w:p>
        </w:tc>
        <w:tc>
          <w:tcPr>
            <w:tcW w:w="9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Pr>
          <w:p>
            <w:pPr>
              <w:spacing w:after="0"/>
              <w:rPr>
                <w:sz w:val="18"/>
                <w:szCs w:val="18"/>
                <w:color w:val="auto"/>
              </w:rPr>
            </w:pPr>
          </w:p>
        </w:tc>
        <w:tc>
          <w:tcPr>
            <w:tcW w:w="9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shd w:val="clear" w:color="auto" w:fill="CCEEFF"/>
          </w:tcPr>
          <w:p>
            <w:pPr>
              <w:spacing w:after="0"/>
              <w:rPr>
                <w:sz w:val="18"/>
                <w:szCs w:val="18"/>
                <w:color w:val="auto"/>
              </w:rPr>
            </w:pPr>
          </w:p>
        </w:tc>
        <w:tc>
          <w:tcPr>
            <w:tcW w:w="9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Pr>
          <w:p>
            <w:pPr>
              <w:spacing w:after="0"/>
              <w:rPr>
                <w:sz w:val="18"/>
                <w:szCs w:val="18"/>
                <w:color w:val="auto"/>
              </w:rPr>
            </w:pPr>
          </w:p>
        </w:tc>
        <w:tc>
          <w:tcPr>
            <w:tcW w:w="9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shd w:val="clear" w:color="auto" w:fill="CCEEFF"/>
          </w:tcPr>
          <w:p>
            <w:pPr>
              <w:spacing w:after="0"/>
              <w:rPr>
                <w:sz w:val="18"/>
                <w:szCs w:val="18"/>
                <w:color w:val="auto"/>
              </w:rPr>
            </w:pPr>
          </w:p>
        </w:tc>
        <w:tc>
          <w:tcPr>
            <w:tcW w:w="9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320" w:type="dxa"/>
            <w:vAlign w:val="bottom"/>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$ 37,267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right="7540" w:hanging="455"/>
        <w:spacing w:after="0" w:line="366" w:lineRule="auto"/>
        <w:tabs>
          <w:tab w:leader="none" w:pos="453"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spacing w:after="0" w:line="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with lease expirations between 2021 and 2029. Rent expenses under operating leases was $6.2 million and $9.3 million for the years ended December 31, 2020 and 2021, respectively.</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leases its headquarters located in Chicago, Illinois (“600 West Chicago”). Our lease agreement for 600 West Chicago extends through May 2029 and includes rent escalations of 2.5% per year. The 600 West Chicago lease represents $35.4 million of the estimated future payments under operating leases shown in the table below. The Company accounts for the 600 West Chicago lease as an operating lease and recognizes rent expense on a straight-line basis, taking into account rent escalations and lease incentives.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also acquired portions of its equipment under capital lease agreements, with expirations between 2022 and 2023.</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the future payments under operating and capital leases for each of the next five years and thereafter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2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88"/>
              </w:rPr>
              <w:t>454</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55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710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capital lease obligations</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capital lease obligations</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3"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for access to the data and additional payments contingent on the commercialization of such data. For the years ended December 31, 2020 and 2021, the Company recognized data licensing and cloud computing expenses of $27.1 million and $39.6 million, respectively, related to non-cancelable arrangements.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2021, future payments under these contractual obligations were as follows (in thousands):</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101,054</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 Company had no outstanding litigation as of December 31, 2021.</w:t>
      </w:r>
    </w:p>
    <w:p>
      <w:pPr>
        <w:spacing w:after="0" w:line="312" w:lineRule="exact"/>
        <w:rPr>
          <w:sz w:val="20"/>
          <w:szCs w:val="20"/>
          <w:color w:val="auto"/>
        </w:rPr>
      </w:pPr>
    </w:p>
    <w:p>
      <w:pPr>
        <w:ind w:left="460" w:right="8640" w:hanging="455"/>
        <w:spacing w:after="0" w:line="366" w:lineRule="auto"/>
        <w:tabs>
          <w:tab w:leader="none" w:pos="453"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has authorized 181,700,285 shares of Class A common stock, 5,374,899 shares of Class B common stock, and 63,946,627 shares of non-voting common stock. In February 2022, the Company increased the number of authorized shares of non-voting common stock to 66,946,627. In April 2022, the Company increased the number of authorized shares of Class A common stock to 195,865,548 in conjunction with the Series G-3 Financing (see Note 8, Redeemable Convertible Preferred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 and each share of Class B common stock is entitled to fifteen votes per share. Non-voting shares of common stock do not have voting rights.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40"/>
          </w:cols>
          <w:pgMar w:left="320" w:top="448" w:right="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whether or not for value, each such transferred share will automatically convert into one share of Class A common stock, except for certain transfers detailed below and further described in the Company’s amended and restated certificate of incorporation that will be in effect following the closing of this offering.</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twenty-year anniversary of the filing of the certificate of amendment to the Company’s ninth amended and restated certificate of incorporation, which is March 15, 2041; (3) the termination of Mr. Lefkofsky’s employment or service with the Company as an executive officer and member of the board of directors; and (4) the date that Mr. Lefkofsky and his controlled entities hold, in the aggregate, fewer than 10,000,000 shares of the Company’s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9, Stock-Based Compensation).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If no such transaction has occurred, the exercise price will be the latest equity financing price. The warrant will be automatically cancelled and terminated for no consideration, if not previously exercised, in the event AstraZeneca declines to extend its financial commitment before December 31, 2024. If AstraZeneca exercises the warrant, AstraZeneca will be required to increase its minimum commitment under the MSA from $200 million to $300 million through December 2026.</w:t>
      </w:r>
    </w:p>
    <w:p>
      <w:pPr>
        <w:spacing w:after="0" w:line="329" w:lineRule="exact"/>
        <w:rPr>
          <w:sz w:val="20"/>
          <w:szCs w:val="20"/>
          <w:color w:val="auto"/>
        </w:rPr>
      </w:pPr>
    </w:p>
    <w:p>
      <w:pPr>
        <w:ind w:left="460" w:hanging="455"/>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the Company authorized and issued 2,537,290 shares of Series G Preferred Stock (“Series G Preferred”). In November 2020, the Company authorized 7,135,072 shares and issued 3,296,093 shares of Series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40"/>
          </w:cols>
          <w:pgMar w:left="320" w:top="448"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$.0001. The Company used the proceeds from such issuances for working capital and general corporate purposes.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1,483,242 shares of Series G-3 Preferred stock (“Series G-3 Preferred”) for aggregate proceeds of $85.0 million. Each share has a par value of $.0001. The Company will use the proceeds for working capital and general corporate purposes.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Redeemable convertible preferred stock outstanding as of December 31, 2020 and 2021, consisted of the following (in thousands, except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560" w:type="dxa"/>
            <w:vAlign w:val="bottom"/>
          </w:tcPr>
          <w:p>
            <w:pPr>
              <w:spacing w:after="0"/>
              <w:rPr>
                <w:sz w:val="14"/>
                <w:szCs w:val="14"/>
                <w:color w:val="auto"/>
              </w:rPr>
            </w:pPr>
          </w:p>
        </w:tc>
        <w:tc>
          <w:tcPr>
            <w:tcW w:w="6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14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right"/>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1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560" w:type="dxa"/>
            <w:vAlign w:val="bottom"/>
          </w:tcPr>
          <w:p>
            <w:pPr>
              <w:spacing w:after="0"/>
              <w:rPr>
                <w:sz w:val="13"/>
                <w:szCs w:val="13"/>
                <w:color w:val="auto"/>
              </w:rPr>
            </w:pPr>
          </w:p>
        </w:tc>
        <w:tc>
          <w:tcPr>
            <w:tcW w:w="620" w:type="dxa"/>
            <w:vAlign w:val="bottom"/>
            <w:gridSpan w:val="3"/>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14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780" w:type="dxa"/>
            <w:vAlign w:val="bottom"/>
            <w:gridSpan w:val="2"/>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5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2015</w:t>
            </w: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5,374,899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2016</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4,191,173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2017</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9,779,403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78,777</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8,534,330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91,623</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2018</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6,630,905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127,306</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8,077,674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219,749</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2020</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2,537,290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102,186</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188,889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60,921,767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871,530</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859,156</w:t>
            </w: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Excludes amounts related to the conversion of convertible note</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0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140" w:type="dxa"/>
            <w:vAlign w:val="bottom"/>
            <w:gridSpan w:val="2"/>
          </w:tcPr>
          <w:p>
            <w:pPr>
              <w:jc w:val="right"/>
              <w:ind w:right="50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right"/>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80" w:type="dxa"/>
            <w:vAlign w:val="bottom"/>
            <w:gridSpan w:val="4"/>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140" w:type="dxa"/>
            <w:vAlign w:val="bottom"/>
            <w:gridSpan w:val="2"/>
          </w:tcPr>
          <w:p>
            <w:pPr>
              <w:jc w:val="right"/>
              <w:ind w:right="36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2020/2021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61,078,813</w:t>
            </w: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913,138</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898,291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Excludes amounts related to the conversion of convertible note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2020 and 2021,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and Series G-3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Except for the holders of Series G-2 and Series G-3 Preferred, the holders of Series Preferred are entitled to dividends at a rate of 5% or 6% of the original issue price (subject to adjustment in the event of any stock 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With the exception of the Series B Preferred stockholders, Preferred stockholders are entitled to the number of votes equal to the product obtained by multiplying the number of shares of voting common stock into which their shares could be converted. Series B Preferred stockholders are entitled to the number of votes equal to the product obtained by multiplying the number of shares of voting common stock into which their shares could be converted by ten.</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G-3, Series G-2, Series G, Series F, Series E, Series D, Series C, Series B-2, Series B-1, Series B, Series A.</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outstanding share of Series G-3 Preferred, Series G-2 Preferred, Series G Preferred,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G-3 Preferred shares and ending sixty days thereafter, of written notice from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at an offering price of $68.7683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2020 and 2021. In the event of an initial public offering (“IPO”), the Series G-3 Preferred conversion price is subject to a 10% discount off the lesser of price per share of Class A Common Stock, and Series G-3 original issue price, or, if this offering is completed after June 30, 2023, a 15% discount off of the public offering price.</w:t>
      </w:r>
    </w:p>
    <w:p>
      <w:pPr>
        <w:spacing w:after="0" w:line="332" w:lineRule="exact"/>
        <w:rPr>
          <w:sz w:val="20"/>
          <w:szCs w:val="20"/>
          <w:color w:val="auto"/>
        </w:rPr>
      </w:pPr>
    </w:p>
    <w:p>
      <w:pPr>
        <w:ind w:left="460" w:right="8160" w:hanging="455"/>
        <w:spacing w:after="0" w:line="366" w:lineRule="auto"/>
        <w:tabs>
          <w:tab w:leader="none" w:pos="45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2015, the Company adopted the Tempus Labs, Inc. 2015 Stock Plan (the Plan), which has been amended and restated numerous times to increase the aggregate shares authorized to be issued to employees, consultants, and directors of the Company. As of December 31, 2020 and 2021, there were 22,115,750 shares authorized under the Plan. In February 2022, the Plan was amended to increase the aggregate shares authorized to be issued to 25,115,750.</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2020 and 2021, 8,572,503 and 971,331 shares, respectively, were available for future issuance under the Plan.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recognized stock-based compensation expense of $0.4 million and $0.6 million in the years ended December 31, 2020 and 2021, respectively, within Selling, general and administrative expense. The Company accounts for forfeitures as they occur.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25%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4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6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2020</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8,738,247</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2,255,425</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(649,253)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Redeemed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10,344,419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restricted stock units that vested during the years ended December 31, 2020 and 2021. As of December 31, 2021, there was $115.6 million of unrecognized stock compensation expense relating to RSUs. Because of the liquidity event requirement, the Company cannot estimate the weighted-average period over which this expense will be recognized.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performance stock units (“PSUs”) granted under the Plan are subject to two vesting conditions. For PSUs granted in 2020, the first is the achievement of a revenue target before December 31, 2021 while remaining employed. This target was not met as of December 31, 2021, which resulted in the forfeiture of 200,000 PSUs. For PSUs granted in 2021, the first condition is the achievement of a valuation target. The second vesting condition is the occurrence of a liquidity event, as defined in the grant agreement. The fair value of each PSU is estimated on the date of grant using the 409a value of a non-voting share of common stock on such date. The table below summarizes performance stock unit activity under the Plan for the year ended December 31,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 -</w:t>
            </w:r>
          </w:p>
        </w:tc>
        <w:tc>
          <w:tcPr>
            <w:tcW w:w="0" w:type="dxa"/>
            <w:vAlign w:val="bottom"/>
          </w:tcPr>
          <w:p>
            <w:pPr>
              <w:spacing w:after="0"/>
              <w:rPr>
                <w:sz w:val="1"/>
                <w:szCs w:val="1"/>
                <w:color w:val="auto"/>
              </w:rPr>
            </w:pPr>
          </w:p>
        </w:tc>
      </w:tr>
      <w:tr>
        <w:trPr>
          <w:trHeight w:val="144"/>
        </w:trPr>
        <w:tc>
          <w:tcPr>
            <w:tcW w:w="89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69"/>
        </w:trPr>
        <w:tc>
          <w:tcPr>
            <w:tcW w:w="89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2020</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(205,000)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PSUs that vested during the years ended December 31, 2020 and 2021. As of December 31, 2021, there was $244.0 million of unrecognized stock compensation expense relating to PSUs. Because of the liquidity event requirement, the Company cannot estimate the weighted-average period over which this expense will be recognized should the performance condition be met.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spacing w:after="0"/>
              <w:rPr>
                <w:sz w:val="13"/>
                <w:szCs w:val="13"/>
                <w:color w:val="auto"/>
              </w:rPr>
            </w:pPr>
          </w:p>
        </w:tc>
        <w:tc>
          <w:tcPr>
            <w:tcW w:w="1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Outstanding—December 31, 2020</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357"/>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exercisable—December 31, 2021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gridSpan w:val="2"/>
            <w:vMerge w:val="continue"/>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ind w:left="357"/>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2020 and 2021, and there is no unrecognized expense relating to stock options.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6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w:t>
            </w:r>
          </w:p>
        </w:tc>
        <w:tc>
          <w:tcPr>
            <w:tcW w:w="620" w:type="dxa"/>
            <w:vAlign w:val="bottom"/>
            <w:tcBorders>
              <w:top w:val="single" w:sz="8" w:color="auto"/>
            </w:tcBorders>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7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4,250,000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Total compensation expense for vesting of restricted stock into unrestricted stock was $0.4 million for the year ended December 31, 2020. No compensation cost was recognized for the year ended December 31, 2021, and as of December 31, 2021, there was no unrecognized compensation cost related to non-vested restricted stock awards.</w:t>
      </w:r>
    </w:p>
    <w:p>
      <w:pPr>
        <w:spacing w:after="0" w:line="323" w:lineRule="exact"/>
        <w:rPr>
          <w:sz w:val="20"/>
          <w:szCs w:val="20"/>
          <w:color w:val="auto"/>
        </w:rPr>
      </w:pPr>
    </w:p>
    <w:p>
      <w:pPr>
        <w:ind w:left="460" w:hanging="455"/>
        <w:spacing w:after="0"/>
        <w:tabs>
          <w:tab w:leader="none" w:pos="4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PROMISSORY NOTES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As of December 31, 2021, the value of the note was $238.2 million, which consisted of $246.6 million gross principal, net of $8.4 million aggregate unapplied principal reduction. The Company accounts for the principal reductions as an offset to our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$10.0 million and $15.2 million during the year ended December 31, 2020 and 2021, respectively.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accounted for the conversion of the $80.0 million as a debt extinguishment and recognized a loss on extinguishment of debt of $8.9 million within Interest Expense in the consolidated statement of operations and comprehensive loss during the year ended December 31, 2020. The loss on extinguishment of debt was calculated as the difference between (i) the fair value of shares of Series G-2 issued and (ii) the carrying value of the Notes that were converted.</w:t>
      </w:r>
    </w:p>
    <w:p>
      <w:pPr>
        <w:spacing w:after="0" w:line="327" w:lineRule="exact"/>
        <w:rPr>
          <w:sz w:val="20"/>
          <w:szCs w:val="20"/>
          <w:color w:val="auto"/>
        </w:rPr>
      </w:pPr>
    </w:p>
    <w:p>
      <w:pPr>
        <w:ind w:left="460" w:hanging="455"/>
        <w:spacing w:after="0"/>
        <w:tabs>
          <w:tab w:leader="none" w:pos="4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Year-Ended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9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128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w w:val="96"/>
              </w:rPr>
              <w:t>(209,854)</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(259,192)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on Series A, B, B-1, B-2, C, D, E, F and G preferred shares</w:t>
            </w:r>
          </w:p>
        </w:tc>
        <w:tc>
          <w:tcPr>
            <w:tcW w:w="80" w:type="dxa"/>
            <w:vAlign w:val="bottom"/>
          </w:tcPr>
          <w:p>
            <w:pPr>
              <w:spacing w:after="0"/>
              <w:rPr>
                <w:sz w:val="18"/>
                <w:szCs w:val="18"/>
                <w:color w:val="auto"/>
              </w:rPr>
            </w:pPr>
          </w:p>
        </w:tc>
        <w:tc>
          <w:tcPr>
            <w:tcW w:w="128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(34,420)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(253,905</w:t>
            </w:r>
          </w:p>
        </w:tc>
        <w:tc>
          <w:tcPr>
            <w:tcW w:w="6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(297,736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shared outstanding, basic and diluted</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62,975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7, the Company issued a warrant for $100 million in shares of the Company’s Class A common stock. As per the terms of the warrant, potentially dilutive shares are based on the latest equity financing price.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4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8"/>
        </w:trPr>
        <w:tc>
          <w:tcPr>
            <w:tcW w:w="20" w:type="dxa"/>
            <w:vAlign w:val="bottom"/>
          </w:tcPr>
          <w:p>
            <w:pPr>
              <w:spacing w:after="0"/>
              <w:rPr>
                <w:sz w:val="11"/>
                <w:szCs w:val="11"/>
                <w:color w:val="auto"/>
              </w:rPr>
            </w:pPr>
          </w:p>
        </w:tc>
        <w:tc>
          <w:tcPr>
            <w:tcW w:w="892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18"/>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Shares associated with contingent consideration</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60,921,767</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61,078,813</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61,131,767</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63,179,270</w:t>
            </w: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9, the Company’s RSUs include a triggering liquidation performance condition prior to vesting. As disclosed in Note 10, contingent upon certain financing events,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2020 and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866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6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Charitable Contribution Carryforwards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98,895</w:t>
            </w:r>
          </w:p>
        </w:tc>
        <w:tc>
          <w:tcPr>
            <w:tcW w:w="820" w:type="dxa"/>
            <w:vAlign w:val="bottom"/>
            <w:gridSpan w:val="4"/>
          </w:tcPr>
          <w:p>
            <w:pPr>
              <w:jc w:val="right"/>
              <w:ind w:right="18"/>
              <w:spacing w:after="0"/>
              <w:rPr>
                <w:sz w:val="20"/>
                <w:szCs w:val="20"/>
                <w:color w:val="auto"/>
              </w:rPr>
            </w:pPr>
            <w:r>
              <w:rPr>
                <w:rFonts w:ascii="Times New Roman" w:cs="Times New Roman" w:eastAsia="Times New Roman" w:hAnsi="Times New Roman"/>
                <w:sz w:val="18"/>
                <w:szCs w:val="18"/>
                <w:color w:val="auto"/>
              </w:rPr>
              <w:t>163,656</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3,974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6,451</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Payroll taxes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160" w:type="dxa"/>
            <w:vAlign w:val="bottom"/>
            <w:gridSpan w:val="4"/>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w w:val="97"/>
              </w:rPr>
              <w:t>$ 108,015</w:t>
            </w:r>
          </w:p>
        </w:tc>
        <w:tc>
          <w:tcPr>
            <w:tcW w:w="820" w:type="dxa"/>
            <w:vAlign w:val="bottom"/>
            <w:gridSpan w:val="4"/>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7"/>
              </w:rPr>
              <w:t>$ 174,769</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98"/>
              <w:spacing w:after="0"/>
              <w:rPr>
                <w:sz w:val="20"/>
                <w:szCs w:val="20"/>
                <w:color w:val="auto"/>
              </w:rPr>
            </w:pPr>
            <w:r>
              <w:rPr>
                <w:rFonts w:ascii="Times New Roman" w:cs="Times New Roman" w:eastAsia="Times New Roman" w:hAnsi="Times New Roman"/>
                <w:sz w:val="18"/>
                <w:szCs w:val="18"/>
                <w:color w:val="auto"/>
                <w:w w:val="93"/>
              </w:rPr>
              <w:t>(102,981)</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5,034</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13,020</w:t>
            </w: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Book Basis over Tax Basis Intangibles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(13,020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2020 and 2021 (in thousands):</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8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866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6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(40,710)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(44,698)</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(14,071)</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(51,230)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(58,769)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51,230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58,769</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86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F-34</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30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8"/>
        </w:trPr>
        <w:tc>
          <w:tcPr>
            <w:tcW w:w="9300" w:type="dxa"/>
            <w:vAlign w:val="bottom"/>
          </w:tcPr>
          <w:p>
            <w:pPr>
              <w:spacing w:after="0"/>
              <w:rPr>
                <w:sz w:val="11"/>
                <w:szCs w:val="11"/>
                <w:color w:val="auto"/>
              </w:rPr>
            </w:pPr>
          </w:p>
        </w:tc>
        <w:tc>
          <w:tcPr>
            <w:tcW w:w="780" w:type="dxa"/>
            <w:vAlign w:val="bottom"/>
            <w:tcBorders>
              <w:top w:val="single" w:sz="8" w:color="auto"/>
            </w:tcBorders>
          </w:tcPr>
          <w:p>
            <w:pPr>
              <w:jc w:val="right"/>
              <w:ind w:right="161"/>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Borders>
              <w:top w:val="single" w:sz="8" w:color="auto"/>
            </w:tcBorders>
            <w:gridSpan w:val="2"/>
          </w:tcPr>
          <w:p>
            <w:pPr>
              <w:jc w:val="right"/>
              <w:ind w:right="172"/>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r>
      <w:tr>
        <w:trPr>
          <w:trHeight w:val="203"/>
        </w:trPr>
        <w:tc>
          <w:tcPr>
            <w:tcW w:w="9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(209,891)</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(258,780)</w:t>
            </w:r>
          </w:p>
        </w:tc>
        <w:tc>
          <w:tcPr>
            <w:tcW w:w="120" w:type="dxa"/>
            <w:vAlign w:val="bottom"/>
            <w:tcBorders>
              <w:top w:val="single" w:sz="8" w:color="CCEEFF"/>
            </w:tcBorders>
            <w:shd w:val="clear" w:color="auto" w:fill="CCEEFF"/>
          </w:tcPr>
          <w:p>
            <w:pPr>
              <w:spacing w:after="0"/>
              <w:rPr>
                <w:sz w:val="17"/>
                <w:szCs w:val="17"/>
                <w:color w:val="auto"/>
              </w:rPr>
            </w:pPr>
          </w:p>
        </w:tc>
      </w:tr>
      <w:tr>
        <w:trPr>
          <w:trHeight w:val="22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2020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5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4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9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5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51,230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102,981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2020 or 2021.</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federal net operating loss (“NOL”) carry forwards of $616.7 million and state NOL carry forwards of approximately $464.8 million,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2021, and 2020,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2021 and 2020.</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2021 and 2020,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2020 and 2021.</w:t>
      </w:r>
    </w:p>
    <w:p>
      <w:pPr>
        <w:spacing w:after="0" w:line="312" w:lineRule="exact"/>
        <w:rPr>
          <w:sz w:val="20"/>
          <w:szCs w:val="20"/>
          <w:color w:val="auto"/>
        </w:rPr>
      </w:pPr>
    </w:p>
    <w:p>
      <w:pPr>
        <w:ind w:left="460" w:hanging="455"/>
        <w:spacing w:after="0"/>
        <w:tabs>
          <w:tab w:leader="none" w:pos="4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capital lease obligations, minimum royalties, accounts payable, and accrued expenses approximate fair value due to the short maturity of these instruments. The carrying amounts of the related party receivable, capital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is subject to a contingent consideration arrangement to transfer non-voting shares of common stock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owners of a business acquired in December 2019. See Note 3, Business Combinations, for further discussion of that acquisition.</w:t>
      </w:r>
    </w:p>
    <w:p>
      <w:pPr>
        <w:spacing w:after="0" w:line="6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7,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9"/>
              </w:rPr>
              <w:t>Initial Public</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0" w:type="dxa"/>
            <w:vAlign w:val="bottom"/>
          </w:tcPr>
          <w:p>
            <w:pPr>
              <w:spacing w:after="0"/>
              <w:rPr>
                <w:sz w:val="1"/>
                <w:szCs w:val="1"/>
                <w:color w:val="auto"/>
              </w:rPr>
            </w:pPr>
          </w:p>
        </w:tc>
      </w:tr>
      <w:tr>
        <w:trPr>
          <w:trHeight w:val="169"/>
        </w:trPr>
        <w:tc>
          <w:tcPr>
            <w:tcW w:w="8700" w:type="dxa"/>
            <w:vAlign w:val="bottom"/>
          </w:tcPr>
          <w:p>
            <w:pPr>
              <w:spacing w:after="0"/>
              <w:rPr>
                <w:sz w:val="14"/>
                <w:szCs w:val="14"/>
                <w:color w:val="auto"/>
              </w:rPr>
            </w:pPr>
          </w:p>
        </w:tc>
        <w:tc>
          <w:tcPr>
            <w:tcW w:w="172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4.42</w:t>
            </w:r>
          </w:p>
        </w:tc>
        <w:tc>
          <w:tcPr>
            <w:tcW w:w="9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50.00%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0.00%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17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70.00%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63"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Convertible promissory note</w:t>
      </w:r>
      <w:r>
        <w:rPr>
          <w:rFonts w:ascii="Times New Roman" w:cs="Times New Roman" w:eastAsia="Times New Roman" w:hAnsi="Times New Roman"/>
          <w:sz w:val="18"/>
          <w:szCs w:val="18"/>
          <w:color w:val="auto"/>
        </w:rPr>
        <w:t>—The Company has a convertible promissory note with Google, which is reduced each year based on a formula taking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the aggregate value of the Google Cloud Platform services used by us. The carrying value of the note is equivalent to the fair value. See Note 10 for further discussion of the note. We classify the convertible promissory note as Level 3 due to the lack of relevant observable market data over fair value inputs.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liabilities that are measured at fair value on a recurring basis as of December 31, 2020 and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4"/>
          </w:tcPr>
          <w:p>
            <w:pPr>
              <w:jc w:val="center"/>
              <w:ind w:right="5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 in</w:t>
            </w:r>
          </w:p>
        </w:tc>
        <w:tc>
          <w:tcPr>
            <w:tcW w:w="720" w:type="dxa"/>
            <w:vAlign w:val="bottom"/>
          </w:tcPr>
          <w:p>
            <w:pPr>
              <w:spacing w:after="0"/>
              <w:rPr>
                <w:sz w:val="9"/>
                <w:szCs w:val="9"/>
                <w:color w:val="auto"/>
              </w:rPr>
            </w:pPr>
          </w:p>
        </w:tc>
        <w:tc>
          <w:tcPr>
            <w:tcW w:w="1980" w:type="dxa"/>
            <w:vAlign w:val="bottom"/>
            <w:gridSpan w:val="5"/>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9"/>
                <w:szCs w:val="9"/>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3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1220" w:type="dxa"/>
            <w:vAlign w:val="bottom"/>
            <w:gridSpan w:val="4"/>
          </w:tcPr>
          <w:p>
            <w:pPr>
              <w:jc w:val="center"/>
              <w:ind w:right="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 for</w:t>
            </w:r>
          </w:p>
        </w:tc>
        <w:tc>
          <w:tcPr>
            <w:tcW w:w="7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4"/>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720" w:type="dxa"/>
            <w:vAlign w:val="bottom"/>
          </w:tcPr>
          <w:p>
            <w:pPr>
              <w:spacing w:after="0"/>
              <w:rPr>
                <w:sz w:val="12"/>
                <w:szCs w:val="12"/>
                <w:color w:val="auto"/>
              </w:rPr>
            </w:pPr>
          </w:p>
        </w:tc>
        <w:tc>
          <w:tcPr>
            <w:tcW w:w="1980" w:type="dxa"/>
            <w:vAlign w:val="bottom"/>
            <w:gridSpan w:val="5"/>
          </w:tcPr>
          <w:p>
            <w:pPr>
              <w:jc w:val="center"/>
              <w:ind w:right="8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3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10,271</w:t>
            </w:r>
          </w:p>
        </w:tc>
        <w:tc>
          <w:tcPr>
            <w:tcW w:w="3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338"/>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4"/>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20" w:type="dxa"/>
            <w:vAlign w:val="bottom"/>
          </w:tcPr>
          <w:p>
            <w:pPr>
              <w:spacing w:after="0"/>
              <w:rPr>
                <w:sz w:val="24"/>
                <w:szCs w:val="24"/>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center"/>
              <w:ind w:right="8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3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8,005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37,800</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28"/>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238,236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238,236</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44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Warrant Liability</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4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jc w:val="center"/>
              <w:ind w:right="1592"/>
              <w:spacing w:after="0" w:line="203" w:lineRule="exact"/>
              <w:rPr>
                <w:sz w:val="20"/>
                <w:szCs w:val="20"/>
                <w:color w:val="auto"/>
              </w:rPr>
            </w:pPr>
            <w:r>
              <w:rPr>
                <w:rFonts w:ascii="Times New Roman" w:cs="Times New Roman" w:eastAsia="Times New Roman" w:hAnsi="Times New Roman"/>
                <w:sz w:val="18"/>
                <w:szCs w:val="18"/>
                <w:color w:val="auto"/>
                <w:w w:val="96"/>
              </w:rPr>
              <w:t>Balance at December 31, 2019</w:t>
            </w:r>
          </w:p>
        </w:tc>
        <w:tc>
          <w:tcPr>
            <w:tcW w:w="2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3,380</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jc w:val="center"/>
              <w:ind w:right="1632"/>
              <w:spacing w:after="0"/>
              <w:rPr>
                <w:sz w:val="20"/>
                <w:szCs w:val="20"/>
                <w:color w:val="auto"/>
              </w:rPr>
            </w:pPr>
            <w:r>
              <w:rPr>
                <w:rFonts w:ascii="Times New Roman" w:cs="Times New Roman" w:eastAsia="Times New Roman" w:hAnsi="Times New Roman"/>
                <w:sz w:val="18"/>
                <w:szCs w:val="18"/>
                <w:color w:val="auto"/>
                <w:w w:val="96"/>
              </w:rPr>
              <w:t>Change in fair value</w:t>
            </w: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jc w:val="center"/>
              <w:ind w:right="1592"/>
              <w:spacing w:after="0"/>
              <w:rPr>
                <w:sz w:val="20"/>
                <w:szCs w:val="20"/>
                <w:color w:val="auto"/>
              </w:rPr>
            </w:pPr>
            <w:r>
              <w:rPr>
                <w:rFonts w:ascii="Times New Roman" w:cs="Times New Roman" w:eastAsia="Times New Roman" w:hAnsi="Times New Roman"/>
                <w:sz w:val="18"/>
                <w:szCs w:val="18"/>
                <w:color w:val="auto"/>
                <w:w w:val="96"/>
              </w:rPr>
              <w:t>Balance at December 31, 2020</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F-37</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10,271</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paid in cash</w:t>
            </w:r>
          </w:p>
        </w:tc>
        <w:tc>
          <w:tcPr>
            <w:tcW w:w="100" w:type="dxa"/>
            <w:vAlign w:val="bottom"/>
          </w:tcPr>
          <w:p>
            <w:pPr>
              <w:spacing w:after="0"/>
              <w:rPr>
                <w:sz w:val="18"/>
                <w:szCs w:val="18"/>
                <w:color w:val="auto"/>
              </w:rPr>
            </w:pPr>
          </w:p>
        </w:tc>
        <w:tc>
          <w:tcPr>
            <w:tcW w:w="15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warrant</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37,800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reduction</w:t>
            </w:r>
          </w:p>
        </w:tc>
        <w:tc>
          <w:tcPr>
            <w:tcW w:w="100" w:type="dxa"/>
            <w:vAlign w:val="bottom"/>
          </w:tcPr>
          <w:p>
            <w:pPr>
              <w:spacing w:after="0"/>
              <w:rPr>
                <w:sz w:val="18"/>
                <w:szCs w:val="18"/>
                <w:color w:val="auto"/>
              </w:rPr>
            </w:pPr>
          </w:p>
        </w:tc>
        <w:tc>
          <w:tcPr>
            <w:tcW w:w="15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5,234</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2"/>
              </w:rPr>
              <w:t>37,800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2020, the Company recognized expense of $6.9 million in selling, general and administrative expense due to the change in fair value determined by Level 3 valuation techniques.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expense of $5.2 million in selling, general and administrative expense due to the change in the fair value of the contingent consideration liability.</w:t>
      </w:r>
    </w:p>
    <w:p>
      <w:pPr>
        <w:spacing w:after="0" w:line="312" w:lineRule="exact"/>
        <w:rPr>
          <w:sz w:val="20"/>
          <w:szCs w:val="20"/>
          <w:color w:val="auto"/>
        </w:rPr>
      </w:pPr>
    </w:p>
    <w:p>
      <w:pPr>
        <w:ind w:left="460" w:hanging="455"/>
        <w:spacing w:after="0"/>
        <w:tabs>
          <w:tab w:leader="none" w:pos="4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Company is amortizing this amount over the course of its lease with the building. The Company had a remaining related liability of $1.1 million and $1.0 million for the years ended December 31, 2020 and 2021, respectively. The liability is included on the balance sheet in deferred rent, less current portion. See Note 6, Commitments and Contingencies, for additional information on the Company’s operating leases. The Company subleases a portion of office space to this related party on a month-to-month basis. Sublease income received from the related party was insignificant for the years ended December 31, 2020 and 2021.</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2020 the amount due to related parties was $1.3 million, and as of December 31, 2021 there was no amount due to related parties. As of December 31, 2020 and 2021, respectively, the amount due from related parties was $0.1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2020, the Company reimbursed payroll related costs of $0.8 million to a related party for contracted engineers. As of December 31, 2020 and 2021, respectively, there were no amounts due to this related party.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On August 19, 2021, the Company entered into a related party arrangement with Pathos, Inc.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 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master agreement provides for an initial term of five years, with a subsequent five-year renewal provision unless the agreement is terminated. Either party may terminate the agreement after the initial five-year term by prior written notice to the other party.</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2021, the Company evaluated subsequent events through April 26, 2022, the date on which those financial statements were available to be issued.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Highline Consulting, LLC</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On January 4, 2022, the Company entered into a Unit Purchase Agreement with Highline Consulting, LLC, a California limited liability company, or Highline, Highline Consulting Parent, LLC, and the unitholders of Highline, or collectively, the Sellers, pursuant to which the Company acquired all of the issued and outstanding equity interests in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subject to customary cash and net working capital adjustments.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 xml:space="preserve">Due to the limited time since the closing of the transaction, the initial accounting for the Highline acquisition is still in process, but a significant portion of the purchase price is expected to be allocated to intangible assets and goodwill. The remaining disclosures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will be provided upon finalization of our preliminary purchase accounting in the first quarter of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G-3 Financing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April 2022, the Company authorized 4,362,476 and issued 1,483,242 shares of Series G-3 Preferred stock (“Series G-3 Preferred”) for aggregate proceeds of $85.0 million (See Note 8, Redeemable Convertible Preferred Stock). As of the date hereof we have received $68.5 million of the committed $85.0 million, with the remainder committed from one additional investor, which is due by April 29, 2022.</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931545</wp:posOffset>
            </wp:positionV>
            <wp:extent cx="2617470" cy="400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17470" cy="40005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8"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COWEN</w:t>
      </w:r>
    </w:p>
    <w:p>
      <w:pPr>
        <w:spacing w:after="0" w:line="100" w:lineRule="exact"/>
        <w:rPr>
          <w:sz w:val="20"/>
          <w:szCs w:val="20"/>
          <w:color w:val="auto"/>
        </w:rPr>
      </w:pPr>
    </w:p>
    <w:p>
      <w:pPr>
        <w:sectPr>
          <w:pgSz w:w="11900" w:h="16838" w:orient="portrait"/>
          <w:cols w:equalWidth="0" w:num="2">
            <w:col w:w="8160" w:space="720"/>
            <w:col w:w="2460"/>
          </w:cols>
          <w:pgMar w:left="320" w:top="448"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8"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2022.</w:t>
      </w:r>
    </w:p>
    <w:p>
      <w:pPr>
        <w:sectPr>
          <w:pgSz w:w="11900" w:h="16838" w:orient="portrait"/>
          <w:cols w:equalWidth="0" w:num="1">
            <w:col w:w="11340"/>
          </w:cols>
          <w:pgMar w:left="320" w:top="448" w:right="239" w:bottom="1440" w:gutter="0" w:footer="0" w:header="0"/>
          <w:type w:val="continuous"/>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Unless otherwise indicated, all references to “Tempus,” the “company,” “we,” “our,” “us” or similar terms refer to Tempus Labs, Inc. and its subsidiaries.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340"/>
          </w:cols>
          <w:pgMar w:left="320" w:top="448" w:right="2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918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*Tobe completed by amendment.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89" w:hanging="489"/>
        <w:spacing w:after="0"/>
        <w:tabs>
          <w:tab w:leader="none" w:pos="48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3"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86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4" w:lineRule="exact"/>
        <w:rPr>
          <w:sz w:val="20"/>
          <w:szCs w:val="20"/>
          <w:color w:val="auto"/>
        </w:rPr>
      </w:pPr>
    </w:p>
    <w:p>
      <w:pPr>
        <w:ind w:left="489" w:hanging="489"/>
        <w:spacing w:after="0"/>
        <w:tabs>
          <w:tab w:leader="none" w:pos="48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086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3086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115" w:lineRule="exact"/>
        <w:rPr>
          <w:sz w:val="20"/>
          <w:szCs w:val="20"/>
          <w:color w:val="auto"/>
        </w:rPr>
      </w:pPr>
    </w:p>
    <w:p>
      <w:pPr>
        <w:sectPr>
          <w:pgSz w:w="11900" w:h="16838" w:orient="portrait"/>
          <w:cols w:equalWidth="0" w:num="2">
            <w:col w:w="10011" w:space="720"/>
            <w:col w:w="609"/>
          </w:cols>
          <w:pgMar w:left="320" w:top="448" w:right="239" w:bottom="1440" w:gutter="0" w:footer="0" w:header="0"/>
          <w:type w:val="continuous"/>
        </w:sect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Labs, Inc., provided that such director or executive officer acted in good faith and in a manner that the director or executive officer reasonably believed to be in, or not opposed to, the best interest of Tempus Labs, Inc. At present, there is no pending litigation or proceeding involving a director or executive officer of Tempus Labs,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8" w:right="239" w:bottom="1440" w:gutter="0" w:footer="0" w:header="0"/>
          <w:type w:val="continuous"/>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2019:</w:t>
      </w:r>
    </w:p>
    <w:p>
      <w:pPr>
        <w:spacing w:after="0" w:line="121" w:lineRule="exact"/>
        <w:rPr>
          <w:sz w:val="20"/>
          <w:szCs w:val="20"/>
          <w:color w:val="auto"/>
        </w:rPr>
      </w:pPr>
    </w:p>
    <w:p>
      <w:pPr>
        <w:ind w:left="1460" w:hanging="444"/>
        <w:spacing w:after="0" w:line="267"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 7,532,363 shares of our Class A common stock to our employees, consultants, and directors, having a fair market value ranging from $3.60 to $50.70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 6,000,000 shares of our Class A common stock to our employees, consultants, and directors, having a fair market value ranging from $33.48 to $42.64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issued and sold an aggregate of 1,058,600 shares of our voting common stock at a price per share of $9.64, for an aggregate purchase price of approximately $10.2 million, in private placements to two accredited investors.</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August 2018 through April 2019, we issued and sold an aggregate of 6,630,905 shares of our Series E convertible preferred stock at a price per share of $16.7428, for an aggregate purchase price of approximately $111.0 million, in private placements to 17 accredited investors, exclusive of the 886,304 shares repurchased by us in April 2019 at the original issue price per share, for an aggregate repurchase price of approximately $14.8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through July 2019, we issued and sold an aggregate of 8,077,674 shares of our Series F convertible preferred stock at a price per share of $24.7596, for an aggregate purchase price of approximately $200.0 million, in private placements to 22 accredited investors, exclusive of the 203,521 shares and the 395,811 shares repurchased by us in May and July 2019, respectively, at the original issue price per share, for an aggregate repurchase price of approximately $14.8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49"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in connection with our entry into a master services agreement, we issued a warrant to AstraZeneca to purchase $100 million in shares of our Class A common stock at 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8"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exercise price equal to the price per share at which our common stock is valued in connection with the consummation of this offering.</w:t>
      </w:r>
    </w:p>
    <w:p>
      <w:pPr>
        <w:spacing w:after="0" w:line="121" w:lineRule="exact"/>
        <w:rPr>
          <w:sz w:val="20"/>
          <w:szCs w:val="20"/>
          <w:color w:val="auto"/>
        </w:rPr>
      </w:pPr>
    </w:p>
    <w:p>
      <w:pPr>
        <w:jc w:val="both"/>
        <w:ind w:left="1460" w:hanging="444"/>
        <w:spacing w:after="0" w:line="288" w:lineRule="auto"/>
        <w:tabs>
          <w:tab w:leader="none" w:pos="14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64" w:lineRule="exact"/>
        <w:rPr>
          <w:rFonts w:ascii="Times New Roman" w:cs="Times New Roman" w:eastAsia="Times New Roman" w:hAnsi="Times New Roman"/>
          <w:sz w:val="16"/>
          <w:szCs w:val="16"/>
          <w:color w:val="auto"/>
        </w:rPr>
      </w:pPr>
    </w:p>
    <w:p>
      <w:pPr>
        <w:ind w:left="1460" w:hanging="444"/>
        <w:spacing w:after="0" w:line="267"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we expect to issue on or around December 9, 2022 of 145,466 shares of Class A common stock to former stockholders of AKESOgen, Inc.</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1,483,242 shares of our Series G-3 convertible preferred stock at a price per share of $57.3069, for an aggregate purchase price of approximately $85.0 million, in private placements to five accredited investors.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jc w:val="both"/>
        <w:ind w:left="1240" w:hanging="670"/>
        <w:spacing w:after="0" w:line="255" w:lineRule="auto"/>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88" w:lineRule="exact"/>
        <w:rPr>
          <w:rFonts w:ascii="Times New Roman" w:cs="Times New Roman" w:eastAsia="Times New Roman" w:hAnsi="Times New Roman"/>
          <w:sz w:val="18"/>
          <w:szCs w:val="18"/>
          <w:color w:val="auto"/>
        </w:rPr>
      </w:pPr>
    </w:p>
    <w:p>
      <w:pPr>
        <w:jc w:val="both"/>
        <w:ind w:left="1240" w:hanging="670"/>
        <w:spacing w:after="0" w:line="255" w:lineRule="auto"/>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90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7"/>
        </w:trPr>
        <w:tc>
          <w:tcPr>
            <w:tcW w:w="80" w:type="dxa"/>
            <w:vAlign w:val="bottom"/>
          </w:tcPr>
          <w:p>
            <w:pPr>
              <w:spacing w:after="0"/>
              <w:rPr>
                <w:sz w:val="24"/>
                <w:szCs w:val="2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90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Certificate of Incorporation of Tempus Labs, Inc., as amended, as currently in effect.</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Tempus Labs, Inc., to be in effect on the closing of the offering.</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Tempus Labs, Inc., as currently in effect.</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Tempus Labs, Inc., to be in effect on the closing of the offering.</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Tempus Labs, Inc. dated November 17, 2021 (included in Exhibit 10.16).</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Cooley LLP.</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Investor Rights Agreement, dated April 18, 2022.</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Third Amended and Restated 2015 Stock Plan,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Forms of Grant Notices and Award Agreements under the Tempus Labs, Inc. Third Amended and Restated 2015 Stock Plan, as amended.</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Equity Incentive Plan.</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Grant Notice, Stock Option Agreement and Notice of Exercise under the Tempus Labs, Inc. 2022 Equity Incentive Plan.</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Tempus Labs, Inc. 2022 Equity Incentive Plan.</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 entered into by and between Tempus Labs, Inc. and each director and executive officer.</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Eric Lefkofsky, dated January 1, 2022.</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Erik Phelps, dated January 1, 2022.</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Ryan Fukushima, dated January 1, 2022.</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James Rogers,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Agreement of Lease, by and between Tempus Labs, Inc. and EQC 600 West Chicago Property LLC, dated January 18, 2018,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by and between Tempus Labs, Inc. and Illumina, Inc., dated June 29,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Amended and Restated Convertible Promissory Note, by and between Tempus Labs, Inc. and Google LLC, dated November 19, 2020.</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Tempus Labs, Inc. and Pathos AI, Inc., dated August 19, 2021.</w:t>
            </w:r>
          </w:p>
        </w:tc>
        <w:tc>
          <w:tcPr>
            <w:tcW w:w="0" w:type="dxa"/>
            <w:vAlign w:val="bottom"/>
          </w:tcPr>
          <w:p>
            <w:pPr>
              <w:spacing w:after="0"/>
              <w:rPr>
                <w:sz w:val="1"/>
                <w:szCs w:val="1"/>
                <w:color w:val="auto"/>
              </w:rPr>
            </w:pPr>
          </w:p>
        </w:tc>
      </w:tr>
      <w:tr>
        <w:trPr>
          <w:trHeight w:val="354"/>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0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0840"/>
          </w:cols>
          <w:pgMar w:left="320" w:top="448" w:right="7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20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8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Master Services Agreement, by and between Tempus Labs, Inc. and AstraZeneca AB, dated November 17, 2021.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360" w:type="dxa"/>
            <w:vAlign w:val="bottom"/>
          </w:tcPr>
          <w:p>
            <w:pPr>
              <w:spacing w:after="0"/>
              <w:rPr>
                <w:sz w:val="24"/>
                <w:szCs w:val="24"/>
                <w:color w:val="auto"/>
              </w:rPr>
            </w:pPr>
          </w:p>
        </w:tc>
        <w:tc>
          <w:tcPr>
            <w:tcW w:w="8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Employee Stock Purchase Plan.</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4"/>
                <w:szCs w:val="24"/>
                <w:color w:val="auto"/>
              </w:rPr>
            </w:pPr>
          </w:p>
        </w:tc>
        <w:tc>
          <w:tcPr>
            <w:tcW w:w="8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List of Subsidiaries of Tempus Labs, Inc.</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8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8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8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8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right="8640" w:firstLine="5"/>
        <w:spacing w:after="0" w:line="285" w:lineRule="auto"/>
        <w:tabs>
          <w:tab w:leader="none" w:pos="446"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submitted by amendment. ** Previously submitted.</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3" w:lineRule="exact"/>
        <w:rPr>
          <w:rFonts w:ascii="Times New Roman" w:cs="Times New Roman" w:eastAsia="Times New Roman" w:hAnsi="Times New Roman"/>
          <w:sz w:val="16"/>
          <w:szCs w:val="16"/>
          <w:color w:val="auto"/>
        </w:rPr>
      </w:pPr>
    </w:p>
    <w:p>
      <w:pPr>
        <w:ind w:left="460" w:hanging="44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ind w:left="460" w:hanging="44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8" w:right="2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Chicago, Illinois, on</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2022.</w:t>
            </w: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28"/>
        </w:trPr>
        <w:tc>
          <w:tcPr>
            <w:tcW w:w="4900" w:type="dxa"/>
            <w:vAlign w:val="bottom"/>
          </w:tcPr>
          <w:p>
            <w:pPr>
              <w:spacing w:after="0"/>
              <w:rPr>
                <w:sz w:val="24"/>
                <w:szCs w:val="24"/>
                <w:color w:val="auto"/>
              </w:rPr>
            </w:pPr>
          </w:p>
        </w:tc>
        <w:tc>
          <w:tcPr>
            <w:tcW w:w="64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459"/>
        </w:trPr>
        <w:tc>
          <w:tcPr>
            <w:tcW w:w="49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198"/>
        </w:trPr>
        <w:tc>
          <w:tcPr>
            <w:tcW w:w="4900" w:type="dxa"/>
            <w:vAlign w:val="bottom"/>
          </w:tcPr>
          <w:p>
            <w:pPr>
              <w:spacing w:after="0"/>
              <w:rPr>
                <w:sz w:val="17"/>
                <w:szCs w:val="17"/>
                <w:color w:val="auto"/>
              </w:rPr>
            </w:pPr>
          </w:p>
        </w:tc>
        <w:tc>
          <w:tcPr>
            <w:tcW w:w="2440" w:type="dxa"/>
            <w:vAlign w:val="bottom"/>
          </w:tcPr>
          <w:p>
            <w:pPr>
              <w:ind w:left="192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4900" w:type="dxa"/>
            <w:vAlign w:val="bottom"/>
          </w:tcPr>
          <w:p>
            <w:pPr>
              <w:spacing w:after="0"/>
              <w:rPr>
                <w:sz w:val="19"/>
                <w:szCs w:val="19"/>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340"/>
          </w:cols>
          <w:pgMar w:left="320" w:top="448"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40"/>
          </w:cols>
          <w:pgMar w:left="320" w:top="448" w:right="5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95" w:lineRule="exact"/>
        <w:rPr>
          <w:sz w:val="20"/>
          <w:szCs w:val="20"/>
          <w:color w:val="auto"/>
        </w:rPr>
      </w:pPr>
    </w:p>
    <w:p>
      <w:pPr>
        <w:ind w:right="400" w:firstLine="428"/>
        <w:spacing w:after="0" w:line="267" w:lineRule="auto"/>
        <w:rPr>
          <w:sz w:val="20"/>
          <w:szCs w:val="20"/>
          <w:color w:val="auto"/>
        </w:rPr>
      </w:pPr>
      <w:r>
        <w:rPr>
          <w:rFonts w:ascii="Times New Roman" w:cs="Times New Roman" w:eastAsia="Times New Roman" w:hAnsi="Times New Roman"/>
          <w:sz w:val="18"/>
          <w:szCs w:val="18"/>
          <w:color w:val="auto"/>
        </w:rPr>
        <w:t>Tempus Labs,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10" w:lineRule="exact"/>
        <w:rPr>
          <w:sz w:val="20"/>
          <w:szCs w:val="20"/>
          <w:color w:val="auto"/>
        </w:rPr>
      </w:pPr>
    </w:p>
    <w:p>
      <w:pPr>
        <w:ind w:right="700" w:firstLine="436"/>
        <w:spacing w:after="0" w:line="267" w:lineRule="auto"/>
        <w:tabs>
          <w:tab w:leader="none" w:pos="60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this corporation is Tempus Labs, Inc., and that this corporation was originally incorporated pursuant to the DGCL on September 21, 2015 under the name Bioin, Inc.</w:t>
      </w:r>
    </w:p>
    <w:p>
      <w:pPr>
        <w:spacing w:after="0" w:line="169" w:lineRule="exact"/>
        <w:rPr>
          <w:rFonts w:ascii="Times New Roman" w:cs="Times New Roman" w:eastAsia="Times New Roman" w:hAnsi="Times New Roman"/>
          <w:sz w:val="18"/>
          <w:szCs w:val="18"/>
          <w:color w:val="auto"/>
        </w:rPr>
      </w:pPr>
    </w:p>
    <w:p>
      <w:pPr>
        <w:ind w:right="100" w:firstLine="436"/>
        <w:spacing w:after="0" w:line="245" w:lineRule="auto"/>
        <w:tabs>
          <w:tab w:leader="none" w:pos="60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original Certificate of Incorporation of this corporation was amended by a Certificate of Amendment filed with the Secretary of State of the State of Delaware on September 29, 2015, and was further amended by a Certificate of Amendment filed with the Secretary of State of the State of Delaware on February 12, 2016. The Amended and Restated Certificate of Incorporation was filed on June 20, 2016 and was amended by a Certificate of Amendment filed with the Secretary of State of the State of Delaware on October 6, 2016. The Second Amended and Restated Certificate of Incorporation was filed on November 22, 2016 with the Secretary of State of the State of Delaware. The Third Amended and Restated Certificate of Incorporation was filed on April 17, 2017 with the Secretary of State of the State of Delaware. The Fourth Amended and Restated Certificate of Incorporation was filed on September 8, 2017 with the Secretary of State of the State of Delaware. The Fifth Amended and Restated Certificate of Incorporation was filed on March 16, 2018 with the Secretary of State of the State of Delaware. The Sixth Amended and Restated Certificate of Incorporation was filed on August 23, 2018 with the Secretary of State of the State of Delaware. The Seventh Amended and Restated Certificate of Incorporation was filed on April 30, 2019 with the Secretary of State of the State of Delaware. The Eighth Amended and Restated Certificate of Incorporation was filed on February 6, 2020 with the Secretary of State of the State of Delaware. The Ninth Amended and Restated Certificate of Incorporation was filed on November 19, 2020 with the Secretary of State of the State of Delaware, and was further amended by a Certificate of Amendment filed with the Secretary of State of the State of Delaware on March 15, 2021.</w:t>
      </w:r>
    </w:p>
    <w:p>
      <w:pPr>
        <w:spacing w:after="0" w:line="193" w:lineRule="exact"/>
        <w:rPr>
          <w:rFonts w:ascii="Times New Roman" w:cs="Times New Roman" w:eastAsia="Times New Roman" w:hAnsi="Times New Roman"/>
          <w:sz w:val="18"/>
          <w:szCs w:val="18"/>
          <w:color w:val="auto"/>
        </w:rPr>
      </w:pPr>
    </w:p>
    <w:p>
      <w:pPr>
        <w:ind w:right="40" w:firstLine="436"/>
        <w:spacing w:after="0" w:line="251" w:lineRule="auto"/>
        <w:tabs>
          <w:tab w:leader="none" w:pos="60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duly adopted resolutions proposing to amend and restate the Ninth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ectPr>
          <w:pgSz w:w="11900" w:h="16838" w:orient="portrait"/>
          <w:cols w:equalWidth="0" w:num="1">
            <w:col w:w="10720"/>
          </w:cols>
          <w:pgMar w:left="580" w:top="119" w:right="599" w:bottom="1440" w:gutter="0" w:footer="0" w:header="0"/>
        </w:sectPr>
      </w:pPr>
    </w:p>
    <w:bookmarkStart w:id="296" w:name="page297"/>
    <w:bookmarkEnd w:id="296"/>
    <w:p>
      <w:pPr>
        <w:ind w:right="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RESOLVED, </w:t>
      </w:r>
      <w:r>
        <w:rPr>
          <w:rFonts w:ascii="Times New Roman" w:cs="Times New Roman" w:eastAsia="Times New Roman" w:hAnsi="Times New Roman"/>
          <w:sz w:val="18"/>
          <w:szCs w:val="18"/>
          <w:color w:val="auto"/>
        </w:rPr>
        <w:t>that the Ninth Amended and Restated Certificate of Incorporation of this corporation be amended and restated in its entirety to read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Tempus Labs,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10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address of the registered office of the Corporation in the State of Delaware is 1209 Orange Street, City of Wilmington, County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Castle, Delaware 19801. The name of its registered agent at such address is The Corporation Trust Company.</w:t>
      </w:r>
    </w:p>
    <w:p>
      <w:pPr>
        <w:spacing w:after="0" w:line="164" w:lineRule="exact"/>
        <w:rPr>
          <w:sz w:val="20"/>
          <w:szCs w:val="20"/>
          <w:color w:val="auto"/>
        </w:rPr>
      </w:pPr>
    </w:p>
    <w:p>
      <w:pPr>
        <w:ind w:right="4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purpose of the Corporation shall be to engage in any lawful act or activity for which a corporation may be organized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w:t>
      </w:r>
    </w:p>
    <w:p>
      <w:pPr>
        <w:spacing w:after="0" w:line="164" w:lineRule="exact"/>
        <w:rPr>
          <w:sz w:val="20"/>
          <w:szCs w:val="20"/>
          <w:color w:val="auto"/>
        </w:rPr>
      </w:pPr>
    </w:p>
    <w:p>
      <w:pPr>
        <w:jc w:val="both"/>
        <w:ind w:right="540" w:firstLine="428"/>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FOURTH: </w:t>
      </w:r>
      <w:r>
        <w:rPr>
          <w:rFonts w:ascii="Times New Roman" w:cs="Times New Roman" w:eastAsia="Times New Roman" w:hAnsi="Times New Roman"/>
          <w:sz w:val="16"/>
          <w:szCs w:val="16"/>
          <w:color w:val="auto"/>
        </w:rPr>
        <w:t>The Corporation is authorized to issue four classes of stock to be designated, respectively, “Class A Common Stock,” “Class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“Nonvoting Common Stock” and “Preferred Stock.” The total number of shares of all classes of stock which the Corporation is authorized to issue is 333,628,363 shares, of which (i) 195,865,548 shares shall be Class A Common Stock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(ii)</w:t>
      </w:r>
    </w:p>
    <w:p>
      <w:pPr>
        <w:spacing w:after="0" w:line="1" w:lineRule="exact"/>
        <w:rPr>
          <w:sz w:val="20"/>
          <w:szCs w:val="20"/>
          <w:color w:val="auto"/>
        </w:rPr>
      </w:pPr>
    </w:p>
    <w:p>
      <w:pPr>
        <w:ind w:right="460"/>
        <w:spacing w:after="0" w:line="247" w:lineRule="auto"/>
        <w:rPr>
          <w:sz w:val="20"/>
          <w:szCs w:val="20"/>
          <w:color w:val="auto"/>
        </w:rPr>
      </w:pPr>
      <w:r>
        <w:rPr>
          <w:rFonts w:ascii="Times New Roman" w:cs="Times New Roman" w:eastAsia="Times New Roman" w:hAnsi="Times New Roman"/>
          <w:sz w:val="18"/>
          <w:szCs w:val="18"/>
          <w:color w:val="auto"/>
        </w:rPr>
        <w:t>5,374,899 shares shall be Class B Common Stock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(iii) 66,946,627 shares shall be Nonvoting Common Stock (the “</w:t>
      </w:r>
      <w:r>
        <w:rPr>
          <w:rFonts w:ascii="Times New Roman" w:cs="Times New Roman" w:eastAsia="Times New Roman" w:hAnsi="Times New Roman"/>
          <w:sz w:val="18"/>
          <w:szCs w:val="18"/>
          <w:b w:val="1"/>
          <w:bCs w:val="1"/>
          <w:i w:val="1"/>
          <w:iCs w:val="1"/>
          <w:color w:val="auto"/>
        </w:rPr>
        <w:t>Nonvoting Common Stock</w:t>
      </w:r>
      <w:r>
        <w:rPr>
          <w:rFonts w:ascii="Times New Roman" w:cs="Times New Roman" w:eastAsia="Times New Roman" w:hAnsi="Times New Roman"/>
          <w:sz w:val="18"/>
          <w:szCs w:val="18"/>
          <w:color w:val="auto"/>
        </w:rPr>
        <w:t>”), and (iv) 65,441,289 shares shall be Preferred Stock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2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Each share of Class A Common Stock and Class B Common Stock (referred to herein, collectively, as the “</w:t>
      </w:r>
      <w:r>
        <w:rPr>
          <w:rFonts w:ascii="Times New Roman" w:cs="Times New Roman" w:eastAsia="Times New Roman" w:hAnsi="Times New Roman"/>
          <w:sz w:val="18"/>
          <w:szCs w:val="18"/>
          <w:b w:val="1"/>
          <w:bCs w:val="1"/>
          <w:i w:val="1"/>
          <w:iCs w:val="1"/>
          <w:color w:val="auto"/>
        </w:rPr>
        <w:t>Voting Common Stock</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par value of $0.0001 per share. Each share of Nonvoting Common Stock shall have a par value of $0.0001 per share. The Voting Common Stock and Nonvoting Common Stock are referred to herein, collectively, as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10,000,000 of the authorized shares of Preferred Stock are hereby designated “Series A Preferred Stock” (referred to herein as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A Preferred Stock</w:t>
      </w:r>
      <w:r>
        <w:rPr>
          <w:rFonts w:ascii="Times New Roman" w:cs="Times New Roman" w:eastAsia="Times New Roman" w:hAnsi="Times New Roman"/>
          <w:sz w:val="16"/>
          <w:szCs w:val="16"/>
          <w:color w:val="auto"/>
        </w:rPr>
        <w:t>”), 5,374,899 of the authorized shares of Preferred Stock are hereby designated “Series B Preferred Stock” (referred to 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 “</w:t>
      </w:r>
      <w:r>
        <w:rPr>
          <w:rFonts w:ascii="Times New Roman" w:cs="Times New Roman" w:eastAsia="Times New Roman" w:hAnsi="Times New Roman"/>
          <w:sz w:val="16"/>
          <w:szCs w:val="16"/>
          <w:b w:val="1"/>
          <w:bCs w:val="1"/>
          <w:i w:val="1"/>
          <w:iCs w:val="1"/>
          <w:color w:val="auto"/>
        </w:rPr>
        <w:t>Series B Preferred Stock</w:t>
      </w:r>
      <w:r>
        <w:rPr>
          <w:rFonts w:ascii="Times New Roman" w:cs="Times New Roman" w:eastAsia="Times New Roman" w:hAnsi="Times New Roman"/>
          <w:sz w:val="16"/>
          <w:szCs w:val="16"/>
          <w:color w:val="auto"/>
        </w:rPr>
        <w:t>”), 2,500,000 of the authorized shares of Preferred Stock are hereby designated “Series B-1 Preferred Stock” (referred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herein as the “</w:t>
      </w:r>
      <w:r>
        <w:rPr>
          <w:rFonts w:ascii="Times New Roman" w:cs="Times New Roman" w:eastAsia="Times New Roman" w:hAnsi="Times New Roman"/>
          <w:sz w:val="16"/>
          <w:szCs w:val="16"/>
          <w:b w:val="1"/>
          <w:bCs w:val="1"/>
          <w:i w:val="1"/>
          <w:iCs w:val="1"/>
          <w:color w:val="auto"/>
        </w:rPr>
        <w:t>Series B-1 Preferred Stock</w:t>
      </w:r>
      <w:r>
        <w:rPr>
          <w:rFonts w:ascii="Times New Roman" w:cs="Times New Roman" w:eastAsia="Times New Roman" w:hAnsi="Times New Roman"/>
          <w:sz w:val="16"/>
          <w:szCs w:val="16"/>
          <w:color w:val="auto"/>
        </w:rPr>
        <w:t>”), 4,191,173 of the authorized shares of Preferred Stock are hereby designated “Series B-2 Preferred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(referred to herein as the “</w:t>
      </w:r>
      <w:r>
        <w:rPr>
          <w:rFonts w:ascii="Times New Roman" w:cs="Times New Roman" w:eastAsia="Times New Roman" w:hAnsi="Times New Roman"/>
          <w:sz w:val="16"/>
          <w:szCs w:val="16"/>
          <w:b w:val="1"/>
          <w:bCs w:val="1"/>
          <w:i w:val="1"/>
          <w:iCs w:val="1"/>
          <w:color w:val="auto"/>
        </w:rPr>
        <w:t>Series B-2 Preferred Stock</w:t>
      </w:r>
      <w:r>
        <w:rPr>
          <w:rFonts w:ascii="Times New Roman" w:cs="Times New Roman" w:eastAsia="Times New Roman" w:hAnsi="Times New Roman"/>
          <w:sz w:val="16"/>
          <w:szCs w:val="16"/>
          <w:color w:val="auto"/>
        </w:rPr>
        <w:t>”), 9,779,403 of the authorized shares of Preferred Stock are hereby designated “Series C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(referred to herein as the “</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8,534,330 of the authorized shares of Preferred Stock are hereby designated “Series 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(referred to herein as the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6,630,905 of the authorized shares of Preferred Stock are hereby designated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E Preferred Stock” (referred to herein as the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 8,077,674 of the authorized shares of Preferred Stock are hereby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“Series F Preferred Stock” (referred to herein as the “</w:t>
      </w:r>
      <w:r>
        <w:rPr>
          <w:rFonts w:ascii="Times New Roman" w:cs="Times New Roman" w:eastAsia="Times New Roman" w:hAnsi="Times New Roman"/>
          <w:sz w:val="16"/>
          <w:szCs w:val="16"/>
          <w:b w:val="1"/>
          <w:bCs w:val="1"/>
          <w:i w:val="1"/>
          <w:iCs w:val="1"/>
          <w:color w:val="auto"/>
        </w:rPr>
        <w:t>Series F Preferred Stock</w:t>
      </w:r>
      <w:r>
        <w:rPr>
          <w:rFonts w:ascii="Times New Roman" w:cs="Times New Roman" w:eastAsia="Times New Roman" w:hAnsi="Times New Roman"/>
          <w:sz w:val="16"/>
          <w:szCs w:val="16"/>
          <w:color w:val="auto"/>
        </w:rPr>
        <w:t>”), 2,537,290 of the authorized shares of Preferred Stock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designated “Series G Preferred Stock” (referred to herein as the “</w:t>
      </w:r>
      <w:r>
        <w:rPr>
          <w:rFonts w:ascii="Times New Roman" w:cs="Times New Roman" w:eastAsia="Times New Roman" w:hAnsi="Times New Roman"/>
          <w:sz w:val="18"/>
          <w:szCs w:val="18"/>
          <w:b w:val="1"/>
          <w:bCs w:val="1"/>
          <w:i w:val="1"/>
          <w:iCs w:val="1"/>
          <w:color w:val="auto"/>
        </w:rPr>
        <w:t>Series G Preferred Stock</w:t>
      </w:r>
      <w:r>
        <w:rPr>
          <w:rFonts w:ascii="Times New Roman" w:cs="Times New Roman" w:eastAsia="Times New Roman" w:hAnsi="Times New Roman"/>
          <w:sz w:val="18"/>
          <w:szCs w:val="18"/>
          <w:color w:val="auto"/>
        </w:rPr>
        <w:t>”), 3,453,139 of the authorized shares of Preferred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are hereby designated “Series G-2 Preferred Stock” (referred to herein as the “</w:t>
      </w:r>
      <w:r>
        <w:rPr>
          <w:rFonts w:ascii="Times New Roman" w:cs="Times New Roman" w:eastAsia="Times New Roman" w:hAnsi="Times New Roman"/>
          <w:sz w:val="18"/>
          <w:szCs w:val="18"/>
          <w:b w:val="1"/>
          <w:bCs w:val="1"/>
          <w:i w:val="1"/>
          <w:iCs w:val="1"/>
          <w:color w:val="auto"/>
        </w:rPr>
        <w:t>Series G-2 Preferred Stock</w:t>
      </w:r>
      <w:r>
        <w:rPr>
          <w:rFonts w:ascii="Times New Roman" w:cs="Times New Roman" w:eastAsia="Times New Roman" w:hAnsi="Times New Roman"/>
          <w:sz w:val="18"/>
          <w:szCs w:val="18"/>
          <w:color w:val="auto"/>
        </w:rPr>
        <w:t>”) and 4,362,476 of the authorized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Preferred Stock are hereby designated “Series G-3 Preferred Stock” (referred to herein as the “</w:t>
      </w:r>
      <w:r>
        <w:rPr>
          <w:rFonts w:ascii="Times New Roman" w:cs="Times New Roman" w:eastAsia="Times New Roman" w:hAnsi="Times New Roman"/>
          <w:sz w:val="18"/>
          <w:szCs w:val="18"/>
          <w:b w:val="1"/>
          <w:bCs w:val="1"/>
          <w:i w:val="1"/>
          <w:iCs w:val="1"/>
          <w:color w:val="auto"/>
        </w:rPr>
        <w:t>Series G-3 Preferred Stock</w:t>
      </w:r>
      <w:r>
        <w:rPr>
          <w:rFonts w:ascii="Times New Roman" w:cs="Times New Roman" w:eastAsia="Times New Roman" w:hAnsi="Times New Roman"/>
          <w:sz w:val="18"/>
          <w:szCs w:val="18"/>
          <w:color w:val="auto"/>
        </w:rPr>
        <w:t>”). Each share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Series A Preferred Stock, Series B Preferred Stock, Series B-1 Preferred Stock, Series B-2 Preferred Stock, Series C Preferred Stock, Series D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Series E Preferred Stock, Series F Preferred Stock, Series G Preferred Stock, Series G-2 Preferred Stock and Series G-3 Preferred Stock shall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par value of $0.0001 per share.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3" w:right="599" w:bottom="1440" w:gutter="0" w:footer="0" w:header="0"/>
        </w:sectPr>
      </w:pPr>
    </w:p>
    <w:bookmarkStart w:id="297" w:name="page298"/>
    <w:bookmarkEnd w:id="297"/>
    <w:p>
      <w:pPr>
        <w:ind w:left="4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SEVENTH: </w:t>
      </w:r>
      <w:r>
        <w:rPr>
          <w:rFonts w:ascii="Times New Roman" w:cs="Times New Roman" w:eastAsia="Times New Roman" w:hAnsi="Times New Roman"/>
          <w:sz w:val="16"/>
          <w:szCs w:val="16"/>
          <w:color w:val="auto"/>
        </w:rPr>
        <w:t>The rights, preferences, privileges, restrictions and other matters relating to the Common Stock and Preferred Stock are as follows: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COMMON STOCK</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Common Stock shall have the following rights, preferences, powers, privileges and restrictions, qualifications and limitations.</w:t>
      </w:r>
    </w:p>
    <w:p>
      <w:pPr>
        <w:spacing w:after="0" w:line="213" w:lineRule="exact"/>
        <w:rPr>
          <w:sz w:val="20"/>
          <w:szCs w:val="20"/>
          <w:color w:val="auto"/>
        </w:rPr>
      </w:pPr>
    </w:p>
    <w:p>
      <w:pPr>
        <w:ind w:right="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powers and preferences of the holders of the Class A Common Stock, Class B Common Stock and Nonvoting Common Stock are subject to and qualified by the rights, powers and preferences of the holders of the Preferred Stock set forth herein. Except as otherwise provided in this Tenth Amended and Restated Certificate of Incorporation, as amended (the “</w:t>
      </w:r>
      <w:r>
        <w:rPr>
          <w:rFonts w:ascii="Times New Roman" w:cs="Times New Roman" w:eastAsia="Times New Roman" w:hAnsi="Times New Roman"/>
          <w:sz w:val="18"/>
          <w:szCs w:val="18"/>
          <w:b w:val="1"/>
          <w:bCs w:val="1"/>
          <w:i w:val="1"/>
          <w:iCs w:val="1"/>
          <w:color w:val="auto"/>
        </w:rPr>
        <w:t>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or required by applicable law, shares of Class A Common Stock, Class B Common Stock and Nonvoting Common Stock shall have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rights, privileges and powers, rank equally (including as to dividends and distributions, and upon any liquidation, dissolution, distribution of assets or winding up of the Corporation), share ratably and be identical in all respects and as to all matters.</w:t>
      </w:r>
    </w:p>
    <w:p>
      <w:pPr>
        <w:spacing w:after="0" w:line="187" w:lineRule="exact"/>
        <w:rPr>
          <w:sz w:val="20"/>
          <w:szCs w:val="20"/>
          <w:color w:val="auto"/>
        </w:rPr>
      </w:pPr>
    </w:p>
    <w:p>
      <w:pPr>
        <w:ind w:firstLine="972"/>
        <w:spacing w:after="0" w:line="245" w:lineRule="auto"/>
        <w:tabs>
          <w:tab w:leader="none" w:pos="113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required by applicable law, at all meetings of stockholders and on all matters submitted to a vote of stockholders of the Corporation generally (including written actions in lieu of meetings), each holder of the Class A Common Stock shall be entitled to one (1) vote for each share of Class A Common Stock held of record by such holder, and each holder of Class B Common Stock shall be entitled to fifteen (15) votes for each share of Class B Common Stock held of record by such holder. Except as otherwise required by applicable law or provided in this Restated Certificate, the holders of shares of Class A Common Stock and Class B Common Stock, as such, shall (a) at all times vote together as a single class on all matters (including the election of directors) submitted to a vote of the stockholders of the Corporation generally, (b)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and (c) be entitled to vote upon such matters and in such manner as may be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required by law, holders of Voting Common Stock, as such, shall not be entitled to vote on any amendment to this Restated Certificate that relates solely to the terms of one or more outstanding series of Preferred Stock if the holders of such affected series are entitled, either separately or together with the holders of one or more other such series, to vote thereon pursuant to the Restated Certificate or pursuant to the DGCL. The holders of Nonvoting Common Stock shall have no voting rights, except as required by law. There shall be no cumulative voting. Subject to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of Part B below, the number of authorized shares of Class A Common Stock, Class B Common Stock, Nonvoting Common Stock or Preferred Stock may be increased or decreased (but not below (i) the number of shares thereof then outstanding and (ii) with respect to the Class A Common Stock, the number of shares of Class A Common Stock reserved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Part A of this Article Seventh) by (in addition to any vote of the holders of one or more series of Preferred Stock that may be required by the terms of this Restated Certificate)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580" w:top="264" w:right="619" w:bottom="1440" w:gutter="0" w:footer="0" w:header="0"/>
        </w:sectPr>
      </w:pPr>
    </w:p>
    <w:bookmarkStart w:id="298" w:name="page299"/>
    <w:bookmarkEnd w:id="29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affirmative vote of the holders of capital stock representing a majority of the voting power of all the then-outstanding shares of capital stock of the Corporation entitled to vote thereon, irrespective of the provisions of Section 242(b)(2) of DGCL, and no vote of the holders of any shares of Nonvoting Common Stock, voting as a separate class, shall be required therefor.</w:t>
      </w:r>
    </w:p>
    <w:p>
      <w:pPr>
        <w:spacing w:after="0" w:line="180" w:lineRule="exact"/>
        <w:rPr>
          <w:sz w:val="20"/>
          <w:szCs w:val="20"/>
          <w:color w:val="auto"/>
        </w:rPr>
      </w:pPr>
    </w:p>
    <w:p>
      <w:pPr>
        <w:ind w:left="1140" w:hanging="168"/>
        <w:spacing w:after="0"/>
        <w:tabs>
          <w:tab w:leader="none" w:pos="11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Optional Conversion of Class B Common Stock</w:t>
      </w:r>
      <w:r>
        <w:rPr>
          <w:rFonts w:ascii="Times New Roman" w:cs="Times New Roman" w:eastAsia="Times New Roman" w:hAnsi="Times New Roman"/>
          <w:sz w:val="18"/>
          <w:szCs w:val="18"/>
          <w:color w:val="auto"/>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shares of Class B Common Stock into shares of Class A Common Stock, such holder shall surrender the certificate or certificates therefor (if any), duly endorsed, at the principal corporate office of the Corporation or of any transfer agent for the Class B Common Stock, and shall provide written 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Such conversion shall be deemed to be effective immediately prior to the close of business on the date of such surrender of the shares of Class B Common Stock to be converted following or contemporaneously with the provision of written notice of such conversion election as required by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shares of Class A Common Stock issuable upon such conversion shall be deemed to be outstanding as of such time, and the Person or Persons entitled to receive the shares of Class A Common Stock issuable upon such conversion shall be deemed to be the record holder or holders of such shares of Class A Common Stock as of such time.</w:t>
      </w:r>
    </w:p>
    <w:p>
      <w:pPr>
        <w:spacing w:after="0" w:line="203" w:lineRule="exact"/>
        <w:rPr>
          <w:sz w:val="20"/>
          <w:szCs w:val="20"/>
          <w:color w:val="auto"/>
        </w:rPr>
      </w:pPr>
    </w:p>
    <w:p>
      <w:pPr>
        <w:ind w:right="10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Automatic Conversion of Class B Common Stock</w:t>
      </w:r>
      <w:r>
        <w:rPr>
          <w:rFonts w:ascii="Times New Roman" w:cs="Times New Roman" w:eastAsia="Times New Roman" w:hAnsi="Times New Roman"/>
          <w:sz w:val="18"/>
          <w:szCs w:val="18"/>
          <w:color w:val="auto"/>
        </w:rPr>
        <w:t>. Each share of Class B Common Stock shall automatically, without further action by the Corporation or the holder thereof, convert into one (1) fully paid and nonassessable share of Class A Common Stock upon the occurrence of any event described below:</w:t>
      </w:r>
    </w:p>
    <w:p>
      <w:pPr>
        <w:spacing w:after="0" w:line="7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3.2.1 the date that is twenty (20) years from the Effective Time;</w:t>
      </w:r>
    </w:p>
    <w:p>
      <w:pPr>
        <w:spacing w:after="0" w:line="213" w:lineRule="exact"/>
        <w:rPr>
          <w:sz w:val="20"/>
          <w:szCs w:val="20"/>
          <w:color w:val="auto"/>
        </w:rPr>
      </w:pPr>
    </w:p>
    <w:p>
      <w:pPr>
        <w:ind w:right="620" w:firstLine="1928"/>
        <w:spacing w:after="0" w:line="255" w:lineRule="auto"/>
        <w:rPr>
          <w:sz w:val="20"/>
          <w:szCs w:val="20"/>
          <w:color w:val="auto"/>
        </w:rPr>
      </w:pPr>
      <w:r>
        <w:rPr>
          <w:rFonts w:ascii="Times New Roman" w:cs="Times New Roman" w:eastAsia="Times New Roman" w:hAnsi="Times New Roman"/>
          <w:sz w:val="18"/>
          <w:szCs w:val="18"/>
          <w:color w:val="auto"/>
        </w:rPr>
        <w:t xml:space="preserve">3.2.2 the first date on which Eric P. Lefkofsky and his Controlled Affiliates (as defined in </w:t>
      </w:r>
      <w:r>
        <w:rPr>
          <w:rFonts w:ascii="Times New Roman" w:cs="Times New Roman" w:eastAsia="Times New Roman" w:hAnsi="Times New Roman"/>
          <w:sz w:val="18"/>
          <w:szCs w:val="18"/>
          <w:u w:val="single" w:color="auto"/>
          <w:color w:val="auto"/>
        </w:rPr>
        <w:t>Section 5.1.1(g)</w:t>
      </w:r>
      <w:r>
        <w:rPr>
          <w:rFonts w:ascii="Times New Roman" w:cs="Times New Roman" w:eastAsia="Times New Roman" w:hAnsi="Times New Roman"/>
          <w:sz w:val="18"/>
          <w:szCs w:val="18"/>
          <w:color w:val="auto"/>
        </w:rPr>
        <w:t xml:space="preserve"> below) collectively own less than 10,000,000 shares of capital stock of the Corporation, as adjusted for any stock splits, stock dividends, combinations, subdivisions, recapitalizations or the like;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580" w:top="265" w:right="639" w:bottom="1440" w:gutter="0" w:footer="0" w:header="0"/>
        </w:sectPr>
      </w:pPr>
    </w:p>
    <w:bookmarkStart w:id="299" w:name="page300"/>
    <w:bookmarkEnd w:id="299"/>
    <w:p>
      <w:pPr>
        <w:ind w:right="60" w:firstLine="19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3.2.3 the date on which Eric P. Lefkofsky is no longer providing services to the Company as an executive officer or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w:t>
      </w:r>
    </w:p>
    <w:p>
      <w:pPr>
        <w:spacing w:after="0" w:line="170" w:lineRule="exact"/>
        <w:rPr>
          <w:sz w:val="20"/>
          <w:szCs w:val="20"/>
          <w:color w:val="auto"/>
        </w:rPr>
      </w:pPr>
    </w:p>
    <w:p>
      <w:pPr>
        <w:jc w:val="both"/>
        <w:ind w:firstLine="1928"/>
        <w:spacing w:after="0" w:line="255" w:lineRule="auto"/>
        <w:rPr>
          <w:sz w:val="20"/>
          <w:szCs w:val="20"/>
          <w:color w:val="auto"/>
        </w:rPr>
      </w:pPr>
      <w:r>
        <w:rPr>
          <w:rFonts w:ascii="Times New Roman" w:cs="Times New Roman" w:eastAsia="Times New Roman" w:hAnsi="Times New Roman"/>
          <w:sz w:val="18"/>
          <w:szCs w:val="18"/>
          <w:color w:val="auto"/>
        </w:rPr>
        <w:t>3.2.4 any sale, assignment, transfer, conveyance, hypothecation or other disposition of any legal or beneficial interest in such share, whether or not for value and whether voluntary or involuntary or by operation of law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other than a Transfer by a holder of Class B Common Stock to any of its Controlled Affiliates.</w:t>
      </w:r>
    </w:p>
    <w:p>
      <w:pPr>
        <w:spacing w:after="0" w:line="180" w:lineRule="exact"/>
        <w:rPr>
          <w:sz w:val="20"/>
          <w:szCs w:val="20"/>
          <w:color w:val="auto"/>
        </w:rPr>
      </w:pPr>
    </w:p>
    <w:p>
      <w:pPr>
        <w:ind w:firstLine="1393"/>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Mandatory Conversion of Nonvoting Common Stock</w:t>
      </w:r>
      <w:r>
        <w:rPr>
          <w:rFonts w:ascii="Times New Roman" w:cs="Times New Roman" w:eastAsia="Times New Roman" w:hAnsi="Times New Roman"/>
          <w:sz w:val="18"/>
          <w:szCs w:val="18"/>
          <w:color w:val="auto"/>
        </w:rPr>
        <w:t xml:space="preserve">. All outstanding shares of Nonvoting Common Stock shall automatically be converted into shares of Class A Common Stock at the Nonvoting Mandatory Conversion Time (as defined below).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Part B of this Article Seventh states the mandatory conversion conditions and mechanics.</w:t>
      </w:r>
    </w:p>
    <w:p>
      <w:pPr>
        <w:spacing w:after="0" w:line="180" w:lineRule="exact"/>
        <w:rPr>
          <w:sz w:val="20"/>
          <w:szCs w:val="20"/>
          <w:color w:val="auto"/>
        </w:rPr>
      </w:pPr>
    </w:p>
    <w:p>
      <w:pPr>
        <w:jc w:val="both"/>
        <w:ind w:right="80" w:firstLine="972"/>
        <w:spacing w:after="0" w:line="251" w:lineRule="auto"/>
        <w:tabs>
          <w:tab w:leader="none" w:pos="113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184"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13" w:lineRule="exact"/>
        <w:rPr>
          <w:sz w:val="20"/>
          <w:szCs w:val="20"/>
          <w:color w:val="auto"/>
        </w:rPr>
      </w:pPr>
    </w:p>
    <w:p>
      <w:pPr>
        <w:ind w:right="580" w:firstLine="428"/>
        <w:spacing w:after="0" w:line="267" w:lineRule="auto"/>
        <w:rPr>
          <w:sz w:val="20"/>
          <w:szCs w:val="20"/>
          <w:color w:val="auto"/>
        </w:rPr>
      </w:pPr>
      <w:r>
        <w:rPr>
          <w:rFonts w:ascii="Times New Roman" w:cs="Times New Roman" w:eastAsia="Times New Roman" w:hAnsi="Times New Roman"/>
          <w:sz w:val="18"/>
          <w:szCs w:val="18"/>
          <w:color w:val="auto"/>
        </w:rPr>
        <w:t>The Preferred Stock shall have the following rights, preferences, powers, privileges and restrictions, qualifications and limitations. Unless otherwise indicated, references to “Sections” in this Part B of this Article Seventh refer to sections of Part B of this Article Seventh.</w:t>
      </w:r>
    </w:p>
    <w:p>
      <w:pPr>
        <w:spacing w:after="0" w:line="170" w:lineRule="exact"/>
        <w:rPr>
          <w:sz w:val="20"/>
          <w:szCs w:val="20"/>
          <w:color w:val="auto"/>
        </w:rPr>
      </w:pPr>
    </w:p>
    <w:p>
      <w:pPr>
        <w:ind w:left="1140" w:hanging="168"/>
        <w:spacing w:after="0"/>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Series G-3 PIK Dividends</w:t>
      </w:r>
      <w:r>
        <w:rPr>
          <w:rFonts w:ascii="Times New Roman" w:cs="Times New Roman" w:eastAsia="Times New Roman" w:hAnsi="Times New Roman"/>
          <w:sz w:val="18"/>
          <w:szCs w:val="18"/>
          <w:color w:val="auto"/>
        </w:rPr>
        <w:t>. From and after the date of the issuance of any share of Series G-3 Preferred Stock, dividends shall accrue on such share of Series G-3 Preferred Stock, at the rate of four percent (4.0%) per annum on the sum of (i) the Series G-3 Original Issue Price (subject to appropriate adjustment in the event of any stock dividend, stock split, combination or other similar recapitalization with respect to such class or series) plus (ii) all accrued but unpaid dividends thereon. Such dividends on the shares of Series G-3 Preferred Stock shall accrue from day to day, whether or not declared and whether or not there are any funds of the Corporation legally available for the payment of dividends, and shall be cumulative. To the extent permitted by applicable law, the Corporation shall pay all of the accrued dividends on shares of Series G-3 Preferred Stock in fully paid and non-assessable shares of Series G-3 Preferred Stock (such dividends being the “</w:t>
      </w:r>
      <w:r>
        <w:rPr>
          <w:rFonts w:ascii="Times New Roman" w:cs="Times New Roman" w:eastAsia="Times New Roman" w:hAnsi="Times New Roman"/>
          <w:sz w:val="18"/>
          <w:szCs w:val="18"/>
          <w:b w:val="1"/>
          <w:bCs w:val="1"/>
          <w:i w:val="1"/>
          <w:iCs w:val="1"/>
          <w:color w:val="auto"/>
        </w:rPr>
        <w:t>Series G-3 PIK Dividends</w:t>
      </w:r>
      <w:r>
        <w:rPr>
          <w:rFonts w:ascii="Times New Roman" w:cs="Times New Roman" w:eastAsia="Times New Roman" w:hAnsi="Times New Roman"/>
          <w:sz w:val="18"/>
          <w:szCs w:val="18"/>
          <w:color w:val="auto"/>
        </w:rPr>
        <w:t>”). The Series G-3 PIK Dividends shall be paid by delivering to each record holder of shares of Series G-3 Preferred Stock a number of whole shares of Series G-3 Preferred Stock determined by dividing (x) the accrued and unpaid dividends on the Series G-3 Preferred Stock on the applicable Series G-3 Dividend Payment Date by (y) the Series G-3 Original Issue Price (subject to appropriate adjustment in the event of any stock dividend, stock split, combination or other similar recapitalization with respect to such class or</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80"/>
          </w:cols>
          <w:pgMar w:left="580" w:top="266" w:right="639" w:bottom="1440" w:gutter="0" w:footer="0" w:header="0"/>
        </w:sectPr>
      </w:pPr>
    </w:p>
    <w:bookmarkStart w:id="300" w:name="page301"/>
    <w:bookmarkEnd w:id="300"/>
    <w:p>
      <w:pPr>
        <w:ind w:right="4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series), on January 15 of each year (or the following business day, each such date, a “</w:t>
      </w:r>
      <w:r>
        <w:rPr>
          <w:rFonts w:ascii="Times New Roman" w:cs="Times New Roman" w:eastAsia="Times New Roman" w:hAnsi="Times New Roman"/>
          <w:sz w:val="16"/>
          <w:szCs w:val="16"/>
          <w:b w:val="1"/>
          <w:bCs w:val="1"/>
          <w:i w:val="1"/>
          <w:iCs w:val="1"/>
          <w:color w:val="auto"/>
        </w:rPr>
        <w:t>Series G-3 Dividend Payment Date</w:t>
      </w:r>
      <w:r>
        <w:rPr>
          <w:rFonts w:ascii="Times New Roman" w:cs="Times New Roman" w:eastAsia="Times New Roman" w:hAnsi="Times New Roman"/>
          <w:sz w:val="16"/>
          <w:szCs w:val="16"/>
          <w:color w:val="auto"/>
        </w:rPr>
        <w:t xml:space="preserve">”). If and to the extent that any portion of the accrued but unpaid dividends required to be paid on a Series G-3 Dividend Payment Date are not paid on such Series G-3 Dividend Payment Date, such unpaid portion of the dividends on the Series G-3 Preferred Stock shall accumulate and compound on the applicable Series G-3 Dividend Payment Date and subject to the provisions of this </w:t>
      </w:r>
      <w:r>
        <w:rPr>
          <w:rFonts w:ascii="Times New Roman" w:cs="Times New Roman" w:eastAsia="Times New Roman" w:hAnsi="Times New Roman"/>
          <w:sz w:val="16"/>
          <w:szCs w:val="16"/>
          <w:u w:val="single" w:color="auto"/>
          <w:color w:val="auto"/>
        </w:rPr>
        <w:t>Subsection 1.1</w:t>
      </w:r>
      <w:r>
        <w:rPr>
          <w:rFonts w:ascii="Times New Roman" w:cs="Times New Roman" w:eastAsia="Times New Roman" w:hAnsi="Times New Roman"/>
          <w:sz w:val="16"/>
          <w:szCs w:val="16"/>
          <w:color w:val="auto"/>
        </w:rPr>
        <w:t xml:space="preserve"> shall be payable on the following Series G-3 Dividend Payment Date, in each case whether or not declared by the Board. All Series G-3 PIK Dividends on the shares of Series G-3 Preferred Stock shall be prior to and in preference to any dividend paid with respect to shares of Series G Preferred Stock, Series F Preferred Stock, Series E Preferred Stock, Series D Preferred Stock, Series C Preferred Stock, Series B-2 Preferred Stock, Series B-1 Preferred Stock and Series B Preferred Stock, Series A Preferred Stock, Common Stock or any other class or series of capital stock of the Corporation ranking junior to shares of Series G-3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G-3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F Accruing Dividends, 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78" w:lineRule="exact"/>
        <w:rPr>
          <w:sz w:val="20"/>
          <w:szCs w:val="20"/>
          <w:color w:val="auto"/>
        </w:rPr>
      </w:pPr>
    </w:p>
    <w:p>
      <w:pPr>
        <w:ind w:right="40" w:firstLine="1393"/>
        <w:spacing w:after="0" w:line="27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Accruing Series G Dividends</w:t>
      </w:r>
      <w:r>
        <w:rPr>
          <w:rFonts w:ascii="Times New Roman" w:cs="Times New Roman" w:eastAsia="Times New Roman" w:hAnsi="Times New Roman"/>
          <w:sz w:val="16"/>
          <w:szCs w:val="16"/>
          <w:color w:val="auto"/>
        </w:rPr>
        <w:t>. From and after the date of the issuance of any share of Series G Preferred Stock, dividends shall accrue on such share of Series G Preferred Stock, at the rate of six percent (6.0%) per annum on the sum of (i) the Series G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6"/>
          <w:szCs w:val="16"/>
          <w:b w:val="1"/>
          <w:bCs w:val="1"/>
          <w:i w:val="1"/>
          <w:iCs w:val="1"/>
          <w:color w:val="auto"/>
        </w:rPr>
        <w:t>Series G Accruing Dividends</w:t>
      </w:r>
      <w:r>
        <w:rPr>
          <w:rFonts w:ascii="Times New Roman" w:cs="Times New Roman" w:eastAsia="Times New Roman" w:hAnsi="Times New Roman"/>
          <w:sz w:val="16"/>
          <w:szCs w:val="16"/>
          <w:color w:val="auto"/>
        </w:rPr>
        <w:t xml:space="preserve">”). Series G Accruing Dividends shall accrue from day to day, whether or not declared and whether or not there are any funds of the Corporation legally available for the payment of dividends, and shall be cumulative;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except as set forth in </w:t>
      </w:r>
      <w:r>
        <w:rPr>
          <w:rFonts w:ascii="Times New Roman" w:cs="Times New Roman" w:eastAsia="Times New Roman" w:hAnsi="Times New Roman"/>
          <w:sz w:val="16"/>
          <w:szCs w:val="16"/>
          <w:u w:val="single" w:color="auto"/>
          <w:color w:val="auto"/>
        </w:rPr>
        <w:t>Subsection 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w:t>
      </w:r>
    </w:p>
    <w:p>
      <w:pPr>
        <w:spacing w:after="0" w:line="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4.3.1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such Series G Accruing Dividends shall be payable only when, as and if declared by the Board of Directors of the Corporation. All Series G Accruing Dividends on the shares of Series G Preferred Stock shall be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to any dividend paid with respect to shares of Series F Preferred Stock, Series E Preferred Stock, Series D Preferred Stock, Series C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G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2" w:right="619" w:bottom="1440" w:gutter="0" w:footer="0" w:header="0"/>
        </w:sectPr>
      </w:pPr>
    </w:p>
    <w:bookmarkStart w:id="301" w:name="page302"/>
    <w:bookmarkEnd w:id="301"/>
    <w:p>
      <w:pPr>
        <w:ind w:right="8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or series of capital stock of the Corporation ranking junior to shares of Series G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F Accruing Dividends, 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Accruing Series F Dividends, Accruing Series E Dividends, Accruing Series D Dividends and Accruing Series C Dividends</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and after the date of the issuance of any share of Series F Preferred Stock, any share of Series E Preferred Stock, any share of Series D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and any share of Series C Preferred Stock, dividends shall accrue on such share of Series F Preferred Stock, Series E Preferred Stock, Series 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Stock or Series C Preferred Stock, as applicable, at the rate of six percent (6.0%) per annum on the sum of (i) the Series F Original Issue Price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 to appropriate adjustment in the event of any stock dividend, stock split, combination or other similar recapitalization with respect to such class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series), the Series E Original Issue Price (subject to appropriate adjustment in the event of any stock dividend, stock split, combination or other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similar recapitalization with respect to such class or series), the Series D Original Issue Price (subject to appropriate adjustment in the event of any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 stock split, combination or other similar recapitalization with respect to such class or series), or the Series C Original Issue Price (subject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appropriate adjustment in the event of any stock dividend, stock split, combination or other similar recapitalization with respect to such class or series),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plus (ii) all accrued but unpaid dividends thereon (as applicable, the “</w:t>
      </w:r>
      <w:r>
        <w:rPr>
          <w:rFonts w:ascii="Times New Roman" w:cs="Times New Roman" w:eastAsia="Times New Roman" w:hAnsi="Times New Roman"/>
          <w:sz w:val="18"/>
          <w:szCs w:val="18"/>
          <w:b w:val="1"/>
          <w:bCs w:val="1"/>
          <w:i w:val="1"/>
          <w:iCs w:val="1"/>
          <w:color w:val="auto"/>
        </w:rPr>
        <w:t>Series F Accruing Dividends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Series E Accruing Dividends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D Accruing Dividends</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i w:val="1"/>
          <w:iCs w:val="1"/>
          <w:color w:val="auto"/>
        </w:rPr>
        <w:t>Series C Accruing Dividends</w:t>
      </w:r>
      <w:r>
        <w:rPr>
          <w:rFonts w:ascii="Times New Roman" w:cs="Times New Roman" w:eastAsia="Times New Roman" w:hAnsi="Times New Roman"/>
          <w:sz w:val="16"/>
          <w:szCs w:val="16"/>
          <w:color w:val="auto"/>
        </w:rPr>
        <w:t>”). Series F Accruing Dividends, Series E Accruing Dividends, Series D Accruing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and Series C Accruing Dividends shall accrue from day to day, whether or not declared and whether or not there are any funds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legally available for the payment of dividends, and shall be cumulative;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Subsection 2.4</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4.3.1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a holder of shares of Preferred Stock has made a prior written election delivered to the Corporation to receive payment of such accrued dividends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such Series F Accruing Dividends, Series E Accruing Dividends, Series D Accruing Dividends and Series C Accruing Dividends shall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only when, as and if declared by the Board of Directors of the Corporation. If and to the extent that a holder has made such election,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shall pay all of the Series F Accruing Dividends, the Series E Accruing Dividends, the Series D Accruing Dividends and the Series 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Accruing Dividends on the applicable shares of Preferred Stock held by such holder in cash on January 15 of each year (or the following business day,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such date, a “</w:t>
      </w:r>
      <w:r>
        <w:rPr>
          <w:rFonts w:ascii="Times New Roman" w:cs="Times New Roman" w:eastAsia="Times New Roman" w:hAnsi="Times New Roman"/>
          <w:sz w:val="16"/>
          <w:szCs w:val="16"/>
          <w:b w:val="1"/>
          <w:bCs w:val="1"/>
          <w:i w:val="1"/>
          <w:iCs w:val="1"/>
          <w:color w:val="auto"/>
        </w:rPr>
        <w:t>Dividend Payment Date</w:t>
      </w:r>
      <w:r>
        <w:rPr>
          <w:rFonts w:ascii="Times New Roman" w:cs="Times New Roman" w:eastAsia="Times New Roman" w:hAnsi="Times New Roman"/>
          <w:sz w:val="16"/>
          <w:szCs w:val="16"/>
          <w:color w:val="auto"/>
        </w:rPr>
        <w:t xml:space="preserve">”), but only to the extent out of funds legally available therefor;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the event any such holder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makes such election, the Series F Accruing Dividends, the Series E Accruing Dividends, the Series D Accruing Dividends and the Series C Accruing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with respect to the applicable shares of Preferred Stock held by such holder shall accrue on such shares at the rate of five percent (5.0%)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rather than six percent (6.0%) per annum. If and to the extent that any portion of the accrued but unpaid dividends required to be paid on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Date are not paid on such Dividend Payment Date, such unpaid portion of the Series F Accruing Dividends, Series E</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580" w:top="265" w:right="619" w:bottom="1440" w:gutter="0" w:footer="0" w:header="0"/>
        </w:sectPr>
      </w:pPr>
    </w:p>
    <w:bookmarkStart w:id="302" w:name="page303"/>
    <w:bookmarkEnd w:id="302"/>
    <w:p>
      <w:pPr>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Accruing Dividends, Series D Accruing Dividends or Series C Accruing Dividends shall accumulate and compound on the applicable Dividend Payment Date and subject to the provisions of this </w:t>
      </w:r>
      <w:r>
        <w:rPr>
          <w:rFonts w:ascii="Times New Roman" w:cs="Times New Roman" w:eastAsia="Times New Roman" w:hAnsi="Times New Roman"/>
          <w:sz w:val="16"/>
          <w:szCs w:val="16"/>
          <w:u w:val="single" w:color="auto"/>
          <w:color w:val="auto"/>
        </w:rPr>
        <w:t>Subsection 1.2</w:t>
      </w:r>
      <w:r>
        <w:rPr>
          <w:rFonts w:ascii="Times New Roman" w:cs="Times New Roman" w:eastAsia="Times New Roman" w:hAnsi="Times New Roman"/>
          <w:sz w:val="16"/>
          <w:szCs w:val="16"/>
          <w:color w:val="auto"/>
        </w:rPr>
        <w:t xml:space="preserve"> shall be payable on the following Dividend Payment Date, in each case whether or not declared by the Board of Directors of the Corporation. All Series F Accruing Dividends on the shares of Series F Preferred Stock, Series E Accruing Dividends on the shares of Series E Preferred Stock, Series D Accruing Dividends on the shares of Series D Preferred Stock and Series C Accruing Dividends on the shares of Series C Preferred Stock shall be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to any dividend paid with respect to each other and with respect to shares of Series G Preferred 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F Preferred Stock, Series E Preferred Stock, Series D Preferred Stock and Series C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F Preferred Stock, Series E Preferred Stock, Series D Preferred Stock and Series C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B-2 Accruing Dividends, Series B-1 Accruing Dividends, Series B Accruing Dividends, and Series A Accruing Dividends may be paid in respect of shares of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77" w:lineRule="exact"/>
        <w:rPr>
          <w:sz w:val="20"/>
          <w:szCs w:val="20"/>
          <w:color w:val="auto"/>
        </w:rPr>
      </w:pPr>
    </w:p>
    <w:p>
      <w:pPr>
        <w:ind w:right="4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Accruing Series B-2 Dividends</w:t>
      </w:r>
      <w:r>
        <w:rPr>
          <w:rFonts w:ascii="Times New Roman" w:cs="Times New Roman" w:eastAsia="Times New Roman" w:hAnsi="Times New Roman"/>
          <w:sz w:val="18"/>
          <w:szCs w:val="18"/>
          <w:color w:val="auto"/>
        </w:rPr>
        <w:t>. From and after the date of the issuance of any share of Series B-2 Preferred Stock, dividends shall accrue on such share of Series B-2 Preferred Stock at the rate of five percent (5.0%) per annum on the sum of (i) the Series B-2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B-2 Accruing Dividends</w:t>
      </w:r>
      <w:r>
        <w:rPr>
          <w:rFonts w:ascii="Times New Roman" w:cs="Times New Roman" w:eastAsia="Times New Roman" w:hAnsi="Times New Roman"/>
          <w:sz w:val="18"/>
          <w:szCs w:val="18"/>
          <w:color w:val="auto"/>
        </w:rPr>
        <w:t xml:space="preserve">”). Series B-2 Accruing Dividends shall accrue from day to day, whether or not declared and whether or not there are any funds of the Corporation legally available for the payment of dividends, and shall be cumulative. All Series B-2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of a majority of the outstanding shares of Series B-2 Preferred Stock may elect, in their sole discretion and on behalf of all of the holders of shares of Series B-2 Preferred Stock, for the Corporation to not pay all or any portion of the Series B-2 Accruing Dividends upon ten (10) days’ advance notice to the Board of Directors of the Corporation. If and to the extent that any portion of the Series B-2 Accruing Dividends are not paid on a Dividend Payment Date by reason of such election or otherwise, such unpaid portion of the Series B-2 Accruing Dividends shall accumulate and compound on the applicable Dividend Payment Date whether or not declared by the Board of Directors of the Corporation. All Series B-2 Accruing Dividends on the shares of Series B-2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shares of Series G Preferred Stock, Series F Preferred Stock, Series E Preferred Stock, Series D Preferred Stock, Series C Preferred Stock, Series B-1 Preferred Stock and Series B Preferred Stock and prior to and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6" w:right="619" w:bottom="1440" w:gutter="0" w:footer="0" w:header="0"/>
        </w:sectPr>
      </w:pPr>
    </w:p>
    <w:bookmarkStart w:id="303" w:name="page304"/>
    <w:bookmarkEnd w:id="303"/>
    <w:p>
      <w:pPr>
        <w:ind w:right="10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in preference to any dividend on any shares of Series A Preferred Stock, Common Stock or any other class or series of capital stock of the Corporation ranking junior to shares of Series B-2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B-2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B-1 Accruing Dividends, Series B Accruing Dividends, and Series A Accruing Dividends may be paid in respect of shares of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Accruing Series B-1 Dividends</w:t>
      </w:r>
      <w:r>
        <w:rPr>
          <w:rFonts w:ascii="Times New Roman" w:cs="Times New Roman" w:eastAsia="Times New Roman" w:hAnsi="Times New Roman"/>
          <w:sz w:val="18"/>
          <w:szCs w:val="18"/>
          <w:color w:val="auto"/>
        </w:rPr>
        <w:t>. From and after the date of the issuance of any share of Series B-1 Preferred Stock, dividends shall accrue on such share of Series B-1 Preferred Stock at the rate of five percent (5.0%) per annum on the sum of (i) the Series B-1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B-1 Accruing Dividends</w:t>
      </w:r>
      <w:r>
        <w:rPr>
          <w:rFonts w:ascii="Times New Roman" w:cs="Times New Roman" w:eastAsia="Times New Roman" w:hAnsi="Times New Roman"/>
          <w:sz w:val="18"/>
          <w:szCs w:val="18"/>
          <w:color w:val="auto"/>
        </w:rPr>
        <w:t xml:space="preserve">”). Series B-1 Accruing Dividends shall accrue from day to day, whether or not declared and whether or not there are any funds of the Corporation legally available for the payment of dividends, and shall be cumulative. All Series B-1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of a majority of the outstanding shares of Series B-1 Preferred Stock may elect, in their sole discretion and on behalf of all of the holders of shares of Series B-1 Preferred Stock, for the Corporation to not pay all or any portion of the Series B-1 Accruing Dividends upon ten (10) days’ advance notice to the Board of Directors of the Corporation. If and to the extent that any portion of the Series B-1 Accruing Dividends are not paid on a Dividend Payment Date by reason of such election or otherwise, such unpaid portion of the Series B-1 Accruing Dividends shall accumulate and compound on the applicable Dividend Payment Date whether or not declared by the Board of Directors of the Corporation. All Series B-1 Accruing Dividends on the shares of Series B-1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shares of Series G Preferred Stock, Series F Preferred Stock, Series E Preferred Stock, Series D Preferred Stock, Series C Preferred Stock, Series B-2 Preferred Stock and Series B Preferred Stock and prior to and in preference to any dividend on any shares of Series A Preferred Stock, Common Stock or any other class or series of capital stock of the Corporation ranking junior to shares of Series B-1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B-1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 Accruing Dividends and Series A Accruing Dividends may be paid in respect of shares of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60"/>
          </w:cols>
          <w:pgMar w:left="580" w:top="265" w:right="659" w:bottom="1440" w:gutter="0" w:footer="0" w:header="0"/>
        </w:sectPr>
      </w:pPr>
    </w:p>
    <w:bookmarkStart w:id="304" w:name="page305"/>
    <w:bookmarkEnd w:id="304"/>
    <w:p>
      <w:pPr>
        <w:ind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1.6 </w:t>
      </w:r>
      <w:r>
        <w:rPr>
          <w:rFonts w:ascii="Times New Roman" w:cs="Times New Roman" w:eastAsia="Times New Roman" w:hAnsi="Times New Roman"/>
          <w:sz w:val="16"/>
          <w:szCs w:val="16"/>
          <w:u w:val="single" w:color="auto"/>
          <w:color w:val="auto"/>
        </w:rPr>
        <w:t>Accruing Series B Dividends</w:t>
      </w:r>
      <w:r>
        <w:rPr>
          <w:rFonts w:ascii="Times New Roman" w:cs="Times New Roman" w:eastAsia="Times New Roman" w:hAnsi="Times New Roman"/>
          <w:sz w:val="16"/>
          <w:szCs w:val="16"/>
          <w:color w:val="auto"/>
        </w:rPr>
        <w:t>. From and after the date of the issuance of any share of Series B Preferred Stock, dividends shall accrue on such share of Series B Preferred Stock at the rate of five percent (5.0%) per annum on the sum of (i) the Series B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6"/>
          <w:szCs w:val="16"/>
          <w:b w:val="1"/>
          <w:bCs w:val="1"/>
          <w:i w:val="1"/>
          <w:iCs w:val="1"/>
          <w:color w:val="auto"/>
        </w:rPr>
        <w:t>Series B Accruing Dividends</w:t>
      </w:r>
      <w:r>
        <w:rPr>
          <w:rFonts w:ascii="Times New Roman" w:cs="Times New Roman" w:eastAsia="Times New Roman" w:hAnsi="Times New Roman"/>
          <w:sz w:val="16"/>
          <w:szCs w:val="16"/>
          <w:color w:val="auto"/>
        </w:rPr>
        <w:t xml:space="preserve">”). Series B Accruing Dividends shall accrue from day to day, whether or not declared and whether or not there are any funds of the Corporation legally available for the payment of dividends, and shall be cumulative. All Series B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holders of a majority of the outstanding shares of Series B Preferred Stock may elect, in their sole discretion and on behalf of all of the holders of shares of Series B Preferred Stock, for the Corporation to not pay all or any portion of the Series B Accruing Dividends upon ten (10) days’ advance notice to the Board of Directors of the Corporation. If and to the extent that any portion of the Series B Accruing Dividends are not paid on a Dividend Payment Date by reason of such election or otherwise, such unpaid portion of the Series B Accruing Dividends shall accumulate and compound on the applicable Dividend Payment Date whether or not declared by the Board of Directors of the Corporation. All Series B Accruing Dividends on the shares of Series B Preferred Stock shall be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to any dividend paid with respect to shares of Series G Preferred Stock, Series F Preferred Stock, Series E Preferred Stock, Series D Preferred Stock, Series C Preferred Stock, Series B-2 Preferred Stock and Series B-1 Preferred Stock and prior to and in preference to any dividend on any shares of Series A Preferred Stock, Common Stock or any other class or series of capital stock of the Corporation ranking junior to shares of Series B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A Accruing Dividends may be paid in respect of shares of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Accruing Series A Dividends</w:t>
      </w:r>
      <w:r>
        <w:rPr>
          <w:rFonts w:ascii="Times New Roman" w:cs="Times New Roman" w:eastAsia="Times New Roman" w:hAnsi="Times New Roman"/>
          <w:sz w:val="18"/>
          <w:szCs w:val="18"/>
          <w:color w:val="auto"/>
        </w:rPr>
        <w:t>. From and after the date of the issuance of any share of Series A Preferred Stock, dividends shall accrue on such share of Series A Preferred Stock at the rate of five percent (5.0%) per annum on the sum of (i) the Series A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A Accruing Dividends</w:t>
      </w:r>
      <w:r>
        <w:rPr>
          <w:rFonts w:ascii="Times New Roman" w:cs="Times New Roman" w:eastAsia="Times New Roman" w:hAnsi="Times New Roman"/>
          <w:sz w:val="18"/>
          <w:szCs w:val="18"/>
          <w:color w:val="auto"/>
        </w:rPr>
        <w:t>”). Series A Accruing Dividends shall accrue from day to day, whether or not declared and whether or not there are any funds of the Corporation legally available for the payment of dividends, and shall be cumulative. All Series A Accruing Dividends shall be paid in cash on each Dividend Payment Date, but only (i) after the payment of all Series G Accruing Dividends, Series F Accruing Dividends, Series E Accruing Dividends, Series D Accruing Dividends, Series C Accruing Dividends, Series B-2 Accruing Dividends, Series B-1 Accruing Dividends and Series B Accruing Dividends, in each case, to the extent required to be paid on such Dividend Payment Date and (ii) to the extent out of</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80"/>
          </w:cols>
          <w:pgMar w:left="580" w:top="265" w:right="639" w:bottom="1440" w:gutter="0" w:footer="0" w:header="0"/>
        </w:sectPr>
      </w:pPr>
    </w:p>
    <w:bookmarkStart w:id="305" w:name="page306"/>
    <w:bookmarkEnd w:id="305"/>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holders of a majority of the outstanding shares of Series A Preferred Stock may elect, in their sole discretion and on behalf of all of the holders of shares of Series A Preferred Stock, for the Corporation to not pay all or any portion of the Series A Accruing Dividends upon ten (10) days’ advance notice to the Board of Directors of the Corporation. If and to the extent that any portion of the Series A Accruing Dividends are not paid on a Dividend Payment Date by reason of such election or otherwise, such unpaid portion of the Series A Accruing Dividends shall accumulate and compound on the applicable Dividend Payment Date whether or not declared by the Board of Directors of the Corporation. All Series A Accruing Dividends on the shares of Series A Preferred Stock shall be prior to and in preference to any dividend on any shares of Common Stock or any other class or series of capital stock of the Corporation ranking junior to shares of Series A Preferred Stock in respect of payment of dividends and except as provided herein, shall be paid before any dividends are declared and paid, or any other distributions or redemptions are made, with respect to shares of Common Stock (other than dividends on shares of Common Stock payable in shares of Common Stock) or other classes or series of capital stock of the Corporation ranking junior to shares of Series A Preferred Stock in respect of payment of dividends.</w:t>
      </w:r>
    </w:p>
    <w:p>
      <w:pPr>
        <w:spacing w:after="0" w:line="196" w:lineRule="exact"/>
        <w:rPr>
          <w:sz w:val="20"/>
          <w:szCs w:val="20"/>
          <w:color w:val="auto"/>
        </w:rPr>
      </w:pPr>
    </w:p>
    <w:p>
      <w:pPr>
        <w:ind w:firstLine="1393"/>
        <w:spacing w:after="0" w:line="277" w:lineRule="auto"/>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u w:val="single" w:color="auto"/>
          <w:color w:val="auto"/>
        </w:rPr>
        <w:t>Preferred Stock Dividends</w:t>
      </w:r>
      <w:r>
        <w:rPr>
          <w:rFonts w:ascii="Times New Roman" w:cs="Times New Roman" w:eastAsia="Times New Roman" w:hAnsi="Times New Roman"/>
          <w:sz w:val="16"/>
          <w:szCs w:val="16"/>
          <w:color w:val="auto"/>
        </w:rPr>
        <w:t xml:space="preserve">. The Corporation shall not declare, pay or set aside any dividends on shares of any other class or series of capital stock of the Corporation (other than as set forth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or dividends on shares of Common Stock payable in shares of Common Stock) unless (in addition to the obtaining of any consents required elsewhere in this Restated Certificate)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A Original Issue Price, the Series B Original Issue Price, the Series B-1 Original Issue Price, the Series B-2 Original Issue Price, the Series C Original Issue Price, the Series D Original Issue Price, the Series E Original Issue Price, the Series F Original Issue Price, the Series G Original Issue Price, the Series G-2 Original Issue Price or the Series G-3 Original Issue Price, as the case may be;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shall be calculated based upon the dividend on the class or series of capital stock that would result in the highest Preferred Stock dividend.</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580" w:top="265" w:right="599" w:bottom="1440" w:gutter="0" w:footer="0" w:header="0"/>
        </w:sectPr>
      </w:pPr>
    </w:p>
    <w:bookmarkStart w:id="306" w:name="page307"/>
    <w:bookmarkEnd w:id="306"/>
    <w:p>
      <w:pPr>
        <w:ind w:right="20"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1.9 </w:t>
      </w:r>
      <w:r>
        <w:rPr>
          <w:rFonts w:ascii="Times New Roman" w:cs="Times New Roman" w:eastAsia="Times New Roman" w:hAnsi="Times New Roman"/>
          <w:sz w:val="16"/>
          <w:szCs w:val="16"/>
          <w:u w:val="single" w:color="auto"/>
          <w:color w:val="auto"/>
        </w:rPr>
        <w:t>Original Issue Price</w:t>
      </w:r>
      <w:r>
        <w:rPr>
          <w:rFonts w:ascii="Times New Roman" w:cs="Times New Roman" w:eastAsia="Times New Roman" w:hAnsi="Times New Roman"/>
          <w:sz w:val="16"/>
          <w:szCs w:val="16"/>
          <w:color w:val="auto"/>
        </w:rPr>
        <w:t>. For purposes of this Restated Certificate, (i) the “</w:t>
      </w:r>
      <w:r>
        <w:rPr>
          <w:rFonts w:ascii="Times New Roman" w:cs="Times New Roman" w:eastAsia="Times New Roman" w:hAnsi="Times New Roman"/>
          <w:sz w:val="16"/>
          <w:szCs w:val="16"/>
          <w:b w:val="1"/>
          <w:bCs w:val="1"/>
          <w:i w:val="1"/>
          <w:iCs w:val="1"/>
          <w:color w:val="auto"/>
        </w:rPr>
        <w:t>Series A Original Issue Price</w:t>
      </w:r>
      <w:r>
        <w:rPr>
          <w:rFonts w:ascii="Times New Roman" w:cs="Times New Roman" w:eastAsia="Times New Roman" w:hAnsi="Times New Roman"/>
          <w:sz w:val="16"/>
          <w:szCs w:val="16"/>
          <w:color w:val="auto"/>
        </w:rPr>
        <w:t>” means $1.00 per share of Series A Preferred Stock, subject to appropriate adjustment in the event of any stock dividend, stock split, combination or other similar recapitalization with respect to the Series A Preferred Stock after the filing date hereof, (ii) the “</w:t>
      </w:r>
      <w:r>
        <w:rPr>
          <w:rFonts w:ascii="Times New Roman" w:cs="Times New Roman" w:eastAsia="Times New Roman" w:hAnsi="Times New Roman"/>
          <w:sz w:val="16"/>
          <w:szCs w:val="16"/>
          <w:b w:val="1"/>
          <w:bCs w:val="1"/>
          <w:i w:val="1"/>
          <w:iCs w:val="1"/>
          <w:color w:val="auto"/>
        </w:rPr>
        <w:t>Series B Original Issue Price</w:t>
      </w:r>
      <w:r>
        <w:rPr>
          <w:rFonts w:ascii="Times New Roman" w:cs="Times New Roman" w:eastAsia="Times New Roman" w:hAnsi="Times New Roman"/>
          <w:sz w:val="16"/>
          <w:szCs w:val="16"/>
          <w:color w:val="auto"/>
        </w:rPr>
        <w:t>” means $1.8605 per share of Series B Preferred Stock, subject to appropriate adjustment in the event of any stock dividend, stock split, combination or other similar recapitalization with respect to the Series B Preferred Stock after the filing date hereof, (iii) the “</w:t>
      </w:r>
      <w:r>
        <w:rPr>
          <w:rFonts w:ascii="Times New Roman" w:cs="Times New Roman" w:eastAsia="Times New Roman" w:hAnsi="Times New Roman"/>
          <w:sz w:val="16"/>
          <w:szCs w:val="16"/>
          <w:b w:val="1"/>
          <w:bCs w:val="1"/>
          <w:i w:val="1"/>
          <w:iCs w:val="1"/>
          <w:color w:val="auto"/>
        </w:rPr>
        <w:t>Series B-1 Original Issue Price</w:t>
      </w:r>
      <w:r>
        <w:rPr>
          <w:rFonts w:ascii="Times New Roman" w:cs="Times New Roman" w:eastAsia="Times New Roman" w:hAnsi="Times New Roman"/>
          <w:sz w:val="16"/>
          <w:szCs w:val="16"/>
          <w:color w:val="auto"/>
        </w:rPr>
        <w:t>” means $4.00 per share of Series B-1 Preferred Stock, subject to appropriate adjustment in the event of any stock dividend, stock split, combination or other similar recapitalization with respect to the Series B-1 Preferred Stock after the filing date hereof, (iv) the “</w:t>
      </w:r>
      <w:r>
        <w:rPr>
          <w:rFonts w:ascii="Times New Roman" w:cs="Times New Roman" w:eastAsia="Times New Roman" w:hAnsi="Times New Roman"/>
          <w:sz w:val="16"/>
          <w:szCs w:val="16"/>
          <w:b w:val="1"/>
          <w:bCs w:val="1"/>
          <w:i w:val="1"/>
          <w:iCs w:val="1"/>
          <w:color w:val="auto"/>
        </w:rPr>
        <w:t>Series B-2 Original Issue Price</w:t>
      </w:r>
      <w:r>
        <w:rPr>
          <w:rFonts w:ascii="Times New Roman" w:cs="Times New Roman" w:eastAsia="Times New Roman" w:hAnsi="Times New Roman"/>
          <w:sz w:val="16"/>
          <w:szCs w:val="16"/>
          <w:color w:val="auto"/>
        </w:rPr>
        <w:t>” means $7.1579 per share of Series B-2 Preferred Stock, subject to appropriate adjustment in the event of any stock dividend, stock split, combination or other similar recapitalization with respect to the Series B-2 Preferred Stock after the filing date hereof, (v) the “</w:t>
      </w:r>
      <w:r>
        <w:rPr>
          <w:rFonts w:ascii="Times New Roman" w:cs="Times New Roman" w:eastAsia="Times New Roman" w:hAnsi="Times New Roman"/>
          <w:sz w:val="16"/>
          <w:szCs w:val="16"/>
          <w:b w:val="1"/>
          <w:bCs w:val="1"/>
          <w:i w:val="1"/>
          <w:iCs w:val="1"/>
          <w:color w:val="auto"/>
        </w:rPr>
        <w:t>Series C Original Issue Price</w:t>
      </w:r>
      <w:r>
        <w:rPr>
          <w:rFonts w:ascii="Times New Roman" w:cs="Times New Roman" w:eastAsia="Times New Roman" w:hAnsi="Times New Roman"/>
          <w:sz w:val="16"/>
          <w:szCs w:val="16"/>
          <w:color w:val="auto"/>
        </w:rPr>
        <w:t>” means $7.1579 per share of Series C Preferred Stock, subject to appropriate adjustment in the event of any stock dividend, stock split, combination or other similar recapitalization with respect to the Series C Preferred Stock after the filing date hereof, (vi) the “</w:t>
      </w:r>
      <w:r>
        <w:rPr>
          <w:rFonts w:ascii="Times New Roman" w:cs="Times New Roman" w:eastAsia="Times New Roman" w:hAnsi="Times New Roman"/>
          <w:sz w:val="16"/>
          <w:szCs w:val="16"/>
          <w:b w:val="1"/>
          <w:bCs w:val="1"/>
          <w:i w:val="1"/>
          <w:iCs w:val="1"/>
          <w:color w:val="auto"/>
        </w:rPr>
        <w:t>Series D Original Issue Price</w:t>
      </w:r>
      <w:r>
        <w:rPr>
          <w:rFonts w:ascii="Times New Roman" w:cs="Times New Roman" w:eastAsia="Times New Roman" w:hAnsi="Times New Roman"/>
          <w:sz w:val="16"/>
          <w:szCs w:val="16"/>
          <w:color w:val="auto"/>
        </w:rPr>
        <w:t>” means $9.3739 per share of Series D Preferred Stock, subject to appropriate adjustment in the event of any stock dividend, stock split, combination or other similar recapitalization with respect to the Series D Preferred Stock after the filing date hereof, (vii) the “</w:t>
      </w:r>
      <w:r>
        <w:rPr>
          <w:rFonts w:ascii="Times New Roman" w:cs="Times New Roman" w:eastAsia="Times New Roman" w:hAnsi="Times New Roman"/>
          <w:sz w:val="16"/>
          <w:szCs w:val="16"/>
          <w:b w:val="1"/>
          <w:bCs w:val="1"/>
          <w:i w:val="1"/>
          <w:iCs w:val="1"/>
          <w:color w:val="auto"/>
        </w:rPr>
        <w:t>Series E Original Issue Price</w:t>
      </w:r>
      <w:r>
        <w:rPr>
          <w:rFonts w:ascii="Times New Roman" w:cs="Times New Roman" w:eastAsia="Times New Roman" w:hAnsi="Times New Roman"/>
          <w:sz w:val="16"/>
          <w:szCs w:val="16"/>
          <w:color w:val="auto"/>
        </w:rPr>
        <w:t>” means $16.7428 per share of Series E Preferred Stock, subject to appropriate adjustment in the event of any stock dividend, stock split, combination or other similar recapitalization with respect to the Series E Preferred Stock after the filing date hereof, (viii) the “</w:t>
      </w:r>
      <w:r>
        <w:rPr>
          <w:rFonts w:ascii="Times New Roman" w:cs="Times New Roman" w:eastAsia="Times New Roman" w:hAnsi="Times New Roman"/>
          <w:sz w:val="16"/>
          <w:szCs w:val="16"/>
          <w:b w:val="1"/>
          <w:bCs w:val="1"/>
          <w:i w:val="1"/>
          <w:iCs w:val="1"/>
          <w:color w:val="auto"/>
        </w:rPr>
        <w:t>Series F Original Issue Price</w:t>
      </w:r>
      <w:r>
        <w:rPr>
          <w:rFonts w:ascii="Times New Roman" w:cs="Times New Roman" w:eastAsia="Times New Roman" w:hAnsi="Times New Roman"/>
          <w:sz w:val="16"/>
          <w:szCs w:val="16"/>
          <w:color w:val="auto"/>
        </w:rPr>
        <w:t>” means $24.7596 per share of Series F Preferred Stock, subject to appropriate adjustment in the event of any stock dividend, stock split, combination or other similar recapitalization with respect to the Series F Preferred Stock after the filing date hereof, (ix) the “</w:t>
      </w:r>
      <w:r>
        <w:rPr>
          <w:rFonts w:ascii="Times New Roman" w:cs="Times New Roman" w:eastAsia="Times New Roman" w:hAnsi="Times New Roman"/>
          <w:sz w:val="16"/>
          <w:szCs w:val="16"/>
          <w:b w:val="1"/>
          <w:bCs w:val="1"/>
          <w:i w:val="1"/>
          <w:iCs w:val="1"/>
          <w:color w:val="auto"/>
        </w:rPr>
        <w:t>Series G Original Issue Price</w:t>
      </w:r>
      <w:r>
        <w:rPr>
          <w:rFonts w:ascii="Times New Roman" w:cs="Times New Roman" w:eastAsia="Times New Roman" w:hAnsi="Times New Roman"/>
          <w:sz w:val="16"/>
          <w:szCs w:val="16"/>
          <w:color w:val="auto"/>
        </w:rPr>
        <w:t>” means $38.3524 per share of Series G Preferred Stock, subject to appropriate adjustment in the event of any stock dividend, stock split, combination or other similar recapitalization with respect to the Series G Preferred Stock after the filing date hereof, (x) the “</w:t>
      </w:r>
      <w:r>
        <w:rPr>
          <w:rFonts w:ascii="Times New Roman" w:cs="Times New Roman" w:eastAsia="Times New Roman" w:hAnsi="Times New Roman"/>
          <w:sz w:val="16"/>
          <w:szCs w:val="16"/>
          <w:b w:val="1"/>
          <w:bCs w:val="1"/>
          <w:i w:val="1"/>
          <w:iCs w:val="1"/>
          <w:color w:val="auto"/>
        </w:rPr>
        <w:t>Series G-2 Original Issue Price</w:t>
      </w:r>
      <w:r>
        <w:rPr>
          <w:rFonts w:ascii="Times New Roman" w:cs="Times New Roman" w:eastAsia="Times New Roman" w:hAnsi="Times New Roman"/>
          <w:sz w:val="16"/>
          <w:szCs w:val="16"/>
          <w:color w:val="auto"/>
        </w:rPr>
        <w:t>” means $57.3069 per share of Series G-2 Preferred Stock, subject to appropriate adjustment in the event of any stock dividend, stock split, combination or other similar recapitalization with respect to the Series G-2 Preferred Stock after the filing date hereof and (xi) the “</w:t>
      </w:r>
      <w:r>
        <w:rPr>
          <w:rFonts w:ascii="Times New Roman" w:cs="Times New Roman" w:eastAsia="Times New Roman" w:hAnsi="Times New Roman"/>
          <w:sz w:val="16"/>
          <w:szCs w:val="16"/>
          <w:b w:val="1"/>
          <w:bCs w:val="1"/>
          <w:i w:val="1"/>
          <w:iCs w:val="1"/>
          <w:color w:val="auto"/>
        </w:rPr>
        <w:t>Series G-3 Original Issue Price</w:t>
      </w:r>
      <w:r>
        <w:rPr>
          <w:rFonts w:ascii="Times New Roman" w:cs="Times New Roman" w:eastAsia="Times New Roman" w:hAnsi="Times New Roman"/>
          <w:sz w:val="16"/>
          <w:szCs w:val="16"/>
          <w:color w:val="auto"/>
        </w:rPr>
        <w:t>” means $57.3069 per share of Series G-3 Preferred Stock, subject to appropriate adjustment in the event of any stock dividend, stock split, combination or other similar recapitalization with respect to the Series G-3 Preferred Stock after the filing date hereof.</w:t>
      </w:r>
    </w:p>
    <w:p>
      <w:pPr>
        <w:spacing w:after="0" w:line="200" w:lineRule="exact"/>
        <w:rPr>
          <w:sz w:val="20"/>
          <w:szCs w:val="20"/>
          <w:color w:val="auto"/>
        </w:rPr>
      </w:pPr>
    </w:p>
    <w:p>
      <w:pPr>
        <w:spacing w:after="0" w:line="386" w:lineRule="exact"/>
        <w:rPr>
          <w:sz w:val="20"/>
          <w:szCs w:val="20"/>
          <w:color w:val="auto"/>
        </w:rPr>
      </w:pPr>
    </w:p>
    <w:p>
      <w:pPr>
        <w:ind w:left="1140" w:hanging="168"/>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428"/>
        <w:spacing w:after="0" w:line="267"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below), the proceeds or assets of the Corporation available for distribution to stockholders shall be distributed as follows:</w:t>
      </w:r>
    </w:p>
    <w:p>
      <w:pPr>
        <w:spacing w:after="0" w:line="65" w:lineRule="exact"/>
        <w:rPr>
          <w:sz w:val="20"/>
          <w:szCs w:val="20"/>
          <w:color w:val="auto"/>
        </w:rPr>
      </w:pPr>
    </w:p>
    <w:p>
      <w:pPr>
        <w:ind w:firstLine="1393"/>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Preferential Payments to Holders of Series G-3 Preferred Stock</w:t>
      </w:r>
      <w:r>
        <w:rPr>
          <w:rFonts w:ascii="Times New Roman" w:cs="Times New Roman" w:eastAsia="Times New Roman" w:hAnsi="Times New Roman"/>
          <w:sz w:val="18"/>
          <w:szCs w:val="18"/>
          <w:color w:val="auto"/>
        </w:rPr>
        <w:t>. The holders of shares of Series G-3 Preferred Stock then outstanding shall be entitled to be paid out of the proceeds or assets of the Corporation available for distribution to its stockholders, before any payment shall be made to the holders of Series G-2 Preferred Stock, Series G Preferred Stock,</w:t>
      </w:r>
    </w:p>
    <w:p>
      <w:pPr>
        <w:spacing w:after="0" w:line="1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40"/>
          </w:cols>
          <w:pgMar w:left="580" w:top="261" w:right="679" w:bottom="1440" w:gutter="0" w:footer="0" w:header="0"/>
        </w:sectPr>
      </w:pPr>
    </w:p>
    <w:bookmarkStart w:id="307" w:name="page308"/>
    <w:bookmarkEnd w:id="307"/>
    <w:p>
      <w:pPr>
        <w:jc w:val="both"/>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G-3 Original Issue Price, plus any accrued but unpaid Series G-3 PIK Dividends, together with any other declared but unpaid dividends thereon, or (ii) such amount per share as would have been payable had all shares of Series G-3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G-3 Preferred Stock is hereinafter referred to as the “</w:t>
      </w:r>
      <w:r>
        <w:rPr>
          <w:rFonts w:ascii="Times New Roman" w:cs="Times New Roman" w:eastAsia="Times New Roman" w:hAnsi="Times New Roman"/>
          <w:sz w:val="18"/>
          <w:szCs w:val="18"/>
          <w:b w:val="1"/>
          <w:bCs w:val="1"/>
          <w:i w:val="1"/>
          <w:iCs w:val="1"/>
          <w:color w:val="auto"/>
        </w:rPr>
        <w:t>Series G-3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G-3 Preferred Stock the full amount to which they shall be entitled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holders of shares of Series G-3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6" w:lineRule="exact"/>
        <w:rPr>
          <w:sz w:val="20"/>
          <w:szCs w:val="20"/>
          <w:color w:val="auto"/>
        </w:rPr>
      </w:pPr>
    </w:p>
    <w:p>
      <w:pPr>
        <w:jc w:val="both"/>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Preferential Payments to Holders of Series G-2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holders of shares of Series G-2 Preferred Stock then outstanding shall be entitled to be paid out of the proceeds or assets of the Corporation available for distribution to its stockholders, before any payment shall be made to the holders of Series G Preferred Stock,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G-2 Original Issue Price, plus any declared but unpaid dividends thereon, or (ii) such amount per share as would have been payable had all shares of Series G-2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G-2 Preferred Stock is hereinafter referred to as the “</w:t>
      </w:r>
      <w:r>
        <w:rPr>
          <w:rFonts w:ascii="Times New Roman" w:cs="Times New Roman" w:eastAsia="Times New Roman" w:hAnsi="Times New Roman"/>
          <w:sz w:val="18"/>
          <w:szCs w:val="18"/>
          <w:b w:val="1"/>
          <w:bCs w:val="1"/>
          <w:i w:val="1"/>
          <w:iCs w:val="1"/>
          <w:color w:val="auto"/>
        </w:rPr>
        <w:t>Series G-2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G-2 Preferred Stock the full amount to which they shall be entitled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holders of shares of Series G-2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3" w:lineRule="exact"/>
        <w:rPr>
          <w:sz w:val="20"/>
          <w:szCs w:val="20"/>
          <w:color w:val="auto"/>
        </w:rPr>
      </w:pPr>
    </w:p>
    <w:p>
      <w:pPr>
        <w:jc w:val="both"/>
        <w:ind w:firstLine="1393"/>
        <w:spacing w:after="0" w:line="25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Preferential Payments to Holders of Series G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and Series G-2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the holders of shares of Series G Preferred Stock then outstanding shall be entitled to be paid out of the proceeds or assets of the Corporation available for distribution to its stockholders, before any payment shall be made to the holders of Series F Preferred Stock, Series E Preferred Stock, Series D Preferred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5" w:right="599" w:bottom="1440" w:gutter="0" w:footer="0" w:header="0"/>
        </w:sectPr>
      </w:pPr>
    </w:p>
    <w:bookmarkStart w:id="308" w:name="page309"/>
    <w:bookmarkEnd w:id="308"/>
    <w:p>
      <w:pPr>
        <w:jc w:val="both"/>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Series C Preferred Stock, Series B-2 Preferred Stock, Series B-1 Preferred Stock, Series B Preferred Stock, Series A Preferred Stock or Common Stock by reason of their ownership thereof, an amount per share equal to the greater of (i) 1.0 times the Series G Original Issue Price, plus any Series G Accruing Dividends accrued but unpaid thereon, together with any other dividends declared but unpaid thereon, or (ii) such amount per share as would have been payable had all shares of Series G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 Preferred Stock is hereinafter referred to as the “</w:t>
      </w:r>
      <w:r>
        <w:rPr>
          <w:rFonts w:ascii="Times New Roman" w:cs="Times New Roman" w:eastAsia="Times New Roman" w:hAnsi="Times New Roman"/>
          <w:sz w:val="18"/>
          <w:szCs w:val="18"/>
          <w:b w:val="1"/>
          <w:bCs w:val="1"/>
          <w:i w:val="1"/>
          <w:iCs w:val="1"/>
          <w:color w:val="auto"/>
        </w:rPr>
        <w:t>Series G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 Preferred Stock the full amount to which they shall be entitled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holders of shares of Series G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6" w:lineRule="exact"/>
        <w:rPr>
          <w:sz w:val="20"/>
          <w:szCs w:val="20"/>
          <w:color w:val="auto"/>
        </w:rPr>
      </w:pPr>
    </w:p>
    <w:p>
      <w:pPr>
        <w:jc w:val="both"/>
        <w:ind w:firstLine="1393"/>
        <w:spacing w:after="0" w:line="278" w:lineRule="auto"/>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Preferential Payments to Holders of Series F Preferred Stock</w:t>
      </w:r>
      <w:r>
        <w:rPr>
          <w:rFonts w:ascii="Times New Roman" w:cs="Times New Roman" w:eastAsia="Times New Roman" w:hAnsi="Times New Roman"/>
          <w:sz w:val="16"/>
          <w:szCs w:val="16"/>
          <w:color w:val="auto"/>
        </w:rPr>
        <w:t xml:space="preserve">. After the payment of all preferential amounts required to be paid to the holders of Series G-3 Preferred Stock, Series G-2 Preferred Stock and Series G Preferred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the holders of shares of Series F Preferred Stock then outstanding shall be entitled to be paid out of the proceeds or assets of the Corporation available for distribution to its stockholders, before any payment shall be made to the holders of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F Original Issue Price, plus any Series F Accruing Dividends accrued but unpaid thereon, together with any other dividends declared but unpaid thereon, or (ii) such amount per share as would have been payable had all shares of Series F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F Preferred Stock is hereinafter referred to as the “</w:t>
      </w:r>
      <w:r>
        <w:rPr>
          <w:rFonts w:ascii="Times New Roman" w:cs="Times New Roman" w:eastAsia="Times New Roman" w:hAnsi="Times New Roman"/>
          <w:sz w:val="16"/>
          <w:szCs w:val="16"/>
          <w:b w:val="1"/>
          <w:bCs w:val="1"/>
          <w:i w:val="1"/>
          <w:iCs w:val="1"/>
          <w:color w:val="auto"/>
        </w:rPr>
        <w:t>Series F Liquidation Amount</w:t>
      </w:r>
      <w:r>
        <w:rPr>
          <w:rFonts w:ascii="Times New Roman" w:cs="Times New Roman" w:eastAsia="Times New Roman" w:hAnsi="Times New Roman"/>
          <w:sz w:val="16"/>
          <w:szCs w:val="16"/>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F Preferred Stock the full amount to which they shall be entitled under this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the holders of shares of Series F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80" w:lineRule="exact"/>
        <w:rPr>
          <w:sz w:val="20"/>
          <w:szCs w:val="20"/>
          <w:color w:val="auto"/>
        </w:rPr>
      </w:pPr>
    </w:p>
    <w:p>
      <w:pPr>
        <w:jc w:val="both"/>
        <w:ind w:firstLine="1393"/>
        <w:spacing w:after="0" w:line="249"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Preferential Payments to Holders of Series E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and Series F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the holders of shares of Series E Preferred Stock then outstanding shall be entitled to be paid out of the proceeds or assets of the Corporation available for distribution to its stockholders, before any payment shall be made to the holders of Series D Preferred Stock, Series C Preferred Stock, Series B-2 Preferred Stock, Series B-1 Preferred Stock, Series B</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80" w:top="265" w:right="599" w:bottom="1440" w:gutter="0" w:footer="0" w:header="0"/>
        </w:sectPr>
      </w:pPr>
    </w:p>
    <w:bookmarkStart w:id="309" w:name="page310"/>
    <w:bookmarkEnd w:id="309"/>
    <w:p>
      <w:pPr>
        <w:jc w:val="both"/>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Preferred Stock, Series A Preferred Stock or Common Stock by reason of their ownership thereof, an amount per share equal to the greater of (i) 1.0 times the Series E Original Issue Price, plus any Series E Accruing Dividends accrued but unpaid thereon, together with any other dividends declared but unpaid thereon, or (ii) such amount per share as would have been payable had all shares of Series E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E Preferred Stock is hereinafter referred to as the “</w:t>
      </w:r>
      <w:r>
        <w:rPr>
          <w:rFonts w:ascii="Times New Roman" w:cs="Times New Roman" w:eastAsia="Times New Roman" w:hAnsi="Times New Roman"/>
          <w:sz w:val="18"/>
          <w:szCs w:val="18"/>
          <w:b w:val="1"/>
          <w:bCs w:val="1"/>
          <w:i w:val="1"/>
          <w:iCs w:val="1"/>
          <w:color w:val="auto"/>
        </w:rPr>
        <w:t>Series E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E Preferred Stock the full amount to which they shall be entitled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holders of shares of Series E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9" w:lineRule="exact"/>
        <w:rPr>
          <w:sz w:val="20"/>
          <w:szCs w:val="20"/>
          <w:color w:val="auto"/>
        </w:rPr>
      </w:pPr>
    </w:p>
    <w:p>
      <w:pPr>
        <w:jc w:val="both"/>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Preferential Payments to Holders of Series D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Series F Preferred Stock and Series E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the holders of shares of Series D Preferred Stock then outstanding shall be entitled to be paid out of the proceeds or assets of the Corporation available for distribution to its stockholders, before any payment shall be made to the holders of Series C Preferred Stock, Series B-2 Preferred Stock, Series B-1 Preferred Stock, Series B Preferred Stock, Series A Preferred Stock or Common Stock by reason of their ownership thereof, an amount per share equal to the greater of (i) 1.0 times the Series D Original Issue Price, plus any Series D Accruing Dividends accrued but unpaid thereon, together with any other dividends declared but unpaid thereon, or (ii) such amount per share as would have been payable had all shares of Series D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D Preferred Stock is hereinafter referred to as the “</w:t>
      </w:r>
      <w:r>
        <w:rPr>
          <w:rFonts w:ascii="Times New Roman" w:cs="Times New Roman" w:eastAsia="Times New Roman" w:hAnsi="Times New Roman"/>
          <w:sz w:val="18"/>
          <w:szCs w:val="18"/>
          <w:b w:val="1"/>
          <w:bCs w:val="1"/>
          <w:i w:val="1"/>
          <w:iCs w:val="1"/>
          <w:color w:val="auto"/>
        </w:rPr>
        <w:t>Series D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D Preferred Stock the full amount to which they shall be entitled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holders of shares of Series D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jc w:val="both"/>
        <w:ind w:firstLine="1393"/>
        <w:spacing w:after="0" w:line="24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Preferential Payments to Holders of Series C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Series F Preferred Stock, Series E Preferred Stock and Series D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the holders of shares of Series C Preferred Stock then outstanding shall be entitled to be paid out of the proceeds or assets of the Corporation available for distribution to its stockholders, before any payment shall be made to the holders of Series B-2 Preferred Stock, Series B-1 Preferred Stock, Series B Preferred Stock, Series A Preferred Stock or Common Stock by reason of their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5" w:right="599" w:bottom="1440" w:gutter="0" w:footer="0" w:header="0"/>
        </w:sectPr>
      </w:pPr>
    </w:p>
    <w:bookmarkStart w:id="310" w:name="page311"/>
    <w:bookmarkEnd w:id="310"/>
    <w:p>
      <w:pPr>
        <w:jc w:val="both"/>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ownership thereof, an amount per share equal to 1.0 times the Series C Original Issue Price, plus any Series C Accruing Dividends accrued but unpaid thereon, together with any other dividends declared but unpaid thereon (the amount payable pursuant to this sentence with respect to the Series C Preferred Stock is hereinafter referred to as the “</w:t>
      </w:r>
      <w:r>
        <w:rPr>
          <w:rFonts w:ascii="Times New Roman" w:cs="Times New Roman" w:eastAsia="Times New Roman" w:hAnsi="Times New Roman"/>
          <w:sz w:val="18"/>
          <w:szCs w:val="18"/>
          <w:b w:val="1"/>
          <w:bCs w:val="1"/>
          <w:i w:val="1"/>
          <w:iCs w:val="1"/>
          <w:color w:val="auto"/>
        </w:rPr>
        <w:t>Series C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C Preferred Stock the full amount to which they shall be entitled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the holders of shares of Series C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6" w:lineRule="exact"/>
        <w:rPr>
          <w:sz w:val="20"/>
          <w:szCs w:val="20"/>
          <w:color w:val="auto"/>
        </w:rPr>
      </w:pPr>
    </w:p>
    <w:p>
      <w:pPr>
        <w:jc w:val="both"/>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Preferential Payments to Holders of Series B-2 Preferred Stock, Series B-1 Preferred Stock and Series B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Series F Preferred Stock, Series E Preferred Stock, Series D Preferred Stock and Series C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the holders of shares of Series B-2 Preferred Stock, Series B-1 Preferred Stock and Series B Preferred Stock then outstanding shall be entitled to be paid out of the proceeds or assets of the Corporation available for distribution to its stockholders, before any payment shall be made to the holders of Series A Preferred Stock or Common Stock by reason of their ownership thereof, an amount per share equal to (i) with respect to each share of Series B-2 Preferred Stock, the greater of (A) 1.0 times the Series B-2 Original Issue Price, plus any Series B-2 Accruing Dividends accrued but unpaid thereon, together with any other dividends declared but unpaid thereon, or (B) such amount per share as would have been payable had all shares of Series B-2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B-2 Preferred Stock is hereinafter referred to as the “</w:t>
      </w:r>
      <w:r>
        <w:rPr>
          <w:rFonts w:ascii="Times New Roman" w:cs="Times New Roman" w:eastAsia="Times New Roman" w:hAnsi="Times New Roman"/>
          <w:sz w:val="18"/>
          <w:szCs w:val="18"/>
          <w:b w:val="1"/>
          <w:bCs w:val="1"/>
          <w:i w:val="1"/>
          <w:iCs w:val="1"/>
          <w:color w:val="auto"/>
        </w:rPr>
        <w:t>Series B-2 Liquidation Amount</w:t>
      </w:r>
      <w:r>
        <w:rPr>
          <w:rFonts w:ascii="Times New Roman" w:cs="Times New Roman" w:eastAsia="Times New Roman" w:hAnsi="Times New Roman"/>
          <w:sz w:val="18"/>
          <w:szCs w:val="18"/>
          <w:color w:val="auto"/>
        </w:rPr>
        <w:t xml:space="preserve">”), (ii) with respect to each share of Series B-1 Preferred Stock, the greater of (A) 1.0 times the Series B-1 Original Issue Price, plus any Series B-1 Accruing Dividends accrued but unpaid thereon, together with any other dividends declared but unpaid thereon, or (B) such amount per share as would have been payable had all shares of Series B-1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B-1 Preferred Stock is hereinafter referred to as the “</w:t>
      </w:r>
      <w:r>
        <w:rPr>
          <w:rFonts w:ascii="Times New Roman" w:cs="Times New Roman" w:eastAsia="Times New Roman" w:hAnsi="Times New Roman"/>
          <w:sz w:val="18"/>
          <w:szCs w:val="18"/>
          <w:b w:val="1"/>
          <w:bCs w:val="1"/>
          <w:i w:val="1"/>
          <w:iCs w:val="1"/>
          <w:color w:val="auto"/>
        </w:rPr>
        <w:t>Series B-1 Liquidation Amount</w:t>
      </w:r>
      <w:r>
        <w:rPr>
          <w:rFonts w:ascii="Times New Roman" w:cs="Times New Roman" w:eastAsia="Times New Roman" w:hAnsi="Times New Roman"/>
          <w:sz w:val="18"/>
          <w:szCs w:val="18"/>
          <w:color w:val="auto"/>
        </w:rPr>
        <w:t xml:space="preserve">”), and (iii) with respect to Series B Preferred Stock, the greater of (A) 1.0 times the Series B Original Issue Price, plus any Series B Accruing Dividends accrued but unpaid thereon, together with any other dividends declared but unpaid thereon, or (B) such amount per share as would have been payable had all shares of Series B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B Preferred Stock is hereinafter referred to as the “</w:t>
      </w:r>
      <w:r>
        <w:rPr>
          <w:rFonts w:ascii="Times New Roman" w:cs="Times New Roman" w:eastAsia="Times New Roman" w:hAnsi="Times New Roman"/>
          <w:sz w:val="18"/>
          <w:szCs w:val="18"/>
          <w:b w:val="1"/>
          <w:bCs w:val="1"/>
          <w:i w:val="1"/>
          <w:iCs w:val="1"/>
          <w:color w:val="auto"/>
        </w:rPr>
        <w:t>Series B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B-2 Preferred Stock, Series B-1 Preferred Stock and Series B Preferred Stock the full amount to which they shall be entitled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the holders of shares of Series B-2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20"/>
          </w:cols>
          <w:pgMar w:left="580" w:top="265" w:right="599" w:bottom="1440" w:gutter="0" w:footer="0" w:header="0"/>
        </w:sectPr>
      </w:pPr>
    </w:p>
    <w:bookmarkStart w:id="311" w:name="page312"/>
    <w:bookmarkEnd w:id="311"/>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Preferred Stock, Series B-1 Preferred Stock and Series B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0" w:lineRule="exact"/>
        <w:rPr>
          <w:sz w:val="20"/>
          <w:szCs w:val="20"/>
          <w:color w:val="auto"/>
        </w:rPr>
      </w:pPr>
    </w:p>
    <w:p>
      <w:pPr>
        <w:jc w:val="both"/>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Preferential Payments to Holders of Series A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Series F Preferred Stock, Series E Preferred Stock, Series D Preferred Stock, Series C Preferred Stock, Series B-2 Preferred Stock, Series B-1 Preferred Stock and Series B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the holders of shares of Series A Preferred Stock then outstanding shall be entitled to be paid out of the proceeds or assets of the Corporation available for distribution to its stockholders, before any payment shall be made to the holders of Common Stock by reason of their ownership thereof, an amount per share equal to the greater of (i) 1.0 times the Series A Original Issue Price, plus any Series A Accruing Dividends accrued but unpaid thereon, together with any other dividends declared but unpaid thereon, or (ii) such amount per share as would have been payable had all shares of Series A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A Preferred Stock is hereinafter referred to as the “</w:t>
      </w:r>
      <w:r>
        <w:rPr>
          <w:rFonts w:ascii="Times New Roman" w:cs="Times New Roman" w:eastAsia="Times New Roman" w:hAnsi="Times New Roman"/>
          <w:sz w:val="18"/>
          <w:szCs w:val="18"/>
          <w:b w:val="1"/>
          <w:bCs w:val="1"/>
          <w:i w:val="1"/>
          <w:iCs w:val="1"/>
          <w:color w:val="auto"/>
        </w:rPr>
        <w:t>Series A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A Preferred Stock the full amount to which they shall be entitled under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the holders of shares of Series A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jc w:val="both"/>
        <w:ind w:firstLine="1393"/>
        <w:spacing w:after="0" w:line="279" w:lineRule="auto"/>
        <w:rPr>
          <w:sz w:val="20"/>
          <w:szCs w:val="20"/>
          <w:color w:val="auto"/>
        </w:rPr>
      </w:pPr>
      <w:r>
        <w:rPr>
          <w:rFonts w:ascii="Times New Roman" w:cs="Times New Roman" w:eastAsia="Times New Roman" w:hAnsi="Times New Roman"/>
          <w:sz w:val="16"/>
          <w:szCs w:val="16"/>
          <w:color w:val="auto"/>
        </w:rPr>
        <w:t xml:space="preserve">2.10 </w:t>
      </w:r>
      <w:r>
        <w:rPr>
          <w:rFonts w:ascii="Times New Roman" w:cs="Times New Roman" w:eastAsia="Times New Roman" w:hAnsi="Times New Roman"/>
          <w:sz w:val="16"/>
          <w:szCs w:val="16"/>
          <w:u w:val="single" w:color="auto"/>
          <w:color w:val="auto"/>
        </w:rPr>
        <w:t>Distribution of Remaining Assets</w:t>
      </w:r>
      <w:r>
        <w:rPr>
          <w:rFonts w:ascii="Times New Roman" w:cs="Times New Roman" w:eastAsia="Times New Roman" w:hAnsi="Times New Roman"/>
          <w:sz w:val="16"/>
          <w:szCs w:val="16"/>
          <w:color w:val="auto"/>
        </w:rPr>
        <w:t xml:space="preserve">. After the payment of all preferential amounts required to be paid to the holders of Series G-3 Preferred Stock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the payment of all preferential amounts required to be paid to the holders of Series G-2 Preferred Stock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the payment of all preferential amounts required to be paid to the holders of Series G Preferred Stock pursuant to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the payment of all preferential amounts required to be paid to the holders of Series F Preferred Stock pursuant to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the payment of all preferential amounts required to be paid to the holders of Series E Preferred Stock pursuant to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the payment of all preferential amounts required to be paid to the holders of Series D Preferred Stock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the payment of all preferential amounts required to be paid to the holders of Series C Preferred Stock pursuant to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the payment of all preferential amounts required to be paid to the holders of Series B-2 Preferred Stock, Series B-1 Preferred Stock and Series B Preferred Stock pursuant to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and the payment of all preferential amounts required to be paid to the holders of Series A Preferred Stock pursuant to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xml:space="preserve">, the remaining assets of the Corporation available for distribution to its stockholders, if any, shall be distributed among the holders of shares of Series C Preferred Stock and Common Stock,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aggregate amount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580" w:top="265" w:right="599" w:bottom="1440" w:gutter="0" w:footer="0" w:header="0"/>
        </w:sectPr>
      </w:pPr>
    </w:p>
    <w:bookmarkStart w:id="312" w:name="page313"/>
    <w:bookmarkEnd w:id="312"/>
    <w:p>
      <w:pPr>
        <w:jc w:val="both"/>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which the holders of Series D Preferred Stock would otherwise be entitled to receive is less than $18.7478 per share (as adjusted for any stock splits, stock dividends, combinations, subdivisions, recapitalizations or the like), then the remaining assets of the Corporation available for distribution to its stockholders, if any, shall be distributed among the holders of shares of Series C Preferred Stock (excluding, for this purpose, any shares of Series C Preferred Stock held at any time by Eric P. Lefkofsky or any entity in which Eric P. Lefkofsky owned or held, directly or indirectly, the power to direct the management and policies of such entity whether through the ownership of voting securities, contract or otherwise (“</w:t>
      </w:r>
      <w:r>
        <w:rPr>
          <w:rFonts w:ascii="Times New Roman" w:cs="Times New Roman" w:eastAsia="Times New Roman" w:hAnsi="Times New Roman"/>
          <w:sz w:val="18"/>
          <w:szCs w:val="18"/>
          <w:b w:val="1"/>
          <w:bCs w:val="1"/>
          <w:i w:val="1"/>
          <w:iCs w:val="1"/>
          <w:color w:val="auto"/>
        </w:rPr>
        <w:t>Lefkofsky Shares</w:t>
      </w:r>
      <w:r>
        <w:rPr>
          <w:rFonts w:ascii="Times New Roman" w:cs="Times New Roman" w:eastAsia="Times New Roman" w:hAnsi="Times New Roman"/>
          <w:sz w:val="18"/>
          <w:szCs w:val="18"/>
          <w:color w:val="auto"/>
        </w:rPr>
        <w:t xml:space="preserve">”), regardless of whether or not any of the Lefkofsky Shares were subsequently transferred and regardless of the subsequent holders of the Lefkofsky Shares) and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w:t>
      </w:r>
    </w:p>
    <w:p>
      <w:pPr>
        <w:spacing w:after="0" w:line="1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firstLine="1928"/>
        <w:spacing w:after="0" w:line="258" w:lineRule="auto"/>
        <w:rPr>
          <w:sz w:val="20"/>
          <w:szCs w:val="20"/>
          <w:color w:val="auto"/>
        </w:rPr>
      </w:pPr>
      <w:r>
        <w:rPr>
          <w:rFonts w:ascii="Times New Roman" w:cs="Times New Roman" w:eastAsia="Times New Roman" w:hAnsi="Times New Roman"/>
          <w:sz w:val="18"/>
          <w:szCs w:val="18"/>
          <w:color w:val="auto"/>
        </w:rPr>
        <w:t xml:space="preserve">2.11.1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i w:val="1"/>
          <w:iCs w:val="1"/>
          <w:color w:val="auto"/>
        </w:rPr>
        <w:t>Deemed Liquidation Event</w:t>
      </w:r>
      <w:r>
        <w:rPr>
          <w:rFonts w:ascii="Times New Roman" w:cs="Times New Roman" w:eastAsia="Times New Roman" w:hAnsi="Times New Roman"/>
          <w:sz w:val="18"/>
          <w:szCs w:val="18"/>
          <w:color w:val="auto"/>
        </w:rPr>
        <w:t>” unless the Requisite Preferred Holders (as defined below) elect otherwise by written notice sent to the Corporation at least 10 days prior to the effective date of any such event:</w:t>
      </w:r>
    </w:p>
    <w:p>
      <w:pPr>
        <w:spacing w:after="0" w:line="177" w:lineRule="exact"/>
        <w:rPr>
          <w:sz w:val="20"/>
          <w:szCs w:val="20"/>
          <w:color w:val="auto"/>
        </w:rPr>
      </w:pPr>
    </w:p>
    <w:p>
      <w:pPr>
        <w:jc w:val="both"/>
        <w:ind w:firstLine="1936"/>
        <w:spacing w:after="0" w:line="279" w:lineRule="auto"/>
        <w:tabs>
          <w:tab w:leader="none" w:pos="220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merger or consolidation in which the Corporation is a constituent party (or a subsidiary of the Corporation is a constituent party and the Corporation issues shares of its capital stock pursuant to such merger or consolidation) or (ii) a sale or issuance of shares by the Corporation of its voting stock (other than pursuant to a customary venture capital financing of the Corporation where the holder(s) of shares of capital stock of the Corporation outstanding immediately prior to such venture capital financing continue to hold shares which represent, immediately following such venture capital financing, at least a majority, by voting power, of the outstanding shares of capital stock), except in the case of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any such merger or consolidation involving the Corporation or a subsidiary or any such sale or issuance by the Corporation in which the holder(s) of shares of capital stock of the Corporation outstanding immediately prior to such merger or consolidation continue to hold shares which represent, or are converted into or exchanged for shares of capital stock that represent, immediately following such merger or consolidation, at least a majority, by voting power, of the outstanding shares of capital stock of (1) the surviving or resulting corporation or (2) if the surviving or resulting corporation is a wholly owned subsidiary of another corporation immediately following such merger or consolidation, the parent corporation of such surviving or resulting corporation, in substantially the same proportions and with substantially the same terms as held immediately prior to such merger or consolidation; or</w:t>
      </w:r>
    </w:p>
    <w:p>
      <w:pPr>
        <w:spacing w:after="0" w:line="167" w:lineRule="exact"/>
        <w:rPr>
          <w:rFonts w:ascii="Times New Roman" w:cs="Times New Roman" w:eastAsia="Times New Roman" w:hAnsi="Times New Roman"/>
          <w:sz w:val="16"/>
          <w:szCs w:val="16"/>
          <w:color w:val="auto"/>
        </w:rPr>
      </w:pPr>
    </w:p>
    <w:p>
      <w:pPr>
        <w:jc w:val="both"/>
        <w:ind w:firstLine="1936"/>
        <w:spacing w:after="0" w:line="249" w:lineRule="auto"/>
        <w:tabs>
          <w:tab w:leader="none" w:pos="21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Corporation or any subsidiary of the Corporation of all or substantially all the assets or intellectual property of the Corporation and its subsidiaries taken as a whole or the sale or disposition (whether by merger or otherwise) of one or more subsidiaries of the Corporation if substantially all of the assets or intellectual property of the Corporation and its subsidiaries taken as a whole are held by such subsidiary or subsidiaries, except where such sale, lease, transfer, exclusive license or other disposition is to a wholly owned subsidiary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20"/>
          </w:cols>
          <w:pgMar w:left="580" w:top="265" w:right="599" w:bottom="1440" w:gutter="0" w:footer="0" w:header="0"/>
        </w:sectPr>
      </w:pPr>
    </w:p>
    <w:bookmarkStart w:id="313" w:name="page314"/>
    <w:bookmarkEnd w:id="313"/>
    <w:p>
      <w:pPr>
        <w:ind w:firstLine="1936"/>
        <w:spacing w:after="0" w:line="245" w:lineRule="auto"/>
        <w:tabs>
          <w:tab w:leader="none" w:pos="216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Notwithstanding the foregoing </w:t>
      </w:r>
      <w:r>
        <w:rPr>
          <w:rFonts w:ascii="Times New Roman" w:cs="Times New Roman" w:eastAsia="Times New Roman" w:hAnsi="Times New Roman"/>
          <w:sz w:val="18"/>
          <w:szCs w:val="18"/>
          <w:u w:val="single" w:color="auto"/>
          <w:color w:val="auto"/>
        </w:rPr>
        <w:t>Subsections 2.11.1(a)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2.11.1(b)</w:t>
      </w:r>
      <w:r>
        <w:rPr>
          <w:rFonts w:ascii="Times New Roman" w:cs="Times New Roman" w:eastAsia="Times New Roman" w:hAnsi="Times New Roman"/>
          <w:sz w:val="18"/>
          <w:szCs w:val="18"/>
          <w:color w:val="auto"/>
        </w:rPr>
        <w:t>, (i) no such transaction or series of related transactions (including by way of merger, consolidation, recapitalization, reorganization, sale of securities or otherwise) solely effecting a “Public Offering” shall be deemed a Deemed Liquidation Event, and (ii) a Deemed Liquidation Event shall not include any such transaction effected solely by the issuance of voting securities by the Corporation or any of its Subsidiaries in a bona fide transaction for the purpose of raising capital for the Corporation or its Subsidiary where the holder(s) of shares of capital stock of the Corporation outstanding immediately prior to such transaction continue to hold shares which represent, immediately following such transaction, at least a majority, by voting power, of the outstanding shares of capital stock. “</w:t>
      </w:r>
      <w:r>
        <w:rPr>
          <w:rFonts w:ascii="Times New Roman" w:cs="Times New Roman" w:eastAsia="Times New Roman" w:hAnsi="Times New Roman"/>
          <w:sz w:val="18"/>
          <w:szCs w:val="18"/>
          <w:b w:val="1"/>
          <w:bCs w:val="1"/>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any firm commitment underwritten sale of common equity securities of the Corporation (or any successor thereto, whether by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consolidation, recapitalization, reorganization or otherwise) pursuant to an effective registration statement under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(defined as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 filed with the Securities and Exchange Commission on Forms S-1 or S-3 (or any successor forms adopted by the Securities and Exchange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shall not be considered a Public Offering: (i) any issuance of common equity securities in connection with and as consideration for a merger or acquisition, and (ii) any issuance of common equity securities or rights to acquire common equity securities to employees, officers, directors, consultants or other service providers of the Corporation or any of its Subsidiaries or others as part of an incentive or compensation plan, agreement or arrangement.</w:t>
      </w:r>
    </w:p>
    <w:p>
      <w:pPr>
        <w:spacing w:after="0" w:line="191"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 xml:space="preserve">For the avoidance of doubt, nothing contained in this </w:t>
      </w:r>
      <w:r>
        <w:rPr>
          <w:rFonts w:ascii="Times New Roman" w:cs="Times New Roman" w:eastAsia="Times New Roman" w:hAnsi="Times New Roman"/>
          <w:sz w:val="18"/>
          <w:szCs w:val="18"/>
          <w:u w:val="single" w:color="auto"/>
          <w:color w:val="auto"/>
        </w:rPr>
        <w:t>Section 2.11.1</w:t>
      </w:r>
      <w:r>
        <w:rPr>
          <w:rFonts w:ascii="Times New Roman" w:cs="Times New Roman" w:eastAsia="Times New Roman" w:hAnsi="Times New Roman"/>
          <w:sz w:val="18"/>
          <w:szCs w:val="18"/>
          <w:color w:val="auto"/>
        </w:rPr>
        <w:t xml:space="preserve"> or elsewhere in this Restated Certificate (other than the terms and conditions of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if applicable) shall require the consent or approval of holders of the outstanding shares of Series G-3 Preferred Stock, voting as a separate class, Series G-2 Preferred Stock, voting as a separate class, Series G Preferred Stock, voting as a separate class, Series F Preferred Stock, voting as a separate class, Series E Preferred Stock, voting as a separate class, shares of Series D Preferred Stock, voting as a separate class, or shares of Series C Preferred Stock, voting as a separate class, to effect a Deemed Liquidation Event.</w:t>
      </w:r>
    </w:p>
    <w:p>
      <w:pPr>
        <w:spacing w:after="0" w:line="18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 xml:space="preserve">2.11.2 </w:t>
      </w:r>
      <w:r>
        <w:rPr>
          <w:rFonts w:ascii="Times New Roman" w:cs="Times New Roman" w:eastAsia="Times New Roman" w:hAnsi="Times New Roman"/>
          <w:sz w:val="18"/>
          <w:szCs w:val="18"/>
          <w:u w:val="single" w:color="auto"/>
          <w:color w:val="auto"/>
        </w:rPr>
        <w:t>Effecting a Deemed Liquidation Event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right="20" w:firstLine="1936"/>
        <w:spacing w:after="0" w:line="251" w:lineRule="auto"/>
        <w:tabs>
          <w:tab w:leader="none" w:pos="21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Section 2.11.1(a)</w:t>
      </w:r>
      <w:r>
        <w:rPr>
          <w:rFonts w:ascii="Times New Roman" w:cs="Times New Roman" w:eastAsia="Times New Roman" w:hAnsi="Times New Roman"/>
          <w:sz w:val="18"/>
          <w:szCs w:val="18"/>
          <w:color w:val="auto"/>
        </w:rPr>
        <w:t xml:space="preserve"> unless the agreement or plan of merger or consolidation for such transaction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20"/>
          </w:cols>
          <w:pgMar w:left="580" w:top="265" w:right="599" w:bottom="1440" w:gutter="0" w:footer="0" w:header="0"/>
        </w:sectPr>
      </w:pPr>
    </w:p>
    <w:bookmarkStart w:id="314" w:name="page315"/>
    <w:bookmarkEnd w:id="314"/>
    <w:p>
      <w:pPr>
        <w:ind w:left="-8" w:right="20" w:firstLine="1936"/>
        <w:spacing w:after="0" w:line="277" w:lineRule="auto"/>
        <w:tabs>
          <w:tab w:leader="none" w:pos="2168"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In the event of a Deemed Liquidation Event referred to in </w:t>
      </w:r>
      <w:r>
        <w:rPr>
          <w:rFonts w:ascii="Times New Roman" w:cs="Times New Roman" w:eastAsia="Times New Roman" w:hAnsi="Times New Roman"/>
          <w:sz w:val="16"/>
          <w:szCs w:val="16"/>
          <w:u w:val="single" w:color="auto"/>
          <w:color w:val="auto"/>
        </w:rPr>
        <w:t>Section 2.11.1(a)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2.11.1(b)</w:t>
      </w:r>
      <w:r>
        <w:rPr>
          <w:rFonts w:ascii="Times New Roman" w:cs="Times New Roman" w:eastAsia="Times New Roman" w:hAnsi="Times New Roman"/>
          <w:sz w:val="16"/>
          <w:szCs w:val="16"/>
          <w:color w:val="auto"/>
        </w:rPr>
        <w:t xml:space="preserve">, if the Corporation does not effect a dissolution of the Corporation under the DGCL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and (ii) unless (A) the holders of a majority of the outstanding shares of Series G-3 Preferred Stock, voting as a separate class, (B) the holders of a majority of the outstanding shares of Series G-2 Preferred Stock, voting as a separate class, (C) the holders of a majority of the outstanding shares of Series G Preferred Stock, voting as a separate class,</w:t>
      </w:r>
    </w:p>
    <w:p>
      <w:pPr>
        <w:spacing w:after="0" w:line="4" w:lineRule="exact"/>
        <w:rPr>
          <w:rFonts w:ascii="Times New Roman" w:cs="Times New Roman" w:eastAsia="Times New Roman" w:hAnsi="Times New Roman"/>
          <w:sz w:val="16"/>
          <w:szCs w:val="16"/>
          <w:color w:val="auto"/>
        </w:rPr>
      </w:pPr>
    </w:p>
    <w:p>
      <w:pPr>
        <w:ind w:left="-8" w:firstLine="8"/>
        <w:spacing w:after="0" w:line="275" w:lineRule="auto"/>
        <w:tabs>
          <w:tab w:leader="none" w:pos="279"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of the outstanding shares of Series F Preferred Stock, voting as a separate class, (E) the holders of a majority of the outstanding shares of Series E Preferred Stock, voting as a separate class, (F) the holders of at least sixty percent (60%) of the outstanding shares of Series D Preferred Stock, voting as a separate class, (G) the holders of at least sixty percent (60%) of the outstanding shares of Series C Preferred Stock, voting as a separate class, and (H) the holders of a majority of the outstanding shares of Series B-2 Preferred Stock, Series B-1 Preferred Stock, Series B Preferred Stock and Series A Preferred Stock, voting together as a separate class as measured on the basis of voting power set forth in this Restated Certificate, so request otherwise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6"/>
          <w:szCs w:val="16"/>
          <w:b w:val="1"/>
          <w:bCs w:val="1"/>
          <w:i w:val="1"/>
          <w:iCs w:val="1"/>
          <w:color w:val="auto"/>
        </w:rPr>
        <w:t>Available Proceeds</w:t>
      </w:r>
      <w:r>
        <w:rPr>
          <w:rFonts w:ascii="Times New Roman" w:cs="Times New Roman" w:eastAsia="Times New Roman" w:hAnsi="Times New Roman"/>
          <w:sz w:val="16"/>
          <w:szCs w:val="16"/>
          <w:color w:val="auto"/>
        </w:rPr>
        <w:t xml:space="preserve">”), on the 150th day after such Deemed Liquidation Event, to redeem all outstanding shares of Preferred Stock at a price per share equal to the Series G-3 Liquidation Amount, Series G-2 Liquidation Amount, Series G Liquidation Amount, Series F Liquidation Amount, Series E Liquidation Amount, Series D Liquidation Amount, Series C Liquidation Amount, Series B-2 Liquidation Amount, Series B-1 Liquidation Amount, Series B Liquidation Amount or Series A Liquidation Amount, as applicable. Notwithstanding the foregoing, in the event of a redemption pursuant to the preceding sentence, if the Available Proceeds are not sufficient to redeem all outstanding shares of Preferred Stock, the Corporation shall redeem each holder’s shares of Preferred Stock in the same order of priority as the payment of the Series G-3 Liquidation Amount, Series G-2 Liquidation Amount, Series G Liquidation Amount, Series F Liquidation Amount, Series E Liquidation Amount, Series D Liquidation Amount, Series C Liquidation Amount, Series B-2 Liquidation Amount, Series B-1 Liquidation Amount, Series B Liquidation Amount or Series A Liquidation Amount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and shall redeem the remaining shares as soon as it may lawfully do so under Delaware law governing distributions to stockholders. The provisions of </w:t>
      </w:r>
      <w:r>
        <w:rPr>
          <w:rFonts w:ascii="Times New Roman" w:cs="Times New Roman" w:eastAsia="Times New Roman" w:hAnsi="Times New Roman"/>
          <w:sz w:val="16"/>
          <w:szCs w:val="16"/>
          <w:u w:val="single" w:color="auto"/>
          <w:color w:val="auto"/>
        </w:rPr>
        <w:t>Sections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2.11.2(c)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2.11.2(d)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2.11.2(e)</w:t>
      </w:r>
      <w:r>
        <w:rPr>
          <w:rFonts w:ascii="Times New Roman" w:cs="Times New Roman" w:eastAsia="Times New Roman" w:hAnsi="Times New Roman"/>
          <w:sz w:val="16"/>
          <w:szCs w:val="16"/>
          <w:color w:val="auto"/>
        </w:rPr>
        <w:t xml:space="preserve"> shall apply to the redemption of the Preferred Stock pursuant to this </w:t>
      </w:r>
      <w:r>
        <w:rPr>
          <w:rFonts w:ascii="Times New Roman" w:cs="Times New Roman" w:eastAsia="Times New Roman" w:hAnsi="Times New Roman"/>
          <w:sz w:val="16"/>
          <w:szCs w:val="16"/>
          <w:u w:val="single" w:color="auto"/>
          <w:color w:val="auto"/>
        </w:rPr>
        <w:t>Section 2.11.2(b)</w:t>
      </w:r>
      <w:r>
        <w:rPr>
          <w:rFonts w:ascii="Times New Roman" w:cs="Times New Roman" w:eastAsia="Times New Roman" w:hAnsi="Times New Roman"/>
          <w:sz w:val="16"/>
          <w:szCs w:val="16"/>
          <w:color w:val="auto"/>
        </w:rPr>
        <w:t xml:space="preserve">. Prior to the distribution or redemption provided for in this </w:t>
      </w:r>
      <w:r>
        <w:rPr>
          <w:rFonts w:ascii="Times New Roman" w:cs="Times New Roman" w:eastAsia="Times New Roman" w:hAnsi="Times New Roman"/>
          <w:sz w:val="16"/>
          <w:szCs w:val="16"/>
          <w:u w:val="single" w:color="auto"/>
          <w:color w:val="auto"/>
        </w:rPr>
        <w:t>Section 2.11.2(b)</w:t>
      </w:r>
      <w:r>
        <w:rPr>
          <w:rFonts w:ascii="Times New Roman" w:cs="Times New Roman" w:eastAsia="Times New Roman" w:hAnsi="Times New Roman"/>
          <w:sz w:val="16"/>
          <w:szCs w:val="16"/>
          <w:color w:val="auto"/>
        </w:rPr>
        <w:t xml:space="preserve">, the Corporation shall not expend or dissipate the consideration received for such Deemed Liquidation Event, except to discharge expenses incurred in connection with such Deemed Liquidation Event or in the ordinary course of business. For the avoidance of doubt, to the extent any additional Available Proceeds related to such Deemed Liquidation Event become available for distribution to the Corporation’s stockholders pursuant to Delaware law after the date of redemption of the Preferred Stock, such amounts shall be allocated among the holders of such Preferred Stock and Common Stock in accordance with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as if the redemption had not occurred, and the price per share of the Preferred Stock shall be increased to an amount equal to the price per share that would have been paid to such holders if such additional Available Proceeds were available for</w:t>
      </w:r>
    </w:p>
    <w:p>
      <w:pPr>
        <w:spacing w:after="0" w:line="200" w:lineRule="exact"/>
        <w:rPr>
          <w:sz w:val="20"/>
          <w:szCs w:val="20"/>
          <w:color w:val="auto"/>
        </w:rPr>
      </w:pPr>
    </w:p>
    <w:p>
      <w:pPr>
        <w:spacing w:after="0" w:line="3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92"/>
          </w:cols>
          <w:pgMar w:left="588" w:top="265" w:right="619" w:bottom="1440" w:gutter="0" w:footer="0" w:header="0"/>
        </w:sectPr>
      </w:pPr>
    </w:p>
    <w:bookmarkStart w:id="315" w:name="page316"/>
    <w:bookmarkEnd w:id="315"/>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distribution to stockholders of the Corporation as of the date of the redemption of such shares of Preferred Stock (the “</w:t>
      </w:r>
      <w:r>
        <w:rPr>
          <w:rFonts w:ascii="Times New Roman" w:cs="Times New Roman" w:eastAsia="Times New Roman" w:hAnsi="Times New Roman"/>
          <w:sz w:val="18"/>
          <w:szCs w:val="18"/>
          <w:b w:val="1"/>
          <w:bCs w:val="1"/>
          <w:i w:val="1"/>
          <w:iCs w:val="1"/>
          <w:color w:val="auto"/>
        </w:rPr>
        <w:t>Additional Redemption Price</w:t>
      </w:r>
      <w:r>
        <w:rPr>
          <w:rFonts w:ascii="Times New Roman" w:cs="Times New Roman" w:eastAsia="Times New Roman" w:hAnsi="Times New Roman"/>
          <w:sz w:val="18"/>
          <w:szCs w:val="18"/>
          <w:color w:val="auto"/>
        </w:rPr>
        <w:t>”). The Corporation shall promptly pay any Additional Redemption Price to the former holders of Preferred Stock as such amounts become available for distribution to the Corporation’s stockholders pursuant to Delaware law.</w:t>
      </w:r>
    </w:p>
    <w:p>
      <w:pPr>
        <w:spacing w:after="0" w:line="177" w:lineRule="exact"/>
        <w:rPr>
          <w:sz w:val="20"/>
          <w:szCs w:val="20"/>
          <w:color w:val="auto"/>
        </w:rPr>
      </w:pPr>
    </w:p>
    <w:p>
      <w:pPr>
        <w:ind w:right="180" w:firstLine="1936"/>
        <w:spacing w:after="0" w:line="255" w:lineRule="auto"/>
        <w:tabs>
          <w:tab w:leader="none" w:pos="216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the redemption contemplated by </w:t>
      </w:r>
      <w:r>
        <w:rPr>
          <w:rFonts w:ascii="Times New Roman" w:cs="Times New Roman" w:eastAsia="Times New Roman" w:hAnsi="Times New Roman"/>
          <w:sz w:val="18"/>
          <w:szCs w:val="18"/>
          <w:u w:val="single" w:color="auto"/>
          <w:color w:val="auto"/>
        </w:rPr>
        <w:t>Section 2.11.2(b)</w:t>
      </w:r>
      <w:r>
        <w:rPr>
          <w:rFonts w:ascii="Times New Roman" w:cs="Times New Roman" w:eastAsia="Times New Roman" w:hAnsi="Times New Roman"/>
          <w:sz w:val="18"/>
          <w:szCs w:val="18"/>
          <w:color w:val="auto"/>
        </w:rPr>
        <w:t>, the Corporation shall send written notice of the mandatory redemption (the “</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to each holder of record of Preferred Stock not less than 40 days prior to such redemption date. Each Redemption Notice shall state:</w:t>
      </w:r>
    </w:p>
    <w:p>
      <w:pPr>
        <w:spacing w:after="0" w:line="180" w:lineRule="exact"/>
        <w:rPr>
          <w:rFonts w:ascii="Times New Roman" w:cs="Times New Roman" w:eastAsia="Times New Roman" w:hAnsi="Times New Roman"/>
          <w:sz w:val="18"/>
          <w:szCs w:val="18"/>
          <w:color w:val="auto"/>
        </w:rPr>
      </w:pPr>
    </w:p>
    <w:p>
      <w:pPr>
        <w:ind w:right="100" w:firstLine="2364"/>
        <w:spacing w:after="0" w:line="251" w:lineRule="auto"/>
        <w:tabs>
          <w:tab w:leader="none" w:pos="256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G-3 Preferred Stock, Series G-2 Preferred Stock, Series G Preferred Stock, Series F Preferred Stock, Series E Preferred Stock, Series D Preferred Stock, Series C Preferred Stock, Series B-2 Preferred Stock, Series B-1 Preferred Stock, Series B Preferred Stock and Series A Preferred Stock held by the holder that the Corporation shall redeem on the redemption date specified in the Redemption Notice;</w:t>
      </w:r>
    </w:p>
    <w:p>
      <w:pPr>
        <w:spacing w:after="0" w:line="184" w:lineRule="exact"/>
        <w:rPr>
          <w:rFonts w:ascii="Times New Roman" w:cs="Times New Roman" w:eastAsia="Times New Roman" w:hAnsi="Times New Roman"/>
          <w:sz w:val="18"/>
          <w:szCs w:val="18"/>
          <w:color w:val="auto"/>
        </w:rPr>
      </w:pPr>
    </w:p>
    <w:p>
      <w:pPr>
        <w:ind w:left="2620" w:hanging="256"/>
        <w:spacing w:after="0"/>
        <w:tabs>
          <w:tab w:leader="none" w:pos="262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the redemption price;</w:t>
      </w:r>
    </w:p>
    <w:p>
      <w:pPr>
        <w:spacing w:after="0" w:line="213" w:lineRule="exact"/>
        <w:rPr>
          <w:rFonts w:ascii="Times New Roman" w:cs="Times New Roman" w:eastAsia="Times New Roman" w:hAnsi="Times New Roman"/>
          <w:sz w:val="18"/>
          <w:szCs w:val="18"/>
          <w:color w:val="auto"/>
        </w:rPr>
      </w:pPr>
    </w:p>
    <w:p>
      <w:pPr>
        <w:ind w:left="2680" w:hanging="316"/>
        <w:spacing w:after="0"/>
        <w:tabs>
          <w:tab w:leader="none" w:pos="26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right to convert such shares terminates (as determined in accordance with</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and</w:t>
      </w:r>
    </w:p>
    <w:p>
      <w:pPr>
        <w:spacing w:after="0" w:line="195" w:lineRule="exact"/>
        <w:rPr>
          <w:rFonts w:ascii="Times New Roman" w:cs="Times New Roman" w:eastAsia="Times New Roman" w:hAnsi="Times New Roman"/>
          <w:sz w:val="18"/>
          <w:szCs w:val="18"/>
          <w:color w:val="auto"/>
        </w:rPr>
      </w:pPr>
    </w:p>
    <w:p>
      <w:pPr>
        <w:ind w:right="680" w:firstLine="2364"/>
        <w:spacing w:after="0" w:line="267" w:lineRule="auto"/>
        <w:tabs>
          <w:tab w:leader="none" w:pos="265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is to surrender to the Corporation, in the manner and at the place designated, his, her or its certificate or certificates representing the shares of Preferred Stock to be redeemed.</w:t>
      </w:r>
    </w:p>
    <w:p>
      <w:pPr>
        <w:spacing w:after="0" w:line="17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 xml:space="preserve">If the Corporation receives, on or prior to the 20th day after the date of delivery of the Redemption Notice to a holder of Preferred Stock, written notice from such holder that such holder elects to be excluded from the redemption of the Preferred Stock provided in this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then the shares of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Excluded Shares</w:t>
      </w:r>
      <w:r>
        <w:rPr>
          <w:rFonts w:ascii="Times New Roman" w:cs="Times New Roman" w:eastAsia="Times New Roman" w:hAnsi="Times New Roman"/>
          <w:sz w:val="18"/>
          <w:szCs w:val="18"/>
          <w:color w:val="auto"/>
        </w:rPr>
        <w:t xml:space="preserve">.” Excluded Shares shall not be redeemed or redeemable pursuant to this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whether on such redemption date or thereafter.</w:t>
      </w:r>
    </w:p>
    <w:p>
      <w:pPr>
        <w:spacing w:after="0" w:line="187" w:lineRule="exact"/>
        <w:rPr>
          <w:sz w:val="20"/>
          <w:szCs w:val="20"/>
          <w:color w:val="auto"/>
        </w:rPr>
      </w:pPr>
    </w:p>
    <w:p>
      <w:pPr>
        <w:ind w:firstLine="1936"/>
        <w:spacing w:after="0" w:line="247" w:lineRule="auto"/>
        <w:tabs>
          <w:tab w:leader="none" w:pos="217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applicable redemption date, each holder of shares of Preferred Stock to be redeemed on such redemption date, unless such holder has exercised his, her or its right to convert such shares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00"/>
          </w:cols>
          <w:pgMar w:left="580" w:top="261" w:right="619" w:bottom="1440" w:gutter="0" w:footer="0" w:header="0"/>
        </w:sectPr>
      </w:pPr>
    </w:p>
    <w:bookmarkStart w:id="316" w:name="page317"/>
    <w:bookmarkEnd w:id="316"/>
    <w:p>
      <w:pPr>
        <w:ind w:right="80" w:firstLine="1936"/>
        <w:spacing w:after="0" w:line="247" w:lineRule="auto"/>
        <w:tabs>
          <w:tab w:leader="none" w:pos="216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(including the Additional Redemption Price from time to time, if any) without interest upon surrender of their certificate or certificates therefor.</w:t>
      </w:r>
    </w:p>
    <w:p>
      <w:pPr>
        <w:spacing w:after="0" w:line="18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 xml:space="preserve">2.11.3 </w:t>
      </w:r>
      <w:r>
        <w:rPr>
          <w:rFonts w:ascii="Times New Roman" w:cs="Times New Roman" w:eastAsia="Times New Roman" w:hAnsi="Times New Roman"/>
          <w:sz w:val="16"/>
          <w:szCs w:val="16"/>
          <w:u w:val="single" w:color="auto"/>
          <w:color w:val="auto"/>
        </w:rPr>
        <w:t>Amount Deemed Paid or Distributed</w:t>
      </w:r>
      <w:r>
        <w:rPr>
          <w:rFonts w:ascii="Times New Roman" w:cs="Times New Roman" w:eastAsia="Times New Roman" w:hAnsi="Times New Roman"/>
          <w:sz w:val="16"/>
          <w:szCs w:val="16"/>
          <w:color w:val="auto"/>
        </w:rPr>
        <w:t>. If the amount deemed paid or distributed in a Deemed Liquidation Event under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is made in property other than in cash, the fair market value of such property, determined as follows:</w:t>
      </w:r>
    </w:p>
    <w:p>
      <w:pPr>
        <w:spacing w:after="0" w:line="195" w:lineRule="exact"/>
        <w:rPr>
          <w:sz w:val="20"/>
          <w:szCs w:val="20"/>
          <w:color w:val="auto"/>
        </w:rPr>
      </w:pPr>
    </w:p>
    <w:p>
      <w:pPr>
        <w:ind w:left="2180" w:hanging="244"/>
        <w:spacing w:after="0"/>
        <w:tabs>
          <w:tab w:leader="none" w:pos="21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not subject to investment letters or other similar restrictions on free marketability,</w:t>
      </w:r>
    </w:p>
    <w:p>
      <w:pPr>
        <w:spacing w:after="0" w:line="213" w:lineRule="exact"/>
        <w:rPr>
          <w:rFonts w:ascii="Times New Roman" w:cs="Times New Roman" w:eastAsia="Times New Roman" w:hAnsi="Times New Roman"/>
          <w:sz w:val="18"/>
          <w:szCs w:val="18"/>
          <w:color w:val="auto"/>
        </w:rPr>
      </w:pPr>
    </w:p>
    <w:p>
      <w:pPr>
        <w:ind w:right="60" w:firstLine="2364"/>
        <w:spacing w:after="0" w:line="267" w:lineRule="auto"/>
        <w:tabs>
          <w:tab w:leader="none" w:pos="256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traded on a securities exchange, the value shall be deemed to be the average of the closing prices of the securities on such exchange or market over the 30-period ending three days prior to the closing of such transaction;</w:t>
      </w:r>
    </w:p>
    <w:p>
      <w:pPr>
        <w:spacing w:after="0" w:line="169" w:lineRule="exact"/>
        <w:rPr>
          <w:rFonts w:ascii="Times New Roman" w:cs="Times New Roman" w:eastAsia="Times New Roman" w:hAnsi="Times New Roman"/>
          <w:sz w:val="18"/>
          <w:szCs w:val="18"/>
          <w:color w:val="auto"/>
        </w:rPr>
      </w:pPr>
    </w:p>
    <w:p>
      <w:pPr>
        <w:ind w:right="220" w:firstLine="2364"/>
        <w:spacing w:after="0" w:line="267" w:lineRule="auto"/>
        <w:tabs>
          <w:tab w:leader="none" w:pos="261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actively traded over-the-counter, the value shall be deemed to be the average of the closing bid prices over the 30-day period ending three days prior to the closing of such transaction; or</w:t>
      </w:r>
    </w:p>
    <w:p>
      <w:pPr>
        <w:spacing w:after="0" w:line="169" w:lineRule="exact"/>
        <w:rPr>
          <w:rFonts w:ascii="Times New Roman" w:cs="Times New Roman" w:eastAsia="Times New Roman" w:hAnsi="Times New Roman"/>
          <w:sz w:val="18"/>
          <w:szCs w:val="18"/>
          <w:color w:val="auto"/>
        </w:rPr>
      </w:pPr>
    </w:p>
    <w:p>
      <w:pPr>
        <w:ind w:left="2680" w:hanging="316"/>
        <w:spacing w:after="0"/>
        <w:tabs>
          <w:tab w:leader="none" w:pos="268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active public market, the value shall be the fair market value thereof, as determined in good faith by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Board.</w:t>
      </w:r>
    </w:p>
    <w:p>
      <w:pPr>
        <w:spacing w:after="0" w:line="195" w:lineRule="exact"/>
        <w:rPr>
          <w:rFonts w:ascii="Times New Roman" w:cs="Times New Roman" w:eastAsia="Times New Roman" w:hAnsi="Times New Roman"/>
          <w:sz w:val="16"/>
          <w:szCs w:val="16"/>
          <w:color w:val="auto"/>
        </w:rPr>
      </w:pPr>
    </w:p>
    <w:p>
      <w:pPr>
        <w:ind w:right="40" w:firstLine="1936"/>
        <w:spacing w:after="0" w:line="251" w:lineRule="auto"/>
        <w:tabs>
          <w:tab w:leader="none" w:pos="217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from the market value as determined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so as to reflect the approximate fair market value thereof.</w:t>
      </w:r>
    </w:p>
    <w:p>
      <w:pPr>
        <w:spacing w:after="0" w:line="184" w:lineRule="exact"/>
        <w:rPr>
          <w:sz w:val="20"/>
          <w:szCs w:val="20"/>
          <w:color w:val="auto"/>
        </w:rPr>
      </w:pPr>
    </w:p>
    <w:p>
      <w:pPr>
        <w:ind w:firstLine="1393"/>
        <w:spacing w:after="0" w:line="281" w:lineRule="auto"/>
        <w:rPr>
          <w:sz w:val="20"/>
          <w:szCs w:val="20"/>
          <w:color w:val="auto"/>
        </w:rPr>
      </w:pPr>
      <w:r>
        <w:rPr>
          <w:rFonts w:ascii="Times New Roman" w:cs="Times New Roman" w:eastAsia="Times New Roman" w:hAnsi="Times New Roman"/>
          <w:sz w:val="16"/>
          <w:szCs w:val="16"/>
          <w:color w:val="auto"/>
        </w:rPr>
        <w:t xml:space="preserve">2.12 </w:t>
      </w:r>
      <w:r>
        <w:rPr>
          <w:rFonts w:ascii="Times New Roman" w:cs="Times New Roman" w:eastAsia="Times New Roman" w:hAnsi="Times New Roman"/>
          <w:sz w:val="16"/>
          <w:szCs w:val="16"/>
          <w:u w:val="single" w:color="auto"/>
          <w:color w:val="auto"/>
        </w:rPr>
        <w:t>Contingent Consideration and Indemnification</w:t>
      </w:r>
      <w:r>
        <w:rPr>
          <w:rFonts w:ascii="Times New Roman" w:cs="Times New Roman" w:eastAsia="Times New Roman" w:hAnsi="Times New Roman"/>
          <w:sz w:val="16"/>
          <w:szCs w:val="16"/>
          <w:color w:val="auto"/>
        </w:rPr>
        <w:t>. In the event of a Deemed Liquidation Event, unless (A) the holders of a majority of the outstanding shares of Series G-3 Preferred Stock, voting as a separate class, (B) the holders of a majority of the outstanding shares of Series G-2 Preferred Stock, voting as a separate class, (C) the holders of a majority of the outstanding shares of Series G Preferred Stock, voting as a separate class, (D) the holders of a majority of the outstanding shares of Series F Preferred Stock, voting as a separate class, (E) the holders of a majority of the outstanding shares of Series E Preferred Stock, voting as a separate class, (F) the holders of at least sixty percent (60%) of the outstanding shares of Series D Preferred Stock, voting as a separate class, (G) the holders of at least sixty percent (60%) of the outstanding shares of Series C Preferred Stock, voting as a separate class, and (H) the holders of a majority of the outstanding shares of Series B-2 Preferred Stock, Series B-1 Preferred Stock, Series B Preferred Stock and Series A Preferred Stock, voting together as a single class as measured on the basis of voting power set forth in this Restated Certificate (the holders described in clauses (A), (B), (C), (D), (E), (F), (G) and (H) referred to herein, collectively, as the “</w:t>
      </w:r>
      <w:r>
        <w:rPr>
          <w:rFonts w:ascii="Times New Roman" w:cs="Times New Roman" w:eastAsia="Times New Roman" w:hAnsi="Times New Roman"/>
          <w:sz w:val="16"/>
          <w:szCs w:val="16"/>
          <w:b w:val="1"/>
          <w:bCs w:val="1"/>
          <w:i w:val="1"/>
          <w:iCs w:val="1"/>
          <w:color w:val="auto"/>
        </w:rPr>
        <w:t>Requisite Preferred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00"/>
          </w:cols>
          <w:pgMar w:left="580" w:top="265" w:right="619" w:bottom="1440" w:gutter="0" w:footer="0" w:header="0"/>
        </w:sectPr>
      </w:pPr>
    </w:p>
    <w:bookmarkStart w:id="317" w:name="page318"/>
    <w:bookmarkEnd w:id="317"/>
    <w:p>
      <w:pPr>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Holders</w:t>
      </w:r>
      <w:r>
        <w:rPr>
          <w:rFonts w:ascii="Times New Roman" w:cs="Times New Roman" w:eastAsia="Times New Roman" w:hAnsi="Times New Roman"/>
          <w:sz w:val="18"/>
          <w:szCs w:val="18"/>
          <w:color w:val="auto"/>
        </w:rPr>
        <w:t>”), otherwise approve in writing, if any portion of the consideration payable to the stockholders of the Corporation in connection with a Deemed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Liquidation Event is payable only upon the satisfaction of contingencies or is placed in escrow, a “holdback” or other similar account to secure the indemnity obligations of the stockholders (such consideration, the “</w:t>
      </w:r>
      <w:r>
        <w:rPr>
          <w:rFonts w:ascii="Times New Roman" w:cs="Times New Roman" w:eastAsia="Times New Roman" w:hAnsi="Times New Roman"/>
          <w:sz w:val="18"/>
          <w:szCs w:val="18"/>
          <w:b w:val="1"/>
          <w:bCs w:val="1"/>
          <w:i w:val="1"/>
          <w:iCs w:val="1"/>
          <w:color w:val="auto"/>
        </w:rPr>
        <w:t>Additional Consideration</w:t>
      </w:r>
      <w:r>
        <w:rPr>
          <w:rFonts w:ascii="Times New Roman" w:cs="Times New Roman" w:eastAsia="Times New Roman" w:hAnsi="Times New Roman"/>
          <w:sz w:val="18"/>
          <w:szCs w:val="18"/>
          <w:color w:val="auto"/>
        </w:rPr>
        <w:t>”), the definitive agreement with respect to such Deemed Liquidation Event shall provide that (a) the portion of the consideration that is not Additional Consideration (the “</w:t>
      </w:r>
      <w:r>
        <w:rPr>
          <w:rFonts w:ascii="Times New Roman" w:cs="Times New Roman" w:eastAsia="Times New Roman" w:hAnsi="Times New Roman"/>
          <w:sz w:val="18"/>
          <w:szCs w:val="18"/>
          <w:b w:val="1"/>
          <w:bCs w:val="1"/>
          <w:i w:val="1"/>
          <w:i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as if the Initial Consideration were the only consideration payable in connection with such Deemed Liquidation Event, and (b) any Additional Consideration which becomes payable or distributable to the stockholders of the Corporation after the initial closing of such Deemed Liquidation Event shall be allocated among the holders of capital stock of the Corporation in strict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after taking into account any previous payments of the Initial Consideration made to the stockholders of the Corporation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In connection with the payment of such Additional Consideration, if the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did not convert to Common Stock immediately before the initial closing of the Deemed Liquidation Event and if the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had converted to Common Stock immediately before the initial closing of the Deemed Liquidation Event and the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would have received greater total consideration from the Deemed Liquidation Event after the payments of the Additional Consideration are made, then the Additional Consideration shall be paid to the holders of the Series G-3 Preferred Stock, Series G-2 Preferred Stock, Series G Preferred Stock, Series F Preferred Stock, Series E Preferred Stock, Series D Preferred Stock, Series C Preferred Stock, Series B-2 Preferred Stock, Series B-1 Preferred Stock, Series B Preferred Stock, Series A Preferred Stock or Common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taking into account such deemed conversion, as applicable, and after taking into account any previous payments of the Initial Consideration made to the holders of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w:t>
      </w:r>
    </w:p>
    <w:p>
      <w:pPr>
        <w:spacing w:after="0" w:line="205" w:lineRule="exact"/>
        <w:rPr>
          <w:sz w:val="20"/>
          <w:szCs w:val="20"/>
          <w:color w:val="auto"/>
        </w:rPr>
      </w:pPr>
    </w:p>
    <w:p>
      <w:pPr>
        <w:ind w:left="1140" w:hanging="168"/>
        <w:spacing w:after="0"/>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any matter presented to the stockholders of the Corporation for their action or consideration at any meeting of stockholders of the Corporation (or by written consent of stockholders in lieu of meeting), (a) each holder of outstanding shares of Series G-3 Preferred Stock, Series G-2 Preferred Stock, Series G Preferred Stock, Series F Preferred Stock, Series E Preferred Stock, Series D Preferred Stock, Series C Preferred Stock, Series B-2 Preferred Stock, Series B-1 Preferred Stock, and Series A Preferred Stock shall be entitled to cast the number of votes equal to the number of whole shares of Class A Common Stock</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680"/>
          </w:cols>
          <w:pgMar w:left="580" w:top="261" w:right="639" w:bottom="1440" w:gutter="0" w:footer="0" w:header="0"/>
        </w:sectPr>
      </w:pPr>
    </w:p>
    <w:bookmarkStart w:id="318" w:name="page319"/>
    <w:bookmarkEnd w:id="318"/>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into which such shares of Preferred Stock held by such holder are convertible, based on the then-current Conversion Price (as defined below) for such shares, as of the record date for determining stockholders entitled to vote on such matter, and (b) each holder of outstanding shares of Series B Preferred Stock shall be entitled to cast the number of votes equal to the voting power of the number of whole shares of Class B Common Stock into which the shares of Series B Preferred Stock held by such holder are convertible as of the record date for determining stockholders entitled to vote on such matter. Except as provided by applicable law or by the other provisions of this Restated Certificate, holders of Preferred Stock shall vote together with the holders of Voting Common Stock as a single class on all matters (including the election of directors) submitted to a vote of the stockholders of the Corporation.</w:t>
      </w:r>
    </w:p>
    <w:p>
      <w:pPr>
        <w:spacing w:after="0" w:line="1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3.2.1 The holders of record of the shares of Series C Preferred Stock, voting as a separate class, shall be entitled to elect one</w:t>
      </w:r>
    </w:p>
    <w:p>
      <w:pPr>
        <w:spacing w:after="0" w:line="44" w:lineRule="exact"/>
        <w:rPr>
          <w:sz w:val="20"/>
          <w:szCs w:val="20"/>
          <w:color w:val="auto"/>
        </w:rPr>
      </w:pPr>
    </w:p>
    <w:p>
      <w:pPr>
        <w:ind w:right="20" w:firstLine="8"/>
        <w:spacing w:after="0" w:line="244" w:lineRule="auto"/>
        <w:tabs>
          <w:tab w:leader="none" w:pos="24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the Corporation. The holders of record of the shares of Series B-2 Preferred Stock, Series B-1 Preferred Stock, Series B Preferred Stock, Series A Preferred Stock and Voting Common Stock, voting together as a single class as measured on the basis of voting power set forth in this Restated Certificate, shall be entitled to elect six (6) directors of the Corporation. The holders of record of the shares of Series B-2 Preferred Stock, Series B-1 Preferred Stock, Series B Preferred Stock, Series A Preferred Stock and Voting Common Stock, voting together as a single class as measured on the basis of voting power set forth in this Restated Certificate, shall be entitled to elect two (2) directors of the Corporation who are not employed by the Corporation. The holders of record of the shares of Voting Common Stock and Preferred Stock (voting together as a single class as measured on the basis of voting power set forth in this Restated Certificate) shall be entitled to elect each of the remaining directors of the Corporation. Vacancies and newly created positions on the Board of Directors of the Corporation resulting from any increase in the authorized number of Directors may be filled by approval by the holders of at least a majority of the shares of Voting Common Stock.</w:t>
      </w:r>
    </w:p>
    <w:p>
      <w:pPr>
        <w:spacing w:after="0" w:line="189" w:lineRule="exact"/>
        <w:rPr>
          <w:sz w:val="20"/>
          <w:szCs w:val="20"/>
          <w:color w:val="auto"/>
        </w:rPr>
      </w:pPr>
    </w:p>
    <w:p>
      <w:pPr>
        <w:ind w:firstLine="1928"/>
        <w:spacing w:after="0" w:line="245" w:lineRule="auto"/>
        <w:rPr>
          <w:sz w:val="20"/>
          <w:szCs w:val="20"/>
          <w:color w:val="auto"/>
        </w:rPr>
      </w:pPr>
      <w:r>
        <w:rPr>
          <w:rFonts w:ascii="Times New Roman" w:cs="Times New Roman" w:eastAsia="Times New Roman" w:hAnsi="Times New Roman"/>
          <w:sz w:val="18"/>
          <w:szCs w:val="18"/>
          <w:color w:val="auto"/>
        </w:rPr>
        <w:t xml:space="preserve">3.2.2 Any director elected as provided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capital stock fail to elect a sufficient number of directors to fill all directorships for which they are entitled to elect directors, voting exclusively and as a separate class,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then any directorship not so filled shall remain vacant until such time as the holders entitled to such director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and series. At any meeting held for the purpose of electing or removing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 vacancy in any directorship filled by the holders of such class or series shall be filled only by the vote or written consent in lieu of a meeting of the holders of such class or series entitled to elect such director.</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80"/>
          </w:cols>
          <w:pgMar w:left="580" w:top="265" w:right="639" w:bottom="1440" w:gutter="0" w:footer="0" w:header="0"/>
        </w:sectPr>
      </w:pPr>
    </w:p>
    <w:bookmarkStart w:id="319" w:name="page320"/>
    <w:bookmarkEnd w:id="319"/>
    <w:p>
      <w:pPr>
        <w:ind w:right="200" w:firstLine="1393"/>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Series G-3 Preferred Stock Protective Provisions</w:t>
      </w:r>
      <w:r>
        <w:rPr>
          <w:rFonts w:ascii="Times New Roman" w:cs="Times New Roman" w:eastAsia="Times New Roman" w:hAnsi="Times New Roman"/>
          <w:sz w:val="18"/>
          <w:szCs w:val="18"/>
          <w:color w:val="auto"/>
        </w:rPr>
        <w:t xml:space="preserve">. So long as any shares of Series G-3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G-3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3.3.1 amend, alter or repeal any provision of the Certificate of Incorporation, as amended, or the Bylaws of the Corporation in a manner that adversely affects the rights, preferences, privileges and restrictions, qualifications or limitations of the Series G-3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G-3 Preferred Stock shall not be deemed to constitute an amendment that adversely affects the rights, preferences, privileges and restrictions, qualifications or limitations of the Series G-3 Preferred Stock); or</w:t>
      </w:r>
    </w:p>
    <w:p>
      <w:pPr>
        <w:spacing w:after="0" w:line="187" w:lineRule="exact"/>
        <w:rPr>
          <w:sz w:val="20"/>
          <w:szCs w:val="20"/>
          <w:color w:val="auto"/>
        </w:rPr>
      </w:pPr>
    </w:p>
    <w:p>
      <w:pPr>
        <w:ind w:right="40" w:firstLine="1928"/>
        <w:spacing w:after="0" w:line="251" w:lineRule="auto"/>
        <w:rPr>
          <w:sz w:val="20"/>
          <w:szCs w:val="20"/>
          <w:color w:val="auto"/>
        </w:rPr>
      </w:pPr>
      <w:r>
        <w:rPr>
          <w:rFonts w:ascii="Times New Roman" w:cs="Times New Roman" w:eastAsia="Times New Roman" w:hAnsi="Times New Roman"/>
          <w:sz w:val="18"/>
          <w:szCs w:val="18"/>
          <w:color w:val="auto"/>
        </w:rPr>
        <w:t>3.3.2 increase the authorized number of shares of Series G-3 Preferred Stock or issue additional shares of Series G-3 Preferred Stock (or any securities or rights exercisable, convertible or exchangeable for any shares of Series G-3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(i) shares of Series G-3 Preferred Stock in order to pay any Series G-3 PIK Dividends, and (ii) any shares of Preferred Stock except the Series G-3 Preferred Stock other than the Series G-3 PIK Dividends).</w:t>
      </w:r>
    </w:p>
    <w:p>
      <w:pPr>
        <w:spacing w:after="0" w:line="184" w:lineRule="exact"/>
        <w:rPr>
          <w:sz w:val="20"/>
          <w:szCs w:val="20"/>
          <w:color w:val="auto"/>
        </w:rPr>
      </w:pPr>
    </w:p>
    <w:p>
      <w:pPr>
        <w:ind w:right="20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Series G-2 Preferred Stock Protective Provisions</w:t>
      </w:r>
      <w:r>
        <w:rPr>
          <w:rFonts w:ascii="Times New Roman" w:cs="Times New Roman" w:eastAsia="Times New Roman" w:hAnsi="Times New Roman"/>
          <w:sz w:val="18"/>
          <w:szCs w:val="18"/>
          <w:color w:val="auto"/>
        </w:rPr>
        <w:t xml:space="preserve">. So long as any shares of Series G-2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G-2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3.4.1 amend, alter or repeal any provision of the Certificate of Incorporation, as amended, or the Bylaws of the Corporation in a manner that adversely affects the rights, preferences, privileges and restrictions, qualifications or limitations of the Series G-2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G-2 Preferred Stock shall not be deemed to constitute an amendment that adversely affects the rights, preferences, privileges and restrictions, qualifications or limitations of the Series G-2 Preferred Stock); or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680"/>
          </w:cols>
          <w:pgMar w:left="580" w:top="265" w:right="639" w:bottom="1440" w:gutter="0" w:footer="0" w:header="0"/>
        </w:sectPr>
      </w:pPr>
    </w:p>
    <w:bookmarkStart w:id="320" w:name="page321"/>
    <w:bookmarkEnd w:id="320"/>
    <w:p>
      <w:pPr>
        <w:ind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3.4.2 increase the authorized number of shares of Series G-2 Preferred Stock or issue additional shares of Series G-2 Preferred Stock (or any securities or rights exercisable, convertible or exchangeable for any shares of Series G-2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G-2 Preferred Stock).</w:t>
      </w:r>
    </w:p>
    <w:p>
      <w:pPr>
        <w:spacing w:after="0" w:line="180" w:lineRule="exact"/>
        <w:rPr>
          <w:sz w:val="20"/>
          <w:szCs w:val="20"/>
          <w:color w:val="auto"/>
        </w:rPr>
      </w:pPr>
    </w:p>
    <w:p>
      <w:pPr>
        <w:ind w:right="2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Series G Preferred Stock Protective Provisions</w:t>
      </w:r>
      <w:r>
        <w:rPr>
          <w:rFonts w:ascii="Times New Roman" w:cs="Times New Roman" w:eastAsia="Times New Roman" w:hAnsi="Times New Roman"/>
          <w:sz w:val="18"/>
          <w:szCs w:val="18"/>
          <w:color w:val="auto"/>
        </w:rPr>
        <w:t xml:space="preserve">. So long as any shares of Series G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60" w:firstLine="1928"/>
        <w:spacing w:after="0" w:line="248" w:lineRule="auto"/>
        <w:rPr>
          <w:sz w:val="20"/>
          <w:szCs w:val="20"/>
          <w:color w:val="auto"/>
        </w:rPr>
      </w:pPr>
      <w:r>
        <w:rPr>
          <w:rFonts w:ascii="Times New Roman" w:cs="Times New Roman" w:eastAsia="Times New Roman" w:hAnsi="Times New Roman"/>
          <w:sz w:val="18"/>
          <w:szCs w:val="18"/>
          <w:color w:val="auto"/>
        </w:rPr>
        <w:t>3.5.1 amend, alter or repeal any provision of the Certificate of Incorporation, as amended, or the Bylaws of the Corporation in a manner that adversely affects the rights, preferences, privileges and restrictions, qualifications or limitations of the Series G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 Preferred Stock shall not be deemed to constitute an amendment that adversely affects the rights, preferences, privileges and restrictions, qualifications or limitations of the Series G Preferred Stock); or</w:t>
      </w:r>
    </w:p>
    <w:p>
      <w:pPr>
        <w:spacing w:after="0" w:line="187" w:lineRule="exact"/>
        <w:rPr>
          <w:sz w:val="20"/>
          <w:szCs w:val="20"/>
          <w:color w:val="auto"/>
        </w:rPr>
      </w:pPr>
    </w:p>
    <w:p>
      <w:pPr>
        <w:jc w:val="both"/>
        <w:ind w:right="80" w:firstLine="1928"/>
        <w:spacing w:after="0" w:line="255" w:lineRule="auto"/>
        <w:rPr>
          <w:sz w:val="20"/>
          <w:szCs w:val="20"/>
          <w:color w:val="auto"/>
        </w:rPr>
      </w:pPr>
      <w:r>
        <w:rPr>
          <w:rFonts w:ascii="Times New Roman" w:cs="Times New Roman" w:eastAsia="Times New Roman" w:hAnsi="Times New Roman"/>
          <w:sz w:val="18"/>
          <w:szCs w:val="18"/>
          <w:color w:val="auto"/>
        </w:rPr>
        <w:t>3.5.2 increase the authorized number of shares of Series G Preferred Stock or issue additional shares of Series G Preferred Stock (or any securities or rights exercisable, convertible or exchangeable for any shares of Series G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G Preferred Stock).</w:t>
      </w:r>
    </w:p>
    <w:p>
      <w:pPr>
        <w:spacing w:after="0" w:line="180" w:lineRule="exact"/>
        <w:rPr>
          <w:sz w:val="20"/>
          <w:szCs w:val="20"/>
          <w:color w:val="auto"/>
        </w:rPr>
      </w:pPr>
    </w:p>
    <w:p>
      <w:pPr>
        <w:ind w:right="4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Series F Preferred Stock Protective Provisions</w:t>
      </w:r>
      <w:r>
        <w:rPr>
          <w:rFonts w:ascii="Times New Roman" w:cs="Times New Roman" w:eastAsia="Times New Roman" w:hAnsi="Times New Roman"/>
          <w:sz w:val="18"/>
          <w:szCs w:val="18"/>
          <w:color w:val="auto"/>
        </w:rPr>
        <w:t xml:space="preserve">. So long as any shares of Series F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F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60" w:firstLine="1928"/>
        <w:spacing w:after="0" w:line="248" w:lineRule="auto"/>
        <w:rPr>
          <w:sz w:val="20"/>
          <w:szCs w:val="20"/>
          <w:color w:val="auto"/>
        </w:rPr>
      </w:pPr>
      <w:r>
        <w:rPr>
          <w:rFonts w:ascii="Times New Roman" w:cs="Times New Roman" w:eastAsia="Times New Roman" w:hAnsi="Times New Roman"/>
          <w:sz w:val="18"/>
          <w:szCs w:val="18"/>
          <w:color w:val="auto"/>
        </w:rPr>
        <w:t>3.6.1 amend, alter or repeal any provision of the Certificate of Incorporation, as amended, or the Bylaws of the Corporation in a manner that adversely affects the rights, preferences, privileges and restrictions, qualifications or limitations of the Series F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F Preferred Stock shall not be deemed to constitute an amendment that adversely affects the rights, preferences, privileges and restrictions, qualifications or limitations of the Series F Preferred Stock); or</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640"/>
          </w:cols>
          <w:pgMar w:left="580" w:top="265" w:right="679" w:bottom="1440" w:gutter="0" w:footer="0" w:header="0"/>
        </w:sectPr>
      </w:pPr>
    </w:p>
    <w:bookmarkStart w:id="321" w:name="page322"/>
    <w:bookmarkEnd w:id="321"/>
    <w:p>
      <w:pPr>
        <w:ind w:right="100"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3.6.2 increase the authorized number of shares of Series F Preferred Stock or issue additional shares of Series F Preferred Stock (or any securities or rights exercisable, convertible or exchangeable for any shares of Series F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F Preferred Stock).</w:t>
      </w:r>
    </w:p>
    <w:p>
      <w:pPr>
        <w:spacing w:after="0" w:line="180" w:lineRule="exact"/>
        <w:rPr>
          <w:sz w:val="20"/>
          <w:szCs w:val="20"/>
          <w:color w:val="auto"/>
        </w:rPr>
      </w:pPr>
    </w:p>
    <w:p>
      <w:pPr>
        <w:ind w:right="4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Series E Preferred Stock Protective Provisions</w:t>
      </w:r>
      <w:r>
        <w:rPr>
          <w:rFonts w:ascii="Times New Roman" w:cs="Times New Roman" w:eastAsia="Times New Roman" w:hAnsi="Times New Roman"/>
          <w:sz w:val="18"/>
          <w:szCs w:val="18"/>
          <w:color w:val="auto"/>
        </w:rPr>
        <w:t xml:space="preserve">. So long as any shares of Series E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E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60" w:firstLine="1928"/>
        <w:spacing w:after="0" w:line="248" w:lineRule="auto"/>
        <w:rPr>
          <w:sz w:val="20"/>
          <w:szCs w:val="20"/>
          <w:color w:val="auto"/>
        </w:rPr>
      </w:pPr>
      <w:r>
        <w:rPr>
          <w:rFonts w:ascii="Times New Roman" w:cs="Times New Roman" w:eastAsia="Times New Roman" w:hAnsi="Times New Roman"/>
          <w:sz w:val="18"/>
          <w:szCs w:val="18"/>
          <w:color w:val="auto"/>
        </w:rPr>
        <w:t>3.7.1 amend, alter or repeal any provision of the Certificate of Incorporation, as amended, or the Bylaws of the Corporation in a manner that adversely affects the rights, preferences, privileges and restrictions, qualifications or limitations of the Series E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E Preferred Stock shall not be deemed to constitute an amendment that adversely affects the rights, preferences, privileges and restrictions, qualifications or limitations of the Series E Preferred Stock); or</w:t>
      </w:r>
    </w:p>
    <w:p>
      <w:pPr>
        <w:spacing w:after="0" w:line="187" w:lineRule="exact"/>
        <w:rPr>
          <w:sz w:val="20"/>
          <w:szCs w:val="20"/>
          <w:color w:val="auto"/>
        </w:rPr>
      </w:pPr>
    </w:p>
    <w:p>
      <w:pPr>
        <w:jc w:val="both"/>
        <w:ind w:right="100" w:firstLine="1928"/>
        <w:spacing w:after="0" w:line="255" w:lineRule="auto"/>
        <w:rPr>
          <w:sz w:val="20"/>
          <w:szCs w:val="20"/>
          <w:color w:val="auto"/>
        </w:rPr>
      </w:pPr>
      <w:r>
        <w:rPr>
          <w:rFonts w:ascii="Times New Roman" w:cs="Times New Roman" w:eastAsia="Times New Roman" w:hAnsi="Times New Roman"/>
          <w:sz w:val="18"/>
          <w:szCs w:val="18"/>
          <w:color w:val="auto"/>
        </w:rPr>
        <w:t>3.7.2 increase the authorized number of shares of Series E Preferred Stock or issue additional shares of Series E Preferred Stock (or any securities or rights exercisable, convertible or exchangeable for any shares of Series 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E Preferred Stock).</w:t>
      </w:r>
    </w:p>
    <w:p>
      <w:pPr>
        <w:spacing w:after="0" w:line="180" w:lineRule="exact"/>
        <w:rPr>
          <w:sz w:val="20"/>
          <w:szCs w:val="20"/>
          <w:color w:val="auto"/>
        </w:rPr>
      </w:pPr>
    </w:p>
    <w:p>
      <w:pPr>
        <w:ind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Series D Preferred Stock Protective Provisions</w:t>
      </w:r>
      <w:r>
        <w:rPr>
          <w:rFonts w:ascii="Times New Roman" w:cs="Times New Roman" w:eastAsia="Times New Roman" w:hAnsi="Times New Roman"/>
          <w:sz w:val="18"/>
          <w:szCs w:val="18"/>
          <w:color w:val="auto"/>
        </w:rPr>
        <w:t xml:space="preserve">. So long as any shares of Series D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D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60" w:firstLine="1928"/>
        <w:spacing w:after="0" w:line="248" w:lineRule="auto"/>
        <w:rPr>
          <w:sz w:val="20"/>
          <w:szCs w:val="20"/>
          <w:color w:val="auto"/>
        </w:rPr>
      </w:pPr>
      <w:r>
        <w:rPr>
          <w:rFonts w:ascii="Times New Roman" w:cs="Times New Roman" w:eastAsia="Times New Roman" w:hAnsi="Times New Roman"/>
          <w:sz w:val="18"/>
          <w:szCs w:val="18"/>
          <w:color w:val="auto"/>
        </w:rPr>
        <w:t>3.8.1 amend, alter or repeal any provision of the Certificate of Incorporation, as amended, or the Bylaws of the Corporation in a manner that adversely affects the rights, preferences, privileges and restrictions, qualifications or limitations of the Series D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D Preferred Stock shall not be deemed to constitute an amendment that adversely affects the rights, preferences, privileges and restrictions, qualifications or limitations of the Series D Preferred Stock);</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640"/>
          </w:cols>
          <w:pgMar w:left="580" w:top="265" w:right="679" w:bottom="1440" w:gutter="0" w:footer="0" w:header="0"/>
        </w:sectPr>
      </w:pPr>
    </w:p>
    <w:bookmarkStart w:id="322" w:name="page323"/>
    <w:bookmarkEnd w:id="322"/>
    <w:p>
      <w:pPr>
        <w:jc w:val="both"/>
        <w:ind w:right="160"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3.8.2 increase the authorized number of shares of Series D Preferred Stock or issue additional shares of Series D Preferred Stock (or any securities or rights exercisable, convertible or exchangeable for any shares of Series D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D Preferred Stock); or</w:t>
      </w:r>
    </w:p>
    <w:p>
      <w:pPr>
        <w:spacing w:after="0" w:line="180" w:lineRule="exact"/>
        <w:rPr>
          <w:sz w:val="20"/>
          <w:szCs w:val="20"/>
          <w:color w:val="auto"/>
        </w:rPr>
      </w:pPr>
    </w:p>
    <w:p>
      <w:pPr>
        <w:ind w:right="240" w:firstLine="1928"/>
        <w:spacing w:after="0" w:line="255" w:lineRule="auto"/>
        <w:rPr>
          <w:sz w:val="20"/>
          <w:szCs w:val="20"/>
          <w:color w:val="auto"/>
        </w:rPr>
      </w:pPr>
      <w:r>
        <w:rPr>
          <w:rFonts w:ascii="Times New Roman" w:cs="Times New Roman" w:eastAsia="Times New Roman" w:hAnsi="Times New Roman"/>
          <w:sz w:val="18"/>
          <w:szCs w:val="18"/>
          <w:color w:val="auto"/>
        </w:rPr>
        <w:t>3.8.3 approve or enter into any agreement with respect to a Deemed Liquidation Event, or consummate a Deemed Liquidation Event, in which the per share amount paid with respect to each share of Series D Preferred Stock is less than $9.3739 (as adjusted for any stock splits, stock dividends, combinations, subdivisions, recapitalizations or the like).</w:t>
      </w:r>
    </w:p>
    <w:p>
      <w:pPr>
        <w:spacing w:after="0" w:line="180" w:lineRule="exact"/>
        <w:rPr>
          <w:sz w:val="20"/>
          <w:szCs w:val="20"/>
          <w:color w:val="auto"/>
        </w:rPr>
      </w:pPr>
    </w:p>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Series C Preferred Stock Protective Provisions</w:t>
      </w:r>
      <w:r>
        <w:rPr>
          <w:rFonts w:ascii="Times New Roman" w:cs="Times New Roman" w:eastAsia="Times New Roman" w:hAnsi="Times New Roman"/>
          <w:sz w:val="18"/>
          <w:szCs w:val="18"/>
          <w:color w:val="auto"/>
        </w:rPr>
        <w:t xml:space="preserve">. So long as any shares of Series C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C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140" w:firstLine="1928"/>
        <w:spacing w:after="0" w:line="248" w:lineRule="auto"/>
        <w:rPr>
          <w:sz w:val="20"/>
          <w:szCs w:val="20"/>
          <w:color w:val="auto"/>
        </w:rPr>
      </w:pPr>
      <w:r>
        <w:rPr>
          <w:rFonts w:ascii="Times New Roman" w:cs="Times New Roman" w:eastAsia="Times New Roman" w:hAnsi="Times New Roman"/>
          <w:sz w:val="18"/>
          <w:szCs w:val="18"/>
          <w:color w:val="auto"/>
        </w:rPr>
        <w:t>3.9.1 amend, alter or repeal any provision of the Certificate of Incorporation, as amended, or the Bylaws of the Corporation in a manner that adversely affects the rights, preferences, privileges and restrictions, qualifications or limitations of the Series C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C Preferred Stock shall not be deemed to constitute an amendment that adversely affects the rights, preferences, privileges and restrictions, qualifications or limitations of the Series C Preferred Stock); or</w:t>
      </w:r>
    </w:p>
    <w:p>
      <w:pPr>
        <w:spacing w:after="0" w:line="187" w:lineRule="exact"/>
        <w:rPr>
          <w:sz w:val="20"/>
          <w:szCs w:val="20"/>
          <w:color w:val="auto"/>
        </w:rPr>
      </w:pPr>
    </w:p>
    <w:p>
      <w:pPr>
        <w:jc w:val="both"/>
        <w:ind w:right="160" w:firstLine="1928"/>
        <w:spacing w:after="0" w:line="255" w:lineRule="auto"/>
        <w:rPr>
          <w:sz w:val="20"/>
          <w:szCs w:val="20"/>
          <w:color w:val="auto"/>
        </w:rPr>
      </w:pPr>
      <w:r>
        <w:rPr>
          <w:rFonts w:ascii="Times New Roman" w:cs="Times New Roman" w:eastAsia="Times New Roman" w:hAnsi="Times New Roman"/>
          <w:sz w:val="18"/>
          <w:szCs w:val="18"/>
          <w:color w:val="auto"/>
        </w:rPr>
        <w:t>3.9.2 increase the authorized number of shares of Series C Preferred Stock or issue additional shares of Series C Preferred Stock (or any securities or rights exercisable, convertible or exchangeable for any shares of Series C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C Preferred Stock).</w:t>
      </w:r>
    </w:p>
    <w:p>
      <w:pPr>
        <w:spacing w:after="0" w:line="180" w:lineRule="exact"/>
        <w:rPr>
          <w:sz w:val="20"/>
          <w:szCs w:val="20"/>
          <w:color w:val="auto"/>
        </w:rPr>
      </w:pPr>
    </w:p>
    <w:p>
      <w:pPr>
        <w:ind w:firstLine="1393"/>
        <w:spacing w:after="0" w:line="247"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Other Preferred Stock Protective Provisions</w:t>
      </w:r>
      <w:r>
        <w:rPr>
          <w:rFonts w:ascii="Times New Roman" w:cs="Times New Roman" w:eastAsia="Times New Roman" w:hAnsi="Times New Roman"/>
          <w:sz w:val="18"/>
          <w:szCs w:val="18"/>
          <w:color w:val="auto"/>
        </w:rPr>
        <w:t xml:space="preserve">. So long as any shares of Series B-2 Preferred Stock, Series B-1 Preferred Stock, Series B Preferred Stock and Series A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a majority of the then-outstanding shares of Series B-2 Preferred Stock, Series B-1 Preferred Stock, Series B Preferred Stock and Series A Preferred Stock given in writing or by vote at a meeting, consenting or voting (as the case may be) together as a single class as measured on the basis of voting power set forth in this Restated Certificate,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20"/>
          </w:cols>
          <w:pgMar w:left="580" w:top="265" w:right="599" w:bottom="1440" w:gutter="0" w:footer="0" w:header="0"/>
        </w:sectPr>
      </w:pPr>
    </w:p>
    <w:bookmarkStart w:id="323" w:name="page324"/>
    <w:bookmarkEnd w:id="323"/>
    <w:p>
      <w:pPr>
        <w:ind w:left="19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3.10.1 amend, alter or repeal any provision of the Certificate of Incorporation, as amended, or the Bylaws of the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manner that adversely affects the rights, preferences, privileges and restrictions, qualifications or limitations of the Series B-2 Preferred Stock,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B-1 Preferred Stock, Series B Preferred Stock and Series A Preferred Stock or the holders thereof with respect to the ownership thereof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the rights, preferences, privileges and restrictions, qualifications or limitations of the Series B-2 Preferred Stock, Series B-1 Preferred Stock, Series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Preferred Stock or Series A Preferred Stock shall not be deemed to constitute an amendment that adversely affects the rights, preferences, privileges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restrictions, qualifications or limitations of the Series B-2 Preferred Stock, Series B-1 Preferred Stock, Series B Preferred Stock and Series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or</w:t>
      </w:r>
    </w:p>
    <w:p>
      <w:pPr>
        <w:spacing w:after="0" w:line="195" w:lineRule="exact"/>
        <w:rPr>
          <w:sz w:val="20"/>
          <w:szCs w:val="20"/>
          <w:color w:val="auto"/>
        </w:rPr>
      </w:pPr>
    </w:p>
    <w:p>
      <w:pPr>
        <w:ind w:firstLine="1928"/>
        <w:spacing w:after="0" w:line="288" w:lineRule="auto"/>
        <w:rPr>
          <w:sz w:val="20"/>
          <w:szCs w:val="20"/>
          <w:color w:val="auto"/>
        </w:rPr>
      </w:pPr>
      <w:r>
        <w:rPr>
          <w:rFonts w:ascii="Times New Roman" w:cs="Times New Roman" w:eastAsia="Times New Roman" w:hAnsi="Times New Roman"/>
          <w:sz w:val="16"/>
          <w:szCs w:val="16"/>
          <w:color w:val="auto"/>
        </w:rPr>
        <w:t>3.10.2 increase the authorized number of shares of Series B-2 Preferred Stock, Series B-1 Preferred Stock, Series B Preferred Stock or Series A Preferred Stock or issue additional shares of Series B-2 Preferred Stock, Series B-1 Preferred Stock, Series B Preferred Stock or Series A Preferred Stock (or any securities or rights exercisable, convertible or exchangeable for any shares of Series B-2 Preferred Stock, Series B-1 Preferred Stock, Series B Preferred Stock or Series A Preferred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for the avoidance of doubt, the Corporation may create, authorize or issue any shares of Preferred Stock except the Series B-2 Preferred Stock, Series B-1 Preferred Stock, Series B Preferred Stock or Series A Preferred Stock).</w:t>
      </w:r>
    </w:p>
    <w:p>
      <w:pPr>
        <w:spacing w:after="0" w:line="152" w:lineRule="exact"/>
        <w:rPr>
          <w:sz w:val="20"/>
          <w:szCs w:val="20"/>
          <w:color w:val="auto"/>
        </w:rPr>
      </w:pPr>
    </w:p>
    <w:p>
      <w:pPr>
        <w:ind w:left="1400" w:right="880" w:hanging="428"/>
        <w:spacing w:after="0" w:line="394" w:lineRule="auto"/>
        <w:tabs>
          <w:tab w:leader="none" w:pos="11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The holders of the Preferred Stock shall have conversion rights as follows (the “</w:t>
      </w:r>
      <w:r>
        <w:rPr>
          <w:rFonts w:ascii="Times New Roman" w:cs="Times New Roman" w:eastAsia="Times New Roman" w:hAnsi="Times New Roman"/>
          <w:sz w:val="18"/>
          <w:szCs w:val="18"/>
          <w:b w:val="1"/>
          <w:bCs w:val="1"/>
          <w:i w:val="1"/>
          <w:iCs w:val="1"/>
          <w:color w:val="auto"/>
        </w:rPr>
        <w:t>Conversion Rights</w:t>
      </w:r>
      <w:r>
        <w:rPr>
          <w:rFonts w:ascii="Times New Roman" w:cs="Times New Roman" w:eastAsia="Times New Roman" w:hAnsi="Times New Roman"/>
          <w:sz w:val="18"/>
          <w:szCs w:val="18"/>
          <w:color w:val="auto"/>
        </w:rPr>
        <w:t xml:space="preserve">”): 4.1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right="40" w:firstLine="1928"/>
        <w:spacing w:after="0" w:line="24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Preferred Stock (other than the Series B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Original Issue Price for such series of Preferred Stock by the Conversion Price (as defined below) for such series of Preferred Stock in effect at the time of conversion. Each share of Series B Preferred Stock shall be convertible, at the option of the holder thereof, at any time and from time to time, and without the payment of additional consideration by the holder thereof, into such number of fully paid and non-assessable shares of Class B Common Stock as is determined by dividing the Original Issue Price for the Series B Preferred Stock by the Conversion Price (as defined below) for the Series B Preferred Stock in effect at the time of conversion. The shares of Class A Common Stock or Class B Common Stock, as applicable, into which shares of Preferred Stock are convertible are referred to herein as the “</w:t>
      </w:r>
      <w:r>
        <w:rPr>
          <w:rFonts w:ascii="Times New Roman" w:cs="Times New Roman" w:eastAsia="Times New Roman" w:hAnsi="Times New Roman"/>
          <w:sz w:val="18"/>
          <w:szCs w:val="18"/>
          <w:b w:val="1"/>
          <w:bCs w:val="1"/>
          <w:i w:val="1"/>
          <w:iCs w:val="1"/>
          <w:color w:val="auto"/>
        </w:rPr>
        <w:t>Conversion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for each series of Preferred Stock shall initially mean the Original Issue Price for such series of Preferred Stock as in effect on the filing date hereof. Such initial Conversion Price and the rate at which shares of Preferred Stock may be converted into shares of Conversion Stock, shall be subject to adjustment as provided below.</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20"/>
          </w:cols>
          <w:pgMar w:left="580" w:top="265" w:right="599" w:bottom="1440" w:gutter="0" w:footer="0" w:header="0"/>
        </w:sectPr>
      </w:pPr>
    </w:p>
    <w:bookmarkStart w:id="324" w:name="page325"/>
    <w:bookmarkEnd w:id="324"/>
    <w:p>
      <w:pPr>
        <w:ind w:right="20" w:firstLine="1393"/>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xml:space="preserve">. In the event of a notice of redemption of any shares of Series G-3 Preferred Stock, Series G-2 Preferred Stock, Series G Preferred Stock, Series F Preferred Stock, Series E Preferred Stock or Series D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Conversion Rights of the shares designated for redemption shall terminate at the close of business on the last full day preceding the date fixed for redemption, unless the applicable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9" w:lineRule="exact"/>
        <w:rPr>
          <w:sz w:val="20"/>
          <w:szCs w:val="20"/>
          <w:color w:val="auto"/>
        </w:rPr>
      </w:pPr>
    </w:p>
    <w:p>
      <w:pPr>
        <w:ind w:right="2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Conversion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shares of Conversion Stock and the aggregate number of shares of Conversion Stock issuable upon such conversion.</w:t>
      </w:r>
    </w:p>
    <w:p>
      <w:pPr>
        <w:spacing w:after="0" w:line="1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1928"/>
        <w:spacing w:after="0" w:line="245"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Conversion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Conversion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Times New Roman" w:cs="Times New Roman" w:eastAsia="Times New Roman" w:hAnsi="Times New Roman"/>
          <w:sz w:val="18"/>
          <w:szCs w:val="18"/>
          <w:b w:val="1"/>
          <w:bCs w:val="1"/>
          <w:i w:val="1"/>
          <w:iCs w:val="1"/>
          <w:color w:val="auto"/>
        </w:rPr>
        <w:t>Conversion Time</w:t>
      </w:r>
      <w:r>
        <w:rPr>
          <w:rFonts w:ascii="Times New Roman" w:cs="Times New Roman" w:eastAsia="Times New Roman" w:hAnsi="Times New Roman"/>
          <w:sz w:val="18"/>
          <w:szCs w:val="18"/>
          <w:color w:val="auto"/>
        </w:rPr>
        <w:t>”), and the shares of Conversion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Conversion Stock issuable upon such conversion in accordance with the provisions hereof and a certificate for the number (if any) of the shares of Preferred Stock represented by the surrendered certificate that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580" w:top="265" w:right="619" w:bottom="1440" w:gutter="0" w:footer="0" w:header="0"/>
        </w:sectPr>
      </w:pPr>
    </w:p>
    <w:bookmarkStart w:id="325" w:name="page326"/>
    <w:bookmarkEnd w:id="325"/>
    <w:p>
      <w:pPr>
        <w:ind w:right="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were not converted into Conversion Stock, (ii) pay in cash such amount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Conversion Stock otherwise issuable upon such conversion, and (iii) pay all declared or accrued but unpaid dividends on the shares of Preferred Stock converted (including, without limitation, all accrued but unpaid Series G-3 PIK Dividends, Series G Accruing Dividends, Series F Accruing Dividends, Series E Accruing Dividends, Series D Accruing Dividends, Series C Accruing Dividends, Series B-2 Accruing Dividends, Series B-1 Accruing Dividends, Series B Accruing Dividends or Series A Accruing Dividends, as applicable).</w:t>
      </w:r>
    </w:p>
    <w:p>
      <w:pPr>
        <w:spacing w:after="0" w:line="187" w:lineRule="exact"/>
        <w:rPr>
          <w:sz w:val="20"/>
          <w:szCs w:val="20"/>
          <w:color w:val="auto"/>
        </w:rPr>
      </w:pPr>
    </w:p>
    <w:p>
      <w:pPr>
        <w:ind w:right="20" w:firstLine="1928"/>
        <w:spacing w:after="0" w:line="245"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Voting Common Stock as shall from time to time be sufficient to effect the conversion of all outstanding Preferred Stock, including the conversion of shares of Series G-3 Preferred Stock issuable as Series G-3 PIK Dividends; and if at any time the number of authorized but unissued shares of Voting Common Stock shall not be sufficient to effect the conversion of all then-outstanding shares of the Preferred Stock, the Corporation shall take such corporate action as may be necessary to increase its authorized but unissued shares of Voting Common Stock, as the case may be, to such number of shares as shall be sufficient for such purposes, including, without limitation, engaging in best efforts to obtain the requisite stockholder approval of any necessary amendment to this Restated Certificate. Before taking any action which would cause an adjustment reducing the Conversion Price below the then par value of the shares of Voting Common Stock issuable upon conversion of the Preferred Stock, the Corporation will take any corporate action which may, in the opinion of its counsel, be necessary in order that the Corporation may validly and legally issue fully paid and non-assessable shares of Voting Common Stock at such adjusted Conversion Price.</w:t>
      </w:r>
    </w:p>
    <w:p>
      <w:pPr>
        <w:spacing w:after="0" w:line="196" w:lineRule="exact"/>
        <w:rPr>
          <w:sz w:val="20"/>
          <w:szCs w:val="20"/>
          <w:color w:val="auto"/>
        </w:rPr>
      </w:pPr>
    </w:p>
    <w:p>
      <w:pPr>
        <w:ind w:firstLine="1928"/>
        <w:spacing w:after="0" w:line="247"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Conversion Stock in exchange therefor,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9" w:lineRule="exact"/>
        <w:rPr>
          <w:sz w:val="20"/>
          <w:szCs w:val="20"/>
          <w:color w:val="auto"/>
        </w:rPr>
      </w:pPr>
    </w:p>
    <w:p>
      <w:pPr>
        <w:ind w:right="380" w:firstLine="1928"/>
        <w:spacing w:after="0" w:line="331" w:lineRule="auto"/>
        <w:rPr>
          <w:sz w:val="20"/>
          <w:szCs w:val="20"/>
          <w:color w:val="auto"/>
        </w:rPr>
      </w:pPr>
      <w:r>
        <w:rPr>
          <w:rFonts w:ascii="Times New Roman" w:cs="Times New Roman" w:eastAsia="Times New Roman" w:hAnsi="Times New Roman"/>
          <w:sz w:val="16"/>
          <w:szCs w:val="16"/>
          <w:color w:val="auto"/>
        </w:rPr>
        <w:t xml:space="preserve">4.3.4 </w:t>
      </w:r>
      <w:r>
        <w:rPr>
          <w:rFonts w:ascii="Times New Roman" w:cs="Times New Roman" w:eastAsia="Times New Roman" w:hAnsi="Times New Roman"/>
          <w:sz w:val="16"/>
          <w:szCs w:val="16"/>
          <w:u w:val="single" w:color="auto"/>
          <w:color w:val="auto"/>
        </w:rPr>
        <w:t>No Further Adjustment</w:t>
      </w:r>
      <w:r>
        <w:rPr>
          <w:rFonts w:ascii="Times New Roman" w:cs="Times New Roman" w:eastAsia="Times New Roman" w:hAnsi="Times New Roman"/>
          <w:sz w:val="16"/>
          <w:szCs w:val="16"/>
          <w:color w:val="auto"/>
        </w:rPr>
        <w:t>. Upon any such conversion, no adjustment to the Conversion Price shall be made for any declared or accrued but unpaid dividends on the Preferred Stock surrendered for conversion or on the Conversion Stock delivered upon conversion.</w:t>
      </w:r>
    </w:p>
    <w:p>
      <w:pPr>
        <w:spacing w:after="0" w:line="123" w:lineRule="exact"/>
        <w:rPr>
          <w:sz w:val="20"/>
          <w:szCs w:val="20"/>
          <w:color w:val="auto"/>
        </w:rPr>
      </w:pPr>
    </w:p>
    <w:p>
      <w:pPr>
        <w:ind w:right="20" w:firstLine="1928"/>
        <w:spacing w:after="0" w:line="251"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Conversion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Conversion Stock in a name other than that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20"/>
          </w:cols>
          <w:pgMar w:left="580" w:top="265" w:right="599" w:bottom="1440" w:gutter="0" w:footer="0" w:header="0"/>
        </w:sectPr>
      </w:pPr>
    </w:p>
    <w:bookmarkStart w:id="326" w:name="page327"/>
    <w:bookmarkEnd w:id="326"/>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8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to Conversion Price for Diluting Issues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Special Definitions</w:t>
      </w:r>
      <w:r>
        <w:rPr>
          <w:rFonts w:ascii="Times New Roman" w:cs="Times New Roman" w:eastAsia="Times New Roman" w:hAnsi="Times New Roman"/>
          <w:sz w:val="18"/>
          <w:szCs w:val="18"/>
          <w:color w:val="auto"/>
        </w:rPr>
        <w:t>. For purposes of this Article Seventh, the following definitions shall apply:</w:t>
      </w:r>
    </w:p>
    <w:p>
      <w:pPr>
        <w:spacing w:after="0" w:line="20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means rights, options or warrants to subscribe for, purchase or otherwise acquire Common Stock or Convertible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19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(b) “</w:t>
      </w:r>
      <w:r>
        <w:rPr>
          <w:rFonts w:ascii="Times New Roman" w:cs="Times New Roman" w:eastAsia="Times New Roman" w:hAnsi="Times New Roman"/>
          <w:sz w:val="16"/>
          <w:szCs w:val="16"/>
          <w:b w:val="1"/>
          <w:bCs w:val="1"/>
          <w:i w:val="1"/>
          <w:iCs w:val="1"/>
          <w:color w:val="auto"/>
        </w:rPr>
        <w:t>Original Issue Date</w:t>
      </w:r>
      <w:r>
        <w:rPr>
          <w:rFonts w:ascii="Times New Roman" w:cs="Times New Roman" w:eastAsia="Times New Roman" w:hAnsi="Times New Roman"/>
          <w:sz w:val="16"/>
          <w:szCs w:val="16"/>
          <w:color w:val="auto"/>
        </w:rPr>
        <w:t>” for a series of Preferred Stock means the date on which the first share of such series of Preferred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was issued.</w:t>
      </w:r>
    </w:p>
    <w:p>
      <w:pPr>
        <w:spacing w:after="0" w:line="191" w:lineRule="exact"/>
        <w:rPr>
          <w:sz w:val="20"/>
          <w:szCs w:val="20"/>
          <w:color w:val="auto"/>
        </w:rPr>
      </w:pPr>
    </w:p>
    <w:p>
      <w:pPr>
        <w:ind w:firstLine="1936"/>
        <w:spacing w:after="0" w:line="272" w:lineRule="auto"/>
        <w:tabs>
          <w:tab w:leader="none" w:pos="21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evidences of indebtedness, shares or other securities directly or indirectly convertible into or exchangeable for Common Stock, but excluding Options.</w:t>
      </w:r>
    </w:p>
    <w:p>
      <w:pPr>
        <w:spacing w:after="0" w:line="161" w:lineRule="exact"/>
        <w:rPr>
          <w:rFonts w:ascii="Times New Roman" w:cs="Times New Roman" w:eastAsia="Times New Roman" w:hAnsi="Times New Roman"/>
          <w:sz w:val="18"/>
          <w:szCs w:val="18"/>
          <w:color w:val="auto"/>
        </w:rPr>
      </w:pPr>
    </w:p>
    <w:p>
      <w:pPr>
        <w:ind w:right="100" w:firstLine="1936"/>
        <w:spacing w:after="0" w:line="253" w:lineRule="auto"/>
        <w:tabs>
          <w:tab w:leader="none" w:pos="217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Shares of Common Stock</w:t>
      </w:r>
      <w:r>
        <w:rPr>
          <w:rFonts w:ascii="Times New Roman" w:cs="Times New Roman" w:eastAsia="Times New Roman" w:hAnsi="Times New Roman"/>
          <w:sz w:val="18"/>
          <w:szCs w:val="18"/>
          <w:color w:val="auto"/>
        </w:rPr>
        <w:t xml:space="preserve">” means all shares of Common Stock issued (or,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below, deemed to be issued) by the Corporation after the Original Issue Date of the Series G-3 Preferred Stock,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8"/>
          <w:szCs w:val="18"/>
          <w:b w:val="1"/>
          <w:bCs w:val="1"/>
          <w:i w:val="1"/>
          <w:iCs w:val="1"/>
          <w:color w:val="auto"/>
        </w:rPr>
        <w:t>Exempted Securities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60" w:firstLine="2364"/>
        <w:spacing w:after="0" w:line="267" w:lineRule="auto"/>
        <w:tabs>
          <w:tab w:leader="none" w:pos="256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as a dividend or distribution on Preferred Stock, including without limitation, the Series G-3 PIK Dividends;</w:t>
      </w:r>
    </w:p>
    <w:p>
      <w:pPr>
        <w:spacing w:after="0" w:line="169" w:lineRule="exact"/>
        <w:rPr>
          <w:rFonts w:ascii="Times New Roman" w:cs="Times New Roman" w:eastAsia="Times New Roman" w:hAnsi="Times New Roman"/>
          <w:sz w:val="18"/>
          <w:szCs w:val="18"/>
          <w:color w:val="auto"/>
        </w:rPr>
      </w:pPr>
    </w:p>
    <w:p>
      <w:pPr>
        <w:ind w:right="120" w:firstLine="2364"/>
        <w:spacing w:after="0" w:line="267" w:lineRule="auto"/>
        <w:tabs>
          <w:tab w:leader="none" w:pos="261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right="260" w:firstLine="2364"/>
        <w:spacing w:after="0" w:line="267" w:lineRule="auto"/>
        <w:tabs>
          <w:tab w:leader="none" w:pos="266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upon the conversion or exercise of Options, Convertible Securities or other rights to acquire securities of the Corporation;</w:t>
      </w:r>
    </w:p>
    <w:p>
      <w:pPr>
        <w:spacing w:after="0" w:line="169" w:lineRule="exact"/>
        <w:rPr>
          <w:rFonts w:ascii="Times New Roman" w:cs="Times New Roman" w:eastAsia="Times New Roman" w:hAnsi="Times New Roman"/>
          <w:sz w:val="18"/>
          <w:szCs w:val="18"/>
          <w:color w:val="auto"/>
        </w:rPr>
      </w:pPr>
    </w:p>
    <w:p>
      <w:pPr>
        <w:ind w:right="120" w:firstLine="2364"/>
        <w:spacing w:after="0" w:line="267" w:lineRule="auto"/>
        <w:tabs>
          <w:tab w:leader="none" w:pos="265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Nonvoting Common Stock or Options issued to employees or directors of, or consultants or advisors to, the Corporation or any of its subsidiaries pursuant to an equity incentive plan, agreement or arrangement approved by the Board;</w:t>
      </w:r>
    </w:p>
    <w:p>
      <w:pPr>
        <w:spacing w:after="0" w:line="169" w:lineRule="exact"/>
        <w:rPr>
          <w:rFonts w:ascii="Times New Roman" w:cs="Times New Roman" w:eastAsia="Times New Roman" w:hAnsi="Times New Roman"/>
          <w:sz w:val="18"/>
          <w:szCs w:val="18"/>
          <w:color w:val="auto"/>
        </w:rPr>
      </w:pPr>
    </w:p>
    <w:p>
      <w:pPr>
        <w:ind w:right="200" w:firstLine="2364"/>
        <w:spacing w:after="0" w:line="331" w:lineRule="auto"/>
        <w:tabs>
          <w:tab w:leader="none" w:pos="2605"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20"/>
          </w:cols>
          <w:pgMar w:left="580" w:top="266" w:right="599" w:bottom="1440" w:gutter="0" w:footer="0" w:header="0"/>
        </w:sectPr>
      </w:pPr>
    </w:p>
    <w:bookmarkStart w:id="327" w:name="page328"/>
    <w:bookmarkEnd w:id="327"/>
    <w:p>
      <w:pPr>
        <w:ind w:right="80" w:firstLine="2364"/>
        <w:spacing w:after="0" w:line="267" w:lineRule="auto"/>
        <w:tabs>
          <w:tab w:leader="none" w:pos="265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shares of Common Stock, Options or Convertible Securities issued to suppliers or third-party service-providers in connection with the provision of goods or services pursuant to transactions approved by the Board;</w:t>
      </w:r>
    </w:p>
    <w:p>
      <w:pPr>
        <w:spacing w:after="0" w:line="169" w:lineRule="exact"/>
        <w:rPr>
          <w:rFonts w:ascii="Times New Roman" w:cs="Times New Roman" w:eastAsia="Times New Roman" w:hAnsi="Times New Roman"/>
          <w:sz w:val="18"/>
          <w:szCs w:val="18"/>
          <w:color w:val="auto"/>
        </w:rPr>
      </w:pPr>
    </w:p>
    <w:p>
      <w:pPr>
        <w:ind w:right="240" w:firstLine="2364"/>
        <w:spacing w:after="0" w:line="255" w:lineRule="auto"/>
        <w:tabs>
          <w:tab w:leader="none" w:pos="270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w:t>
      </w:r>
    </w:p>
    <w:p>
      <w:pPr>
        <w:spacing w:after="0" w:line="180" w:lineRule="exact"/>
        <w:rPr>
          <w:rFonts w:ascii="Times New Roman" w:cs="Times New Roman" w:eastAsia="Times New Roman" w:hAnsi="Times New Roman"/>
          <w:sz w:val="18"/>
          <w:szCs w:val="18"/>
          <w:color w:val="auto"/>
        </w:rPr>
      </w:pPr>
    </w:p>
    <w:p>
      <w:pPr>
        <w:ind w:right="540" w:firstLine="2364"/>
        <w:spacing w:after="0" w:line="331" w:lineRule="auto"/>
        <w:tabs>
          <w:tab w:leader="none" w:pos="275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Options or Convertible Securities issued in connection with sponsored research collaboration, technology license, development, OEM, marketing or other similar agreements or strategic partnerships approved by the Board;</w:t>
      </w:r>
    </w:p>
    <w:p>
      <w:pPr>
        <w:spacing w:after="0" w:line="122" w:lineRule="exact"/>
        <w:rPr>
          <w:rFonts w:ascii="Times New Roman" w:cs="Times New Roman" w:eastAsia="Times New Roman" w:hAnsi="Times New Roman"/>
          <w:sz w:val="16"/>
          <w:szCs w:val="16"/>
          <w:color w:val="auto"/>
        </w:rPr>
      </w:pPr>
    </w:p>
    <w:p>
      <w:pPr>
        <w:ind w:left="2660" w:hanging="296"/>
        <w:spacing w:after="0"/>
        <w:tabs>
          <w:tab w:leader="none" w:pos="2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in connection with a Deemed Liquidation</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or</w:t>
      </w:r>
    </w:p>
    <w:p>
      <w:pPr>
        <w:spacing w:after="0" w:line="195" w:lineRule="exact"/>
        <w:rPr>
          <w:rFonts w:ascii="Times New Roman" w:cs="Times New Roman" w:eastAsia="Times New Roman" w:hAnsi="Times New Roman"/>
          <w:sz w:val="18"/>
          <w:szCs w:val="18"/>
          <w:color w:val="auto"/>
        </w:rPr>
      </w:pPr>
    </w:p>
    <w:p>
      <w:pPr>
        <w:ind w:right="140" w:firstLine="2364"/>
        <w:spacing w:after="0" w:line="267" w:lineRule="auto"/>
        <w:tabs>
          <w:tab w:leader="none" w:pos="26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sold to the public in a Public Offering (as defined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Qualifying Public Offering (as defined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firstLine="1928"/>
        <w:spacing w:after="0" w:line="277" w:lineRule="auto"/>
        <w:rPr>
          <w:sz w:val="20"/>
          <w:szCs w:val="20"/>
          <w:color w:val="auto"/>
        </w:rPr>
      </w:pPr>
      <w:r>
        <w:rPr>
          <w:rFonts w:ascii="Times New Roman" w:cs="Times New Roman" w:eastAsia="Times New Roman" w:hAnsi="Times New Roman"/>
          <w:sz w:val="16"/>
          <w:szCs w:val="16"/>
          <w:color w:val="auto"/>
        </w:rPr>
        <w:t xml:space="preserve">4.4.2 </w:t>
      </w:r>
      <w:r>
        <w:rPr>
          <w:rFonts w:ascii="Times New Roman" w:cs="Times New Roman" w:eastAsia="Times New Roman" w:hAnsi="Times New Roman"/>
          <w:sz w:val="16"/>
          <w:szCs w:val="16"/>
          <w:u w:val="single" w:color="auto"/>
          <w:color w:val="auto"/>
        </w:rPr>
        <w:t>No Adjustment of Conversion Price</w:t>
      </w:r>
      <w:r>
        <w:rPr>
          <w:rFonts w:ascii="Times New Roman" w:cs="Times New Roman" w:eastAsia="Times New Roman" w:hAnsi="Times New Roman"/>
          <w:sz w:val="16"/>
          <w:szCs w:val="16"/>
          <w:color w:val="auto"/>
        </w:rPr>
        <w:t>. No adjustment (A) in the Series A Conversion Price, Series B Conversion Price, Series B-1 Conversion Price, or Series B-2 Conversion Price, as the case may be, shall be made as the result of the issuance or deemed issuance of Additional Shares of Common Stock if the Corporation receives written notice from the holders of a majority of the then outstanding shares of Series A Preferred Stock, Series B Preferred Stock, Series B-1 Preferred Stock and Series B-2 Preferred Stock, voting together as a single class as measured on the basis of voting power set forth in this Restated Certificate, (B) in the Series C Conversion Price shall be made as the result of the issuance or deemed issuance of Additional Shares of Common Stock if the Corporation receives written notice from the holders of at least sixty percent (60%) of the then outstanding shares of Series C Preferred Stock, (C) in the Series D Conversion Price shall be made as the result of the issuance or deemed issuance of Additional Shares of Common Stock if the Corporation receives written notice from the holders of at least sixty percent (60%) of the then outstanding shares of Series D Preferred Stock, (D) in the Series E Conversion Price shall be made as the result of the issuance or deemed issuance of Additional Shares of Common Stock if the Corporation receives written notice from the holders of a majority of the then outstanding shares of Series E Preferred Stock, (E) in the Series F Conversion Price shall be made as the result of the issuance or deemed issuance of Additional Shares of Common Stock if the Corporation receives written notice from the holders of a majority of the then outstanding shares of Series F Preferred Stock, (F) in the Series G Conversion Price shall be made as the result of the issuance or deemed issuance of Additional Shares of Common Stock if the Corporation receives written notice from the holders of a majority of the then outstanding shares of Series G Preferred Stock, (G) in the Series G-2 Conversion Price shall be made as the result of the issuance or deemed issuance of Additional Shares of Common Stock if the Corporation receives written notice from the holders of a majority of the then outstanding shares of Series G-2 Preferred Stock, and (H) in the Series G-3 Conversion Price shall be made as the result of the issuance or deemed issuance of Additional Shares of Common Stock if the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00"/>
          </w:cols>
          <w:pgMar w:left="580" w:top="265" w:right="619" w:bottom="1440" w:gutter="0" w:footer="0" w:header="0"/>
        </w:sectPr>
      </w:pPr>
    </w:p>
    <w:bookmarkStart w:id="328" w:name="page329"/>
    <w:bookmarkEnd w:id="32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Corporation receives written notice from the holders of a majority of the then outstanding shares of Series G-3 Preferred Stock, respectively, agreeing that no such adjustment shall be made as the result of the issuance or deemed issuance of such Additional Shares of Common Stock, which election may be applied prospectively or retroactively and either generally or in a particular instance.</w:t>
      </w:r>
    </w:p>
    <w:p>
      <w:pPr>
        <w:spacing w:after="0" w:line="18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u w:val="single" w:color="auto"/>
          <w:color w:val="auto"/>
        </w:rPr>
        <w:t>Deemed Issue of Additional Shares of Common Stock</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00" w:firstLine="1936"/>
        <w:spacing w:after="0" w:line="247" w:lineRule="auto"/>
        <w:tabs>
          <w:tab w:leader="none" w:pos="216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Original Issue Date of the Series G-3 Preferred Stock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86" w:lineRule="exact"/>
        <w:rPr>
          <w:rFonts w:ascii="Times New Roman" w:cs="Times New Roman" w:eastAsia="Times New Roman" w:hAnsi="Times New Roman"/>
          <w:sz w:val="18"/>
          <w:szCs w:val="18"/>
          <w:color w:val="auto"/>
        </w:rPr>
      </w:pPr>
    </w:p>
    <w:p>
      <w:pPr>
        <w:ind w:firstLine="1936"/>
        <w:spacing w:after="0" w:line="245" w:lineRule="auto"/>
        <w:tabs>
          <w:tab w:leader="none" w:pos="217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have the effect of increasing a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93" w:lineRule="exact"/>
        <w:rPr>
          <w:rFonts w:ascii="Times New Roman" w:cs="Times New Roman" w:eastAsia="Times New Roman" w:hAnsi="Times New Roman"/>
          <w:sz w:val="18"/>
          <w:szCs w:val="18"/>
          <w:color w:val="auto"/>
        </w:rPr>
      </w:pPr>
    </w:p>
    <w:p>
      <w:pPr>
        <w:jc w:val="both"/>
        <w:ind w:right="100" w:firstLine="1936"/>
        <w:spacing w:after="0" w:line="251" w:lineRule="auto"/>
        <w:tabs>
          <w:tab w:leader="none" w:pos="216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(either because the consideration per share (determined pursuant to </w:t>
      </w:r>
      <w:r>
        <w:rPr>
          <w:rFonts w:ascii="Times New Roman" w:cs="Times New Roman" w:eastAsia="Times New Roman" w:hAnsi="Times New Roman"/>
          <w:sz w:val="18"/>
          <w:szCs w:val="18"/>
          <w:u w:val="single" w:color="auto"/>
          <w:color w:val="auto"/>
        </w:rPr>
        <w:t>Section 4.4.5</w:t>
      </w:r>
      <w:r>
        <w:rPr>
          <w:rFonts w:ascii="Times New Roman" w:cs="Times New Roman" w:eastAsia="Times New Roman" w:hAnsi="Times New Roman"/>
          <w:sz w:val="18"/>
          <w:szCs w:val="18"/>
          <w:color w:val="auto"/>
        </w:rPr>
        <w:t>) of the Additional Shares of Common Stock subject thereto was equal to or greater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00"/>
          </w:cols>
          <w:pgMar w:left="580" w:top="265" w:right="619" w:bottom="1440" w:gutter="0" w:footer="0" w:header="0"/>
        </w:sectPr>
      </w:pPr>
    </w:p>
    <w:bookmarkStart w:id="329" w:name="page330"/>
    <w:bookmarkEnd w:id="329"/>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than the applicable Conversion Price then in effect, or because such Option or Convertible Security was issued before the Original Issue Date of the Series G-3 Preferred Stock), are revised after the Original Issue Date of the Series G-3 Preferred Stock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Section 4.4.3(a)</w:t>
      </w:r>
      <w:r>
        <w:rPr>
          <w:rFonts w:ascii="Times New Roman" w:cs="Times New Roman" w:eastAsia="Times New Roman" w:hAnsi="Times New Roman"/>
          <w:sz w:val="18"/>
          <w:szCs w:val="18"/>
          <w:color w:val="auto"/>
        </w:rPr>
        <w:t>) shall be deemed to have been issued effective upon such increase or decrease becoming effective.</w:t>
      </w:r>
    </w:p>
    <w:p>
      <w:pPr>
        <w:spacing w:after="0" w:line="186" w:lineRule="exact"/>
        <w:rPr>
          <w:sz w:val="20"/>
          <w:szCs w:val="20"/>
          <w:color w:val="auto"/>
        </w:rPr>
      </w:pPr>
    </w:p>
    <w:p>
      <w:pPr>
        <w:jc w:val="both"/>
        <w:ind w:right="140" w:firstLine="1936"/>
        <w:spacing w:after="0" w:line="251" w:lineRule="auto"/>
        <w:tabs>
          <w:tab w:leader="none" w:pos="217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a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the applicable Conversion Price shall be readjusted to such Conversion Price as would have obtained had such Option or Convertible Security (or portion thereof) never been issued.</w:t>
      </w:r>
    </w:p>
    <w:p>
      <w:pPr>
        <w:spacing w:after="0" w:line="184" w:lineRule="exact"/>
        <w:rPr>
          <w:rFonts w:ascii="Times New Roman" w:cs="Times New Roman" w:eastAsia="Times New Roman" w:hAnsi="Times New Roman"/>
          <w:sz w:val="18"/>
          <w:szCs w:val="18"/>
          <w:color w:val="auto"/>
        </w:rPr>
      </w:pPr>
    </w:p>
    <w:p>
      <w:pPr>
        <w:ind w:firstLine="1936"/>
        <w:spacing w:after="0" w:line="245" w:lineRule="auto"/>
        <w:tabs>
          <w:tab w:leader="none" w:pos="21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96" w:lineRule="exact"/>
        <w:rPr>
          <w:sz w:val="20"/>
          <w:szCs w:val="20"/>
          <w:color w:val="auto"/>
        </w:rPr>
      </w:pPr>
    </w:p>
    <w:p>
      <w:pPr>
        <w:ind w:right="40" w:firstLine="1928"/>
        <w:spacing w:after="0" w:line="249"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Conversion Price Upon Issuance of Additional Shares of Common Stock</w:t>
      </w:r>
      <w:r>
        <w:rPr>
          <w:rFonts w:ascii="Times New Roman" w:cs="Times New Roman" w:eastAsia="Times New Roman" w:hAnsi="Times New Roman"/>
          <w:sz w:val="18"/>
          <w:szCs w:val="18"/>
          <w:color w:val="auto"/>
        </w:rPr>
        <w:t xml:space="preserve">. In the event the Corporation shall at any time after the Original Issue Date of the Series G-3 Preferred Stock issue Additional Shares of Common Stock (including Additional Shares of Common Stock deemed to be issued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without consideration or for a consideration per share less than the applicable Conversion Price in effect immediately prior to such issue, then such Conversion Price shall be reduced, concurrently with such issue, to a price (calculated to the nearest one-hundredth of a cent) determined in accordance with the following formula:</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680"/>
          </w:cols>
          <w:pgMar w:left="580" w:top="265" w:right="639" w:bottom="1440" w:gutter="0" w:footer="0" w:header="0"/>
        </w:sectPr>
      </w:pPr>
    </w:p>
    <w:bookmarkStart w:id="330" w:name="page331"/>
    <w:bookmarkEnd w:id="330"/>
    <w:p>
      <w:pPr>
        <w:ind w:left="42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CP</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(A + B) ÷ (A + 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20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CP</w:t>
      </w:r>
      <w:r>
        <w:rPr>
          <w:rFonts w:ascii="Times New Roman" w:cs="Times New Roman" w:eastAsia="Times New Roman" w:hAnsi="Times New Roman"/>
          <w:sz w:val="14"/>
          <w:szCs w:val="14"/>
          <w:b w:val="1"/>
          <w:bCs w:val="1"/>
          <w:i w:val="1"/>
          <w:iCs w:val="1"/>
          <w:color w:val="auto"/>
        </w:rPr>
        <w:t>2</w:t>
      </w:r>
      <w:r>
        <w:rPr>
          <w:rFonts w:ascii="Times New Roman" w:cs="Times New Roman" w:eastAsia="Times New Roman" w:hAnsi="Times New Roman"/>
          <w:sz w:val="18"/>
          <w:szCs w:val="18"/>
          <w:color w:val="auto"/>
        </w:rPr>
        <w:t>” shall mean the applicable Conversion Price in effect immediately after such issue of Additional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18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CP</w:t>
      </w:r>
      <w:r>
        <w:rPr>
          <w:rFonts w:ascii="Times New Roman" w:cs="Times New Roman" w:eastAsia="Times New Roman" w:hAnsi="Times New Roman"/>
          <w:sz w:val="14"/>
          <w:szCs w:val="14"/>
          <w:b w:val="1"/>
          <w:bCs w:val="1"/>
          <w:i w:val="1"/>
          <w:iCs w:val="1"/>
          <w:color w:val="auto"/>
        </w:rPr>
        <w:t>1</w:t>
      </w:r>
      <w:r>
        <w:rPr>
          <w:rFonts w:ascii="Times New Roman" w:cs="Times New Roman" w:eastAsia="Times New Roman" w:hAnsi="Times New Roman"/>
          <w:sz w:val="18"/>
          <w:szCs w:val="18"/>
          <w:color w:val="auto"/>
        </w:rPr>
        <w:t>” shall mean the applicable Conversion Price in effect immediately prior to such issue of Additional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189" w:lineRule="exact"/>
        <w:rPr>
          <w:sz w:val="20"/>
          <w:szCs w:val="20"/>
          <w:color w:val="auto"/>
        </w:rPr>
      </w:pPr>
    </w:p>
    <w:p>
      <w:pPr>
        <w:jc w:val="both"/>
        <w:ind w:firstLine="1936"/>
        <w:spacing w:after="0" w:line="253" w:lineRule="auto"/>
        <w:tabs>
          <w:tab w:leader="none" w:pos="216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8"/>
          <w:szCs w:val="18"/>
          <w:color w:val="auto"/>
        </w:rPr>
        <w:t>”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77" w:lineRule="exact"/>
        <w:rPr>
          <w:rFonts w:ascii="Times New Roman" w:cs="Times New Roman" w:eastAsia="Times New Roman" w:hAnsi="Times New Roman"/>
          <w:sz w:val="18"/>
          <w:szCs w:val="18"/>
          <w:color w:val="auto"/>
        </w:rPr>
      </w:pPr>
    </w:p>
    <w:p>
      <w:pPr>
        <w:ind w:right="280" w:firstLine="1936"/>
        <w:spacing w:after="0" w:line="268" w:lineRule="auto"/>
        <w:tabs>
          <w:tab w:leader="none" w:pos="217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w:t>
      </w:r>
      <w:r>
        <w:rPr>
          <w:rFonts w:ascii="Times New Roman" w:cs="Times New Roman" w:eastAsia="Times New Roman" w:hAnsi="Times New Roman"/>
          <w:sz w:val="18"/>
          <w:szCs w:val="18"/>
          <w:color w:val="auto"/>
        </w:rPr>
        <w:t>” shall mean the number of shares of Common Stock that would have been issued if such Additional Shares of Common Stock had been issued at a price per share equal to CP</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xml:space="preserve"> (determined by dividing the aggregate consideration received by the Corporation in respect of such issue by CP</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and</w:t>
      </w:r>
    </w:p>
    <w:p>
      <w:pPr>
        <w:spacing w:after="0" w:line="146"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color w:val="auto"/>
        </w:rPr>
        <w:t>” shall mean the number of such Additional Shares of Common Stock issued in such transaction.</w:t>
      </w:r>
    </w:p>
    <w:p>
      <w:pPr>
        <w:spacing w:after="0" w:line="217" w:lineRule="exact"/>
        <w:rPr>
          <w:sz w:val="20"/>
          <w:szCs w:val="20"/>
          <w:color w:val="auto"/>
        </w:rPr>
      </w:pPr>
    </w:p>
    <w:p>
      <w:pPr>
        <w:ind w:right="60" w:firstLine="1928"/>
        <w:spacing w:after="0" w:line="267"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consideration received by the Corporation for the issue of any Additional Shares of Common Stock shall be computed as follows:</w:t>
      </w:r>
    </w:p>
    <w:p>
      <w:pPr>
        <w:spacing w:after="0" w:line="170" w:lineRule="exact"/>
        <w:rPr>
          <w:sz w:val="20"/>
          <w:szCs w:val="20"/>
          <w:color w:val="auto"/>
        </w:rPr>
      </w:pPr>
    </w:p>
    <w:p>
      <w:pPr>
        <w:ind w:left="2180" w:hanging="244"/>
        <w:spacing w:after="0"/>
        <w:tabs>
          <w:tab w:leader="none" w:pos="2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213" w:lineRule="exact"/>
        <w:rPr>
          <w:rFonts w:ascii="Times New Roman" w:cs="Times New Roman" w:eastAsia="Times New Roman" w:hAnsi="Times New Roman"/>
          <w:sz w:val="18"/>
          <w:szCs w:val="18"/>
          <w:color w:val="auto"/>
        </w:rPr>
      </w:pPr>
    </w:p>
    <w:p>
      <w:pPr>
        <w:ind w:right="160" w:firstLine="2364"/>
        <w:spacing w:after="0" w:line="267" w:lineRule="auto"/>
        <w:tabs>
          <w:tab w:leader="none" w:pos="256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169" w:lineRule="exact"/>
        <w:rPr>
          <w:rFonts w:ascii="Times New Roman" w:cs="Times New Roman" w:eastAsia="Times New Roman" w:hAnsi="Times New Roman"/>
          <w:sz w:val="18"/>
          <w:szCs w:val="18"/>
          <w:color w:val="auto"/>
        </w:rPr>
      </w:pPr>
    </w:p>
    <w:p>
      <w:pPr>
        <w:ind w:right="220" w:firstLine="2364"/>
        <w:spacing w:after="0" w:line="267" w:lineRule="auto"/>
        <w:tabs>
          <w:tab w:leader="none" w:pos="261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and</w:t>
      </w:r>
    </w:p>
    <w:p>
      <w:pPr>
        <w:spacing w:after="0" w:line="169" w:lineRule="exact"/>
        <w:rPr>
          <w:rFonts w:ascii="Times New Roman" w:cs="Times New Roman" w:eastAsia="Times New Roman" w:hAnsi="Times New Roman"/>
          <w:sz w:val="18"/>
          <w:szCs w:val="18"/>
          <w:color w:val="auto"/>
        </w:rPr>
      </w:pPr>
    </w:p>
    <w:p>
      <w:pPr>
        <w:jc w:val="both"/>
        <w:ind w:right="60" w:firstLine="2364"/>
        <w:spacing w:after="0" w:line="255" w:lineRule="auto"/>
        <w:tabs>
          <w:tab w:leader="none" w:pos="266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determined in good faith by the Board.</w:t>
      </w:r>
    </w:p>
    <w:p>
      <w:pPr>
        <w:spacing w:after="0" w:line="180" w:lineRule="exact"/>
        <w:rPr>
          <w:rFonts w:ascii="Times New Roman" w:cs="Times New Roman" w:eastAsia="Times New Roman" w:hAnsi="Times New Roman"/>
          <w:sz w:val="18"/>
          <w:szCs w:val="18"/>
          <w:color w:val="auto"/>
        </w:rPr>
      </w:pPr>
    </w:p>
    <w:p>
      <w:pPr>
        <w:ind w:right="180" w:firstLine="1936"/>
        <w:spacing w:after="0" w:line="331" w:lineRule="auto"/>
        <w:tabs>
          <w:tab w:leader="none" w:pos="2176"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Options and Convertible Securities</w:t>
      </w:r>
      <w:r>
        <w:rPr>
          <w:rFonts w:ascii="Times New Roman" w:cs="Times New Roman" w:eastAsia="Times New Roman" w:hAnsi="Times New Roman"/>
          <w:sz w:val="16"/>
          <w:szCs w:val="16"/>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6"/>
          <w:szCs w:val="16"/>
          <w:u w:val="single" w:color="auto"/>
          <w:color w:val="auto"/>
        </w:rPr>
        <w:t>Section 4.4.3</w:t>
      </w:r>
      <w:r>
        <w:rPr>
          <w:rFonts w:ascii="Times New Roman" w:cs="Times New Roman" w:eastAsia="Times New Roman" w:hAnsi="Times New Roman"/>
          <w:sz w:val="16"/>
          <w:szCs w:val="16"/>
          <w:color w:val="auto"/>
        </w:rPr>
        <w:t>, relating to Options and Convertible Securities, shall be determined by dividing:</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20"/>
          </w:cols>
          <w:pgMar w:left="580" w:top="265" w:right="599" w:bottom="1440" w:gutter="0" w:footer="0" w:header="0"/>
        </w:sectPr>
      </w:pPr>
    </w:p>
    <w:bookmarkStart w:id="331" w:name="page332"/>
    <w:bookmarkEnd w:id="331"/>
    <w:p>
      <w:pPr>
        <w:ind w:right="20" w:firstLine="2364"/>
        <w:spacing w:after="0" w:line="249" w:lineRule="auto"/>
        <w:tabs>
          <w:tab w:leader="none" w:pos="256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86" w:lineRule="exact"/>
        <w:rPr>
          <w:rFonts w:ascii="Times New Roman" w:cs="Times New Roman" w:eastAsia="Times New Roman" w:hAnsi="Times New Roman"/>
          <w:sz w:val="18"/>
          <w:szCs w:val="18"/>
          <w:color w:val="auto"/>
        </w:rPr>
      </w:pPr>
    </w:p>
    <w:p>
      <w:pPr>
        <w:ind w:right="20" w:firstLine="2364"/>
        <w:spacing w:after="0" w:line="251" w:lineRule="auto"/>
        <w:tabs>
          <w:tab w:leader="none" w:pos="261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4" w:lineRule="exact"/>
        <w:rPr>
          <w:sz w:val="20"/>
          <w:szCs w:val="20"/>
          <w:color w:val="auto"/>
        </w:rPr>
      </w:pPr>
    </w:p>
    <w:p>
      <w:pPr>
        <w:ind w:right="4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7"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Original Issue Date of the Series G-3 Preferred Stock effect a subdivision of the outstanding Voting Common Stock, the applicable Conversion Price in effect immediately before that subdivision shall be proportionately decreased so that the number of shares of Voting Common Stock issuable on conversion of each share of such series shall be increased in proportion to such increase in the aggregate number of shares of Voting Common Stock outstanding. If the Corporation shall at any time or from time to time after the Original Issue Date of the Series G-3 Preferred Stock combine the outstanding shares of Voting Common Stock, the applicable Conversion Price in effect immediately before the combination shall be proportionately increased so that the number of shares of Voting Common Stock issuable on conversion of each share of such series shall be decreased in proportion to such decrease in the aggregate number of shares of Voting Common Stock outstanding. Any adjustment under this subsection shall become effective at the close of business on the date the subdivision or combination becomes effective. The Corporation shall not effect a subdivision or combination of the outstanding Voting Common Stock or Nonvoting Common Stock, as the case may be, without effecting the same subdivision or combination of the outstanding Nonvoting Common Stock or Voting Common Stock, respectively.</w:t>
      </w:r>
    </w:p>
    <w:p>
      <w:pPr>
        <w:spacing w:after="0" w:line="196" w:lineRule="exact"/>
        <w:rPr>
          <w:sz w:val="20"/>
          <w:szCs w:val="20"/>
          <w:color w:val="auto"/>
        </w:rPr>
      </w:pPr>
    </w:p>
    <w:p>
      <w:pPr>
        <w:ind w:right="80" w:firstLine="1393"/>
        <w:spacing w:after="0" w:line="24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Original Issue Date of the Series G-3 Preferred Stock shall make or issue, or fix a record date for the determination of holders of Voting Common Stock entitled to receive, a dividend or other distribution payable on the Common Stock in additional shares of Voting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20"/>
          </w:cols>
          <w:pgMar w:left="580" w:top="265" w:right="599" w:bottom="1440" w:gutter="0" w:footer="0" w:header="0"/>
        </w:sectPr>
      </w:pPr>
    </w:p>
    <w:bookmarkStart w:id="332" w:name="page333"/>
    <w:bookmarkEnd w:id="332"/>
    <w:p>
      <w:pPr>
        <w:ind w:right="40" w:firstLine="1936"/>
        <w:spacing w:after="0" w:line="267" w:lineRule="auto"/>
        <w:tabs>
          <w:tab w:leader="none" w:pos="217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numerator of which shall be the total number of shares of Voting Common Stock issued and outstanding immediately prior to the time of such issuance or the close of business on such record date, and</w:t>
      </w:r>
    </w:p>
    <w:p>
      <w:pPr>
        <w:spacing w:after="0" w:line="169" w:lineRule="exact"/>
        <w:rPr>
          <w:rFonts w:ascii="Times New Roman" w:cs="Times New Roman" w:eastAsia="Times New Roman" w:hAnsi="Times New Roman"/>
          <w:sz w:val="18"/>
          <w:szCs w:val="18"/>
          <w:color w:val="auto"/>
        </w:rPr>
      </w:pPr>
    </w:p>
    <w:p>
      <w:pPr>
        <w:ind w:right="400" w:firstLine="1936"/>
        <w:spacing w:after="0" w:line="255" w:lineRule="auto"/>
        <w:tabs>
          <w:tab w:leader="none" w:pos="217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Voting Common Stock issued and outstanding immediately prior to the time of such issuance or the close of business on such record date plus the number of shares of Common Stock issuable in payment of such dividend or distribution.</w:t>
      </w:r>
    </w:p>
    <w:p>
      <w:pPr>
        <w:spacing w:after="0" w:line="1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spacing w:after="0" w:line="2" w:lineRule="exact"/>
        <w:rPr>
          <w:sz w:val="20"/>
          <w:szCs w:val="20"/>
          <w:color w:val="auto"/>
        </w:rPr>
      </w:pPr>
    </w:p>
    <w:p>
      <w:pPr>
        <w:ind w:right="40" w:firstLine="8"/>
        <w:spacing w:after="0" w:line="278" w:lineRule="auto"/>
        <w:tabs>
          <w:tab w:leader="none" w:pos="24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such adjustment shall be made if the holders of Preferred Stock simultaneously receive a dividend or other distribution of shares of Common Stock in a number equal to the number of shares of Voting Common Stock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additional shares of Common Stock, without making or issuing, or fixing a record date for the determination of the holders of Nonvoting Common Stock or Voting Common Stock, respectively, a dividend or other distribution payable on the Nonvoting Common Stock or Voting Common Stock, respectively, in the same number of additional shares of Common Stock per share of Nonvoting Common Stock or Voting Common Stock, respectively, as payable per share of Voting Common Stock or Nonvoting Common Stock, respectively.</w:t>
      </w:r>
    </w:p>
    <w:p>
      <w:pPr>
        <w:spacing w:after="0" w:line="168"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Original Issue Date of the Series G-3 Preferred Stock shall make or issue, or fix a record date for the determination of holders of Common Stock entitled to receive, a dividend or other distribution payable in securities of the Corporation (other than a distribution of shares of Voting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Voting Common Stock, a dividend or other distribution of such securities or other property in an amount equal to the amount of such securities or other property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securities of the Corporation or other property, without making or issuing, or fixing a record date for the determination of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00"/>
          </w:cols>
          <w:pgMar w:left="580" w:top="265" w:right="619" w:bottom="1440" w:gutter="0" w:footer="0" w:header="0"/>
        </w:sectPr>
      </w:pPr>
    </w:p>
    <w:bookmarkStart w:id="333" w:name="page334"/>
    <w:bookmarkEnd w:id="333"/>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holders of Nonvoting Common Stock or Voting Common Stock, respectively, a dividend or other distribution payable on the Nonvoting Common Stock or Voting Common Stock, respectively, in the same number of securities of the Corporation or other property per share of Nonvoting Common Stock or Voting Common Stock, respectively, as payable per share of Voting Common Stock or Nonvoting Common Stock, respectively.</w:t>
      </w:r>
    </w:p>
    <w:p>
      <w:pPr>
        <w:spacing w:after="0" w:line="180" w:lineRule="exact"/>
        <w:rPr>
          <w:sz w:val="20"/>
          <w:szCs w:val="20"/>
          <w:color w:val="auto"/>
        </w:rPr>
      </w:pPr>
    </w:p>
    <w:p>
      <w:pPr>
        <w:ind w:firstLine="1393"/>
        <w:spacing w:after="0" w:line="280"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Adjustment for Merger or Reorganization, etc</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if there shall occur any reorganization, recapitalization, reclassification, consolidation or merger involving the Corporation in which the Voting Common Stock (but not the Preferred Stock) is converted into or exchanged for securities, cash or other property (other than a transaction covered by </w:t>
      </w:r>
      <w:r>
        <w:rPr>
          <w:rFonts w:ascii="Times New Roman" w:cs="Times New Roman" w:eastAsia="Times New Roman" w:hAnsi="Times New Roman"/>
          <w:sz w:val="16"/>
          <w:szCs w:val="16"/>
          <w:u w:val="single" w:color="auto"/>
          <w:color w:val="auto"/>
        </w:rPr>
        <w:t>Sections 4.4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4.8</w:t>
      </w:r>
      <w:r>
        <w:rPr>
          <w:rFonts w:ascii="Times New Roman" w:cs="Times New Roman" w:eastAsia="Times New Roman" w:hAnsi="Times New Roman"/>
          <w:sz w:val="16"/>
          <w:szCs w:val="16"/>
          <w:color w:val="auto"/>
        </w:rPr>
        <w:t xml:space="preserve">), then, following any such reorganization, recapitalization, reclassification, consolidation or merger, each share of Preferred Stock shall thereafter be convertible in lieu of the Voting Common Stock into which it was convertible prior to such event into the kind and amount of securities, cash or other property which a holder of the number of shares of Voting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w:t>
      </w:r>
    </w:p>
    <w:p>
      <w:pPr>
        <w:spacing w:after="0" w:line="374" w:lineRule="exact"/>
        <w:rPr>
          <w:sz w:val="20"/>
          <w:szCs w:val="20"/>
          <w:color w:val="auto"/>
        </w:rPr>
      </w:pPr>
    </w:p>
    <w:p>
      <w:pPr>
        <w:ind w:right="240" w:firstLine="1393"/>
        <w:spacing w:after="0" w:line="285"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Special IPO Adjustment to Conversion Price of Series G-3 Preferred Stock</w:t>
      </w:r>
      <w:r>
        <w:rPr>
          <w:rFonts w:ascii="Times New Roman" w:cs="Times New Roman" w:eastAsia="Times New Roman" w:hAnsi="Times New Roman"/>
          <w:sz w:val="16"/>
          <w:szCs w:val="16"/>
          <w:color w:val="auto"/>
        </w:rPr>
        <w:t xml:space="preserve">. In the event of a Public Offering or Qualifying Public Offering, the Conversion Price of the Series G-3 Preferred Stock then in effect shall be adjusted downward to an amount equal to the </w:t>
      </w:r>
      <w:r>
        <w:rPr>
          <w:rFonts w:ascii="Times New Roman" w:cs="Times New Roman" w:eastAsia="Times New Roman" w:hAnsi="Times New Roman"/>
          <w:sz w:val="16"/>
          <w:szCs w:val="16"/>
          <w:u w:val="single" w:color="auto"/>
          <w:color w:val="auto"/>
        </w:rPr>
        <w:t>lesser of</w:t>
      </w:r>
    </w:p>
    <w:p>
      <w:pPr>
        <w:spacing w:after="0" w:line="1" w:lineRule="exact"/>
        <w:rPr>
          <w:sz w:val="20"/>
          <w:szCs w:val="20"/>
          <w:color w:val="auto"/>
        </w:rPr>
      </w:pPr>
    </w:p>
    <w:p>
      <w:pPr>
        <w:ind w:right="80" w:firstLine="8"/>
        <w:spacing w:after="0" w:line="274" w:lineRule="auto"/>
        <w:tabs>
          <w:tab w:leader="none" w:pos="209"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product of (x) the price per share of Class A Common Stock sold in such Public Offering or Qualifying Public Offering and (y) the Applicable Discount, and (ii) $51.5762 (as adjusted (1) for any stock dividends, combinations, splits, recapitalizations or the like and/or (2) in an appropriate manner pursuant to </w:t>
      </w:r>
      <w:r>
        <w:rPr>
          <w:rFonts w:ascii="Times New Roman" w:cs="Times New Roman" w:eastAsia="Times New Roman" w:hAnsi="Times New Roman"/>
          <w:sz w:val="16"/>
          <w:szCs w:val="16"/>
          <w:u w:val="single" w:color="auto"/>
          <w:color w:val="auto"/>
        </w:rPr>
        <w:t>Section 4.4.4</w:t>
      </w:r>
      <w:r>
        <w:rPr>
          <w:rFonts w:ascii="Times New Roman" w:cs="Times New Roman" w:eastAsia="Times New Roman" w:hAnsi="Times New Roman"/>
          <w:sz w:val="16"/>
          <w:szCs w:val="16"/>
          <w:color w:val="auto"/>
        </w:rPr>
        <w:t xml:space="preserve"> above as if such amount were the Conversion Price of the Series G-3 Preferred Stock). “</w:t>
      </w:r>
      <w:r>
        <w:rPr>
          <w:rFonts w:ascii="Times New Roman" w:cs="Times New Roman" w:eastAsia="Times New Roman" w:hAnsi="Times New Roman"/>
          <w:sz w:val="16"/>
          <w:szCs w:val="16"/>
          <w:b w:val="1"/>
          <w:bCs w:val="1"/>
          <w:i w:val="1"/>
          <w:iCs w:val="1"/>
          <w:color w:val="auto"/>
        </w:rPr>
        <w:t>Applicable Discount</w:t>
      </w:r>
      <w:r>
        <w:rPr>
          <w:rFonts w:ascii="Times New Roman" w:cs="Times New Roman" w:eastAsia="Times New Roman" w:hAnsi="Times New Roman"/>
          <w:sz w:val="16"/>
          <w:szCs w:val="16"/>
          <w:color w:val="auto"/>
        </w:rPr>
        <w:t>” means</w:t>
      </w:r>
    </w:p>
    <w:p>
      <w:pPr>
        <w:ind w:right="140" w:firstLine="8"/>
        <w:spacing w:after="0" w:line="244" w:lineRule="auto"/>
        <w:tabs>
          <w:tab w:leader="none" w:pos="20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in the event a Public Offering or Qualifying Public Offering is consummated on or prior to June 30, 2023, or (ii) 85% in the event a Public Offering or Qualifying Public Offering is consummated after June 30, 2023 The downward adjustment of the Conversion Price of the Series G-3 Preferred Stock, if any, pursuant to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occur effective as of immediately prior to any conversion of the Series G-3 Preferred Stock into Class A Common Stock in connection with a Public Offering or Qualifying Public Offering (or, in the event that no such conversion occurs, effective as of immediately prior to the closing of such public offering), and for the avoidance of doubt, shall be reflected in the number of shares of Class A Common Stock into which each share of Series G-3 Preferred Stock are converted in connection with such public offering, including, without limitation, a conversion pursuant to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Notwithstanding the foregoing, the Conversion Price of Series G-3 Preferred Stock shall not be reduced at such time if the amount of such reduction would be less than $0.01.</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60"/>
          </w:cols>
          <w:pgMar w:left="580" w:top="265" w:right="659" w:bottom="1440" w:gutter="0" w:footer="0" w:header="0"/>
        </w:sectPr>
      </w:pPr>
    </w:p>
    <w:bookmarkStart w:id="334" w:name="page335"/>
    <w:bookmarkEnd w:id="334"/>
    <w:p>
      <w:pPr>
        <w:ind w:right="40" w:firstLine="1393"/>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the applicable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furnish or cause to be furnished to such holder a certificate setting forth (i) the applicable Conversion Price then in effect, and (ii) the number of shares of Voting Common Stock and the amount, if any, of other securities, cash or property which then would be received upon the conversion of Preferred Stock.</w:t>
      </w:r>
    </w:p>
    <w:p>
      <w:pPr>
        <w:spacing w:after="0" w:line="18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Notice of Record Date</w:t>
      </w:r>
      <w:r>
        <w:rPr>
          <w:rFonts w:ascii="Times New Roman" w:cs="Times New Roman" w:eastAsia="Times New Roman" w:hAnsi="Times New Roman"/>
          <w:sz w:val="18"/>
          <w:szCs w:val="18"/>
          <w:color w:val="auto"/>
        </w:rPr>
        <w:t>. In the event:</w:t>
      </w:r>
    </w:p>
    <w:p>
      <w:pPr>
        <w:spacing w:after="0" w:line="213" w:lineRule="exact"/>
        <w:rPr>
          <w:sz w:val="20"/>
          <w:szCs w:val="20"/>
          <w:color w:val="auto"/>
        </w:rPr>
      </w:pPr>
    </w:p>
    <w:p>
      <w:pPr>
        <w:ind w:firstLine="1936"/>
        <w:spacing w:after="0" w:line="255" w:lineRule="auto"/>
        <w:tabs>
          <w:tab w:leader="none" w:pos="216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80"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Corporation, any reclassification of the Common Stock of the Corporation, or any</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Liquidation Event; or</w:t>
      </w:r>
    </w:p>
    <w:p>
      <w:pPr>
        <w:spacing w:after="0" w:line="195"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then, and in each such case, the Corporation will send or cause to be sent to the holders of the Preferred Stock a notice specifying, as the case may be,</w:t>
      </w:r>
    </w:p>
    <w:p>
      <w:pPr>
        <w:spacing w:after="0" w:line="44" w:lineRule="exact"/>
        <w:rPr>
          <w:sz w:val="20"/>
          <w:szCs w:val="20"/>
          <w:color w:val="auto"/>
        </w:rPr>
      </w:pPr>
    </w:p>
    <w:p>
      <w:pPr>
        <w:ind w:firstLine="8"/>
        <w:spacing w:after="0" w:line="274" w:lineRule="auto"/>
        <w:tabs>
          <w:tab w:leader="none" w:pos="209"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 days prior to the record date or effective date for the event specified in such notice.</w:t>
      </w:r>
    </w:p>
    <w:p>
      <w:pPr>
        <w:spacing w:after="0" w:line="195" w:lineRule="exact"/>
        <w:rPr>
          <w:rFonts w:ascii="Times New Roman" w:cs="Times New Roman" w:eastAsia="Times New Roman" w:hAnsi="Times New Roman"/>
          <w:sz w:val="16"/>
          <w:szCs w:val="16"/>
          <w:color w:val="auto"/>
        </w:rPr>
      </w:pPr>
    </w:p>
    <w:p>
      <w:pPr>
        <w:ind w:left="1140" w:hanging="168"/>
        <w:spacing w:after="0"/>
        <w:tabs>
          <w:tab w:leader="none" w:pos="11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right="780" w:firstLine="1936"/>
        <w:spacing w:after="0" w:line="255" w:lineRule="auto"/>
        <w:tabs>
          <w:tab w:leader="none" w:pos="216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the sale of shares of Class A Common Stock to the public in a firm-commitment underwritten public offering pursuant to an effective registration statement under the Securities Act of 1933, as amended, resulting in at least $100,000,000 of gross proceeds to the Corporation, before deductions of the underwriting discount</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660"/>
          </w:cols>
          <w:pgMar w:left="580" w:top="265" w:right="659" w:bottom="1440" w:gutter="0" w:footer="0" w:header="0"/>
        </w:sectPr>
      </w:pPr>
    </w:p>
    <w:bookmarkStart w:id="335" w:name="page336"/>
    <w:bookmarkEnd w:id="335"/>
    <w:p>
      <w:pPr>
        <w:ind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commissions (a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or (ii) the date and time, or the occurrence of an event, specified by vote or written consent of the holders of a majority of the outstanding shares of Series G-3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G-3 Preferred Stock Mandatory Conversion Time</w:t>
      </w:r>
      <w:r>
        <w:rPr>
          <w:rFonts w:ascii="Times New Roman" w:cs="Times New Roman" w:eastAsia="Times New Roman" w:hAnsi="Times New Roman"/>
          <w:sz w:val="18"/>
          <w:szCs w:val="18"/>
          <w:color w:val="auto"/>
        </w:rPr>
        <w:t>”), (A) all outstanding shares of Series G-3 Preferred Stock shall automatically be converted into shares of Class A Common Stock, in each case at the then effective conversion rate and (B) such shares may not be reissued by the Corporation.</w:t>
      </w:r>
    </w:p>
    <w:p>
      <w:pPr>
        <w:spacing w:after="0" w:line="186" w:lineRule="exact"/>
        <w:rPr>
          <w:sz w:val="20"/>
          <w:szCs w:val="20"/>
          <w:color w:val="auto"/>
        </w:rPr>
      </w:pPr>
    </w:p>
    <w:p>
      <w:pPr>
        <w:ind w:right="80" w:firstLine="1936"/>
        <w:spacing w:after="0" w:line="281" w:lineRule="auto"/>
        <w:tabs>
          <w:tab w:leader="none" w:pos="2176"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the sale of shares of Class A Common Stock to the public in a firm-commitment underwritten public offering pursuant to an effective registration statement under the Securities Act of 1933, as amended, at an offering price per share of not less than $68.7683 (subject to appropriate adjustment in the event of any stock dividend, stock split, combination or other similar recapitalization with respect to the Class A Common Stock), resulting in at least $100,000,000 of gross proceeds to the Corporation, before deductions of the underwriting discount and commissions (a “</w:t>
      </w:r>
      <w:r>
        <w:rPr>
          <w:rFonts w:ascii="Times New Roman" w:cs="Times New Roman" w:eastAsia="Times New Roman" w:hAnsi="Times New Roman"/>
          <w:sz w:val="16"/>
          <w:szCs w:val="16"/>
          <w:b w:val="1"/>
          <w:bCs w:val="1"/>
          <w:i w:val="1"/>
          <w:iCs w:val="1"/>
          <w:color w:val="auto"/>
        </w:rPr>
        <w:t>Qualifying Public Offering</w:t>
      </w:r>
      <w:r>
        <w:rPr>
          <w:rFonts w:ascii="Times New Roman" w:cs="Times New Roman" w:eastAsia="Times New Roman" w:hAnsi="Times New Roman"/>
          <w:sz w:val="16"/>
          <w:szCs w:val="16"/>
          <w:color w:val="auto"/>
        </w:rPr>
        <w:t>”), or (ii) the date and time, or the occurrence of an event, specified by vote or written consent of the holders of a majority of the outstanding shares of Series G-2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G-2 Preferred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Mandatory Conversion Time</w:t>
      </w:r>
      <w:r>
        <w:rPr>
          <w:rFonts w:ascii="Times New Roman" w:cs="Times New Roman" w:eastAsia="Times New Roman" w:hAnsi="Times New Roman"/>
          <w:sz w:val="16"/>
          <w:szCs w:val="16"/>
          <w:color w:val="auto"/>
        </w:rPr>
        <w:t>”), (A) all outstanding shares of Series G-2 Preferred Stock shall automatically be converted into shares of Class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in each case at the then effective conversion rate and (B) such shares may not be reissued by the Corporation.</w:t>
      </w:r>
    </w:p>
    <w:p>
      <w:pPr>
        <w:spacing w:after="0" w:line="161" w:lineRule="exact"/>
        <w:rPr>
          <w:rFonts w:ascii="Times New Roman" w:cs="Times New Roman" w:eastAsia="Times New Roman" w:hAnsi="Times New Roman"/>
          <w:sz w:val="16"/>
          <w:szCs w:val="16"/>
          <w:color w:val="auto"/>
        </w:rPr>
      </w:pPr>
    </w:p>
    <w:p>
      <w:pPr>
        <w:ind w:right="40" w:firstLine="1936"/>
        <w:spacing w:after="0" w:line="288" w:lineRule="auto"/>
        <w:tabs>
          <w:tab w:leader="none" w:pos="2166"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 majority of the outstanding shares of Series G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Preferred Stock Mandatory Conversion Time</w:t>
      </w:r>
      <w:r>
        <w:rPr>
          <w:rFonts w:ascii="Times New Roman" w:cs="Times New Roman" w:eastAsia="Times New Roman" w:hAnsi="Times New Roman"/>
          <w:sz w:val="16"/>
          <w:szCs w:val="16"/>
          <w:color w:val="auto"/>
        </w:rPr>
        <w:t>”), (A) all outstanding shares of Series G Preferred Stock shall automatically be converted into shares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Class A Common Stock, in each case at the then effective conversion rate and (B) such shares may not be reissued by the Corporation.</w:t>
      </w:r>
    </w:p>
    <w:p>
      <w:pPr>
        <w:spacing w:after="0" w:line="156" w:lineRule="exact"/>
        <w:rPr>
          <w:rFonts w:ascii="Times New Roman" w:cs="Times New Roman" w:eastAsia="Times New Roman" w:hAnsi="Times New Roman"/>
          <w:sz w:val="16"/>
          <w:szCs w:val="16"/>
          <w:color w:val="auto"/>
        </w:rPr>
      </w:pPr>
    </w:p>
    <w:p>
      <w:pPr>
        <w:ind w:firstLine="1936"/>
        <w:spacing w:after="0" w:line="288" w:lineRule="auto"/>
        <w:tabs>
          <w:tab w:leader="none" w:pos="2176"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 majority of the outstanding shares of Series F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Preferred Stock Mandatory Conversion Time</w:t>
      </w:r>
      <w:r>
        <w:rPr>
          <w:rFonts w:ascii="Times New Roman" w:cs="Times New Roman" w:eastAsia="Times New Roman" w:hAnsi="Times New Roman"/>
          <w:sz w:val="16"/>
          <w:szCs w:val="16"/>
          <w:color w:val="auto"/>
        </w:rPr>
        <w:t>”), (A) all outstanding shares of Series F Preferred Stock shall automatically be converted into shares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Class A Common Stock, in each case at the then effective conversion rate and (B) such shares may not be reissued by the Corporation.</w:t>
      </w:r>
    </w:p>
    <w:p>
      <w:pPr>
        <w:spacing w:after="0" w:line="156" w:lineRule="exact"/>
        <w:rPr>
          <w:rFonts w:ascii="Times New Roman" w:cs="Times New Roman" w:eastAsia="Times New Roman" w:hAnsi="Times New Roman"/>
          <w:sz w:val="16"/>
          <w:szCs w:val="16"/>
          <w:color w:val="auto"/>
        </w:rPr>
      </w:pPr>
    </w:p>
    <w:p>
      <w:pPr>
        <w:ind w:right="120" w:firstLine="1936"/>
        <w:spacing w:after="0" w:line="288" w:lineRule="auto"/>
        <w:tabs>
          <w:tab w:leader="none" w:pos="2166"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at least a majority of the outstanding shares of Series E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E Preferred Stock Mandatory Conversion Time</w:t>
      </w:r>
      <w:r>
        <w:rPr>
          <w:rFonts w:ascii="Times New Roman" w:cs="Times New Roman" w:eastAsia="Times New Roman" w:hAnsi="Times New Roman"/>
          <w:sz w:val="16"/>
          <w:szCs w:val="16"/>
          <w:color w:val="auto"/>
        </w:rPr>
        <w:t>”), (A) all outstanding shares of Series E Preferred Stock shall automatically be converted into shares of Class A Common Stock, in each case at the then effective conversion rate and (B) such shares may not be reissued by the Corporation.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00"/>
          </w:cols>
          <w:pgMar w:left="580" w:top="261" w:right="619" w:bottom="1440" w:gutter="0" w:footer="0" w:header="0"/>
        </w:sectPr>
      </w:pPr>
    </w:p>
    <w:bookmarkStart w:id="336" w:name="page337"/>
    <w:bookmarkEnd w:id="336"/>
    <w:p>
      <w:pPr>
        <w:ind w:left="-20" w:right="240" w:firstLine="1936"/>
        <w:spacing w:after="0" w:line="248" w:lineRule="auto"/>
        <w:tabs>
          <w:tab w:leader="none" w:pos="212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Upon either (i) the closing of a Qualifying Public Offering, or (ii) the date and time, or the occurrence of an event, specified by vote or written consent of the holders of at least sixty percent (60%) of the outstanding shares of Series D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D Preferred Stock Mandatory Conversion Time</w:t>
      </w:r>
      <w:r>
        <w:rPr>
          <w:rFonts w:ascii="Times New Roman" w:cs="Times New Roman" w:eastAsia="Times New Roman" w:hAnsi="Times New Roman"/>
          <w:sz w:val="18"/>
          <w:szCs w:val="18"/>
          <w:color w:val="auto"/>
        </w:rPr>
        <w:t>”), (A) all outstanding shares of Series D Preferred Stock shall automatically be converted into shares of Class A Common Stock, in each case at the then effective conversion rate and (B) such shares may not be reissued by the Corporation.</w:t>
      </w:r>
    </w:p>
    <w:p>
      <w:pPr>
        <w:spacing w:after="0" w:line="187" w:lineRule="exact"/>
        <w:rPr>
          <w:rFonts w:ascii="Times New Roman" w:cs="Times New Roman" w:eastAsia="Times New Roman" w:hAnsi="Times New Roman"/>
          <w:sz w:val="18"/>
          <w:szCs w:val="18"/>
          <w:color w:val="auto"/>
        </w:rPr>
      </w:pPr>
    </w:p>
    <w:p>
      <w:pPr>
        <w:ind w:left="-20" w:right="260" w:firstLine="1936"/>
        <w:spacing w:after="0" w:line="248" w:lineRule="auto"/>
        <w:tabs>
          <w:tab w:leader="none" w:pos="215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Qualifying Public Offering, or (ii) the date and time, or the occurrence of an event, specified by vote or written consent of the holders of at least sixty percent (60%) of the outstanding shares of Series C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C Preferred Stock Mandatory Conversion Time</w:t>
      </w:r>
      <w:r>
        <w:rPr>
          <w:rFonts w:ascii="Times New Roman" w:cs="Times New Roman" w:eastAsia="Times New Roman" w:hAnsi="Times New Roman"/>
          <w:sz w:val="18"/>
          <w:szCs w:val="18"/>
          <w:color w:val="auto"/>
        </w:rPr>
        <w:t>”), (A) all outstanding shares of Series C Preferred Stock shall automatically be converted into shares of Class A Common Stock, in each case at the then effective conversion rate and (B) such shares may not be reissued by the Corporation.</w:t>
      </w:r>
    </w:p>
    <w:p>
      <w:pPr>
        <w:spacing w:after="0" w:line="187" w:lineRule="exact"/>
        <w:rPr>
          <w:rFonts w:ascii="Times New Roman" w:cs="Times New Roman" w:eastAsia="Times New Roman" w:hAnsi="Times New Roman"/>
          <w:sz w:val="18"/>
          <w:szCs w:val="18"/>
          <w:color w:val="auto"/>
        </w:rPr>
      </w:pPr>
    </w:p>
    <w:p>
      <w:pPr>
        <w:ind w:left="-20" w:firstLine="1936"/>
        <w:spacing w:after="0" w:line="277" w:lineRule="auto"/>
        <w:tabs>
          <w:tab w:leader="none" w:pos="215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the sale of shares of Class A Common Stock to the public in a firm-commitment underwritten public offering pursuant to an effective registration statement under the Securities Act of 1933, as amended, at an offering price of not less than the Series B-2 Original Issue Price, resulting in at least $20,000,000 of gross proceeds to the Corporation, before deductions of the underwriting discount and commissions, or (ii) the date and time, or the occurrence of an event, specified by vote or written consent of the holders of a majority of the outstanding shares of Series B-2 Preferred Stock, Series B-1 Preferred Stock, Series B Preferred Stock and Series A Preferred Stock, voting together as a single class as measured on the basis of voting power set forth in this Restated Certificate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Preferred Stock Mandatory Conversion Time</w:t>
      </w:r>
      <w:r>
        <w:rPr>
          <w:rFonts w:ascii="Times New Roman" w:cs="Times New Roman" w:eastAsia="Times New Roman" w:hAnsi="Times New Roman"/>
          <w:sz w:val="16"/>
          <w:szCs w:val="16"/>
          <w:color w:val="auto"/>
        </w:rPr>
        <w:t>”), (A) all outstanding shares of Series B-2 Preferred Stock, Series B-1 Preferred Stock, and Series A Preferred Stock shall automatically be converted into shares of Class A Common Stock and all outstanding shares of Series B Preferred Stock shall automatically be converted into shares of Class B Common Stock, in each case at the then effective conversion rate, and (B) such shares may not be reissued by the Corporation. In addition, each share of Series B Preferred Stock shall automatically be converted into shares of Class A Common Stock, based on the then-effective Conversion Price, upon any sale, assignment, transfer, conveyance, hypothecation or other disposition of any legal or beneficial interest in such share, whether or not for value and whether voluntary or involuntary or by operation of law (a “</w:t>
      </w:r>
      <w:r>
        <w:rPr>
          <w:rFonts w:ascii="Times New Roman" w:cs="Times New Roman" w:eastAsia="Times New Roman" w:hAnsi="Times New Roman"/>
          <w:sz w:val="16"/>
          <w:szCs w:val="16"/>
          <w:b w:val="1"/>
          <w:bCs w:val="1"/>
          <w:i w:val="1"/>
          <w:iCs w:val="1"/>
          <w:color w:val="auto"/>
        </w:rPr>
        <w:t>Series B Preferred Transfer</w:t>
      </w:r>
      <w:r>
        <w:rPr>
          <w:rFonts w:ascii="Times New Roman" w:cs="Times New Roman" w:eastAsia="Times New Roman" w:hAnsi="Times New Roman"/>
          <w:sz w:val="16"/>
          <w:szCs w:val="16"/>
          <w:color w:val="auto"/>
        </w:rPr>
        <w:t>”), other than (i) any Series B Preferred Transfer without consideration by a holder of Series B Preferred Stock to such holder’s ancestors, descendants, siblings or spouse or to trusts or other entities established primarily for the purpose of estate planning for the benefit of such persons or such holder, (ii) any Series B Preferred Transfer or Transfers by a holder of Series B Preferred Stock to another holder of Series B Preferred Stock or its Controlled Affiliate (as defined below), (iii) any Series B Preferred Transfer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00"/>
          </w:cols>
          <w:pgMar w:left="600" w:top="265" w:right="599" w:bottom="1440" w:gutter="0" w:footer="0" w:header="0"/>
        </w:sectPr>
      </w:pPr>
    </w:p>
    <w:bookmarkStart w:id="337" w:name="page338"/>
    <w:bookmarkEnd w:id="337"/>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Transfers to Controlled Affiliates, or (iv) any Series B Preferred Transfer or Transfers by (A) a partnership transferring to its partners or former partners in accordance with their interest in the partnership, (B) a corporation transferring to a wholly-owned subsidiary, its stockholders or to former stockholders in accordance with their interest in the corporation, or (C) a limited liability company transferring to its members or former members in accordance with their interest in the limited liability company. For purposes of this Restated Certificate, “</w:t>
      </w:r>
      <w:r>
        <w:rPr>
          <w:rFonts w:ascii="Times New Roman" w:cs="Times New Roman" w:eastAsia="Times New Roman" w:hAnsi="Times New Roman"/>
          <w:sz w:val="18"/>
          <w:szCs w:val="18"/>
          <w:b w:val="1"/>
          <w:bCs w:val="1"/>
          <w:i w:val="1"/>
          <w:iCs w:val="1"/>
          <w:color w:val="auto"/>
        </w:rPr>
        <w:t>Controlled Affiliate</w:t>
      </w:r>
      <w:r>
        <w:rPr>
          <w:rFonts w:ascii="Times New Roman" w:cs="Times New Roman" w:eastAsia="Times New Roman" w:hAnsi="Times New Roman"/>
          <w:sz w:val="18"/>
          <w:szCs w:val="18"/>
          <w:color w:val="auto"/>
        </w:rPr>
        <w:t>” shall mean, with respect to any person or entity, any other person or entity which, directly or indirectly, is controlled by, or is under common control with, such person or entity, where “control” shall mean and include the ownership or eighty percent (80%) or more of the voting securities or other voting interest of another person or entity.</w:t>
      </w:r>
    </w:p>
    <w:p>
      <w:pPr>
        <w:spacing w:after="0" w:line="189" w:lineRule="exact"/>
        <w:rPr>
          <w:sz w:val="20"/>
          <w:szCs w:val="20"/>
          <w:color w:val="auto"/>
        </w:rPr>
      </w:pPr>
    </w:p>
    <w:p>
      <w:pPr>
        <w:ind w:right="80" w:firstLine="1928"/>
        <w:spacing w:after="0" w:line="24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Upon the closing of the sale of shares of Class A Common Stock to the public in a firm-commitment underwritten public offering pursuant to an effective registration statement under the Securities Act of 1933, as amended (the time of such closing is referred to herein as the “</w:t>
      </w:r>
      <w:r>
        <w:rPr>
          <w:rFonts w:ascii="Times New Roman" w:cs="Times New Roman" w:eastAsia="Times New Roman" w:hAnsi="Times New Roman"/>
          <w:sz w:val="18"/>
          <w:szCs w:val="18"/>
          <w:b w:val="1"/>
          <w:bCs w:val="1"/>
          <w:i w:val="1"/>
          <w:iCs w:val="1"/>
          <w:color w:val="auto"/>
        </w:rPr>
        <w:t>Nonvoting Mandatory Conversion Time</w:t>
      </w:r>
      <w:r>
        <w:rPr>
          <w:rFonts w:ascii="Times New Roman" w:cs="Times New Roman" w:eastAsia="Times New Roman" w:hAnsi="Times New Roman"/>
          <w:sz w:val="18"/>
          <w:szCs w:val="18"/>
          <w:color w:val="auto"/>
        </w:rPr>
        <w:t>”), then each outstanding share of Nonvoting Stock shall automatically be converted into one (1) share of Class A Common Stock. The Series G-3 Preferred Stock Mandatory Conversion Time, Series G-2 Preferred Stock Mandatory Conversion Time, Series G Preferred Stock Mandatory Conversion Time, Series F Preferred Stock Mandatory Conversion Time, Series E Preferred Stock Mandatory Conversion Time, Series D Preferred Stock Mandatory Conversion Time, Series C Preferred Stock Mandatory Conversion Time, Preferred Stock Mandatory Conversion Time and the Nonvoting Mandatory Conversion Time shall each be referred to as the “</w:t>
      </w:r>
      <w:r>
        <w:rPr>
          <w:rFonts w:ascii="Times New Roman" w:cs="Times New Roman" w:eastAsia="Times New Roman" w:hAnsi="Times New Roman"/>
          <w:sz w:val="18"/>
          <w:szCs w:val="18"/>
          <w:b w:val="1"/>
          <w:bCs w:val="1"/>
          <w:i w:val="1"/>
          <w:i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Time</w:t>
      </w:r>
      <w:r>
        <w:rPr>
          <w:rFonts w:ascii="Times New Roman" w:cs="Times New Roman" w:eastAsia="Times New Roman" w:hAnsi="Times New Roman"/>
          <w:sz w:val="18"/>
          <w:szCs w:val="18"/>
          <w:color w:val="auto"/>
        </w:rPr>
        <w:t>”, as applicable.</w:t>
      </w:r>
    </w:p>
    <w:p>
      <w:pPr>
        <w:spacing w:after="0" w:line="186" w:lineRule="exact"/>
        <w:rPr>
          <w:sz w:val="20"/>
          <w:szCs w:val="20"/>
          <w:color w:val="auto"/>
        </w:rPr>
      </w:pPr>
    </w:p>
    <w:p>
      <w:pPr>
        <w:ind w:firstLine="1393"/>
        <w:spacing w:after="0" w:line="278"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Procedural Requirements</w:t>
      </w:r>
      <w:r>
        <w:rPr>
          <w:rFonts w:ascii="Times New Roman" w:cs="Times New Roman" w:eastAsia="Times New Roman" w:hAnsi="Times New Roman"/>
          <w:sz w:val="16"/>
          <w:szCs w:val="16"/>
          <w:color w:val="auto"/>
        </w:rPr>
        <w:t xml:space="preserve">. All holders of record of shares of each series of Preferred Stock and Nonvoting Common Stock shall be sent written notice of the applicable Mandatory Conversion Time and the place designated for mandatory conversion of all such shares of such series of Preferred Stock and Nonvoting Common Stock pursuant to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Such notice need not be sent in advance of the occurrence of the Mandatory Conversion Time. Upon receipt of such notice, each holder of shares of such series of Preferred Stock and Nonvoting Common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and Nonvoting Common Stock converted pursuant to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including the rights, if any, to receive notices and vote (other than as a holder of Voting Common Stock), as applicable, will terminate at the applicable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As soon as practicable after the applicable Mandatory Conversion Time and the surrender of the certificate or certificates (or lost certificate affidavit and agreement) for Preferred Stock or Nonvoting Common Stock, the</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680"/>
          </w:cols>
          <w:pgMar w:left="580" w:top="265" w:right="639" w:bottom="1440" w:gutter="0" w:footer="0" w:header="0"/>
        </w:sectPr>
      </w:pPr>
    </w:p>
    <w:bookmarkStart w:id="338" w:name="page339"/>
    <w:bookmarkEnd w:id="338"/>
    <w:p>
      <w:pPr>
        <w:ind w:right="20"/>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Corporation shall (a) issue and deliver to such holder, or to his, her or its nominees, a certificate or certificates for the number of full shares of Voting Common Stock issuable on such conversion in accordance with the provisions hereof, (b) pay cash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Voting Common Stock otherwise issuable upon such conversion, and (c) pay any declared or accrued but unpaid dividends on the shares of Preferred Stock or Nonvoting Common Stock converted (including, without limitation, all accrued but unpaid Series G-3 PIK Dividends, Series G Accruing Dividends, Series F Accruing Dividends, Series E Accruing Dividends, Series D Accruing Dividends, Series C Accruing Dividends, Series B-2 Accruing Dividends, Series B-1 Accruing Dividends, Series B Accruing Dividends or Series A Accruing Dividends, as applicable), at the Corporation’s option, in either (i) cash or (ii) in the case of a public offering, shares of Voting Common Stock determined by dividing (A) the aggregate amount of such unpaid dividends by (B) the final per share public offering price of such securities (and pay cash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Voting Common Stock otherwise issuable upon such payment in shares of Voting Common Stock). Such converted Preferred Stock and Nonvoting Common Stock shall be retired and cancelled and may not be reissued as shares of such series, and the Corporation may thereafter take such appropriate action (without the need for stockholder action) as may be necessary to reduce the authorized number of shares of Preferred Stock or Nonvoting Common Stock accordingly.</w:t>
      </w:r>
    </w:p>
    <w:p>
      <w:pPr>
        <w:spacing w:after="0" w:line="195" w:lineRule="exact"/>
        <w:rPr>
          <w:sz w:val="20"/>
          <w:szCs w:val="20"/>
          <w:color w:val="auto"/>
        </w:rPr>
      </w:pPr>
    </w:p>
    <w:p>
      <w:pPr>
        <w:ind w:left="1140" w:hanging="168"/>
        <w:spacing w:after="0"/>
        <w:tabs>
          <w:tab w:leader="none" w:pos="11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1393"/>
        <w:spacing w:after="0" w:line="277"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Series G-3 Preferred Stock</w:t>
      </w:r>
      <w:r>
        <w:rPr>
          <w:rFonts w:ascii="Times New Roman" w:cs="Times New Roman" w:eastAsia="Times New Roman" w:hAnsi="Times New Roman"/>
          <w:sz w:val="16"/>
          <w:szCs w:val="16"/>
          <w:color w:val="auto"/>
        </w:rPr>
        <w:t>. Unless prohibited by Delaware law governing distributions to stockholders, shares of Series G-3 Preferred Stock shall be redeemed by the Corporation at a price equal to the Series G-3 Original Issue Price, plus any accrued but unpaid Series G-3 PIK Dividends,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G-3 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G-3 Redemption Date</w:t>
      </w:r>
      <w:r>
        <w:rPr>
          <w:rFonts w:ascii="Times New Roman" w:cs="Times New Roman" w:eastAsia="Times New Roman" w:hAnsi="Times New Roman"/>
          <w:sz w:val="16"/>
          <w:szCs w:val="16"/>
          <w:color w:val="auto"/>
        </w:rPr>
        <w:t>”) not more than sixty (60) days after receipt by the Corporation, at any time during the period commencing on the date that is seven (7) years from the Original Issue Date of the Series G-3 Preferred Stock and ending sixty (60) days thereafter, of written notice from the holders of a majority of the then outstanding shares of Series G-3 Preferred Stock, voting as a separate class and series, requesting redemption of all shares of Series G-3 Preferred Stock (the “</w:t>
      </w:r>
      <w:r>
        <w:rPr>
          <w:rFonts w:ascii="Times New Roman" w:cs="Times New Roman" w:eastAsia="Times New Roman" w:hAnsi="Times New Roman"/>
          <w:sz w:val="16"/>
          <w:szCs w:val="16"/>
          <w:b w:val="1"/>
          <w:bCs w:val="1"/>
          <w:i w:val="1"/>
          <w:iCs w:val="1"/>
          <w:color w:val="auto"/>
        </w:rPr>
        <w:t>Series G-3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G-3 Excluded Shares (as defined below) shall not be redeemed. Upon receipt of a Series G-3 Redemption Request, the Corporation shall apply all of its assets to any such redemption, and to no other corporate purpose, except to the extent prohibited by Delaware law governing distributions to stockholders. If, on the Series G-3 Redemption Date, Delaware law governing distributions to stockholders prevents the Corporation from redeeming all shares of Series G-3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G-3 Redemption Notice</w:t>
      </w:r>
      <w:r>
        <w:rPr>
          <w:rFonts w:ascii="Times New Roman" w:cs="Times New Roman" w:eastAsia="Times New Roman" w:hAnsi="Times New Roman"/>
          <w:sz w:val="16"/>
          <w:szCs w:val="16"/>
          <w:color w:val="auto"/>
        </w:rPr>
        <w:t>”) to each holder of record of Series G-3 Preferred Stock, Series G-2 Preferred Stock, Series G Preferred Stock, Series F Preferred Stock, Series E Preferred Stock and Series D Preferred Stock at least fifteen (15) days but no more than thirty (30) days prior to the Series G-3 Redemption Date. The Series G-3 Redemption Notice shall state (i) the number of shares of Series G-3 Preferred Stock held by the holder that the Corporation shall redeem on the Series G-3 Redemption Date, (ii) the Series G-3 Redemption Date and the Series G-3 Redemption Price, (iii) the date upon which the holder’s right to convert such</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20"/>
          </w:cols>
          <w:pgMar w:left="580" w:top="265" w:right="599" w:bottom="1440" w:gutter="0" w:footer="0" w:header="0"/>
        </w:sectPr>
      </w:pPr>
    </w:p>
    <w:bookmarkStart w:id="339" w:name="page340"/>
    <w:bookmarkEnd w:id="339"/>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G-3 Preferred Stock to be redeemed.</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G-3 Redemption Notice to a holder of Series G-3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then the shares of Series G-3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G-3 Excluded Shares</w:t>
      </w:r>
      <w:r>
        <w:rPr>
          <w:rFonts w:ascii="Times New Roman" w:cs="Times New Roman" w:eastAsia="Times New Roman" w:hAnsi="Times New Roman"/>
          <w:sz w:val="18"/>
          <w:szCs w:val="18"/>
          <w:color w:val="auto"/>
        </w:rPr>
        <w:t xml:space="preserve">.” Series G-3 Excluded Shares shall not be redeemed or redeemable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whether on such Series G-3 Redemption Date or thereafter.</w:t>
      </w:r>
    </w:p>
    <w:p>
      <w:pPr>
        <w:spacing w:after="0" w:line="187"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Series G-2 Preferred Stock</w:t>
      </w:r>
      <w:r>
        <w:rPr>
          <w:rFonts w:ascii="Times New Roman" w:cs="Times New Roman" w:eastAsia="Times New Roman" w:hAnsi="Times New Roman"/>
          <w:sz w:val="18"/>
          <w:szCs w:val="18"/>
          <w:color w:val="auto"/>
        </w:rPr>
        <w:t>. Unless prohibited by Delaware law governing distributions to stockholders, shares of Series G-2 Preferred Stock shall be redeemed by the Corporation at a price equal to the Series G-2 Original Issue Price per share, together with any other dividends declared but unpaid thereon (the “</w:t>
      </w:r>
      <w:r>
        <w:rPr>
          <w:rFonts w:ascii="Times New Roman" w:cs="Times New Roman" w:eastAsia="Times New Roman" w:hAnsi="Times New Roman"/>
          <w:sz w:val="18"/>
          <w:szCs w:val="18"/>
          <w:b w:val="1"/>
          <w:bCs w:val="1"/>
          <w:i w:val="1"/>
          <w:iCs w:val="1"/>
          <w:color w:val="auto"/>
        </w:rPr>
        <w:t>Series G-2 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G-2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not more than sixty (60) days after receipt by the Corporation, at any time during the period commencing on the date that is seven (7) years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Original Issue Date of the Series G-3 Preferred Stock and ending sixty (60) days thereafter, of written notice from the holders of a majority of the then outstanding shares of Series G-2 Preferred Stock, voting as a separate class and series, requesting redemption of all shares of Series G-2 Preferred Stock (the “</w:t>
      </w:r>
      <w:r>
        <w:rPr>
          <w:rFonts w:ascii="Times New Roman" w:cs="Times New Roman" w:eastAsia="Times New Roman" w:hAnsi="Times New Roman"/>
          <w:sz w:val="18"/>
          <w:szCs w:val="18"/>
          <w:b w:val="1"/>
          <w:bCs w:val="1"/>
          <w:i w:val="1"/>
          <w:iCs w:val="1"/>
          <w:color w:val="auto"/>
        </w:rPr>
        <w:t>Series G-2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G-2 Excluded Shares (as defined below) shall not be redeemed. Upon receipt of a Series G-2 Redemption Request, the Corporation shall apply all of its assets to any such redemption, and to no other corporate purpose, except to the extent prohibited by Delaware law governing distributions to stockholders. If, on the Series G-2 Redemption Date, Delaware law governing distributions to stockholders prevents the Corporation from redeeming all shares of Series G-2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8"/>
          <w:szCs w:val="18"/>
          <w:b w:val="1"/>
          <w:bCs w:val="1"/>
          <w:i w:val="1"/>
          <w:iCs w:val="1"/>
          <w:color w:val="auto"/>
        </w:rPr>
        <w:t>Series G-2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each holder of record of Series G-3 Preferred Stock, Series G-2 Preferred Stock, Series G Preferred Stock, Series F Preferred Stock, Series 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Preferred Stock and Series D Preferred Stock at least fifteen (15) days but no more than thirty (30) days prior to the Series G-2 Redemption Date. The Series G-2 Redemption Notice shall state (i) the number of shares of Series G-2 Preferred Stock held by the holder that the Corporation shall redeem on the Series G-2 Redemption Date, (ii) the Series G-2 Redemption Date and the Series G-2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G-2 Preferred Stock to be redeemed.</w:t>
      </w:r>
    </w:p>
    <w:p>
      <w:pPr>
        <w:spacing w:after="0" w:line="20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G-2 Redemption Notice to a holder of Series G-2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then the shares of Series G-2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G-2 Excluded Shares</w:t>
      </w:r>
      <w:r>
        <w:rPr>
          <w:rFonts w:ascii="Times New Roman" w:cs="Times New Roman" w:eastAsia="Times New Roman" w:hAnsi="Times New Roman"/>
          <w:sz w:val="18"/>
          <w:szCs w:val="18"/>
          <w:color w:val="auto"/>
        </w:rPr>
        <w:t xml:space="preserve">.” Series G-2 Excluded Shares shall not be redeemed or redeemable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whether on such Series G-2 Redemption Date or thereafter.</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80"/>
          </w:cols>
          <w:pgMar w:left="580" w:top="265" w:right="639" w:bottom="1440" w:gutter="0" w:footer="0" w:header="0"/>
        </w:sectPr>
      </w:pPr>
    </w:p>
    <w:bookmarkStart w:id="340" w:name="page341"/>
    <w:bookmarkEnd w:id="340"/>
    <w:p>
      <w:pPr>
        <w:ind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6.3 </w:t>
      </w:r>
      <w:r>
        <w:rPr>
          <w:rFonts w:ascii="Times New Roman" w:cs="Times New Roman" w:eastAsia="Times New Roman" w:hAnsi="Times New Roman"/>
          <w:sz w:val="16"/>
          <w:szCs w:val="16"/>
          <w:u w:val="single" w:color="auto"/>
          <w:color w:val="auto"/>
        </w:rPr>
        <w:t>Series G Preferred Stock</w:t>
      </w:r>
      <w:r>
        <w:rPr>
          <w:rFonts w:ascii="Times New Roman" w:cs="Times New Roman" w:eastAsia="Times New Roman" w:hAnsi="Times New Roman"/>
          <w:sz w:val="16"/>
          <w:szCs w:val="16"/>
          <w:color w:val="auto"/>
        </w:rPr>
        <w:t>. Unless prohibited by Delaware law governing distributions to stockholders, shares of Series G Preferred Stock shall be redeemed by the Corporation at a price equal to the Series G Original Issue Price per share, plus any Series G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G Redemption Date</w:t>
      </w:r>
      <w:r>
        <w:rPr>
          <w:rFonts w:ascii="Times New Roman" w:cs="Times New Roman" w:eastAsia="Times New Roman" w:hAnsi="Times New Roman"/>
          <w:sz w:val="16"/>
          <w:szCs w:val="16"/>
          <w:color w:val="auto"/>
        </w:rPr>
        <w:t>”) not more than sixty (60) days after receipt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Corporation, at any time during the period commencing on the date that is seven (7) years from the Original Issue Date of the Series G-3 Preferred Stock and ending sixty (60) days thereafter, of written notice from the holders of a majority of the then outstanding shares of Series G Preferred Stock, voting as a separate class and series, requesting redemption of all shares of Series G Preferred Stock (the “</w:t>
      </w:r>
      <w:r>
        <w:rPr>
          <w:rFonts w:ascii="Times New Roman" w:cs="Times New Roman" w:eastAsia="Times New Roman" w:hAnsi="Times New Roman"/>
          <w:sz w:val="16"/>
          <w:szCs w:val="16"/>
          <w:b w:val="1"/>
          <w:bCs w:val="1"/>
          <w:i w:val="1"/>
          <w:iCs w:val="1"/>
          <w:color w:val="auto"/>
        </w:rPr>
        <w:t>Series G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G Excluded Shares (as defined below) shall not be redeemed. Upon receipt of a Series G Redemption Request, the Corporation shall apply all of its assets to any such redemption, and to no other corporate purpose, except to the extent prohibited by Delaware law governing distributions to stockholders. If, on the Series G Redemption Date, Delaware law governing distributions to stockholders prevents the Corporation from redeeming all shares of Series G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G Redemption Notice</w:t>
      </w:r>
      <w:r>
        <w:rPr>
          <w:rFonts w:ascii="Times New Roman" w:cs="Times New Roman" w:eastAsia="Times New Roman" w:hAnsi="Times New Roman"/>
          <w:sz w:val="16"/>
          <w:szCs w:val="16"/>
          <w:color w:val="auto"/>
        </w:rPr>
        <w:t xml:space="preserve">”) to each holder of record of Series G-3 Preferred Stock, Series G-2 Preferred Stock, Series G Preferred Stock, Series F Preferred Stock, Series E Preferred Stock and Series D Preferred Stock at least fifteen (15) days but no more than thirty (30) days prior to the Series G Redemption Date. The Series G Redemption Notice shall state (i) the number of shares of Series G Preferred Stock held by the holder that the Corporation shall redeem on the Series G Redemption Date, (ii) the Series G Redemption Date and the Series G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w:t>
      </w:r>
    </w:p>
    <w:p>
      <w:pPr>
        <w:spacing w:after="0" w:line="191" w:lineRule="exact"/>
        <w:rPr>
          <w:sz w:val="20"/>
          <w:szCs w:val="20"/>
          <w:color w:val="auto"/>
        </w:rPr>
      </w:pPr>
    </w:p>
    <w:p>
      <w:pPr>
        <w:ind w:right="100" w:firstLine="8"/>
        <w:spacing w:after="0" w:line="247" w:lineRule="auto"/>
        <w:tabs>
          <w:tab w:leader="none" w:pos="29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shares in certificated form, that the holder is to surrender to the Corporation, in the manner and at the place designated, his, her or its certificate or certificates representing the shares of Series G Preferred Stock to be redeemed.</w:t>
      </w:r>
    </w:p>
    <w:p>
      <w:pPr>
        <w:spacing w:after="0" w:line="1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G Redemption Notice to a holder of Series G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then the shares of Series G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 Excluded Shares</w:t>
      </w:r>
      <w:r>
        <w:rPr>
          <w:rFonts w:ascii="Times New Roman" w:cs="Times New Roman" w:eastAsia="Times New Roman" w:hAnsi="Times New Roman"/>
          <w:sz w:val="18"/>
          <w:szCs w:val="18"/>
          <w:color w:val="auto"/>
        </w:rPr>
        <w:t xml:space="preserve">.” Series G Excluded Shares shall not be redeemed or redeemable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whether on such Series G Redemption Date or thereafter.</w:t>
      </w:r>
    </w:p>
    <w:p>
      <w:pPr>
        <w:spacing w:after="0" w:line="187" w:lineRule="exact"/>
        <w:rPr>
          <w:sz w:val="20"/>
          <w:szCs w:val="20"/>
          <w:color w:val="auto"/>
        </w:rPr>
      </w:pPr>
    </w:p>
    <w:p>
      <w:pPr>
        <w:ind w:right="640" w:firstLine="1393"/>
        <w:spacing w:after="0" w:line="25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Series F Preferred Stock</w:t>
      </w:r>
      <w:r>
        <w:rPr>
          <w:rFonts w:ascii="Times New Roman" w:cs="Times New Roman" w:eastAsia="Times New Roman" w:hAnsi="Times New Roman"/>
          <w:sz w:val="18"/>
          <w:szCs w:val="18"/>
          <w:color w:val="auto"/>
        </w:rPr>
        <w:t>. Unless prohibited by Delaware law governing distributions to stockholders, shares of Series F Preferred Stock shall be redeemed by the Corporation at a price equal to the Series F Original Issue Price per share, plus any Series F Accruing Dividends accrued but unpaid thereon,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in one (1) cash payment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680"/>
          </w:cols>
          <w:pgMar w:left="580" w:top="265" w:right="639" w:bottom="1440" w:gutter="0" w:footer="0" w:header="0"/>
        </w:sectPr>
      </w:pPr>
    </w:p>
    <w:bookmarkStart w:id="341" w:name="page342"/>
    <w:bookmarkEnd w:id="341"/>
    <w:p>
      <w:pPr>
        <w:ind w:right="20"/>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(such date of redemption, the “</w:t>
      </w:r>
      <w:r>
        <w:rPr>
          <w:rFonts w:ascii="Times New Roman" w:cs="Times New Roman" w:eastAsia="Times New Roman" w:hAnsi="Times New Roman"/>
          <w:sz w:val="18"/>
          <w:szCs w:val="18"/>
          <w:b w:val="1"/>
          <w:bCs w:val="1"/>
          <w:i w:val="1"/>
          <w:iCs w:val="1"/>
          <w:color w:val="auto"/>
        </w:rPr>
        <w:t>Series F Redemption Date</w:t>
      </w:r>
      <w:r>
        <w:rPr>
          <w:rFonts w:ascii="Times New Roman" w:cs="Times New Roman" w:eastAsia="Times New Roman" w:hAnsi="Times New Roman"/>
          <w:sz w:val="18"/>
          <w:szCs w:val="18"/>
          <w:color w:val="auto"/>
        </w:rPr>
        <w:t>”) not more than sixty (60) days after receipt by the Corporation, at any time during the period commencing on the date that is seven (7) years from the Original Issue Date of the Series G-3 Preferred Stock and ending sixty (60) days thereafter, of written notice from the holders of a majority of the then outstanding shares of Series F Preferred Stock, voting as a separate class and series, requesting redemption of all shares of Series F Preferred Stock (the “</w:t>
      </w:r>
      <w:r>
        <w:rPr>
          <w:rFonts w:ascii="Times New Roman" w:cs="Times New Roman" w:eastAsia="Times New Roman" w:hAnsi="Times New Roman"/>
          <w:sz w:val="18"/>
          <w:szCs w:val="18"/>
          <w:b w:val="1"/>
          <w:bCs w:val="1"/>
          <w:i w:val="1"/>
          <w:iCs w:val="1"/>
          <w:color w:val="auto"/>
        </w:rPr>
        <w:t>Series F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F Excluded Shares (as defined below) shall not be redeemed. Upon receipt of a Series F Redemption Request, the Corporation shall apply all of its assets to any such redemption, and to no other corporate purpose, except to the extent prohibited by Delaware law governing distributions to stockholders. If, on the Series F Redemption Date, Delaware law governing distributions to stockholders prevents the Corporation from redeeming all shares of Series F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8"/>
          <w:szCs w:val="18"/>
          <w:b w:val="1"/>
          <w:bCs w:val="1"/>
          <w:i w:val="1"/>
          <w:iCs w:val="1"/>
          <w:color w:val="auto"/>
        </w:rPr>
        <w:t>Series F Redemption Notice</w:t>
      </w:r>
      <w:r>
        <w:rPr>
          <w:rFonts w:ascii="Times New Roman" w:cs="Times New Roman" w:eastAsia="Times New Roman" w:hAnsi="Times New Roman"/>
          <w:sz w:val="18"/>
          <w:szCs w:val="18"/>
          <w:color w:val="auto"/>
        </w:rPr>
        <w:t xml:space="preserve">”) to each holder of record of Series G-3 Preferred Stock, Series G-2 Preferred Stock, Series G Preferred Stock, Series F Preferred Stock, Series E Preferred Stock and Series D Preferred Stock at least fifteen (15) days but no more than thirty (30) days prior to the Series F Redemption Date. The Series F Redemption Notice shall state (i) the number of shares of Series F Preferred Stock held by the holder that the Corporation shall redeem on the Series F Redemption Date, (ii) the Series F Redemption Date and the Series F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F Preferred Stock to be redeemed.</w:t>
      </w:r>
    </w:p>
    <w:p>
      <w:pPr>
        <w:spacing w:after="0" w:line="19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F Redemption Notice to a holder of Series F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then the shares of Series F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F Excluded Shares</w:t>
      </w:r>
      <w:r>
        <w:rPr>
          <w:rFonts w:ascii="Times New Roman" w:cs="Times New Roman" w:eastAsia="Times New Roman" w:hAnsi="Times New Roman"/>
          <w:sz w:val="18"/>
          <w:szCs w:val="18"/>
          <w:color w:val="auto"/>
        </w:rPr>
        <w:t xml:space="preserve">.” Series F Excluded Shares shall not be redeemed or redeemable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whether on such Series F Redemption Date or thereafter.</w:t>
      </w:r>
    </w:p>
    <w:p>
      <w:pPr>
        <w:spacing w:after="0" w:line="187"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Series E Preferred Stock</w:t>
      </w:r>
      <w:r>
        <w:rPr>
          <w:rFonts w:ascii="Times New Roman" w:cs="Times New Roman" w:eastAsia="Times New Roman" w:hAnsi="Times New Roman"/>
          <w:sz w:val="18"/>
          <w:szCs w:val="18"/>
          <w:color w:val="auto"/>
        </w:rPr>
        <w:t>. Unless prohibited by Delaware law governing distributions to stockholders, shares of Series E Preferred Stock shall be redeemed by the Corporation at a price equal to the Series E Original Issue Price per share, plus any Series E Accruing Dividends accrued but unpaid thereon,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E Redemption Date</w:t>
      </w:r>
      <w:r>
        <w:rPr>
          <w:rFonts w:ascii="Times New Roman" w:cs="Times New Roman" w:eastAsia="Times New Roman" w:hAnsi="Times New Roman"/>
          <w:sz w:val="18"/>
          <w:szCs w:val="18"/>
          <w:color w:val="auto"/>
        </w:rPr>
        <w:t>”) not more than sixty (60) days after receipt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Corporation, at any time during the period commencing on the date that is seven (7) years from the Original Issue Date of the Series G-3 Preferred Stock and ending sixty (60) days thereafter, of written notice from the holders of a majority of the then outstanding shares of Series E Preferred Stock, voting as a separate class and series, requesting redemption of all shares of Series E Preferred Stock (the “</w:t>
      </w:r>
      <w:r>
        <w:rPr>
          <w:rFonts w:ascii="Times New Roman" w:cs="Times New Roman" w:eastAsia="Times New Roman" w:hAnsi="Times New Roman"/>
          <w:sz w:val="18"/>
          <w:szCs w:val="18"/>
          <w:b w:val="1"/>
          <w:bCs w:val="1"/>
          <w:i w:val="1"/>
          <w:iCs w:val="1"/>
          <w:color w:val="auto"/>
        </w:rPr>
        <w:t>Series E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E Excluded Shares (as defined below) shall not be redeemed. Upon receipt of a Series E Redemption Request, the Corporation shall apply all of its assets to any such redemption, and to no other corporate purpose, except to the extent prohibited by Delaware law governing distributions to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20"/>
          </w:cols>
          <w:pgMar w:left="580" w:top="261" w:right="599" w:bottom="1440" w:gutter="0" w:footer="0" w:header="0"/>
        </w:sectPr>
      </w:pPr>
    </w:p>
    <w:bookmarkStart w:id="342" w:name="page343"/>
    <w:bookmarkEnd w:id="342"/>
    <w:p>
      <w:pPr>
        <w:ind w:right="120"/>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stockholders. If, on the Series E Redemption Date, Delaware law governing distributions to stockholders prevents the Corporation from redeeming all shares of Series E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E Redemption Notice</w:t>
      </w:r>
      <w:r>
        <w:rPr>
          <w:rFonts w:ascii="Times New Roman" w:cs="Times New Roman" w:eastAsia="Times New Roman" w:hAnsi="Times New Roman"/>
          <w:sz w:val="16"/>
          <w:szCs w:val="16"/>
          <w:color w:val="auto"/>
        </w:rPr>
        <w:t xml:space="preserve">”) to each holder of record of Series G-3 Preferred Stock, Series G-2 Preferred Stock, Series G Preferred Stock, Series F Preferred Stock, Series E Preferred Stock and Series D Preferred Stock at least fifteen (15) days but no more than thirty (30) days prior to the Series E Redemption Date. The Series E Redemption Notice shall state (i) the number of shares of Series E Preferred Stock held by the holder that the Corporation shall redeem on the Series E Redemption Date, (ii) the Series E Redemption Date and the Series E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w:t>
      </w:r>
    </w:p>
    <w:p>
      <w:pPr>
        <w:spacing w:after="0" w:line="6" w:lineRule="exact"/>
        <w:rPr>
          <w:sz w:val="20"/>
          <w:szCs w:val="20"/>
          <w:color w:val="auto"/>
        </w:rPr>
      </w:pPr>
    </w:p>
    <w:p>
      <w:pPr>
        <w:ind w:right="60" w:firstLine="8"/>
        <w:spacing w:after="0" w:line="247" w:lineRule="auto"/>
        <w:tabs>
          <w:tab w:leader="none" w:pos="29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shares in certificated form, that the holder is to surrender to the Corporation, in the manner and at the place designated, his, her or its certificate or certificates representing the shares of Series E Preferred Stock to be redeemed.</w:t>
      </w:r>
    </w:p>
    <w:p>
      <w:pPr>
        <w:spacing w:after="0" w:line="18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E Redemption Notice to a holder of Series E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then the shares of Series E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E Excluded Shares</w:t>
      </w:r>
      <w:r>
        <w:rPr>
          <w:rFonts w:ascii="Times New Roman" w:cs="Times New Roman" w:eastAsia="Times New Roman" w:hAnsi="Times New Roman"/>
          <w:sz w:val="18"/>
          <w:szCs w:val="18"/>
          <w:color w:val="auto"/>
        </w:rPr>
        <w:t xml:space="preserve">.” Series E Excluded Shares shall not be redeemed or redeemable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whether on such Series E Redemption Date or thereafter.</w:t>
      </w:r>
    </w:p>
    <w:p>
      <w:pPr>
        <w:spacing w:after="0" w:line="187" w:lineRule="exact"/>
        <w:rPr>
          <w:sz w:val="20"/>
          <w:szCs w:val="20"/>
          <w:color w:val="auto"/>
        </w:rPr>
      </w:pPr>
    </w:p>
    <w:p>
      <w:pPr>
        <w:ind w:firstLine="1393"/>
        <w:spacing w:after="0" w:line="278" w:lineRule="auto"/>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u w:val="single" w:color="auto"/>
          <w:color w:val="auto"/>
        </w:rPr>
        <w:t>Series D Preferred Stock</w:t>
      </w:r>
      <w:r>
        <w:rPr>
          <w:rFonts w:ascii="Times New Roman" w:cs="Times New Roman" w:eastAsia="Times New Roman" w:hAnsi="Times New Roman"/>
          <w:sz w:val="16"/>
          <w:szCs w:val="16"/>
          <w:color w:val="auto"/>
        </w:rPr>
        <w:t>. Unless prohibited by Delaware law governing distributions to stockholders, shares of Series D Preferred Stock shall be redeemed by the Corporation at a price equal to the Series D Original Issue Price per share, plus any Series D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D Redemption Date</w:t>
      </w:r>
      <w:r>
        <w:rPr>
          <w:rFonts w:ascii="Times New Roman" w:cs="Times New Roman" w:eastAsia="Times New Roman" w:hAnsi="Times New Roman"/>
          <w:sz w:val="16"/>
          <w:szCs w:val="16"/>
          <w:color w:val="auto"/>
        </w:rPr>
        <w:t>” and together with each of the Series 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Redemption Date, the Series F Redemption Date and the Series E Redemption Date, a “</w:t>
      </w:r>
      <w:r>
        <w:rPr>
          <w:rFonts w:ascii="Times New Roman" w:cs="Times New Roman" w:eastAsia="Times New Roman" w:hAnsi="Times New Roman"/>
          <w:sz w:val="16"/>
          <w:szCs w:val="16"/>
          <w:b w:val="1"/>
          <w:bCs w:val="1"/>
          <w:i w:val="1"/>
          <w:iCs w:val="1"/>
          <w:color w:val="auto"/>
        </w:rPr>
        <w:t>Redemption Date</w:t>
      </w:r>
      <w:r>
        <w:rPr>
          <w:rFonts w:ascii="Times New Roman" w:cs="Times New Roman" w:eastAsia="Times New Roman" w:hAnsi="Times New Roman"/>
          <w:sz w:val="16"/>
          <w:szCs w:val="16"/>
          <w:color w:val="auto"/>
        </w:rPr>
        <w:t>”) not more than sixty (60) days after receipt by the Corporation, at any time during the period commencing on the date that is seven (7) years from the Original Issue Date of the Series G-3 Preferred Stock and ending sixty (60) days thereafter, of written notice from the holders of at least sixty percent (60%) of the then outstanding shares of Series D Preferred Stock, voting as a separate class and series, requesting redemption of all shares of Series D Preferred Stock (the “</w:t>
      </w:r>
      <w:r>
        <w:rPr>
          <w:rFonts w:ascii="Times New Roman" w:cs="Times New Roman" w:eastAsia="Times New Roman" w:hAnsi="Times New Roman"/>
          <w:sz w:val="16"/>
          <w:szCs w:val="16"/>
          <w:b w:val="1"/>
          <w:bCs w:val="1"/>
          <w:i w:val="1"/>
          <w:iCs w:val="1"/>
          <w:color w:val="auto"/>
        </w:rPr>
        <w:t>Series 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Request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D Excluded Shares (as defined below) shall not be redeemed. Upon receipt of a Series 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Redemption Request, the Corporation shall apply all of its assets to any such redemption, and to no other corporate purpose, except to the extent prohibited by Delaware law governing distributions to stockholders. If, on the Series D Redemption Date, Delaware law governing distributions to stockholders prevents the Corporation from redeeming all shares of Series D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D Redemption Notice</w:t>
      </w:r>
      <w:r>
        <w:rPr>
          <w:rFonts w:ascii="Times New Roman" w:cs="Times New Roman" w:eastAsia="Times New Roman" w:hAnsi="Times New Roman"/>
          <w:sz w:val="16"/>
          <w:szCs w:val="16"/>
          <w:color w:val="auto"/>
        </w:rPr>
        <w:t>”) to each holder of record of Series G-3 Preferred Stock, Series G-2 Preferred Stock, Series G Preferred Stock, Series F Preferred Stock, Series E Preferred Stock and Series D</w:t>
      </w: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640"/>
          </w:cols>
          <w:pgMar w:left="580" w:top="265" w:right="679" w:bottom="1440" w:gutter="0" w:footer="0" w:header="0"/>
        </w:sectPr>
      </w:pPr>
    </w:p>
    <w:bookmarkStart w:id="343" w:name="page344"/>
    <w:bookmarkEnd w:id="343"/>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Preferred Stock at least fifteen (15) days but no more than thirty (30) days prior to the Series D Redemption Date. The Series D Redemption Notice shall state (i) the number of shares of Series D Preferred Stock held by the holder that the Corporation shall redeem on the Series D Redemption Date, (ii) the Series D Redemption Date and the Series D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D Preferred Stock to be redeemed.</w:t>
      </w:r>
    </w:p>
    <w:p>
      <w:pPr>
        <w:spacing w:after="0" w:line="15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D Redemption Notice to a holder of Series D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then the shares of Series D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D Excluded Shares</w:t>
      </w:r>
      <w:r>
        <w:rPr>
          <w:rFonts w:ascii="Times New Roman" w:cs="Times New Roman" w:eastAsia="Times New Roman" w:hAnsi="Times New Roman"/>
          <w:sz w:val="18"/>
          <w:szCs w:val="18"/>
          <w:color w:val="auto"/>
        </w:rPr>
        <w:t xml:space="preserve">.” Series D Excluded Shares shall not be redeemed or redeemable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whether on such Series D Redemption Date or thereafter.</w:t>
      </w:r>
    </w:p>
    <w:p>
      <w:pPr>
        <w:spacing w:after="0" w:line="187" w:lineRule="exact"/>
        <w:rPr>
          <w:sz w:val="20"/>
          <w:szCs w:val="20"/>
          <w:color w:val="auto"/>
        </w:rPr>
      </w:pPr>
    </w:p>
    <w:p>
      <w:pPr>
        <w:ind w:right="40" w:firstLine="1393"/>
        <w:spacing w:after="0" w:line="244"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Priority of Redemption Payments</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the contrary, if (i) the Corporation receives a Series G-3 Redemption Request, Series G-2 Redemption Request, Series G Redemption Request, Series F Redemption Request, Series E Redemption Request and/or a Series D Redemption Request, and (ii) on the applicable Redemption Date, Delaware law governing distributions to stockholders prevents the Corporation from redeeming all of the shares of Series G-3 Preferred Stock, Series G-2 Preferred Stock, Series G Preferred Stock, Series F Preferred Stock, Series E Preferred Stock and/or Series D Preferred Stock, then the Corporation shall so notify the holders of shares of Series G-3 Preferred Stock, Series G-2 Preferred Stock, Series G Preferred Stock, Series F Preferred Stock, Series E Preferred Stock and/or Series D Preferred Stock, as applicable, and the Corporation shall redeem such shares of Series G-3 Preferred Stock, Series G-2 Preferred Stock, Series G Preferred Stock, Series F Preferred Stock, Series E Preferred Stock and/or Series D Preferred Stock in the following order of priority: (A)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the Corporation shall redeem the number of shares of Series G-3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G-3 Preferred Stock, and shall redeem the remaining shares of Series G-3 Preferred Stock as soon as it may lawfully do so under such law; (B)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after redemption of all shares of Series G-3 Preferred Stock, the Corporation shall redeem the number of shares of Series G-2 Preferred Stock which the Corporation may redeem in a manner consistent with such law,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among all holders of Series G-2 Preferred Stock, and shall redeem the remaining shares of Series G-2 Preferred Stock as soon as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lawfully do so under such law; (C)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after redemption of all shares of Series G-3 Preferred Stock and Series G-2 Preferred Stock, the Corporation shall redeem the number of shares of Series G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 Preferred Stock, and shall redeem the remaining shares of Series G Preferred Stock as soon as it may lawfully do so under such law; (D)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after redemption of all shares of Series G-3 Preferred Stock, Series G-2 Preferred Stock and Series G Preferred Stock, the Corporation shall redeem the number of shares of Series F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F Preferred Stock, and shall redeem the remaining shares of Series F Preferred Stock as soon as it may lawfully do so under such law; (E)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after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580" w:top="265" w:right="599" w:bottom="1440" w:gutter="0" w:footer="0" w:header="0"/>
        </w:sectPr>
      </w:pPr>
    </w:p>
    <w:bookmarkStart w:id="344" w:name="page345"/>
    <w:bookmarkEnd w:id="344"/>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redemption of all shares of Series G-3 Preferred Stock, Series G-2 Preferred Stock, Series G Preferred Stock and Series F Preferred Stock, the Corporation shall redeem the number of shares of Series E Preferred Stock which the Corporation may redeem in a manner consistent with such law,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among all holders of Series E Preferred Stock, and shall redeem the remaining shares of Series E Preferred Stock as soon as it may lawfully do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such law; and (F)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after redemption of all shares of Series G-3 Preferred Stock, Series G-2 Preferred Stock, Series G Preferred Stock, Series F Preferred Stock and Series E Preferred Stock, the Corporation shall redeem the number of shares of Series D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D Preferred Stock, and shall redeem the remaining shares of Series D Preferred Stock as soon as it may lawfully do so under such law.</w:t>
      </w:r>
    </w:p>
    <w:p>
      <w:pPr>
        <w:spacing w:after="0" w:line="189" w:lineRule="exact"/>
        <w:rPr>
          <w:sz w:val="20"/>
          <w:szCs w:val="20"/>
          <w:color w:val="auto"/>
        </w:rPr>
      </w:pPr>
    </w:p>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Surrender of Certificates; Payment</w:t>
      </w:r>
      <w:r>
        <w:rPr>
          <w:rFonts w:ascii="Times New Roman" w:cs="Times New Roman" w:eastAsia="Times New Roman" w:hAnsi="Times New Roman"/>
          <w:sz w:val="18"/>
          <w:szCs w:val="18"/>
          <w:color w:val="auto"/>
        </w:rPr>
        <w:t>. On or before the Series G-3 Redemption Date, Series G-2 Redemption Date, Series G Redemption Date, Series F Redemption Date, Series E Redemption Date and/or the Series D Redemption Date, each holder of Series G-3 Preferred Stock, Series G-2 Preferred Stock, Series G Preferred Stock, Series F Preferred Stock, Series E Preferred Stock or Series D Preferred Stock, as applicable, having shares redeemed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Series G-3 Redemption Notice, Series G-2 Redemption Notice, Series G Redemption Notice, Series F Redemption Notice, Series E Redemption Notice or the Series D Redemption Notice, and thereupon the Series G-3 Redemption Notice, Series G-2 Redemption Notice, Series G Redemption Notice, Series F Redemption Price, Series E Redemption Price or the Series D Redemption Price for such shares shall be payable to the order of the person whose name appears on such certificate or certificates as the owner thereof.</w:t>
      </w:r>
    </w:p>
    <w:p>
      <w:pPr>
        <w:spacing w:after="0" w:line="196" w:lineRule="exact"/>
        <w:rPr>
          <w:sz w:val="20"/>
          <w:szCs w:val="20"/>
          <w:color w:val="auto"/>
        </w:rPr>
      </w:pPr>
    </w:p>
    <w:p>
      <w:pPr>
        <w:ind w:right="20" w:firstLine="1393"/>
        <w:spacing w:after="0" w:line="278" w:lineRule="auto"/>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6"/>
          <w:szCs w:val="16"/>
          <w:u w:val="single" w:color="auto"/>
          <w:color w:val="auto"/>
        </w:rPr>
        <w:t>Rights Subsequent to Redemption</w:t>
      </w:r>
      <w:r>
        <w:rPr>
          <w:rFonts w:ascii="Times New Roman" w:cs="Times New Roman" w:eastAsia="Times New Roman" w:hAnsi="Times New Roman"/>
          <w:sz w:val="16"/>
          <w:szCs w:val="16"/>
          <w:color w:val="auto"/>
        </w:rPr>
        <w:t>. If the Series G-3 Redemption Notice, Series G-2 Redemption Notice, Series G Redemption Notice, the Series F Redemption Notice, the Series E Redemption Notice or the Series D Redemption Notice shall have been duly given, and if the Series G-3 Redemption Price, Series G-2 Redemption Price, Series G Redemption Price, the Series F Redemption Price, the Series E Redemption Price or the Series D Redemption Price payable upon redemption of the shares of Series G-3 Preferred Stock, Series G-2 Preferred Stock, Series G Preferred Stock, Series F Preferred Stock, Series E Preferred Stock or Series D Preferred Stock to be redeemed (or shares of Voting Common Stock into which such shares of Series G-3 Preferred Stock, Series G-2 Preferred Stock, Series G Preferred Stock, Series F Preferred Stock, Series E Preferred Stock or Series D Preferred Stock have been converted) is paid or tendered for payment or deposited with an independent payment agent so as to be available therefor in a timely manner, then notwithstanding that any certificates evidencing any of the shares of Series G-3 Preferred Stock, Series G-2 Preferred Stock, Series G Preferred Stock, Series F Preferred Stock, Series E Preferred Stock or Series D Preferred Stock (or shares of Voting Common Stock into which such shares of Series G-3 Preferred Stock, Series G-2 Preferred Stock, Series G Preferred Stock, Series F Preferred Stock, Series E Preferred Stock or Series D Preferred Stock have been converted) so called for redemption shall not have been surrendered, dividends with respect to such shares shall cease to accrue after such date and all rights with respect to such shares shall forthwith after such date terminate, except only the right of the holders to receive the Series G-3 Redemption Price, Series G-2 Redemption Price, Series G Redemption Price, Series F Redemption Price, the Series E Redemption Price or the Series D Redemption Price, as applicable, without interest upon surrender of any such certificate or certificates therefor.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00"/>
          </w:cols>
          <w:pgMar w:left="580" w:top="265" w:right="619" w:bottom="1440" w:gutter="0" w:footer="0" w:header="0"/>
        </w:sectPr>
      </w:pPr>
    </w:p>
    <w:bookmarkStart w:id="345" w:name="page346"/>
    <w:bookmarkEnd w:id="345"/>
    <w:p>
      <w:pPr>
        <w:ind w:right="200" w:firstLine="139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6.10 </w:t>
      </w:r>
      <w:r>
        <w:rPr>
          <w:rFonts w:ascii="Times New Roman" w:cs="Times New Roman" w:eastAsia="Times New Roman" w:hAnsi="Times New Roman"/>
          <w:sz w:val="18"/>
          <w:szCs w:val="18"/>
          <w:u w:val="single" w:color="auto"/>
          <w:color w:val="auto"/>
        </w:rPr>
        <w:t>Failure to Pay Redemption Price</w:t>
      </w:r>
      <w:r>
        <w:rPr>
          <w:rFonts w:ascii="Times New Roman" w:cs="Times New Roman" w:eastAsia="Times New Roman" w:hAnsi="Times New Roman"/>
          <w:sz w:val="18"/>
          <w:szCs w:val="18"/>
          <w:color w:val="auto"/>
        </w:rPr>
        <w:t>. If, for any reason, the Corporation fails to pay the Series G-3 Redemption Price, Series G-2 Redemption Price, Series G Redemption Price, the Series F Redemption Price, the Series E Redemption Price and/or the Series D Redemption Price when due (including as a result of any applicable law prohibiting payment), then:</w:t>
      </w:r>
    </w:p>
    <w:p>
      <w:pPr>
        <w:spacing w:after="0" w:line="180" w:lineRule="exact"/>
        <w:rPr>
          <w:sz w:val="20"/>
          <w:szCs w:val="20"/>
          <w:color w:val="auto"/>
        </w:rPr>
      </w:pPr>
    </w:p>
    <w:p>
      <w:pPr>
        <w:ind w:right="40" w:firstLine="1928"/>
        <w:spacing w:after="0" w:line="277" w:lineRule="auto"/>
        <w:rPr>
          <w:sz w:val="20"/>
          <w:szCs w:val="20"/>
          <w:color w:val="auto"/>
        </w:rPr>
      </w:pPr>
      <w:r>
        <w:rPr>
          <w:rFonts w:ascii="Times New Roman" w:cs="Times New Roman" w:eastAsia="Times New Roman" w:hAnsi="Times New Roman"/>
          <w:sz w:val="16"/>
          <w:szCs w:val="16"/>
          <w:color w:val="auto"/>
        </w:rPr>
        <w:t>6.10.1 The Corporation shall, if requested by (i) the holders of a majority of the outstanding shares of Series G-3 Preferred Stock subject to redemption, voting as a separate class and series, upon failure to pay the Series G-3 Redemption Price, (ii) the holders of a majority of the outstanding shares of Series G-2 Preferred Stock subject to redemption, voting as a separate class and series, upon failure to pay the Series G-2 Redemption Price, (iii) the holders of a majority of the outstanding shares of Series G Preferred Stock subject to redemption, voting as a separate class and series, upon failure to pay the Series G Redemption Price, (iv) the holders of a majority of the outstanding shares of Series F Preferred Stock subject to redemption, voting as a separate class and series, upon failure to pay the Series F Redemption Price, (v) the holders of a majority of the outstanding shares of Series E Preferred Stock subject to redemption, voting as a separate class and series, upon failure to pay the Series E Redemption Price, or</w:t>
      </w:r>
    </w:p>
    <w:p>
      <w:pPr>
        <w:spacing w:after="0" w:line="2" w:lineRule="exact"/>
        <w:rPr>
          <w:sz w:val="20"/>
          <w:szCs w:val="20"/>
          <w:color w:val="auto"/>
        </w:rPr>
      </w:pPr>
    </w:p>
    <w:p>
      <w:pPr>
        <w:ind w:right="40" w:firstLine="8"/>
        <w:spacing w:after="0" w:line="274" w:lineRule="auto"/>
        <w:tabs>
          <w:tab w:leader="none" w:pos="296"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sixty percent (60%) of the outstanding shares of Series D Preferred Stock subject to redemption, voting as a separate class and series, upon failure to pay the Series D Redemption Price, in each case by delivery of written notice to the Corporation, initiate a sale process (the “</w:t>
      </w:r>
      <w:r>
        <w:rPr>
          <w:rFonts w:ascii="Times New Roman" w:cs="Times New Roman" w:eastAsia="Times New Roman" w:hAnsi="Times New Roman"/>
          <w:sz w:val="16"/>
          <w:szCs w:val="16"/>
          <w:b w:val="1"/>
          <w:bCs w:val="1"/>
          <w:i w:val="1"/>
          <w:iCs w:val="1"/>
          <w:color w:val="auto"/>
        </w:rPr>
        <w:t>Sale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Process</w:t>
      </w:r>
      <w:r>
        <w:rPr>
          <w:rFonts w:ascii="Times New Roman" w:cs="Times New Roman" w:eastAsia="Times New Roman" w:hAnsi="Times New Roman"/>
          <w:sz w:val="16"/>
          <w:szCs w:val="16"/>
          <w:color w:val="auto"/>
        </w:rPr>
        <w:t>”) in accordance with this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intended to result in a transaction constituting a Deemed Liquidation Event. In furtherance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foregoing, upon receipt of such written notice, the Corporation shall, and shall cause its officers, employees, consultants, counsel and advisors to use all commercially reasonable efforts to consummate a transaction that would constitute a Deemed Liquidation Event, including without limitation by taking (or causing to be taken) the actions set forth in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obligation and the obligations set forth in </w:t>
      </w:r>
      <w:r>
        <w:rPr>
          <w:rFonts w:ascii="Times New Roman" w:cs="Times New Roman" w:eastAsia="Times New Roman" w:hAnsi="Times New Roman"/>
          <w:sz w:val="16"/>
          <w:szCs w:val="16"/>
          <w:u w:val="single" w:color="auto"/>
          <w:color w:val="auto"/>
        </w:rPr>
        <w:t>Subsections 6.10.2</w:t>
      </w:r>
      <w:r>
        <w:rPr>
          <w:rFonts w:ascii="Times New Roman" w:cs="Times New Roman" w:eastAsia="Times New Roman" w:hAnsi="Times New Roman"/>
          <w:sz w:val="16"/>
          <w:szCs w:val="16"/>
          <w:color w:val="auto"/>
        </w:rPr>
        <w:t xml:space="preserve"> and</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6.10.3</w:t>
      </w:r>
      <w:r>
        <w:rPr>
          <w:rFonts w:ascii="Times New Roman" w:cs="Times New Roman" w:eastAsia="Times New Roman" w:hAnsi="Times New Roman"/>
          <w:sz w:val="16"/>
          <w:szCs w:val="16"/>
          <w:color w:val="auto"/>
        </w:rPr>
        <w:t xml:space="preserve"> shall not require the Board or the stockholders of the Corporation to approve any transaction that would constitute a Deemed Liquidation Event.</w:t>
      </w:r>
    </w:p>
    <w:p>
      <w:pPr>
        <w:spacing w:after="0" w:line="214" w:lineRule="exact"/>
        <w:rPr>
          <w:sz w:val="20"/>
          <w:szCs w:val="20"/>
          <w:color w:val="auto"/>
        </w:rPr>
      </w:pPr>
    </w:p>
    <w:p>
      <w:pPr>
        <w:ind w:firstLine="1393"/>
        <w:spacing w:after="0" w:line="253" w:lineRule="auto"/>
        <w:rPr>
          <w:sz w:val="20"/>
          <w:szCs w:val="20"/>
          <w:color w:val="auto"/>
        </w:rPr>
      </w:pPr>
      <w:r>
        <w:rPr>
          <w:rFonts w:ascii="Times New Roman" w:cs="Times New Roman" w:eastAsia="Times New Roman" w:hAnsi="Times New Roman"/>
          <w:sz w:val="18"/>
          <w:szCs w:val="18"/>
          <w:color w:val="auto"/>
        </w:rPr>
        <w:t>6.10.2 The Corporation shall engage a reputable investment bank (the “</w:t>
      </w:r>
      <w:r>
        <w:rPr>
          <w:rFonts w:ascii="Times New Roman" w:cs="Times New Roman" w:eastAsia="Times New Roman" w:hAnsi="Times New Roman"/>
          <w:sz w:val="18"/>
          <w:szCs w:val="18"/>
          <w:b w:val="1"/>
          <w:bCs w:val="1"/>
          <w:i w:val="1"/>
          <w:iCs w:val="1"/>
          <w:color w:val="auto"/>
        </w:rPr>
        <w:t>Financial Advisor</w:t>
      </w:r>
      <w:r>
        <w:rPr>
          <w:rFonts w:ascii="Times New Roman" w:cs="Times New Roman" w:eastAsia="Times New Roman" w:hAnsi="Times New Roman"/>
          <w:sz w:val="18"/>
          <w:szCs w:val="18"/>
          <w:color w:val="auto"/>
        </w:rPr>
        <w:t xml:space="preserve">”) to assist with the Sale Process. The Financial Advisor, as well as any other advisors engaged pursuant to this </w:t>
      </w:r>
      <w:r>
        <w:rPr>
          <w:rFonts w:ascii="Times New Roman" w:cs="Times New Roman" w:eastAsia="Times New Roman" w:hAnsi="Times New Roman"/>
          <w:sz w:val="18"/>
          <w:szCs w:val="18"/>
          <w:u w:val="single" w:color="auto"/>
          <w:color w:val="auto"/>
        </w:rPr>
        <w:t>Subsection 6.10.2</w:t>
      </w:r>
      <w:r>
        <w:rPr>
          <w:rFonts w:ascii="Times New Roman" w:cs="Times New Roman" w:eastAsia="Times New Roman" w:hAnsi="Times New Roman"/>
          <w:sz w:val="18"/>
          <w:szCs w:val="18"/>
          <w:color w:val="auto"/>
        </w:rPr>
        <w:t>, shall represent the Corporation, and only the Corporation, in the Sale Process, and the costs, fees and expenses of such advisors shall be paid by the Corporation (or may be paid through a reduction from the sale proceeds payable to the stockholders of the Corporation).</w:t>
      </w:r>
    </w:p>
    <w:p>
      <w:pPr>
        <w:spacing w:after="0" w:line="181" w:lineRule="exact"/>
        <w:rPr>
          <w:sz w:val="20"/>
          <w:szCs w:val="20"/>
          <w:color w:val="auto"/>
        </w:rPr>
      </w:pPr>
    </w:p>
    <w:p>
      <w:pPr>
        <w:ind w:right="180" w:firstLine="1393"/>
        <w:spacing w:after="0" w:line="251" w:lineRule="auto"/>
        <w:rPr>
          <w:sz w:val="20"/>
          <w:szCs w:val="20"/>
          <w:color w:val="auto"/>
        </w:rPr>
      </w:pPr>
      <w:r>
        <w:rPr>
          <w:rFonts w:ascii="Times New Roman" w:cs="Times New Roman" w:eastAsia="Times New Roman" w:hAnsi="Times New Roman"/>
          <w:sz w:val="18"/>
          <w:szCs w:val="18"/>
          <w:color w:val="auto"/>
        </w:rPr>
        <w:t xml:space="preserve">6.10.3 Without limiting the generality of the provisions of </w:t>
      </w:r>
      <w:r>
        <w:rPr>
          <w:rFonts w:ascii="Times New Roman" w:cs="Times New Roman" w:eastAsia="Times New Roman" w:hAnsi="Times New Roman"/>
          <w:sz w:val="18"/>
          <w:szCs w:val="18"/>
          <w:u w:val="single" w:color="auto"/>
          <w:color w:val="auto"/>
        </w:rPr>
        <w:t>Subsection 6.10.1</w:t>
      </w:r>
      <w:r>
        <w:rPr>
          <w:rFonts w:ascii="Times New Roman" w:cs="Times New Roman" w:eastAsia="Times New Roman" w:hAnsi="Times New Roman"/>
          <w:sz w:val="18"/>
          <w:szCs w:val="18"/>
          <w:color w:val="auto"/>
        </w:rPr>
        <w:t>, the Corporation shall, at the request of (i) the holders of a majority of the outstanding shares of Series G-3 Preferred Stock subject to redemption, voting as a separate class and series, (ii) the holders of a majority of the outstanding shares of Series G-2 Preferred Stock subject to redemption, voting as a separate class and series, (iii) the holders of a majority of the outstanding shares of Series G Preferred Stock subject to redemption, voting as a separate class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20"/>
          </w:cols>
          <w:pgMar w:left="580" w:top="265" w:right="599" w:bottom="1440" w:gutter="0" w:footer="0" w:header="0"/>
        </w:sectPr>
      </w:pPr>
    </w:p>
    <w:bookmarkStart w:id="346" w:name="page347"/>
    <w:bookmarkEnd w:id="346"/>
    <w:p>
      <w:pPr>
        <w:ind w:right="10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series, (iv) the holders of a majority of the outstanding shares of Series F Preferred Stock subject to redemption, voting as a separate class and series, (v) the holders of a majority of the outstanding shares of Series E Preferred Stock subject to redemption, voting as a separate class and series, or</w:t>
      </w:r>
    </w:p>
    <w:p>
      <w:pPr>
        <w:spacing w:after="0" w:line="1" w:lineRule="exact"/>
        <w:rPr>
          <w:sz w:val="20"/>
          <w:szCs w:val="20"/>
          <w:color w:val="auto"/>
        </w:rPr>
      </w:pPr>
    </w:p>
    <w:p>
      <w:pPr>
        <w:ind w:firstLine="8"/>
        <w:spacing w:after="0" w:line="247" w:lineRule="auto"/>
        <w:tabs>
          <w:tab w:leader="none" w:pos="2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sixty percent (60%) of the outstanding shares of Series D Preferred Stock subject to redemption, voting as a separate class and series, as applicable, and shall cause its employees, officers, consultants, counsel and advisors to:</w:t>
      </w:r>
    </w:p>
    <w:p>
      <w:pPr>
        <w:spacing w:after="0" w:line="186"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the Financial Advisor to provide a valuation of the Corporation and create a list of potential acquirers;</w:t>
      </w:r>
    </w:p>
    <w:p>
      <w:pPr>
        <w:spacing w:after="0" w:line="213"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Financial Advisor in creating a list of potential acquirers;</w:t>
      </w:r>
    </w:p>
    <w:p>
      <w:pPr>
        <w:spacing w:after="0" w:line="213" w:lineRule="exact"/>
        <w:rPr>
          <w:rFonts w:ascii="Times New Roman" w:cs="Times New Roman" w:eastAsia="Times New Roman" w:hAnsi="Times New Roman"/>
          <w:sz w:val="18"/>
          <w:szCs w:val="18"/>
          <w:color w:val="auto"/>
        </w:rPr>
      </w:pPr>
    </w:p>
    <w:p>
      <w:pPr>
        <w:ind w:right="260" w:firstLine="1936"/>
        <w:spacing w:after="0" w:line="267" w:lineRule="auto"/>
        <w:tabs>
          <w:tab w:leader="none" w:pos="216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Financial Advisor to contact potential acquirers and solicit offers with respect to the Sale Process from such potential acquirers as identified by the Financial Advisor and approved by the Corporation;</w:t>
      </w:r>
    </w:p>
    <w:p>
      <w:pPr>
        <w:spacing w:after="0" w:line="169" w:lineRule="exact"/>
        <w:rPr>
          <w:rFonts w:ascii="Times New Roman" w:cs="Times New Roman" w:eastAsia="Times New Roman" w:hAnsi="Times New Roman"/>
          <w:sz w:val="18"/>
          <w:szCs w:val="18"/>
          <w:color w:val="auto"/>
        </w:rPr>
      </w:pPr>
    </w:p>
    <w:p>
      <w:pPr>
        <w:ind w:right="140" w:firstLine="1936"/>
        <w:spacing w:after="0" w:line="267" w:lineRule="auto"/>
        <w:tabs>
          <w:tab w:leader="none" w:pos="217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and maintain a virtual or actual data room containing due diligence materials customarily provided in connection with a Sale Process, together with any other due diligence materials reasonably requested by any potential acquirer;</w:t>
      </w:r>
    </w:p>
    <w:p>
      <w:pPr>
        <w:spacing w:after="0" w:line="169"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customary non-disclosure agreements with potential acquirers;</w:t>
      </w:r>
    </w:p>
    <w:p>
      <w:pPr>
        <w:spacing w:after="0" w:line="213" w:lineRule="exact"/>
        <w:rPr>
          <w:rFonts w:ascii="Times New Roman" w:cs="Times New Roman" w:eastAsia="Times New Roman" w:hAnsi="Times New Roman"/>
          <w:sz w:val="18"/>
          <w:szCs w:val="18"/>
          <w:color w:val="auto"/>
        </w:rPr>
      </w:pPr>
    </w:p>
    <w:p>
      <w:pPr>
        <w:ind w:firstLine="1936"/>
        <w:spacing w:after="0" w:line="267" w:lineRule="auto"/>
        <w:tabs>
          <w:tab w:leader="none" w:pos="214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or assist the Financial Advisor with the preparation of, any marketing, financial or other materials deemed by the Financial Advisor to be necessary or helpful in connection with the Sale Process;</w:t>
      </w:r>
    </w:p>
    <w:p>
      <w:pPr>
        <w:spacing w:after="0" w:line="169"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attend and participate in any meetings, conference calls, or presentations regarding the Corporation and its business with</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potential acquirers; and</w:t>
      </w:r>
    </w:p>
    <w:p>
      <w:pPr>
        <w:spacing w:after="0" w:line="195" w:lineRule="exact"/>
        <w:rPr>
          <w:rFonts w:ascii="Times New Roman" w:cs="Times New Roman" w:eastAsia="Times New Roman" w:hAnsi="Times New Roman"/>
          <w:sz w:val="16"/>
          <w:szCs w:val="16"/>
          <w:color w:val="auto"/>
        </w:rPr>
      </w:pPr>
    </w:p>
    <w:p>
      <w:pPr>
        <w:ind w:right="680" w:firstLine="1936"/>
        <w:spacing w:after="0" w:line="267" w:lineRule="auto"/>
        <w:tabs>
          <w:tab w:leader="none" w:pos="217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of the Corporation’s Board of Directors, execute a letter of intent or term sheet on terms and conditions reasonably acceptable to the Corporation.</w:t>
      </w:r>
    </w:p>
    <w:p>
      <w:pPr>
        <w:spacing w:after="0" w:line="170" w:lineRule="exact"/>
        <w:rPr>
          <w:sz w:val="20"/>
          <w:szCs w:val="20"/>
          <w:color w:val="auto"/>
        </w:rPr>
      </w:pPr>
    </w:p>
    <w:p>
      <w:pPr>
        <w:ind w:firstLine="1928"/>
        <w:spacing w:after="0" w:line="246" w:lineRule="auto"/>
        <w:rPr>
          <w:sz w:val="20"/>
          <w:szCs w:val="20"/>
          <w:color w:val="auto"/>
        </w:rPr>
      </w:pPr>
      <w:r>
        <w:rPr>
          <w:rFonts w:ascii="Times New Roman" w:cs="Times New Roman" w:eastAsia="Times New Roman" w:hAnsi="Times New Roman"/>
          <w:sz w:val="18"/>
          <w:szCs w:val="18"/>
          <w:color w:val="auto"/>
        </w:rPr>
        <w:t xml:space="preserve">6.10.4 The Corporation shall, upon the request of (i) the holders of a majority of the outstanding shares of Series G-3 Preferred Stock subject to redemption, voting as a separate class and series, (ii) the holders of a majority of the outstanding shares of Series G-2 Preferred Stock subject to redemption, voting as a separate class and series, (iii) the holders of a majority of the outstanding shares of Series G Preferred Stock subject to redemption, voting as a separate class and series, (iv) the holders of a majority of the outstanding shares of Series F Preferred Stock subject to redemption, voting as a separate class and series, (v) the holders of a majority of the outstanding shares of Series E Preferred Stock subject to redemption, voting as a separate class and series, or (vi) the holders of at least sixty percent (60%) of the outstanding shares of Series D Preferred Stock subject to redemption, voting as a separate class and series, as applicable, call a meeting of the Corporation’s Board of Directors to discuss or vote on a proposed transaction constituting a Deemed Liquidation Event or other matters relating to the Sale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require the Corporation’s Board of Directors to approve any Deemed Liquidation Event.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680"/>
          </w:cols>
          <w:pgMar w:left="580" w:top="265" w:right="639" w:bottom="1440" w:gutter="0" w:footer="0" w:header="0"/>
        </w:sectPr>
      </w:pPr>
    </w:p>
    <w:bookmarkStart w:id="347" w:name="page348"/>
    <w:bookmarkEnd w:id="347"/>
    <w:p>
      <w:pPr>
        <w:ind w:left="1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6.10.5 The covenants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terminate and be of no further force or effect upon the earlier of</w:t>
      </w:r>
    </w:p>
    <w:p>
      <w:pPr>
        <w:spacing w:after="0" w:line="21" w:lineRule="exact"/>
        <w:rPr>
          <w:sz w:val="20"/>
          <w:szCs w:val="20"/>
          <w:color w:val="auto"/>
        </w:rPr>
      </w:pPr>
    </w:p>
    <w:p>
      <w:pPr>
        <w:ind w:right="660" w:firstLine="8"/>
        <w:spacing w:after="0" w:line="308" w:lineRule="auto"/>
        <w:tabs>
          <w:tab w:leader="none" w:pos="209"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immediately prior to the consummation of a Public Offering, (ii) the date when the Corporation first becomes subject to the periodic reporting requirements of Section 12(g) or 15(d) of the Securities Exchange Act of 1934, as amended, or (iii) a Deemed Liquidation Event.</w:t>
      </w:r>
    </w:p>
    <w:p>
      <w:pPr>
        <w:spacing w:after="0" w:line="140" w:lineRule="exact"/>
        <w:rPr>
          <w:rFonts w:ascii="Times New Roman" w:cs="Times New Roman" w:eastAsia="Times New Roman" w:hAnsi="Times New Roman"/>
          <w:sz w:val="16"/>
          <w:szCs w:val="16"/>
          <w:color w:val="auto"/>
        </w:rPr>
      </w:pPr>
    </w:p>
    <w:p>
      <w:pPr>
        <w:ind w:right="40" w:firstLine="972"/>
        <w:spacing w:after="0" w:line="251" w:lineRule="auto"/>
        <w:tabs>
          <w:tab w:leader="none" w:pos="113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Converted, Redeemed or Otherwise Acquired Shares</w:t>
      </w:r>
      <w:r>
        <w:rPr>
          <w:rFonts w:ascii="Times New Roman" w:cs="Times New Roman" w:eastAsia="Times New Roman" w:hAnsi="Times New Roman"/>
          <w:sz w:val="18"/>
          <w:szCs w:val="18"/>
          <w:color w:val="auto"/>
        </w:rPr>
        <w:t>. Any shares of Preferred Stock that are converted,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84" w:lineRule="exact"/>
        <w:rPr>
          <w:rFonts w:ascii="Times New Roman" w:cs="Times New Roman" w:eastAsia="Times New Roman" w:hAnsi="Times New Roman"/>
          <w:sz w:val="18"/>
          <w:szCs w:val="18"/>
          <w:color w:val="auto"/>
        </w:rPr>
      </w:pPr>
    </w:p>
    <w:p>
      <w:pPr>
        <w:ind w:firstLine="972"/>
        <w:spacing w:after="0" w:line="244" w:lineRule="auto"/>
        <w:tabs>
          <w:tab w:leader="none" w:pos="113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of the rights, powers, preferences and other terms of the Series G-3 Preferred Stock set forth herein may be waived on behalf of all holders of Series G-3 Preferred Stock by the affirmative written consent or vote of the holders of a majority of the shares of Series G-3 Preferred Stock then outstanding, voting as a separate class. Any of the rights, powers, preferences and other terms of the Series G-2 Preferred Stock set forth herein may be waived on behalf of all holders of Series G-2 Preferred Stock by the affirmative written consent or vote of the holders of a majority of the shares of Series G-2 Preferred Stock then outstanding, voting as a separate class. Any of the rights, powers, preferences and other terms of the Series G Preferred Stock set forth herein may be waived on behalf of all holders of Series G Preferred Stock by the affirmative written consent or vote of the holders of a majority of the shares of Series G Preferred Stock then outstanding, voting as a separate class. Any of the rights, powers, preferences and other terms of the Series F Preferred Stock set forth herein may be waived on behalf of all holders of Series F Preferred Stock by the affirmative written consent or vote of the holders of a majority of the shares of Series F Preferred Stock then outstanding, voting as a separate class. Any of the rights, powers, preferences and other terms of the Series E Preferred Stock set forth herein may be waived on behalf of all holders of Series E Preferred Stock by the affirmative written consent or vote of the holders of a majority of the shares of Series E Preferred Stock then outstanding, voting as a separate class. Any of the rights, powers, preferences and other terms of the Series D Preferred Stock set forth herein may be waived on behalf of all holders of Series D Preferred Stock by the affirmative written consent or vote of the holders of at least sixty percent (60%) of the shares of Series D Preferred Stock then outstanding, voting as a separate class. Any of the rights, powers, preferences and other terms of the Series C Preferred Stock set forth herein may be waived on behalf of all holders of Series C Preferred Stock by the affirmative written consent or vote of the holders of at least sixty percent (60%) of the shares of Series C Preferred Stock then outstanding, voting as a separate class. Any of the rights, powers, preferences and other terms of any other series of Preferred Stock (other than the Series E Preferred Stock, Series D Preferred Stock and Series C Preferred Stock) set forth herein may be waived on behalf of all holders of such series of Preferred Stock by the affirmative written consent or vote of the holders of a majority of the shares of such series of Preferred Stock then outstanding.</w:t>
      </w:r>
    </w:p>
    <w:p>
      <w:pPr>
        <w:spacing w:after="0" w:line="202" w:lineRule="exact"/>
        <w:rPr>
          <w:rFonts w:ascii="Times New Roman" w:cs="Times New Roman" w:eastAsia="Times New Roman" w:hAnsi="Times New Roman"/>
          <w:sz w:val="18"/>
          <w:szCs w:val="18"/>
          <w:color w:val="auto"/>
        </w:rPr>
      </w:pPr>
    </w:p>
    <w:p>
      <w:pPr>
        <w:ind w:right="340" w:firstLine="1936"/>
        <w:spacing w:after="0" w:line="302" w:lineRule="auto"/>
        <w:tabs>
          <w:tab w:leader="none" w:pos="2103" w:val="left"/>
        </w:tabs>
        <w:numPr>
          <w:ilvl w:val="2"/>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required or permitted by the provisions of this Article Seventh to be given to a holder of shares of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20"/>
          </w:cols>
          <w:pgMar w:left="580" w:top="266" w:right="599" w:bottom="1440" w:gutter="0" w:footer="0" w:header="0"/>
        </w:sectPr>
      </w:pPr>
    </w:p>
    <w:bookmarkStart w:id="348" w:name="page349"/>
    <w:bookmarkEnd w:id="348"/>
    <w:p>
      <w:pPr>
        <w:ind w:right="520" w:firstLine="428"/>
        <w:spacing w:after="0" w:line="33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EIGHTH: </w:t>
      </w:r>
      <w:r>
        <w:rPr>
          <w:rFonts w:ascii="Times New Roman" w:cs="Times New Roman" w:eastAsia="Times New Roman" w:hAnsi="Times New Roman"/>
          <w:sz w:val="16"/>
          <w:szCs w:val="16"/>
          <w:color w:val="auto"/>
        </w:rPr>
        <w:t>Subject to any additional vote required by this Restated Certificate or Bylaws, in furtherance and not in limitation of the powers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conferred by statute, the Board is expressly authorized to make, repeal, alter, amend and rescind any or all of the Bylaws of the Corporation.</w:t>
      </w:r>
    </w:p>
    <w:p>
      <w:pPr>
        <w:spacing w:after="0" w:line="120" w:lineRule="exact"/>
        <w:rPr>
          <w:sz w:val="20"/>
          <w:szCs w:val="20"/>
          <w:color w:val="auto"/>
        </w:rPr>
      </w:pPr>
    </w:p>
    <w:p>
      <w:pPr>
        <w:ind w:right="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Subject to any additional vote required by this Restated Certificate, the number of directors of the Corporation shall be determined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set forth in the Bylaws of the Corporation.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213" w:lineRule="exact"/>
        <w:rPr>
          <w:sz w:val="20"/>
          <w:szCs w:val="20"/>
          <w:color w:val="auto"/>
        </w:rPr>
      </w:pPr>
    </w:p>
    <w:p>
      <w:pPr>
        <w:ind w:right="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ELEVENTH: </w:t>
      </w:r>
      <w:r>
        <w:rPr>
          <w:rFonts w:ascii="Times New Roman" w:cs="Times New Roman" w:eastAsia="Times New Roman" w:hAnsi="Times New Roman"/>
          <w:sz w:val="18"/>
          <w:szCs w:val="18"/>
          <w:color w:val="auto"/>
        </w:rPr>
        <w:t>Meetings of stockholders may be held within or without the State of Delaware, as the Bylaws of the Corporation may provide.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books of the Corporation may be kept outside the State of Delaware at such place or places as may be designated from time to time by the Board or in the Bylaws of the Corporation.</w:t>
      </w:r>
    </w:p>
    <w:p>
      <w:pPr>
        <w:spacing w:after="0" w:line="178" w:lineRule="exact"/>
        <w:rPr>
          <w:sz w:val="20"/>
          <w:szCs w:val="20"/>
          <w:color w:val="auto"/>
        </w:rPr>
      </w:pPr>
    </w:p>
    <w:p>
      <w:pPr>
        <w:ind w:right="180" w:firstLine="428"/>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TWELFTH: </w:t>
      </w:r>
      <w:r>
        <w:rPr>
          <w:rFonts w:ascii="Times New Roman" w:cs="Times New Roman" w:eastAsia="Times New Roman" w:hAnsi="Times New Roman"/>
          <w:sz w:val="16"/>
          <w:szCs w:val="16"/>
          <w:color w:val="auto"/>
        </w:rPr>
        <w:t>To the fullest extent permitted by law, a director of the Corporation shall not be personally liable to the Corporation 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stockholders for monetary damages for breach of fiduciary duty as a director. If the DGCL or any other law of the State of Delaware is amended after approval by the stockholders of this Article Twelfth to authorize corporate action further eliminating or limiting the personal liability of directors, then the liability of a director of the Corporation shall be eliminated or limited to the fullest extent permitted by the DGCL as so amended.</w:t>
      </w:r>
    </w:p>
    <w:p>
      <w:pPr>
        <w:spacing w:after="0" w:line="154"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Any repeal or modification of the foregoing provisions of this Article Twelfth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8"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THIRTEENTH: </w:t>
      </w:r>
      <w:r>
        <w:rPr>
          <w:rFonts w:ascii="Times New Roman" w:cs="Times New Roman" w:eastAsia="Times New Roman" w:hAnsi="Times New Roman"/>
          <w:sz w:val="18"/>
          <w:szCs w:val="18"/>
          <w:color w:val="auto"/>
        </w:rPr>
        <w:t>To the fullest extent permitted by applicable law, the Corporation is authorized to provide indemnification of (and 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expenses to) directors, officers and agents of the Corporation (and any other persons to which the DGCL permits the Corporation to provide indemnification) through Bylaw provisions, agreements with such agents or other persons, vote of stockholders or disinterested directors or otherwise, in excess of the indemnification and advancement otherwise permitted by Section 145 of the DGCL.</w:t>
      </w:r>
    </w:p>
    <w:p>
      <w:pPr>
        <w:spacing w:after="0" w:line="183" w:lineRule="exact"/>
        <w:rPr>
          <w:sz w:val="20"/>
          <w:szCs w:val="20"/>
          <w:color w:val="auto"/>
        </w:rPr>
      </w:pPr>
    </w:p>
    <w:p>
      <w:pPr>
        <w:ind w:right="160" w:firstLine="428"/>
        <w:spacing w:after="0" w:line="267"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Thirteenth shall not adversely affect any right or protection of any director, officer or other agent of the Corporation existing at the time of such amendment, repeal or modification.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20"/>
          </w:cols>
          <w:pgMar w:left="580" w:top="263" w:right="599" w:bottom="1440" w:gutter="0" w:footer="0" w:header="0"/>
        </w:sectPr>
      </w:pPr>
    </w:p>
    <w:bookmarkStart w:id="349" w:name="page350"/>
    <w:bookmarkEnd w:id="349"/>
    <w:p>
      <w:pPr>
        <w:ind w:firstLine="428"/>
        <w:spacing w:after="0" w:line="280"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FOURTEENTH: </w:t>
      </w:r>
      <w:r>
        <w:rPr>
          <w:rFonts w:ascii="Times New Roman" w:cs="Times New Roman" w:eastAsia="Times New Roman" w:hAnsi="Times New Roman"/>
          <w:sz w:val="16"/>
          <w:szCs w:val="16"/>
          <w:color w:val="auto"/>
        </w:rPr>
        <w:t>The Corporation renounces, to the fullest extent permitted by law, any interest or expectancy of the Corporation in, or in being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offered an opportunity to participate in, any Excluded Opportunity. An “</w:t>
      </w:r>
      <w:r>
        <w:rPr>
          <w:rFonts w:ascii="Times New Roman" w:cs="Times New Roman" w:eastAsia="Times New Roman" w:hAnsi="Times New Roman"/>
          <w:sz w:val="16"/>
          <w:szCs w:val="16"/>
          <w:b w:val="1"/>
          <w:bCs w:val="1"/>
          <w:i w:val="1"/>
          <w:iCs w:val="1"/>
          <w:color w:val="auto"/>
        </w:rPr>
        <w:t>Excluded Opportunity</w:t>
      </w:r>
      <w:r>
        <w:rPr>
          <w:rFonts w:ascii="Times New Roman" w:cs="Times New Roman" w:eastAsia="Times New Roman" w:hAnsi="Times New Roman"/>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Times New Roman" w:cs="Times New Roman" w:eastAsia="Times New Roman" w:hAnsi="Times New Roman"/>
          <w:sz w:val="16"/>
          <w:szCs w:val="16"/>
          <w:b w:val="1"/>
          <w:bCs w:val="1"/>
          <w:i w:val="1"/>
          <w:iCs w:val="1"/>
          <w:color w:val="auto"/>
        </w:rPr>
        <w:t>Covered Persons</w:t>
      </w:r>
      <w:r>
        <w:rPr>
          <w:rFonts w:ascii="Times New Roman" w:cs="Times New Roman" w:eastAsia="Times New Roman" w:hAnsi="Times New Roman"/>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Fourteenth will only be prospective and will not affect the rights under this Article Fourteenth in effect at the time of the occurrence or of any actions or omissions to act giving rise to liability. Notwithstanding anything to the contrary contained elsewhere in this Amended and Restated Certificate of Incorporation, the affirmative vote of the Requisite Preferred Holders will be required to amend or repeal or to adopt any provisions inconsistent with this Article Fourteenth.</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FIFTEENTH: </w:t>
      </w:r>
      <w:r>
        <w:rPr>
          <w:rFonts w:ascii="Times New Roman" w:cs="Times New Roman" w:eastAsia="Times New Roman" w:hAnsi="Times New Roman"/>
          <w:sz w:val="18"/>
          <w:szCs w:val="18"/>
          <w:color w:val="auto"/>
        </w:rPr>
        <w:t>The following indemnification provisions shall apply to the persons enumerated below.</w:t>
      </w:r>
    </w:p>
    <w:p>
      <w:pPr>
        <w:spacing w:after="0" w:line="215" w:lineRule="exact"/>
        <w:rPr>
          <w:sz w:val="20"/>
          <w:szCs w:val="20"/>
          <w:color w:val="auto"/>
        </w:rPr>
      </w:pPr>
    </w:p>
    <w:p>
      <w:pPr>
        <w:ind w:right="40" w:firstLine="972"/>
        <w:spacing w:after="0" w:line="280" w:lineRule="auto"/>
        <w:tabs>
          <w:tab w:leader="none" w:pos="1139"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Indemnification of Directors and Officers</w:t>
      </w:r>
      <w:r>
        <w:rPr>
          <w:rFonts w:ascii="Times New Roman" w:cs="Times New Roman" w:eastAsia="Times New Roman" w:hAnsi="Times New Roman"/>
          <w:sz w:val="16"/>
          <w:szCs w:val="16"/>
          <w:color w:val="auto"/>
        </w:rPr>
        <w:t>.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16"/>
          <w:szCs w:val="16"/>
          <w:b w:val="1"/>
          <w:bCs w:val="1"/>
          <w:i w:val="1"/>
          <w:iCs w:val="1"/>
          <w:color w:val="auto"/>
        </w:rPr>
        <w:t>Indemnified Person</w:t>
      </w:r>
      <w:r>
        <w:rPr>
          <w:rFonts w:ascii="Times New Roman" w:cs="Times New Roman" w:eastAsia="Times New Roman" w:hAnsi="Times New Roman"/>
          <w:sz w:val="16"/>
          <w:szCs w:val="16"/>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6"/>
          <w:szCs w:val="16"/>
          <w:b w:val="1"/>
          <w:bCs w:val="1"/>
          <w:i w:val="1"/>
          <w:iCs w:val="1"/>
          <w:color w:val="auto"/>
        </w:rPr>
        <w:t>Proceeding</w:t>
      </w:r>
      <w:r>
        <w:rPr>
          <w:rFonts w:ascii="Times New Roman" w:cs="Times New Roman" w:eastAsia="Times New Roman" w:hAnsi="Times New Roman"/>
          <w:sz w:val="16"/>
          <w:szCs w:val="16"/>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Article Fifteenth,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 of the Corporation.</w:t>
      </w:r>
    </w:p>
    <w:p>
      <w:pPr>
        <w:spacing w:after="0" w:line="164" w:lineRule="exact"/>
        <w:rPr>
          <w:rFonts w:ascii="Times New Roman" w:cs="Times New Roman" w:eastAsia="Times New Roman" w:hAnsi="Times New Roman"/>
          <w:sz w:val="16"/>
          <w:szCs w:val="16"/>
          <w:color w:val="auto"/>
        </w:rPr>
      </w:pPr>
    </w:p>
    <w:p>
      <w:pPr>
        <w:ind w:right="20" w:firstLine="972"/>
        <w:spacing w:after="0" w:line="249" w:lineRule="auto"/>
        <w:tabs>
          <w:tab w:leader="none" w:pos="113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of Expenses of Directors and Officers</w:t>
      </w:r>
      <w:r>
        <w:rPr>
          <w:rFonts w:ascii="Times New Roman" w:cs="Times New Roman" w:eastAsia="Times New Roman" w:hAnsi="Times New Roman"/>
          <w:sz w:val="18"/>
          <w:szCs w:val="18"/>
          <w:color w:val="auto"/>
        </w:rPr>
        <w:t>. The Corporation shall pay the expenses (including attorneys’ fees) incurred by an Indemnified Person in defending any Proceeding in advance of its final disposition, provided, however,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Fifteenth or otherwise.</w:t>
      </w:r>
    </w:p>
    <w:p>
      <w:pPr>
        <w:spacing w:after="0" w:line="186" w:lineRule="exact"/>
        <w:rPr>
          <w:rFonts w:ascii="Times New Roman" w:cs="Times New Roman" w:eastAsia="Times New Roman" w:hAnsi="Times New Roman"/>
          <w:sz w:val="18"/>
          <w:szCs w:val="18"/>
          <w:color w:val="auto"/>
        </w:rPr>
      </w:pPr>
    </w:p>
    <w:p>
      <w:pPr>
        <w:ind w:firstLine="972"/>
        <w:spacing w:after="0" w:line="249" w:lineRule="auto"/>
        <w:tabs>
          <w:tab w:leader="none" w:pos="113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by Directors and Officers</w:t>
      </w:r>
      <w:r>
        <w:rPr>
          <w:rFonts w:ascii="Times New Roman" w:cs="Times New Roman" w:eastAsia="Times New Roman" w:hAnsi="Times New Roman"/>
          <w:sz w:val="18"/>
          <w:szCs w:val="18"/>
          <w:color w:val="auto"/>
        </w:rPr>
        <w:t>. If a claim for indemnification or advancement of expenses under this Article Fifteenth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00"/>
          </w:cols>
          <w:pgMar w:left="580" w:top="263" w:right="619" w:bottom="1440" w:gutter="0" w:footer="0" w:header="0"/>
        </w:sectPr>
      </w:pPr>
    </w:p>
    <w:bookmarkStart w:id="350" w:name="page351"/>
    <w:bookmarkEnd w:id="350"/>
    <w:p>
      <w:pPr>
        <w:ind w:left="-8" w:right="20" w:firstLine="972"/>
        <w:spacing w:after="0" w:line="281" w:lineRule="auto"/>
        <w:tabs>
          <w:tab w:leader="none" w:pos="1131"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Indemnification of Employees and Agents</w:t>
      </w:r>
      <w:r>
        <w:rPr>
          <w:rFonts w:ascii="Times New Roman" w:cs="Times New Roman" w:eastAsia="Times New Roman" w:hAnsi="Times New Roman"/>
          <w:sz w:val="16"/>
          <w:szCs w:val="16"/>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of the Corporation in its sole discretion. Notwithstanding the foregoing sentence, the Corporation shall not be required to indemnify a person in connection with a Proceeding initiated by such person if the Proceeding was not authorized in advance by the Board of Directors of the Corporation.</w:t>
      </w:r>
    </w:p>
    <w:p>
      <w:pPr>
        <w:spacing w:after="0" w:line="161" w:lineRule="exact"/>
        <w:rPr>
          <w:rFonts w:ascii="Times New Roman" w:cs="Times New Roman" w:eastAsia="Times New Roman" w:hAnsi="Times New Roman"/>
          <w:sz w:val="16"/>
          <w:szCs w:val="16"/>
          <w:color w:val="auto"/>
        </w:rPr>
      </w:pPr>
    </w:p>
    <w:p>
      <w:pPr>
        <w:ind w:left="-8" w:right="80" w:firstLine="972"/>
        <w:spacing w:after="0" w:line="255" w:lineRule="auto"/>
        <w:tabs>
          <w:tab w:leader="none" w:pos="113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 of Employees and Agents</w:t>
      </w:r>
      <w:r>
        <w:rPr>
          <w:rFonts w:ascii="Times New Roman" w:cs="Times New Roman" w:eastAsia="Times New Roman" w:hAnsi="Times New Roman"/>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 of the Corporation.</w:t>
      </w:r>
    </w:p>
    <w:p>
      <w:pPr>
        <w:spacing w:after="0" w:line="180" w:lineRule="exact"/>
        <w:rPr>
          <w:rFonts w:ascii="Times New Roman" w:cs="Times New Roman" w:eastAsia="Times New Roman" w:hAnsi="Times New Roman"/>
          <w:sz w:val="18"/>
          <w:szCs w:val="18"/>
          <w:color w:val="auto"/>
        </w:rPr>
      </w:pPr>
    </w:p>
    <w:p>
      <w:pPr>
        <w:ind w:left="-8" w:firstLine="972"/>
        <w:spacing w:after="0" w:line="255" w:lineRule="auto"/>
        <w:tabs>
          <w:tab w:leader="none" w:pos="113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person by this Article Fifteenth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0" w:lineRule="exact"/>
        <w:rPr>
          <w:rFonts w:ascii="Times New Roman" w:cs="Times New Roman" w:eastAsia="Times New Roman" w:hAnsi="Times New Roman"/>
          <w:sz w:val="18"/>
          <w:szCs w:val="18"/>
          <w:color w:val="auto"/>
        </w:rPr>
      </w:pPr>
    </w:p>
    <w:p>
      <w:pPr>
        <w:jc w:val="both"/>
        <w:ind w:left="-8" w:right="140" w:firstLine="972"/>
        <w:spacing w:after="0" w:line="251" w:lineRule="auto"/>
        <w:tabs>
          <w:tab w:leader="none" w:pos="113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4" w:lineRule="exact"/>
        <w:rPr>
          <w:rFonts w:ascii="Times New Roman" w:cs="Times New Roman" w:eastAsia="Times New Roman" w:hAnsi="Times New Roman"/>
          <w:sz w:val="18"/>
          <w:szCs w:val="18"/>
          <w:color w:val="auto"/>
        </w:rPr>
      </w:pPr>
    </w:p>
    <w:p>
      <w:pPr>
        <w:jc w:val="both"/>
        <w:ind w:left="-8" w:right="220" w:firstLine="972"/>
        <w:spacing w:after="0" w:line="285" w:lineRule="auto"/>
        <w:tabs>
          <w:tab w:leader="none" w:pos="1131"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Board of Directors of the Corporation may, to the full extent permitted by applicable law as it presently exists, or may hereafter be amended from time to time, authorize an appropriate officer or officers to purchase and maintain at the Corporation’s expense insurance:</w:t>
      </w:r>
    </w:p>
    <w:p>
      <w:pPr>
        <w:spacing w:after="0" w:line="1" w:lineRule="exact"/>
        <w:rPr>
          <w:rFonts w:ascii="Times New Roman" w:cs="Times New Roman" w:eastAsia="Times New Roman" w:hAnsi="Times New Roman"/>
          <w:sz w:val="16"/>
          <w:szCs w:val="16"/>
          <w:color w:val="auto"/>
        </w:rPr>
      </w:pPr>
    </w:p>
    <w:p>
      <w:pPr>
        <w:ind w:left="-8" w:right="120" w:firstLine="8"/>
        <w:spacing w:after="0" w:line="245" w:lineRule="auto"/>
        <w:tabs>
          <w:tab w:leader="none" w:pos="23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Corporation for any obligation which it incurs as a result of the indemnification of directors, officers and employees under the provisions of this Article Fifteenth; and (b) to indemnify or insure directors, officers and employees against liability in instances in which they may not otherwise be indemnified by the Corporation under the provisions of this Article Fifteenth.</w:t>
      </w:r>
    </w:p>
    <w:p>
      <w:pPr>
        <w:spacing w:after="0" w:line="12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692"/>
          </w:cols>
          <w:pgMar w:left="588" w:top="265" w:right="619" w:bottom="1440" w:gutter="0" w:footer="0" w:header="0"/>
        </w:sectPr>
      </w:pPr>
    </w:p>
    <w:bookmarkStart w:id="351" w:name="page352"/>
    <w:bookmarkEnd w:id="351"/>
    <w:p>
      <w:pPr>
        <w:ind w:right="280" w:firstLine="972"/>
        <w:spacing w:after="0" w:line="255" w:lineRule="auto"/>
        <w:tabs>
          <w:tab w:leader="none" w:pos="113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or Repeal</w:t>
      </w:r>
      <w:r>
        <w:rPr>
          <w:rFonts w:ascii="Times New Roman" w:cs="Times New Roman" w:eastAsia="Times New Roman" w:hAnsi="Times New Roman"/>
          <w:sz w:val="18"/>
          <w:szCs w:val="18"/>
          <w:color w:val="auto"/>
        </w:rPr>
        <w:t>. Any repeal or modification of the foregoing provisions of this Article Fifteenth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78" w:lineRule="exact"/>
        <w:rPr>
          <w:sz w:val="20"/>
          <w:szCs w:val="20"/>
          <w:color w:val="auto"/>
        </w:rPr>
      </w:pPr>
    </w:p>
    <w:p>
      <w:pPr>
        <w:ind w:firstLine="428"/>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SIXTEENTH: </w:t>
      </w:r>
      <w:r>
        <w:rPr>
          <w:rFonts w:ascii="Times New Roman" w:cs="Times New Roman" w:eastAsia="Times New Roman" w:hAnsi="Times New Roman"/>
          <w:sz w:val="16"/>
          <w:szCs w:val="16"/>
          <w:color w:val="auto"/>
        </w:rPr>
        <w:t>Unless the Corporation consents in writing to the selection of an alternative forum, the Court of Chancery in the State of Delaware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2" w:lineRule="exact"/>
        <w:rPr>
          <w:sz w:val="20"/>
          <w:szCs w:val="20"/>
          <w:color w:val="auto"/>
        </w:rPr>
      </w:pPr>
    </w:p>
    <w:p>
      <w:pPr>
        <w:ind w:right="60" w:firstLine="8"/>
        <w:spacing w:after="0" w:line="244" w:lineRule="auto"/>
        <w:tabs>
          <w:tab w:leader="none" w:pos="20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Sixteenth (including, without limitation, each portion of any sentence of this Article Sixteenth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398"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13" w:lineRule="exact"/>
        <w:rPr>
          <w:rFonts w:ascii="Times New Roman" w:cs="Times New Roman" w:eastAsia="Times New Roman" w:hAnsi="Times New Roman"/>
          <w:sz w:val="18"/>
          <w:szCs w:val="18"/>
          <w:color w:val="auto"/>
        </w:rPr>
      </w:pPr>
    </w:p>
    <w:p>
      <w:pPr>
        <w:ind w:right="60" w:firstLine="436"/>
        <w:spacing w:after="0" w:line="267" w:lineRule="auto"/>
        <w:tabs>
          <w:tab w:leader="none" w:pos="603"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DGCL.</w:t>
      </w:r>
    </w:p>
    <w:p>
      <w:pPr>
        <w:spacing w:after="0" w:line="169" w:lineRule="exact"/>
        <w:rPr>
          <w:rFonts w:ascii="Times New Roman" w:cs="Times New Roman" w:eastAsia="Times New Roman" w:hAnsi="Times New Roman"/>
          <w:sz w:val="18"/>
          <w:szCs w:val="18"/>
          <w:color w:val="auto"/>
        </w:rPr>
      </w:pPr>
    </w:p>
    <w:p>
      <w:pPr>
        <w:ind w:right="140" w:firstLine="436"/>
        <w:spacing w:after="0" w:line="331" w:lineRule="auto"/>
        <w:tabs>
          <w:tab w:leader="none" w:pos="603"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this Tenth Amended and Restated Certificate of Incorporation, which restates and integrates and further amends the provisions of this corporation’s Ninth Amended and Restated Certificate of Incorporation, has been duly adopted in accordance with Sections 242 and 245 of the DGCL.</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720"/>
          </w:cols>
          <w:pgMar w:left="580" w:top="265" w:right="599" w:bottom="1440" w:gutter="0" w:footer="0" w:header="0"/>
        </w:sectPr>
      </w:pPr>
    </w:p>
    <w:bookmarkStart w:id="352" w:name="page353"/>
    <w:bookmarkEnd w:id="352"/>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Tenth Amended and Restated Certificate of Incorporation has been executed by a duly authorized officer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this 18</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of April,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Ryan Fukushima</w:t>
      </w:r>
    </w:p>
    <w:p>
      <w:pPr>
        <w:spacing w:after="0" w:line="2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-127635</wp:posOffset>
            </wp:positionV>
            <wp:extent cx="252603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Operating Officer</w:t>
      </w:r>
    </w:p>
    <w:p>
      <w:pPr>
        <w:sectPr>
          <w:pgSz w:w="11900" w:h="16838" w:orient="portrait"/>
          <w:cols w:equalWidth="0" w:num="1">
            <w:col w:w="10640"/>
          </w:cols>
          <w:pgMar w:left="580" w:top="263" w:right="67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ELEVENTH 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Eric Lefkofsky hereby certifies that:</w:t>
      </w:r>
    </w:p>
    <w:p>
      <w:pPr>
        <w:spacing w:after="0" w:line="211" w:lineRule="exact"/>
        <w:rPr>
          <w:sz w:val="20"/>
          <w:szCs w:val="20"/>
          <w:color w:val="auto"/>
        </w:rPr>
      </w:pPr>
    </w:p>
    <w:p>
      <w:pPr>
        <w:ind w:right="32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ONE: </w:t>
      </w:r>
      <w:r>
        <w:rPr>
          <w:rFonts w:ascii="Times New Roman" w:cs="Times New Roman" w:eastAsia="Times New Roman" w:hAnsi="Times New Roman"/>
          <w:sz w:val="18"/>
          <w:szCs w:val="18"/>
          <w:color w:val="auto"/>
        </w:rPr>
        <w:t>The current name of this corporation is Tempus Labs, Inc. The original name of this corporation is Bioin, Inc., and the date of filing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Certificate of Incorporation of this corporation with the Secretary of State of the State of Delaware was September 21, 2015.</w:t>
      </w:r>
    </w:p>
    <w:p>
      <w:pPr>
        <w:spacing w:after="0" w:line="164" w:lineRule="exact"/>
        <w:rPr>
          <w:sz w:val="20"/>
          <w:szCs w:val="20"/>
          <w:color w:val="auto"/>
        </w:rPr>
      </w:pPr>
    </w:p>
    <w:p>
      <w:pPr>
        <w:ind w:right="20" w:firstLine="42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The original Certificate of Incorporation of this corporation was amended by a Certificate of Amendment filed with the Secretary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on September 29, 2015 and was further amended by a Certificate of Amendment filed with the Secretary of State of the State of Delaware on February 12, 2016. The Amended and Restated Certificate of Incorporation was filed on June 20, 2016 and was amended by a Certificate of Amendment filed with the Secretary of State of the State of Delaware on October 6, 2016. The Second Amended and Restated Certificate of Incorporation was filed on November 22, 2016 with the Secretary of State of the State of Delaware. The Third Amended and Restated Certificate of Incorporation was filed on April 17, 2017 with the Secretary of State of the State of Delaware. The Fourth Amended and Restated Certificate of Incorporation was filed on September 8, 2017 with the Secretary of State of the State of Delaware. The Fifth Amended and Restated Certificate of Incorporation was filed on March 16, 2018 with the Secretary of State of the State of Delaware. The Sixth Amended and Restated Certificate of Incorporation was filed on August 23, 2018 with the Secretary of State of the State of Delaware. The Seventh Amended and Restated Certificate of Incorporation was filed on April 30, 2019 with the Secretary of State of the State of Delaware. The Eighth Amended and Restated Certificate of Incorporation was filed on February 6, 2020 with the Secretary of State of the State of Delaware. The Ninth Amended and Restated Certificate of Incorporation was filed on November 19, 2020 with the Secretary of State of the State of Delaware and was further amended by a Certificate of Amendment filed with the Secretary of State of the State of Delaware on March 15, 2021. The Tenth Amended and Restated Certificate of Incorporation was filed on April 18, 2022 with the Secretary of State of the State of Delaware.</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He is the duly elected and acting Chief Executive Officer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FOUR: </w:t>
      </w:r>
      <w:r>
        <w:rPr>
          <w:rFonts w:ascii="Times New Roman" w:cs="Times New Roman" w:eastAsia="Times New Roman" w:hAnsi="Times New Roman"/>
          <w:sz w:val="18"/>
          <w:szCs w:val="18"/>
          <w:color w:val="auto"/>
        </w:rPr>
        <w:t>The Certificate of Incorporation of this corporation is hereby amended and restated to read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this company is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15" w:lineRule="exact"/>
        <w:rPr>
          <w:sz w:val="20"/>
          <w:szCs w:val="20"/>
          <w:color w:val="auto"/>
        </w:rPr>
      </w:pPr>
    </w:p>
    <w:p>
      <w:pPr>
        <w:ind w:right="200" w:firstLine="428"/>
        <w:spacing w:after="0" w:line="331" w:lineRule="auto"/>
        <w:rPr>
          <w:sz w:val="20"/>
          <w:szCs w:val="20"/>
          <w:color w:val="auto"/>
        </w:rPr>
      </w:pPr>
      <w:r>
        <w:rPr>
          <w:rFonts w:ascii="Times New Roman" w:cs="Times New Roman" w:eastAsia="Times New Roman" w:hAnsi="Times New Roman"/>
          <w:sz w:val="16"/>
          <w:szCs w:val="16"/>
          <w:color w:val="auto"/>
        </w:rPr>
        <w:t>The address of the registered office of the Company in the State of Delaware is 1209 Orange Street, City of Wilmington, County of New Castle, Delaware 19801, and the name of the registered agent of the Company in the State of Delaware at such address is The Corporation Trust Company.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15" w:lineRule="exact"/>
        <w:rPr>
          <w:sz w:val="20"/>
          <w:szCs w:val="20"/>
          <w:color w:val="auto"/>
        </w:rPr>
      </w:pPr>
    </w:p>
    <w:p>
      <w:pPr>
        <w:ind w:right="220" w:firstLine="428"/>
        <w:spacing w:after="0" w:line="267" w:lineRule="auto"/>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the General Corporation Law of the State of Delaware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354" w:name="page355"/>
    <w:bookmarkEnd w:id="35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IV.</w:t>
      </w:r>
    </w:p>
    <w:p>
      <w:pPr>
        <w:spacing w:after="0" w:line="213" w:lineRule="exact"/>
        <w:rPr>
          <w:sz w:val="20"/>
          <w:szCs w:val="20"/>
          <w:color w:val="auto"/>
        </w:rPr>
      </w:pPr>
    </w:p>
    <w:p>
      <w:pPr>
        <w:jc w:val="both"/>
        <w:ind w:right="20" w:firstLine="428"/>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color w:val="auto"/>
        </w:rPr>
        <w:t>The Company is authorized to issue three classes of stock to be designated, respectively, “Class A Common Stock,” “Class B Common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“Preferred Stock.” The total number of shares that the Company is authorized to issue is 1,025,500,000 shares, 1,000,000,000 shares of which shall be Class A Common Stock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5,500,000 shares of which shall be Class B Common Stock (the “</w:t>
      </w:r>
      <w:r>
        <w:rPr>
          <w:rFonts w:ascii="Times New Roman" w:cs="Times New Roman" w:eastAsia="Times New Roman" w:hAnsi="Times New Roman"/>
          <w:sz w:val="16"/>
          <w:szCs w:val="16"/>
          <w:b w:val="1"/>
          <w:bCs w:val="1"/>
          <w:i w:val="1"/>
          <w:iCs w:val="1"/>
          <w:color w:val="auto"/>
        </w:rPr>
        <w:t>Class B Common Stock</w:t>
      </w:r>
      <w:r>
        <w:rPr>
          <w:rFonts w:ascii="Times New Roman" w:cs="Times New Roman" w:eastAsia="Times New Roman" w:hAnsi="Times New Roman"/>
          <w:sz w:val="16"/>
          <w:szCs w:val="16"/>
          <w:color w:val="auto"/>
        </w:rPr>
        <w:t>” together with the Class A Common Stock,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and 20,000,000 shares of which shall be Preferred Stock (the “</w:t>
      </w:r>
      <w:r>
        <w:rPr>
          <w:rFonts w:ascii="Times New Roman" w:cs="Times New Roman" w:eastAsia="Times New Roman" w:hAnsi="Times New Roman"/>
          <w:sz w:val="16"/>
          <w:szCs w:val="16"/>
          <w:b w:val="1"/>
          <w:bCs w:val="1"/>
          <w:i w:val="1"/>
          <w:iCs w:val="1"/>
          <w:color w:val="auto"/>
        </w:rPr>
        <w:t>Preferred Stock</w:t>
      </w:r>
      <w:r>
        <w:rPr>
          <w:rFonts w:ascii="Times New Roman" w:cs="Times New Roman" w:eastAsia="Times New Roman" w:hAnsi="Times New Roman"/>
          <w:sz w:val="16"/>
          <w:szCs w:val="16"/>
          <w:color w:val="auto"/>
        </w:rPr>
        <w:t>”). The Preferred Stock shall have a par value of $0.0001 per share and the Common Stock shall have a par value of $0.0001 per share.</w:t>
      </w:r>
    </w:p>
    <w:p>
      <w:pPr>
        <w:spacing w:after="0" w:line="51" w:lineRule="exact"/>
        <w:rPr>
          <w:sz w:val="20"/>
          <w:szCs w:val="20"/>
          <w:color w:val="auto"/>
        </w:rPr>
      </w:pPr>
    </w:p>
    <w:p>
      <w:pPr>
        <w:ind w:right="6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Subject to the restrictions of Section 4(d) of Part D of Article IV, the Preferred Stock may be issued from time to time in one or more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spacing w:after="0" w:line="81" w:lineRule="exact"/>
        <w:rPr>
          <w:sz w:val="20"/>
          <w:szCs w:val="20"/>
          <w:color w:val="auto"/>
        </w:rPr>
      </w:pPr>
    </w:p>
    <w:p>
      <w:pPr>
        <w:ind w:right="20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number of authorized shares of Preferred Stock, Class A Common Stock or Class B Common Stock may be increased or decreased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below the number of shares thereof then outstanding) by the affirmative vote of the holders of a majority of the voting power of all of the outstanding shares of stock of the Company 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w:t>
      </w:r>
    </w:p>
    <w:p>
      <w:pPr>
        <w:spacing w:after="0" w:line="77" w:lineRule="exact"/>
        <w:rPr>
          <w:sz w:val="20"/>
          <w:szCs w:val="20"/>
          <w:color w:val="auto"/>
        </w:rPr>
      </w:pPr>
    </w:p>
    <w:p>
      <w:pPr>
        <w:ind w:right="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Except as provided above, the rights, preferences, privileges, restrictions and other matters relating to the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as follows:</w:t>
      </w:r>
    </w:p>
    <w:p>
      <w:pPr>
        <w:spacing w:after="0" w:line="59" w:lineRule="exact"/>
        <w:rPr>
          <w:sz w:val="20"/>
          <w:szCs w:val="20"/>
          <w:color w:val="auto"/>
        </w:rPr>
      </w:pPr>
    </w:p>
    <w:p>
      <w:pPr>
        <w:ind w:left="1140" w:hanging="168"/>
        <w:spacing w:after="0"/>
        <w:tabs>
          <w:tab w:leader="none" w:pos="114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b w:val="1"/>
          <w:bCs w:val="1"/>
          <w:color w:val="auto"/>
        </w:rPr>
      </w:pPr>
    </w:p>
    <w:p>
      <w:pPr>
        <w:ind w:firstLine="1400"/>
        <w:spacing w:after="0" w:line="249" w:lineRule="auto"/>
        <w:tabs>
          <w:tab w:leader="none" w:pos="1640" w:val="left"/>
        </w:tabs>
        <w:numPr>
          <w:ilvl w:val="1"/>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spacing w:after="0" w:line="76"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1"/>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the sale, lease or exchange of all or substantially all the assets of the Company.</w:t>
      </w:r>
    </w:p>
    <w:p>
      <w:pPr>
        <w:spacing w:after="0" w:line="108" w:lineRule="exact"/>
        <w:rPr>
          <w:rFonts w:ascii="Times New Roman" w:cs="Times New Roman" w:eastAsia="Times New Roman" w:hAnsi="Times New Roman"/>
          <w:sz w:val="18"/>
          <w:szCs w:val="18"/>
          <w:b w:val="1"/>
          <w:bCs w:val="1"/>
          <w:color w:val="auto"/>
        </w:rPr>
      </w:pPr>
    </w:p>
    <w:p>
      <w:pPr>
        <w:ind w:left="1640" w:hanging="240"/>
        <w:spacing w:after="0"/>
        <w:tabs>
          <w:tab w:leader="none" w:pos="1640" w:val="left"/>
        </w:tabs>
        <w:numPr>
          <w:ilvl w:val="1"/>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60"/>
          </w:cols>
          <w:pgMar w:left="580" w:top="263" w:right="659" w:bottom="1440" w:gutter="0" w:footer="0" w:header="0"/>
        </w:sectPr>
      </w:pPr>
    </w:p>
    <w:bookmarkStart w:id="355" w:name="page356"/>
    <w:bookmarkEnd w:id="355"/>
    <w:p>
      <w:pPr>
        <w:ind w:left="-20" w:right="160" w:firstLine="1400"/>
        <w:spacing w:after="0" w:line="272" w:lineRule="auto"/>
        <w:tabs>
          <w:tab w:leader="none" w:pos="163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means the certificate of incorporation of the Company, as amended and/or restated from time to time, including the terms of any certificate of designations of any series of Preferred Stock.</w:t>
      </w:r>
    </w:p>
    <w:p>
      <w:pPr>
        <w:spacing w:after="0" w:line="55" w:lineRule="exact"/>
        <w:rPr>
          <w:rFonts w:ascii="Times New Roman" w:cs="Times New Roman" w:eastAsia="Times New Roman" w:hAnsi="Times New Roman"/>
          <w:sz w:val="18"/>
          <w:szCs w:val="18"/>
          <w:b w:val="1"/>
          <w:bCs w:val="1"/>
          <w:color w:val="auto"/>
        </w:rPr>
      </w:pPr>
    </w:p>
    <w:p>
      <w:pPr>
        <w:ind w:left="-20" w:right="360" w:firstLine="1400"/>
        <w:spacing w:after="0" w:line="272" w:lineRule="auto"/>
        <w:tabs>
          <w:tab w:leader="none" w:pos="161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Control</w:t>
      </w:r>
      <w:r>
        <w:rPr>
          <w:rFonts w:ascii="Times New Roman" w:cs="Times New Roman" w:eastAsia="Times New Roman" w:hAnsi="Times New Roman"/>
          <w:sz w:val="18"/>
          <w:szCs w:val="18"/>
          <w:color w:val="auto"/>
        </w:rPr>
        <w:t>” means, with respect to a share of Class B Common Stock, the power (whether exclusive or shared) to direct any sale, assignment, transfer, conveyance hypothecation or other transfer or disposition, directly or indirectly, of such share.</w:t>
      </w:r>
    </w:p>
    <w:p>
      <w:pPr>
        <w:spacing w:after="0" w:line="55" w:lineRule="exact"/>
        <w:rPr>
          <w:rFonts w:ascii="Times New Roman" w:cs="Times New Roman" w:eastAsia="Times New Roman" w:hAnsi="Times New Roman"/>
          <w:sz w:val="18"/>
          <w:szCs w:val="18"/>
          <w:b w:val="1"/>
          <w:bCs w:val="1"/>
          <w:color w:val="auto"/>
        </w:rPr>
      </w:pPr>
    </w:p>
    <w:p>
      <w:pPr>
        <w:ind w:left="1600" w:hanging="220"/>
        <w:spacing w:after="0"/>
        <w:tabs>
          <w:tab w:leader="none" w:pos="160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partnership, limited liability company or other legal entity.</w:t>
      </w:r>
    </w:p>
    <w:p>
      <w:pPr>
        <w:spacing w:after="0" w:line="108" w:lineRule="exact"/>
        <w:rPr>
          <w:rFonts w:ascii="Times New Roman" w:cs="Times New Roman" w:eastAsia="Times New Roman" w:hAnsi="Times New Roman"/>
          <w:sz w:val="18"/>
          <w:szCs w:val="18"/>
          <w:b w:val="1"/>
          <w:bCs w:val="1"/>
          <w:color w:val="auto"/>
        </w:rPr>
      </w:pPr>
    </w:p>
    <w:p>
      <w:pPr>
        <w:ind w:left="-20" w:firstLine="1400"/>
        <w:spacing w:after="0" w:line="272" w:lineRule="auto"/>
        <w:tabs>
          <w:tab w:leader="none" w:pos="162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time this Eleventh Amended and Restated Certificate of Incorporation of the Company filed with the Secretary of State of the State of Delaware became effective in accordance with the DGCL.</w:t>
      </w:r>
    </w:p>
    <w:p>
      <w:pPr>
        <w:spacing w:after="0" w:line="55" w:lineRule="exact"/>
        <w:rPr>
          <w:rFonts w:ascii="Times New Roman" w:cs="Times New Roman" w:eastAsia="Times New Roman" w:hAnsi="Times New Roman"/>
          <w:sz w:val="18"/>
          <w:szCs w:val="18"/>
          <w:b w:val="1"/>
          <w:bCs w:val="1"/>
          <w:color w:val="auto"/>
        </w:rPr>
      </w:pPr>
    </w:p>
    <w:p>
      <w:pPr>
        <w:ind w:left="-20" w:right="220" w:firstLine="1400"/>
        <w:spacing w:after="0" w:line="258" w:lineRule="auto"/>
        <w:tabs>
          <w:tab w:leader="none" w:pos="163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w:t>
      </w:r>
    </w:p>
    <w:p>
      <w:pPr>
        <w:spacing w:after="0" w:line="67" w:lineRule="exact"/>
        <w:rPr>
          <w:rFonts w:ascii="Times New Roman" w:cs="Times New Roman" w:eastAsia="Times New Roman" w:hAnsi="Times New Roman"/>
          <w:sz w:val="18"/>
          <w:szCs w:val="18"/>
          <w:b w:val="1"/>
          <w:bCs w:val="1"/>
          <w:color w:val="auto"/>
        </w:rPr>
      </w:pPr>
    </w:p>
    <w:p>
      <w:pPr>
        <w:ind w:left="-20" w:firstLine="1400"/>
        <w:spacing w:after="0" w:line="272" w:lineRule="auto"/>
        <w:tabs>
          <w:tab w:leader="none" w:pos="1581"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 5:00 p.m. in New York City, New York on the last Trading Day of the fiscal year during which a Final Conversion Trigger Event occurs.</w:t>
      </w:r>
    </w:p>
    <w:p>
      <w:pPr>
        <w:spacing w:after="0" w:line="55" w:lineRule="exact"/>
        <w:rPr>
          <w:rFonts w:ascii="Times New Roman" w:cs="Times New Roman" w:eastAsia="Times New Roman" w:hAnsi="Times New Roman"/>
          <w:sz w:val="18"/>
          <w:szCs w:val="18"/>
          <w:b w:val="1"/>
          <w:bCs w:val="1"/>
          <w:color w:val="auto"/>
        </w:rPr>
      </w:pPr>
    </w:p>
    <w:p>
      <w:pPr>
        <w:ind w:left="-20" w:right="20" w:firstLine="1400"/>
        <w:spacing w:after="0" w:line="250" w:lineRule="auto"/>
        <w:tabs>
          <w:tab w:leader="none" w:pos="1591"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Trigger Event</w:t>
      </w:r>
      <w:r>
        <w:rPr>
          <w:rFonts w:ascii="Times New Roman" w:cs="Times New Roman" w:eastAsia="Times New Roman" w:hAnsi="Times New Roman"/>
          <w:sz w:val="18"/>
          <w:szCs w:val="18"/>
          <w:color w:val="auto"/>
        </w:rPr>
        <w:t>” shall mean the earliest to occur of any of the following (i) the twenty (20) year anniversary of the filing of the Company’s Certificate of Amendment to the Ninth Amended and Restated Certificate of Incorporation, which is March 15, 2041; (ii) the date on which the Founder is no longer providing services to the Company as an executive officer or director; and (iii) the date that the Founder and his controlled entities hold, in the aggregate, fewer than ten million (10,000,000) shares of the Company’s capital stock (as adjusted for stock splits, stock dividends, combinations, subdivisions and recapitalizations).</w:t>
      </w:r>
    </w:p>
    <w:p>
      <w:pPr>
        <w:spacing w:after="0" w:line="77" w:lineRule="exact"/>
        <w:rPr>
          <w:rFonts w:ascii="Times New Roman" w:cs="Times New Roman" w:eastAsia="Times New Roman" w:hAnsi="Times New Roman"/>
          <w:sz w:val="18"/>
          <w:szCs w:val="18"/>
          <w:b w:val="1"/>
          <w:bCs w:val="1"/>
          <w:color w:val="auto"/>
        </w:rPr>
      </w:pPr>
    </w:p>
    <w:p>
      <w:pPr>
        <w:ind w:left="1640" w:hanging="260"/>
        <w:spacing w:after="0"/>
        <w:tabs>
          <w:tab w:leader="none" w:pos="16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Eric Lefkofsky, an individual.</w:t>
      </w:r>
    </w:p>
    <w:p>
      <w:pPr>
        <w:spacing w:after="0" w:line="108" w:lineRule="exact"/>
        <w:rPr>
          <w:rFonts w:ascii="Times New Roman" w:cs="Times New Roman" w:eastAsia="Times New Roman" w:hAnsi="Times New Roman"/>
          <w:sz w:val="18"/>
          <w:szCs w:val="18"/>
          <w:b w:val="1"/>
          <w:bCs w:val="1"/>
          <w:color w:val="auto"/>
        </w:rPr>
      </w:pPr>
    </w:p>
    <w:p>
      <w:pPr>
        <w:ind w:left="-20" w:firstLine="1400"/>
        <w:spacing w:after="0" w:line="249" w:lineRule="auto"/>
        <w:tabs>
          <w:tab w:leader="none" w:pos="1581"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76" w:lineRule="exact"/>
        <w:rPr>
          <w:rFonts w:ascii="Times New Roman" w:cs="Times New Roman" w:eastAsia="Times New Roman" w:hAnsi="Times New Roman"/>
          <w:sz w:val="18"/>
          <w:szCs w:val="18"/>
          <w:b w:val="1"/>
          <w:bCs w:val="1"/>
          <w:color w:val="auto"/>
        </w:rPr>
      </w:pPr>
    </w:p>
    <w:p>
      <w:pPr>
        <w:ind w:left="-20" w:right="120" w:firstLine="1400"/>
        <w:spacing w:after="0" w:line="272" w:lineRule="auto"/>
        <w:tabs>
          <w:tab w:leader="none" w:pos="1678"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or interests of such Entity.</w:t>
      </w:r>
    </w:p>
    <w:p>
      <w:pPr>
        <w:spacing w:after="0" w:line="55" w:lineRule="exact"/>
        <w:rPr>
          <w:rFonts w:ascii="Times New Roman" w:cs="Times New Roman" w:eastAsia="Times New Roman" w:hAnsi="Times New Roman"/>
          <w:sz w:val="18"/>
          <w:szCs w:val="18"/>
          <w:b w:val="1"/>
          <w:bCs w:val="1"/>
          <w:color w:val="auto"/>
        </w:rPr>
      </w:pPr>
    </w:p>
    <w:p>
      <w:pPr>
        <w:ind w:left="1640" w:hanging="260"/>
        <w:spacing w:after="0"/>
        <w:tabs>
          <w:tab w:leader="none" w:pos="16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means any of the following:</w:t>
      </w:r>
    </w:p>
    <w:p>
      <w:pPr>
        <w:spacing w:after="0" w:line="112" w:lineRule="exact"/>
        <w:rPr>
          <w:rFonts w:ascii="Times New Roman" w:cs="Times New Roman" w:eastAsia="Times New Roman" w:hAnsi="Times New Roman"/>
          <w:sz w:val="18"/>
          <w:szCs w:val="18"/>
          <w:b w:val="1"/>
          <w:bCs w:val="1"/>
          <w:color w:val="auto"/>
        </w:rPr>
      </w:pPr>
    </w:p>
    <w:p>
      <w:pPr>
        <w:ind w:left="-20" w:right="340" w:firstLine="1936"/>
        <w:spacing w:after="0" w:line="331" w:lineRule="auto"/>
        <w:tabs>
          <w:tab w:leader="none" w:pos="2117" w:val="left"/>
        </w:tabs>
        <w:numPr>
          <w:ilvl w:val="1"/>
          <w:numId w:val="1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trust for the benefit of any person so long as the Founder directly, or indirectly through one or more other Permitted Entities, has exclusive Disposition Control and exclusive Voting Control with respect to the shares of Class B Common Stock held by such trust;</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80"/>
          </w:cols>
          <w:pgMar w:left="600" w:top="261" w:right="619" w:bottom="1440" w:gutter="0" w:footer="0" w:header="0"/>
        </w:sectPr>
      </w:pPr>
    </w:p>
    <w:bookmarkStart w:id="356" w:name="page357"/>
    <w:bookmarkEnd w:id="356"/>
    <w:p>
      <w:pPr>
        <w:ind w:left="-8" w:right="40" w:firstLine="1936"/>
        <w:spacing w:after="0" w:line="255" w:lineRule="auto"/>
        <w:tabs>
          <w:tab w:leader="none" w:pos="2178"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trust under the terms of which the Founder has retained a “qualified interest” within the meaning of §2702(b) of the Internal Revenue Code of 1986 (as amended, the “</w:t>
      </w:r>
      <w:r>
        <w:rPr>
          <w:rFonts w:ascii="Times New Roman" w:cs="Times New Roman" w:eastAsia="Times New Roman" w:hAnsi="Times New Roman"/>
          <w:sz w:val="18"/>
          <w:szCs w:val="18"/>
          <w:b w:val="1"/>
          <w:bCs w:val="1"/>
          <w:i w:val="1"/>
          <w:iCs w:val="1"/>
          <w:color w:val="auto"/>
        </w:rPr>
        <w:t>Internal Revenue Code</w:t>
      </w:r>
      <w:r>
        <w:rPr>
          <w:rFonts w:ascii="Times New Roman" w:cs="Times New Roman" w:eastAsia="Times New Roman" w:hAnsi="Times New Roman"/>
          <w:sz w:val="18"/>
          <w:szCs w:val="18"/>
          <w:color w:val="auto"/>
        </w:rPr>
        <w:t>”) or a reversionary interest so long as the Founder has exclusive Disposition Control and exclusive Voting Control with respect to the shares of Class B Common Stock held by such trust;</w:t>
      </w:r>
    </w:p>
    <w:p>
      <w:pPr>
        <w:spacing w:after="0" w:line="75" w:lineRule="exact"/>
        <w:rPr>
          <w:rFonts w:ascii="Times New Roman" w:cs="Times New Roman" w:eastAsia="Times New Roman" w:hAnsi="Times New Roman"/>
          <w:sz w:val="18"/>
          <w:szCs w:val="18"/>
          <w:b w:val="1"/>
          <w:bCs w:val="1"/>
          <w:color w:val="auto"/>
        </w:rPr>
      </w:pPr>
    </w:p>
    <w:p>
      <w:pPr>
        <w:ind w:left="2232" w:hanging="304"/>
        <w:spacing w:after="0"/>
        <w:tabs>
          <w:tab w:leader="none" w:pos="2232" w:val="left"/>
        </w:tabs>
        <w:numPr>
          <w:ilvl w:val="1"/>
          <w:numId w:val="1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trust for the benefit of one or more of (1) the Founder, (2) a Family Member of the Founder, (3) a Permitted Entity or</w:t>
      </w:r>
    </w:p>
    <w:p>
      <w:pPr>
        <w:spacing w:after="0" w:line="43" w:lineRule="exact"/>
        <w:rPr>
          <w:rFonts w:ascii="Times New Roman" w:cs="Times New Roman" w:eastAsia="Times New Roman" w:hAnsi="Times New Roman"/>
          <w:sz w:val="16"/>
          <w:szCs w:val="16"/>
          <w:b w:val="1"/>
          <w:bCs w:val="1"/>
          <w:color w:val="auto"/>
        </w:rPr>
      </w:pPr>
    </w:p>
    <w:p>
      <w:pPr>
        <w:ind w:left="-8" w:right="60" w:firstLine="8"/>
        <w:spacing w:after="0" w:line="274" w:lineRule="auto"/>
        <w:tabs>
          <w:tab w:leader="none" w:pos="24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cs="Times New Roman" w:eastAsia="Times New Roman" w:hAnsi="Times New Roman"/>
          <w:sz w:val="16"/>
          <w:szCs w:val="16"/>
          <w:b w:val="1"/>
          <w:bCs w:val="1"/>
          <w:i w:val="1"/>
          <w:iCs w:val="1"/>
          <w:color w:val="auto"/>
        </w:rPr>
        <w:t>Qualified Trustee</w:t>
      </w:r>
      <w:r>
        <w:rPr>
          <w:rFonts w:ascii="Times New Roman" w:cs="Times New Roman" w:eastAsia="Times New Roman" w:hAnsi="Times New Roman"/>
          <w:sz w:val="16"/>
          <w:szCs w:val="16"/>
          <w:color w:val="auto"/>
        </w:rPr>
        <w:t>”); provided that exclusive Disposition Control and exclusive Voting Control over shares of Class B Common Stock held by such trust is at all times held by one or both of (i) the Qualified Trustee and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w:t>
      </w:r>
    </w:p>
    <w:p>
      <w:pPr>
        <w:jc w:val="both"/>
        <w:ind w:left="-8" w:right="80" w:firstLine="8"/>
        <w:spacing w:after="0" w:line="274" w:lineRule="auto"/>
        <w:tabs>
          <w:tab w:leader="none" w:pos="24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w:t>
      </w:r>
    </w:p>
    <w:p>
      <w:pPr>
        <w:ind w:left="-8" w:right="160" w:firstLine="8"/>
        <w:spacing w:after="0" w:line="247" w:lineRule="auto"/>
        <w:tabs>
          <w:tab w:leader="none" w:pos="32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appoint a replacement Qualified Trustee before any shares of Class B Common Stock held by such trust shall be automatically converted into shares of Class A Common Stock;</w:t>
      </w:r>
    </w:p>
    <w:p>
      <w:pPr>
        <w:spacing w:after="0" w:line="81" w:lineRule="exact"/>
        <w:rPr>
          <w:rFonts w:ascii="Times New Roman" w:cs="Times New Roman" w:eastAsia="Times New Roman" w:hAnsi="Times New Roman"/>
          <w:sz w:val="18"/>
          <w:szCs w:val="18"/>
          <w:color w:val="auto"/>
        </w:rPr>
      </w:pPr>
    </w:p>
    <w:p>
      <w:pPr>
        <w:ind w:left="-8" w:right="60" w:firstLine="1936"/>
        <w:spacing w:after="0" w:line="247" w:lineRule="auto"/>
        <w:tabs>
          <w:tab w:leader="none" w:pos="2217" w:val="left"/>
        </w:tabs>
        <w:numPr>
          <w:ilvl w:val="1"/>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and (ii) the Founder or a Permitted Entity; and provided,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A trust satisfying the conditions of Section 1(n)(iii) or this Section 1(n)(iv) is referred to herein as a “</w:t>
      </w:r>
      <w:r>
        <w:rPr>
          <w:rFonts w:ascii="Times New Roman" w:cs="Times New Roman" w:eastAsia="Times New Roman" w:hAnsi="Times New Roman"/>
          <w:sz w:val="18"/>
          <w:szCs w:val="18"/>
          <w:b w:val="1"/>
          <w:bCs w:val="1"/>
          <w:i w:val="1"/>
          <w:iCs w:val="1"/>
          <w:color w:val="auto"/>
        </w:rPr>
        <w:t>Qualified Trust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8" w:right="120" w:firstLine="1936"/>
        <w:spacing w:after="0" w:line="251" w:lineRule="auto"/>
        <w:tabs>
          <w:tab w:leader="none" w:pos="2168" w:val="left"/>
        </w:tabs>
        <w:numPr>
          <w:ilvl w:val="1"/>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w:t>
      </w:r>
    </w:p>
    <w:p>
      <w:pPr>
        <w:spacing w:after="0" w:line="79" w:lineRule="exact"/>
        <w:rPr>
          <w:rFonts w:ascii="Times New Roman" w:cs="Times New Roman" w:eastAsia="Times New Roman" w:hAnsi="Times New Roman"/>
          <w:sz w:val="18"/>
          <w:szCs w:val="18"/>
          <w:b w:val="1"/>
          <w:bCs w:val="1"/>
          <w:color w:val="auto"/>
        </w:rPr>
      </w:pPr>
    </w:p>
    <w:p>
      <w:pPr>
        <w:jc w:val="both"/>
        <w:ind w:left="-8" w:firstLine="1936"/>
        <w:spacing w:after="0" w:line="255" w:lineRule="auto"/>
        <w:tabs>
          <w:tab w:leader="none" w:pos="2217" w:val="left"/>
        </w:tabs>
        <w:numPr>
          <w:ilvl w:val="1"/>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charitable organization, foundation or similar Entity organized and operated primarily for religious, scientific, literary, education or a charitable purpose (a “</w:t>
      </w:r>
      <w:r>
        <w:rPr>
          <w:rFonts w:ascii="Times New Roman" w:cs="Times New Roman" w:eastAsia="Times New Roman" w:hAnsi="Times New Roman"/>
          <w:sz w:val="18"/>
          <w:szCs w:val="18"/>
          <w:b w:val="1"/>
          <w:bCs w:val="1"/>
          <w:i w:val="1"/>
          <w:iCs w:val="1"/>
          <w:color w:val="auto"/>
        </w:rPr>
        <w:t>Qualified Charity</w:t>
      </w:r>
      <w:r>
        <w:rPr>
          <w:rFonts w:ascii="Times New Roman" w:cs="Times New Roman" w:eastAsia="Times New Roman" w:hAnsi="Times New Roman"/>
          <w:sz w:val="18"/>
          <w:szCs w:val="18"/>
          <w:color w:val="auto"/>
        </w:rPr>
        <w:t>”) so long as the Founder, directly, or indirectly through one or more other Permitted Entities, or a Qualified Trustee of a Qualified Trust, retains exclusive Disposition Control and exclusive Voting Control</w:t>
      </w:r>
    </w:p>
    <w:p>
      <w:pPr>
        <w:spacing w:after="0" w:line="115"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32"/>
          </w:cols>
          <w:pgMar w:left="588" w:top="265" w:right="679" w:bottom="1440" w:gutter="0" w:footer="0" w:header="0"/>
        </w:sectPr>
      </w:pPr>
    </w:p>
    <w:bookmarkStart w:id="357" w:name="page358"/>
    <w:bookmarkEnd w:id="357"/>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a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w:t>
      </w:r>
    </w:p>
    <w:p>
      <w:pPr>
        <w:spacing w:after="0" w:line="84" w:lineRule="exact"/>
        <w:rPr>
          <w:sz w:val="20"/>
          <w:szCs w:val="20"/>
          <w:color w:val="auto"/>
        </w:rPr>
      </w:pPr>
    </w:p>
    <w:p>
      <w:pPr>
        <w:ind w:right="340" w:firstLine="1936"/>
        <w:spacing w:after="0" w:line="267" w:lineRule="auto"/>
        <w:tabs>
          <w:tab w:leader="none" w:pos="2273"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estate, so long as the Founder has exclusive Disposition Control and exclusive Voting Control with respect to the shares of Class B Common Stock held by such estate; and</w:t>
      </w:r>
    </w:p>
    <w:p>
      <w:pPr>
        <w:spacing w:after="0" w:line="60" w:lineRule="exact"/>
        <w:rPr>
          <w:rFonts w:ascii="Times New Roman" w:cs="Times New Roman" w:eastAsia="Times New Roman" w:hAnsi="Times New Roman"/>
          <w:sz w:val="18"/>
          <w:szCs w:val="18"/>
          <w:b w:val="1"/>
          <w:bCs w:val="1"/>
          <w:color w:val="auto"/>
        </w:rPr>
      </w:pPr>
    </w:p>
    <w:p>
      <w:pPr>
        <w:ind w:right="20" w:firstLine="1936"/>
        <w:spacing w:after="0" w:line="247" w:lineRule="auto"/>
        <w:tabs>
          <w:tab w:leader="none" w:pos="2322"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Entity (each, a “</w:t>
      </w:r>
      <w:r>
        <w:rPr>
          <w:rFonts w:ascii="Times New Roman" w:cs="Times New Roman" w:eastAsia="Times New Roman" w:hAnsi="Times New Roman"/>
          <w:sz w:val="18"/>
          <w:szCs w:val="18"/>
          <w:b w:val="1"/>
          <w:bCs w:val="1"/>
          <w:i w:val="1"/>
          <w:iCs w:val="1"/>
          <w:color w:val="auto"/>
        </w:rPr>
        <w:t>Founder Entity</w:t>
      </w:r>
      <w:r>
        <w:rPr>
          <w:rFonts w:ascii="Times New Roman" w:cs="Times New Roman" w:eastAsia="Times New Roman" w:hAnsi="Times New Roman"/>
          <w:sz w:val="18"/>
          <w:szCs w:val="18"/>
          <w:color w:val="auto"/>
        </w:rPr>
        <w:t>”)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Class B Stockholder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w:t>
      </w:r>
    </w:p>
    <w:p>
      <w:pPr>
        <w:spacing w:after="0" w:line="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w:t>
      </w:r>
    </w:p>
    <w:p>
      <w:pPr>
        <w:spacing w:after="0" w:line="71" w:lineRule="exact"/>
        <w:rPr>
          <w:sz w:val="20"/>
          <w:szCs w:val="20"/>
          <w:color w:val="auto"/>
        </w:rPr>
      </w:pPr>
    </w:p>
    <w:p>
      <w:pPr>
        <w:ind w:left="1640" w:hanging="240"/>
        <w:spacing w:after="0"/>
        <w:tabs>
          <w:tab w:leader="none" w:pos="164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 and is restricted to, any Transfer of a share of Class B Common Stock:</w:t>
      </w:r>
    </w:p>
    <w:p>
      <w:pPr>
        <w:spacing w:after="0" w:line="112" w:lineRule="exact"/>
        <w:rPr>
          <w:rFonts w:ascii="Times New Roman" w:cs="Times New Roman" w:eastAsia="Times New Roman" w:hAnsi="Times New Roman"/>
          <w:sz w:val="18"/>
          <w:szCs w:val="18"/>
          <w:b w:val="1"/>
          <w:bCs w:val="1"/>
          <w:color w:val="auto"/>
        </w:rPr>
      </w:pPr>
    </w:p>
    <w:p>
      <w:pPr>
        <w:ind w:right="80" w:firstLine="1936"/>
        <w:spacing w:after="0" w:line="255" w:lineRule="auto"/>
        <w:tabs>
          <w:tab w:leader="none" w:pos="2137"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w:t>
      </w:r>
    </w:p>
    <w:p>
      <w:pPr>
        <w:spacing w:after="0" w:line="75" w:lineRule="exact"/>
        <w:rPr>
          <w:rFonts w:ascii="Times New Roman" w:cs="Times New Roman" w:eastAsia="Times New Roman" w:hAnsi="Times New Roman"/>
          <w:sz w:val="18"/>
          <w:szCs w:val="18"/>
          <w:b w:val="1"/>
          <w:bCs w:val="1"/>
          <w:color w:val="auto"/>
        </w:rPr>
      </w:pPr>
    </w:p>
    <w:p>
      <w:pPr>
        <w:ind w:right="60" w:firstLine="1936"/>
        <w:spacing w:after="0" w:line="267" w:lineRule="auto"/>
        <w:tabs>
          <w:tab w:leader="none" w:pos="2186"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trustee of a Permitted Entity that is a trust of a Qualified Stockholder, to such Qualified Stockholder, the trustee of any other Permitted Entity that is a trust of such Qualified Stockholder or any Permitted Entity of such Qualified Stockholder;</w:t>
      </w:r>
    </w:p>
    <w:p>
      <w:pPr>
        <w:spacing w:after="0" w:line="64" w:lineRule="exact"/>
        <w:rPr>
          <w:rFonts w:ascii="Times New Roman" w:cs="Times New Roman" w:eastAsia="Times New Roman" w:hAnsi="Times New Roman"/>
          <w:sz w:val="18"/>
          <w:szCs w:val="18"/>
          <w:b w:val="1"/>
          <w:bCs w:val="1"/>
          <w:color w:val="auto"/>
        </w:rPr>
      </w:pPr>
    </w:p>
    <w:p>
      <w:pPr>
        <w:ind w:left="2240" w:hanging="304"/>
        <w:spacing w:after="0"/>
        <w:tabs>
          <w:tab w:leader="none" w:pos="2240"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to any Permitted Entity of such Qualified Stockholder; or</w:t>
      </w:r>
    </w:p>
    <w:p>
      <w:pPr>
        <w:spacing w:after="0" w:line="108" w:lineRule="exact"/>
        <w:rPr>
          <w:rFonts w:ascii="Times New Roman" w:cs="Times New Roman" w:eastAsia="Times New Roman" w:hAnsi="Times New Roman"/>
          <w:sz w:val="18"/>
          <w:szCs w:val="18"/>
          <w:b w:val="1"/>
          <w:bCs w:val="1"/>
          <w:color w:val="auto"/>
        </w:rPr>
      </w:pPr>
    </w:p>
    <w:p>
      <w:pPr>
        <w:ind w:right="420" w:firstLine="1936"/>
        <w:spacing w:after="0" w:line="267" w:lineRule="auto"/>
        <w:tabs>
          <w:tab w:leader="none" w:pos="2224"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Permitted Entity of a Qualified Stockholder to such Qualified Stockholder or any other Permitted Entity or the trustee of a Permitted Entity that is a trust of such Qualified Stockholder.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0"/>
          </w:cols>
          <w:pgMar w:left="580" w:top="266" w:right="599" w:bottom="1440" w:gutter="0" w:footer="0" w:header="0"/>
        </w:sectPr>
      </w:pPr>
    </w:p>
    <w:bookmarkStart w:id="358" w:name="page359"/>
    <w:bookmarkEnd w:id="358"/>
    <w:p>
      <w:pPr>
        <w:ind w:left="1660" w:hanging="260"/>
        <w:spacing w:after="0"/>
        <w:tabs>
          <w:tab w:leader="none" w:pos="16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received in a Transfer that constitutes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Transfer.</w:t>
      </w:r>
    </w:p>
    <w:p>
      <w:pPr>
        <w:spacing w:after="0" w:line="86" w:lineRule="exact"/>
        <w:rPr>
          <w:sz w:val="20"/>
          <w:szCs w:val="20"/>
          <w:color w:val="auto"/>
        </w:rPr>
      </w:pPr>
    </w:p>
    <w:p>
      <w:pPr>
        <w:ind w:right="420" w:firstLine="1400"/>
        <w:spacing w:after="0" w:line="272" w:lineRule="auto"/>
        <w:tabs>
          <w:tab w:leader="none" w:pos="1650"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(i) the Founder, (ii) any record holder of a share of Class B Common Stock at the Effective Time, and (iii) a Permitted Transferee.</w:t>
      </w:r>
    </w:p>
    <w:p>
      <w:pPr>
        <w:spacing w:after="0" w:line="55" w:lineRule="exact"/>
        <w:rPr>
          <w:rFonts w:ascii="Times New Roman" w:cs="Times New Roman" w:eastAsia="Times New Roman" w:hAnsi="Times New Roman"/>
          <w:sz w:val="18"/>
          <w:szCs w:val="18"/>
          <w:b w:val="1"/>
          <w:bCs w:val="1"/>
          <w:color w:val="auto"/>
        </w:rPr>
      </w:pPr>
    </w:p>
    <w:p>
      <w:pPr>
        <w:ind w:right="100" w:firstLine="1400"/>
        <w:spacing w:after="0" w:line="272" w:lineRule="auto"/>
        <w:tabs>
          <w:tab w:leader="none" w:pos="1630"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Nasdaq Stock Market, or any national stock exchange under which the Company’s equity securities are listed for trading, is open for trading.</w:t>
      </w:r>
    </w:p>
    <w:p>
      <w:pPr>
        <w:spacing w:after="0" w:line="55" w:lineRule="exact"/>
        <w:rPr>
          <w:rFonts w:ascii="Times New Roman" w:cs="Times New Roman" w:eastAsia="Times New Roman" w:hAnsi="Times New Roman"/>
          <w:sz w:val="18"/>
          <w:szCs w:val="18"/>
          <w:b w:val="1"/>
          <w:bCs w:val="1"/>
          <w:color w:val="auto"/>
        </w:rPr>
      </w:pPr>
    </w:p>
    <w:p>
      <w:pPr>
        <w:ind w:right="60" w:firstLine="1400"/>
        <w:spacing w:after="0" w:line="249" w:lineRule="auto"/>
        <w:tabs>
          <w:tab w:leader="none" w:pos="1621"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provided, however, that the following shall not be considered a “Transfer” within the meaning of this Article IV:</w:t>
      </w:r>
    </w:p>
    <w:p>
      <w:pPr>
        <w:spacing w:after="0" w:line="80" w:lineRule="exact"/>
        <w:rPr>
          <w:rFonts w:ascii="Times New Roman" w:cs="Times New Roman" w:eastAsia="Times New Roman" w:hAnsi="Times New Roman"/>
          <w:sz w:val="18"/>
          <w:szCs w:val="18"/>
          <w:b w:val="1"/>
          <w:bCs w:val="1"/>
          <w:color w:val="auto"/>
        </w:rPr>
      </w:pPr>
    </w:p>
    <w:p>
      <w:pPr>
        <w:ind w:right="520" w:firstLine="1936"/>
        <w:spacing w:after="0" w:line="267" w:lineRule="auto"/>
        <w:tabs>
          <w:tab w:leader="none" w:pos="2137" w:val="left"/>
        </w:tabs>
        <w:numPr>
          <w:ilvl w:val="2"/>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64" w:lineRule="exact"/>
        <w:rPr>
          <w:rFonts w:ascii="Times New Roman" w:cs="Times New Roman" w:eastAsia="Times New Roman" w:hAnsi="Times New Roman"/>
          <w:sz w:val="18"/>
          <w:szCs w:val="18"/>
          <w:b w:val="1"/>
          <w:bCs w:val="1"/>
          <w:color w:val="auto"/>
        </w:rPr>
      </w:pPr>
    </w:p>
    <w:p>
      <w:pPr>
        <w:ind w:left="2200" w:hanging="264"/>
        <w:spacing w:after="0"/>
        <w:tabs>
          <w:tab w:leader="none" w:pos="2200" w:val="left"/>
        </w:tabs>
        <w:numPr>
          <w:ilvl w:val="2"/>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existence of any proxy granted prior to the Effective Time or the amendment or expiration of any such proxy;</w:t>
      </w:r>
    </w:p>
    <w:p>
      <w:pPr>
        <w:spacing w:after="0" w:line="108" w:lineRule="exact"/>
        <w:rPr>
          <w:rFonts w:ascii="Times New Roman" w:cs="Times New Roman" w:eastAsia="Times New Roman" w:hAnsi="Times New Roman"/>
          <w:sz w:val="18"/>
          <w:szCs w:val="18"/>
          <w:b w:val="1"/>
          <w:bCs w:val="1"/>
          <w:color w:val="auto"/>
        </w:rPr>
      </w:pPr>
    </w:p>
    <w:p>
      <w:pPr>
        <w:ind w:right="40" w:firstLine="1936"/>
        <w:spacing w:after="0" w:line="281" w:lineRule="auto"/>
        <w:tabs>
          <w:tab w:leader="none" w:pos="2234" w:val="left"/>
        </w:tabs>
        <w:numPr>
          <w:ilvl w:val="2"/>
          <w:numId w:val="1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w:t>
      </w:r>
    </w:p>
    <w:p>
      <w:pPr>
        <w:spacing w:after="0" w:line="1" w:lineRule="exact"/>
        <w:rPr>
          <w:rFonts w:ascii="Times New Roman" w:cs="Times New Roman" w:eastAsia="Times New Roman" w:hAnsi="Times New Roman"/>
          <w:sz w:val="16"/>
          <w:szCs w:val="16"/>
          <w:b w:val="1"/>
          <w:bCs w:val="1"/>
          <w:color w:val="auto"/>
        </w:rPr>
      </w:pPr>
    </w:p>
    <w:p>
      <w:pPr>
        <w:ind w:right="320" w:firstLine="8"/>
        <w:spacing w:after="0" w:line="247" w:lineRule="auto"/>
        <w:tabs>
          <w:tab w:leader="none" w:pos="27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any payment of cash, securities, property or other consideration to the holder of the shares subject thereto other than the mutual promise to vote shares in a designated manner;</w:t>
      </w:r>
    </w:p>
    <w:p>
      <w:pPr>
        <w:spacing w:after="0" w:line="81" w:lineRule="exact"/>
        <w:rPr>
          <w:rFonts w:ascii="Times New Roman" w:cs="Times New Roman" w:eastAsia="Times New Roman" w:hAnsi="Times New Roman"/>
          <w:sz w:val="18"/>
          <w:szCs w:val="18"/>
          <w:color w:val="auto"/>
        </w:rPr>
      </w:pPr>
    </w:p>
    <w:p>
      <w:pPr>
        <w:ind w:right="400" w:firstLine="1936"/>
        <w:spacing w:after="0" w:line="251" w:lineRule="auto"/>
        <w:tabs>
          <w:tab w:leader="none" w:pos="2224" w:val="left"/>
        </w:tabs>
        <w:numPr>
          <w:ilvl w:val="2"/>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spacing w:after="0" w:line="79" w:lineRule="exact"/>
        <w:rPr>
          <w:rFonts w:ascii="Times New Roman" w:cs="Times New Roman" w:eastAsia="Times New Roman" w:hAnsi="Times New Roman"/>
          <w:sz w:val="18"/>
          <w:szCs w:val="18"/>
          <w:b w:val="1"/>
          <w:bCs w:val="1"/>
          <w:color w:val="auto"/>
        </w:rPr>
      </w:pPr>
    </w:p>
    <w:p>
      <w:pPr>
        <w:ind w:firstLine="1936"/>
        <w:spacing w:after="0" w:line="255" w:lineRule="auto"/>
        <w:tabs>
          <w:tab w:leader="none" w:pos="2176" w:val="left"/>
        </w:tabs>
        <w:numPr>
          <w:ilvl w:val="2"/>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pacing w:after="0" w:line="17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580" w:top="261" w:right="599" w:bottom="1440" w:gutter="0" w:footer="0" w:header="0"/>
        </w:sectPr>
      </w:pPr>
    </w:p>
    <w:bookmarkStart w:id="359" w:name="page360"/>
    <w:bookmarkEnd w:id="359"/>
    <w:p>
      <w:pPr>
        <w:ind w:right="200" w:firstLine="1400"/>
        <w:spacing w:after="0" w:line="272" w:lineRule="auto"/>
        <w:tabs>
          <w:tab w:leader="none" w:pos="1611" w:val="left"/>
        </w:tabs>
        <w:numPr>
          <w:ilvl w:val="1"/>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directly or indirectly, of such share by proxy, voting agreement or otherwise.</w:t>
      </w:r>
    </w:p>
    <w:p>
      <w:pPr>
        <w:spacing w:after="0" w:line="57" w:lineRule="exact"/>
        <w:rPr>
          <w:rFonts w:ascii="Times New Roman" w:cs="Times New Roman" w:eastAsia="Times New Roman" w:hAnsi="Times New Roman"/>
          <w:sz w:val="18"/>
          <w:szCs w:val="18"/>
          <w:b w:val="1"/>
          <w:bCs w:val="1"/>
          <w:color w:val="auto"/>
        </w:rPr>
      </w:pPr>
    </w:p>
    <w:p>
      <w:pPr>
        <w:ind w:left="1140" w:hanging="168"/>
        <w:spacing w:after="0"/>
        <w:tabs>
          <w:tab w:leader="none" w:pos="114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Dividends, Subdivisions and Combinations</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firstLine="1400"/>
        <w:spacing w:after="0" w:line="247" w:lineRule="auto"/>
        <w:tabs>
          <w:tab w:leader="none" w:pos="1640"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prior rights of holders of any Preferred Stock at the time outstanding having prior rights as to dividends, the holders of the Class A Common Stock and Class B Common Stock shall be entitled to receive, when, as and if declared by the Board of Directors, out of any assets of the Company legally available therefor, such dividends as may be declared from time to time by the Board of Directors. Except as permitted in Section 2(b) of this Part D of Article IV, any dividends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84"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declare or pay any dividend or make any distribution to the holders of Class A Common Stock or</w:t>
      </w:r>
    </w:p>
    <w:p>
      <w:pPr>
        <w:spacing w:after="0" w:line="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92" w:lineRule="exact"/>
        <w:rPr>
          <w:sz w:val="20"/>
          <w:szCs w:val="20"/>
          <w:color w:val="auto"/>
        </w:rPr>
      </w:pPr>
    </w:p>
    <w:p>
      <w:pPr>
        <w:jc w:val="both"/>
        <w:ind w:right="20" w:firstLine="1400"/>
        <w:spacing w:after="0" w:line="331" w:lineRule="auto"/>
        <w:tabs>
          <w:tab w:leader="none" w:pos="1630" w:val="left"/>
        </w:tabs>
        <w:numPr>
          <w:ilvl w:val="1"/>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spacing w:after="0" w:line="15" w:lineRule="exact"/>
        <w:rPr>
          <w:rFonts w:ascii="Times New Roman" w:cs="Times New Roman" w:eastAsia="Times New Roman" w:hAnsi="Times New Roman"/>
          <w:sz w:val="16"/>
          <w:szCs w:val="16"/>
          <w:b w:val="1"/>
          <w:bCs w:val="1"/>
          <w:color w:val="auto"/>
        </w:rPr>
      </w:pPr>
    </w:p>
    <w:p>
      <w:pPr>
        <w:ind w:firstLine="972"/>
        <w:spacing w:after="0" w:line="246" w:lineRule="auto"/>
        <w:tabs>
          <w:tab w:leader="none" w:pos="1139"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r>
        <w:rPr>
          <w:rFonts w:ascii="Times New Roman" w:cs="Times New Roman" w:eastAsia="Times New Roman" w:hAnsi="Times New Roman"/>
          <w:sz w:val="18"/>
          <w:szCs w:val="18"/>
          <w:color w:val="auto"/>
        </w:rPr>
        <w:t>. In the event of a Liquidation Event, upon the completion of the distributions required with respect to any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that may then be outstanding, to the extent required by the Certificate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580" w:top="261" w:right="619" w:bottom="1440" w:gutter="0" w:footer="0" w:header="0"/>
        </w:sectPr>
      </w:pPr>
    </w:p>
    <w:bookmarkStart w:id="360" w:name="page361"/>
    <w:bookmarkEnd w:id="360"/>
    <w:p>
      <w:pPr>
        <w:ind w:left="1140" w:hanging="168"/>
        <w:spacing w:after="0"/>
        <w:tabs>
          <w:tab w:leader="none" w:pos="114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Voting Rights</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b w:val="1"/>
          <w:bCs w:val="1"/>
          <w:color w:val="auto"/>
        </w:rPr>
      </w:pPr>
    </w:p>
    <w:p>
      <w:pPr>
        <w:ind w:left="1640" w:hanging="240"/>
        <w:spacing w:after="0"/>
        <w:tabs>
          <w:tab w:leader="none" w:pos="1640" w:val="left"/>
        </w:tabs>
        <w:numPr>
          <w:ilvl w:val="1"/>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Class A Common Stock. </w:t>
      </w:r>
      <w:r>
        <w:rPr>
          <w:rFonts w:ascii="Times New Roman" w:cs="Times New Roman" w:eastAsia="Times New Roman" w:hAnsi="Times New Roman"/>
          <w:sz w:val="18"/>
          <w:szCs w:val="18"/>
          <w:color w:val="auto"/>
        </w:rPr>
        <w:t>Each holder of shares of Class A Common Stock shall be entitled to one vote for each share thereof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w:t>
      </w:r>
    </w:p>
    <w:p>
      <w:pPr>
        <w:spacing w:after="0" w:line="88" w:lineRule="exact"/>
        <w:rPr>
          <w:sz w:val="20"/>
          <w:szCs w:val="20"/>
          <w:color w:val="auto"/>
        </w:rPr>
      </w:pPr>
    </w:p>
    <w:p>
      <w:pPr>
        <w:ind w:left="1660" w:hanging="260"/>
        <w:spacing w:after="0"/>
        <w:tabs>
          <w:tab w:leader="none" w:pos="16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Each holder of shares of Class B Common Stock shall be entitled to thirty (30) votes for each share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held.</w:t>
      </w:r>
    </w:p>
    <w:p>
      <w:pPr>
        <w:spacing w:after="0" w:line="88" w:lineRule="exact"/>
        <w:rPr>
          <w:sz w:val="20"/>
          <w:szCs w:val="20"/>
          <w:color w:val="auto"/>
        </w:rPr>
      </w:pPr>
    </w:p>
    <w:p>
      <w:pPr>
        <w:ind w:firstLine="1400"/>
        <w:spacing w:after="0" w:line="248" w:lineRule="auto"/>
        <w:tabs>
          <w:tab w:leader="none" w:pos="1631"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Generally</w:t>
      </w:r>
      <w:r>
        <w:rPr>
          <w:rFonts w:ascii="Times New Roman" w:cs="Times New Roman" w:eastAsia="Times New Roman" w:hAnsi="Times New Roman"/>
          <w:sz w:val="18"/>
          <w:szCs w:val="18"/>
          <w:color w:val="auto"/>
        </w:rPr>
        <w:t>. Except as required by law or as otherwise set forth herein, the holders of Preferred Stock,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applicable law.</w:t>
      </w:r>
    </w:p>
    <w:p>
      <w:pPr>
        <w:spacing w:after="0" w:line="82"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 Protective Provisions</w:t>
      </w:r>
      <w:r>
        <w:rPr>
          <w:rFonts w:ascii="Times New Roman" w:cs="Times New Roman" w:eastAsia="Times New Roman" w:hAnsi="Times New Roman"/>
          <w:sz w:val="18"/>
          <w:szCs w:val="18"/>
          <w:color w:val="auto"/>
        </w:rPr>
        <w:t>. Notwithstanding anything herein to the contrary, so long as any shares of</w:t>
      </w:r>
    </w:p>
    <w:p>
      <w:pPr>
        <w:spacing w:after="0" w:line="2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Class 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w:t>
      </w:r>
    </w:p>
    <w:p>
      <w:pPr>
        <w:spacing w:after="0" w:line="83" w:lineRule="exact"/>
        <w:rPr>
          <w:sz w:val="20"/>
          <w:szCs w:val="20"/>
          <w:color w:val="auto"/>
        </w:rPr>
      </w:pPr>
    </w:p>
    <w:p>
      <w:pPr>
        <w:ind w:right="240" w:firstLine="1936"/>
        <w:spacing w:after="0" w:line="331" w:lineRule="auto"/>
        <w:tabs>
          <w:tab w:leader="none" w:pos="2137" w:val="left"/>
        </w:tabs>
        <w:numPr>
          <w:ilvl w:val="2"/>
          <w:numId w:val="2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amend, alter, or repeal any provision of the Certificate of Incorporation or the Bylaws of the Company in a manner that modifies the voting, conversion or other powers, preferences, or other special rights or privileges, or restrictions of the Class B Common Stock;</w:t>
      </w:r>
    </w:p>
    <w:p>
      <w:pPr>
        <w:spacing w:after="0" w:line="17" w:lineRule="exact"/>
        <w:rPr>
          <w:rFonts w:ascii="Times New Roman" w:cs="Times New Roman" w:eastAsia="Times New Roman" w:hAnsi="Times New Roman"/>
          <w:sz w:val="16"/>
          <w:szCs w:val="16"/>
          <w:b w:val="1"/>
          <w:bCs w:val="1"/>
          <w:color w:val="auto"/>
        </w:rPr>
      </w:pPr>
    </w:p>
    <w:p>
      <w:pPr>
        <w:ind w:right="160" w:firstLine="1936"/>
        <w:spacing w:after="0" w:line="267" w:lineRule="auto"/>
        <w:tabs>
          <w:tab w:leader="none" w:pos="2186" w:val="left"/>
        </w:tabs>
        <w:numPr>
          <w:ilvl w:val="2"/>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reclassify any outstanding shares of Class A Common Stock into shares having rights as to dividends or liquidation that are senior to the Class B Common Stock or the right to more than one vote for each share thereof;</w:t>
      </w:r>
    </w:p>
    <w:p>
      <w:pPr>
        <w:spacing w:after="0" w:line="64" w:lineRule="exact"/>
        <w:rPr>
          <w:rFonts w:ascii="Times New Roman" w:cs="Times New Roman" w:eastAsia="Times New Roman" w:hAnsi="Times New Roman"/>
          <w:sz w:val="18"/>
          <w:szCs w:val="18"/>
          <w:b w:val="1"/>
          <w:bCs w:val="1"/>
          <w:color w:val="auto"/>
        </w:rPr>
      </w:pPr>
    </w:p>
    <w:p>
      <w:pPr>
        <w:ind w:right="140" w:firstLine="1936"/>
        <w:spacing w:after="0" w:line="267" w:lineRule="auto"/>
        <w:tabs>
          <w:tab w:leader="none" w:pos="2234" w:val="left"/>
        </w:tabs>
        <w:numPr>
          <w:ilvl w:val="2"/>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shares of Preferred Stock having the power (whether exclusive or shared) to vote, or direct the voting of such shares by proxy, voting agreement or otherwise, equal or superior to the Voting Control; or</w:t>
      </w:r>
    </w:p>
    <w:p>
      <w:pPr>
        <w:spacing w:after="0" w:line="64" w:lineRule="exact"/>
        <w:rPr>
          <w:rFonts w:ascii="Times New Roman" w:cs="Times New Roman" w:eastAsia="Times New Roman" w:hAnsi="Times New Roman"/>
          <w:sz w:val="18"/>
          <w:szCs w:val="18"/>
          <w:b w:val="1"/>
          <w:bCs w:val="1"/>
          <w:color w:val="auto"/>
        </w:rPr>
      </w:pPr>
    </w:p>
    <w:p>
      <w:pPr>
        <w:ind w:right="140" w:firstLine="1936"/>
        <w:spacing w:after="0" w:line="331" w:lineRule="auto"/>
        <w:tabs>
          <w:tab w:leader="none" w:pos="2224" w:val="left"/>
        </w:tabs>
        <w:numPr>
          <w:ilvl w:val="2"/>
          <w:numId w:val="2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issue any additional shares of Class B Common Stock or other securities convertible into shares of Class B Common Stock, except for the issuance of Class B Common Stock issuable upon a dividend payable in accordance with Section 2(b) of this Part D of Article IV.</w:t>
      </w:r>
    </w:p>
    <w:p>
      <w:pPr>
        <w:spacing w:after="0" w:line="15" w:lineRule="exact"/>
        <w:rPr>
          <w:rFonts w:ascii="Times New Roman" w:cs="Times New Roman" w:eastAsia="Times New Roman" w:hAnsi="Times New Roman"/>
          <w:sz w:val="16"/>
          <w:szCs w:val="16"/>
          <w:b w:val="1"/>
          <w:bCs w:val="1"/>
          <w:color w:val="auto"/>
        </w:rPr>
      </w:pPr>
    </w:p>
    <w:p>
      <w:pPr>
        <w:ind w:left="1140" w:hanging="168"/>
        <w:spacing w:after="0"/>
        <w:tabs>
          <w:tab w:leader="none" w:pos="114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b w:val="1"/>
          <w:bCs w:val="1"/>
          <w:color w:val="auto"/>
        </w:rPr>
      </w:pPr>
    </w:p>
    <w:p>
      <w:pPr>
        <w:ind w:left="1640" w:hanging="240"/>
        <w:spacing w:after="0"/>
        <w:tabs>
          <w:tab w:leader="none" w:pos="1640" w:val="left"/>
        </w:tabs>
        <w:numPr>
          <w:ilvl w:val="1"/>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 of the Class B Common Stock</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1936"/>
        <w:spacing w:after="0" w:line="267" w:lineRule="auto"/>
        <w:tabs>
          <w:tab w:leader="none" w:pos="2137" w:val="left"/>
        </w:tabs>
        <w:numPr>
          <w:ilvl w:val="2"/>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option of the holder thereof, each share of Class B Common Stock shall be convertible, at any time or from time to time, into one fully paid and nonassessable share of Class A Common Stock as provided herein.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3" w:right="599" w:bottom="1440" w:gutter="0" w:footer="0" w:header="0"/>
        </w:sectPr>
      </w:pPr>
    </w:p>
    <w:bookmarkStart w:id="361" w:name="page362"/>
    <w:bookmarkEnd w:id="361"/>
    <w:p>
      <w:pPr>
        <w:ind w:left="-20" w:firstLine="1936"/>
        <w:spacing w:after="0" w:line="247" w:lineRule="auto"/>
        <w:tabs>
          <w:tab w:leader="none" w:pos="2166" w:val="left"/>
        </w:tabs>
        <w:numPr>
          <w:ilvl w:val="2"/>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Each holder of Class B Common Stock who elects to convert the same into shares of Class A Common Stock shall surrender the certificate or certificates therefor (if any), duly endorsed, at the office 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w:t>
      </w:r>
    </w:p>
    <w:p>
      <w:pPr>
        <w:spacing w:after="0" w:line="79" w:lineRule="exact"/>
        <w:rPr>
          <w:rFonts w:ascii="Times New Roman" w:cs="Times New Roman" w:eastAsia="Times New Roman" w:hAnsi="Times New Roman"/>
          <w:sz w:val="18"/>
          <w:szCs w:val="18"/>
          <w:b w:val="1"/>
          <w:bCs w:val="1"/>
          <w:color w:val="auto"/>
        </w:rPr>
      </w:pPr>
    </w:p>
    <w:p>
      <w:pPr>
        <w:ind w:left="1120" w:hanging="168"/>
        <w:spacing w:after="0"/>
        <w:tabs>
          <w:tab w:leader="none" w:pos="112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b w:val="1"/>
          <w:bCs w:val="1"/>
          <w:color w:val="auto"/>
        </w:rPr>
      </w:pPr>
    </w:p>
    <w:p>
      <w:pPr>
        <w:ind w:left="-20" w:right="20" w:firstLine="1400"/>
        <w:spacing w:after="0" w:line="246" w:lineRule="auto"/>
        <w:tabs>
          <w:tab w:leader="none" w:pos="1620" w:val="left"/>
        </w:tabs>
        <w:numPr>
          <w:ilvl w:val="1"/>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 of the Class B Common Stock</w:t>
      </w:r>
      <w:r>
        <w:rPr>
          <w:rFonts w:ascii="Times New Roman" w:cs="Times New Roman" w:eastAsia="Times New Roman" w:hAnsi="Times New Roman"/>
          <w:sz w:val="18"/>
          <w:szCs w:val="18"/>
          <w:color w:val="auto"/>
        </w:rPr>
        <w:t>. Each share of Class B Common Stock shall automatically be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one fully paid and nonassessable share of Class A Common Stock upon a Transfer, other than a Permitted Transfer, of such share of Class B Common Stock. Such conversion shall occur automatically without the need for any further action by the holders of such shares and whether or not the certificates representing such shares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Company or any transfer agent for the Class A Common Stock.</w:t>
      </w:r>
    </w:p>
    <w:p>
      <w:pPr>
        <w:spacing w:after="0" w:line="83" w:lineRule="exact"/>
        <w:rPr>
          <w:rFonts w:ascii="Times New Roman" w:cs="Times New Roman" w:eastAsia="Times New Roman" w:hAnsi="Times New Roman"/>
          <w:sz w:val="18"/>
          <w:szCs w:val="18"/>
          <w:b w:val="1"/>
          <w:bCs w:val="1"/>
          <w:color w:val="auto"/>
        </w:rPr>
      </w:pPr>
    </w:p>
    <w:p>
      <w:pPr>
        <w:ind w:left="-20" w:firstLine="1400"/>
        <w:spacing w:after="0" w:line="246" w:lineRule="auto"/>
        <w:tabs>
          <w:tab w:leader="none" w:pos="1630" w:val="left"/>
        </w:tabs>
        <w:numPr>
          <w:ilvl w:val="1"/>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Conversion</w:t>
      </w:r>
      <w:r>
        <w:rPr>
          <w:rFonts w:ascii="Times New Roman" w:cs="Times New Roman" w:eastAsia="Times New Roman" w:hAnsi="Times New Roman"/>
          <w:sz w:val="18"/>
          <w:szCs w:val="18"/>
          <w:color w:val="auto"/>
        </w:rPr>
        <w:t>. On the Final Conversion Date, each issued share of Class B Common Stock shall automatically,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shares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Company or any transfer agent for the Class A Common Stock.</w:t>
      </w:r>
    </w:p>
    <w:p>
      <w:pPr>
        <w:spacing w:after="0" w:line="83" w:lineRule="exact"/>
        <w:rPr>
          <w:rFonts w:ascii="Times New Roman" w:cs="Times New Roman" w:eastAsia="Times New Roman" w:hAnsi="Times New Roman"/>
          <w:sz w:val="18"/>
          <w:szCs w:val="18"/>
          <w:b w:val="1"/>
          <w:bCs w:val="1"/>
          <w:color w:val="auto"/>
        </w:rPr>
      </w:pPr>
    </w:p>
    <w:p>
      <w:pPr>
        <w:ind w:left="-20" w:firstLine="1400"/>
        <w:spacing w:after="0" w:line="285" w:lineRule="auto"/>
        <w:tabs>
          <w:tab w:leader="none" w:pos="1611" w:val="left"/>
        </w:tabs>
        <w:numPr>
          <w:ilvl w:val="1"/>
          <w:numId w:val="2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Procedures. </w:t>
      </w:r>
      <w:r>
        <w:rPr>
          <w:rFonts w:ascii="Times New Roman" w:cs="Times New Roman" w:eastAsia="Times New Roman" w:hAnsi="Times New Roman"/>
          <w:sz w:val="16"/>
          <w:szCs w:val="16"/>
          <w:color w:val="auto"/>
        </w:rPr>
        <w:t>The Company may, from time to time, establish such policies and procedures relating to the conversion of Class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80"/>
          </w:cols>
          <w:pgMar w:left="600" w:top="265" w:right="619" w:bottom="1440" w:gutter="0" w:footer="0" w:header="0"/>
        </w:sectPr>
      </w:pPr>
    </w:p>
    <w:bookmarkStart w:id="362" w:name="page363"/>
    <w:bookmarkEnd w:id="362"/>
    <w:p>
      <w:pPr>
        <w:ind w:firstLine="1400"/>
        <w:spacing w:after="0" w:line="248" w:lineRule="auto"/>
        <w:tabs>
          <w:tab w:leader="none" w:pos="1650" w:val="left"/>
        </w:tabs>
        <w:numPr>
          <w:ilvl w:val="1"/>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Immediate Effect. </w:t>
      </w:r>
      <w:r>
        <w:rPr>
          <w:rFonts w:ascii="Times New Roman" w:cs="Times New Roman" w:eastAsia="Times New Roman" w:hAnsi="Times New Roman"/>
          <w:sz w:val="18"/>
          <w:szCs w:val="18"/>
          <w:color w:val="auto"/>
        </w:rPr>
        <w:t>In the event of a conversion of shares of Class B Common Stock to shares of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Section 6 of Part D of Article IV,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spacing w:after="0" w:line="82" w:lineRule="exact"/>
        <w:rPr>
          <w:rFonts w:ascii="Times New Roman" w:cs="Times New Roman" w:eastAsia="Times New Roman" w:hAnsi="Times New Roman"/>
          <w:sz w:val="18"/>
          <w:szCs w:val="18"/>
          <w:b w:val="1"/>
          <w:bCs w:val="1"/>
          <w:color w:val="auto"/>
        </w:rPr>
      </w:pPr>
    </w:p>
    <w:p>
      <w:pPr>
        <w:ind w:left="1140" w:hanging="168"/>
        <w:spacing w:after="0"/>
        <w:tabs>
          <w:tab w:leader="none" w:pos="11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The Common Stock is not redeemable.</w:t>
      </w:r>
    </w:p>
    <w:p>
      <w:pPr>
        <w:spacing w:after="0" w:line="108" w:lineRule="exact"/>
        <w:rPr>
          <w:rFonts w:ascii="Times New Roman" w:cs="Times New Roman" w:eastAsia="Times New Roman" w:hAnsi="Times New Roman"/>
          <w:sz w:val="18"/>
          <w:szCs w:val="18"/>
          <w:b w:val="1"/>
          <w:bCs w:val="1"/>
          <w:color w:val="auto"/>
        </w:rPr>
      </w:pPr>
    </w:p>
    <w:p>
      <w:pPr>
        <w:ind w:firstLine="972"/>
        <w:spacing w:after="0" w:line="247" w:lineRule="auto"/>
        <w:tabs>
          <w:tab w:leader="none" w:pos="1139"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Reservation of Stock Issuable Upon Conversion</w:t>
      </w:r>
      <w:r>
        <w:rPr>
          <w:rFonts w:ascii="Times New Roman" w:cs="Times New Roman" w:eastAsia="Times New Roman" w:hAnsi="Times New Roman"/>
          <w:sz w:val="18"/>
          <w:szCs w:val="18"/>
          <w:color w:val="auto"/>
        </w:rPr>
        <w:t>. The Company shall at all times reserve and keep available out of its authorized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w:t>
      </w:r>
    </w:p>
    <w:p>
      <w:pPr>
        <w:spacing w:after="0" w:line="84" w:lineRule="exact"/>
        <w:rPr>
          <w:rFonts w:ascii="Times New Roman" w:cs="Times New Roman" w:eastAsia="Times New Roman" w:hAnsi="Times New Roman"/>
          <w:sz w:val="18"/>
          <w:szCs w:val="18"/>
          <w:b w:val="1"/>
          <w:bCs w:val="1"/>
          <w:color w:val="auto"/>
        </w:rPr>
      </w:pPr>
    </w:p>
    <w:p>
      <w:pPr>
        <w:jc w:val="both"/>
        <w:ind w:right="40" w:firstLine="972"/>
        <w:spacing w:after="0" w:line="333" w:lineRule="auto"/>
        <w:tabs>
          <w:tab w:leader="none" w:pos="1139" w:val="left"/>
        </w:tabs>
        <w:numPr>
          <w:ilvl w:val="0"/>
          <w:numId w:val="2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Prohibition on Reissuance of Shares</w:t>
      </w:r>
      <w:r>
        <w:rPr>
          <w:rFonts w:ascii="Times New Roman" w:cs="Times New Roman" w:eastAsia="Times New Roman" w:hAnsi="Times New Roman"/>
          <w:sz w:val="16"/>
          <w:szCs w:val="16"/>
          <w:color w:val="auto"/>
        </w:rPr>
        <w:t>. Shares of Class B Common Stock that are acquired by the Company for any reason (whether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repurchase, upon conversion, or otherwise) shall be retired in the manner required by law and shall not be reissued as shares of Class B Common Stock.</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1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Board of Directors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972"/>
        <w:spacing w:after="0" w:line="288" w:lineRule="auto"/>
        <w:tabs>
          <w:tab w:leader="none" w:pos="1139" w:val="left"/>
        </w:tabs>
        <w:numPr>
          <w:ilvl w:val="0"/>
          <w:numId w:val="2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Generally</w:t>
      </w:r>
      <w:r>
        <w:rPr>
          <w:rFonts w:ascii="Times New Roman" w:cs="Times New Roman" w:eastAsia="Times New Roman" w:hAnsi="Times New Roman"/>
          <w:sz w:val="16"/>
          <w:szCs w:val="16"/>
          <w:color w:val="auto"/>
        </w:rPr>
        <w:t>. Except as otherwise provided in the Certificate of Incorporation or the DGCL, the business and affairs of the Company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w:t>
      </w:r>
    </w:p>
    <w:p>
      <w:pPr>
        <w:spacing w:after="0" w:line="51" w:lineRule="exact"/>
        <w:rPr>
          <w:rFonts w:ascii="Times New Roman" w:cs="Times New Roman" w:eastAsia="Times New Roman" w:hAnsi="Times New Roman"/>
          <w:sz w:val="16"/>
          <w:szCs w:val="16"/>
          <w:b w:val="1"/>
          <w:bCs w:val="1"/>
          <w:color w:val="auto"/>
        </w:rPr>
      </w:pPr>
    </w:p>
    <w:p>
      <w:pPr>
        <w:ind w:left="1140" w:hanging="168"/>
        <w:spacing w:after="0"/>
        <w:tabs>
          <w:tab w:leader="none" w:pos="114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b w:val="1"/>
          <w:bCs w:val="1"/>
          <w:color w:val="auto"/>
        </w:rPr>
      </w:pPr>
    </w:p>
    <w:p>
      <w:pPr>
        <w:ind w:left="2180" w:hanging="244"/>
        <w:spacing w:after="0"/>
        <w:tabs>
          <w:tab w:leader="none" w:pos="2180"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shall be elected at each annual meeting of the stockholders to hold office until the next annual meeting.</w:t>
      </w:r>
    </w:p>
    <w:p>
      <w:pPr>
        <w:spacing w:after="0" w:line="90" w:lineRule="exact"/>
        <w:rPr>
          <w:rFonts w:ascii="Times New Roman" w:cs="Times New Roman" w:eastAsia="Times New Roman" w:hAnsi="Times New Roman"/>
          <w:sz w:val="18"/>
          <w:szCs w:val="18"/>
          <w:b w:val="1"/>
          <w:bCs w:val="1"/>
          <w:color w:val="auto"/>
        </w:rPr>
      </w:pPr>
    </w:p>
    <w:p>
      <w:pPr>
        <w:ind w:left="2200" w:hanging="264"/>
        <w:spacing w:after="0"/>
        <w:tabs>
          <w:tab w:leader="none" w:pos="2200"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80"/>
          </w:cols>
          <w:pgMar w:left="580" w:top="263" w:right="639" w:bottom="1440" w:gutter="0" w:footer="0" w:header="0"/>
        </w:sectPr>
      </w:pPr>
    </w:p>
    <w:bookmarkStart w:id="363" w:name="page364"/>
    <w:bookmarkEnd w:id="363"/>
    <w:p>
      <w:pPr>
        <w:jc w:val="both"/>
        <w:ind w:firstLine="1400"/>
        <w:spacing w:after="0" w:line="255" w:lineRule="auto"/>
        <w:tabs>
          <w:tab w:leader="none" w:pos="1630" w:val="left"/>
        </w:tabs>
        <w:numPr>
          <w:ilvl w:val="2"/>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w:t>
      </w:r>
    </w:p>
    <w:p>
      <w:pPr>
        <w:spacing w:after="0" w:line="75"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2"/>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 need not be by written ballot unless the Bylaws so provide.</w:t>
      </w:r>
    </w:p>
    <w:p>
      <w:pPr>
        <w:spacing w:after="0" w:line="106" w:lineRule="exact"/>
        <w:rPr>
          <w:rFonts w:ascii="Times New Roman" w:cs="Times New Roman" w:eastAsia="Times New Roman" w:hAnsi="Times New Roman"/>
          <w:sz w:val="18"/>
          <w:szCs w:val="18"/>
          <w:b w:val="1"/>
          <w:bCs w:val="1"/>
          <w:color w:val="auto"/>
        </w:rPr>
      </w:pPr>
    </w:p>
    <w:p>
      <w:pPr>
        <w:ind w:left="1140" w:hanging="168"/>
        <w:spacing w:after="0"/>
        <w:tabs>
          <w:tab w:leader="none" w:pos="1140" w:val="left"/>
        </w:tabs>
        <w:numPr>
          <w:ilvl w:val="1"/>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Subject to any limitations imposed by applicable law, removal shall be as provided in Section 141(k) of the</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DGCL.</w:t>
      </w:r>
    </w:p>
    <w:p>
      <w:pPr>
        <w:spacing w:after="0" w:line="88" w:lineRule="exact"/>
        <w:rPr>
          <w:rFonts w:ascii="Times New Roman" w:cs="Times New Roman" w:eastAsia="Times New Roman" w:hAnsi="Times New Roman"/>
          <w:sz w:val="18"/>
          <w:szCs w:val="18"/>
          <w:b w:val="1"/>
          <w:bCs w:val="1"/>
          <w:color w:val="auto"/>
        </w:rPr>
      </w:pPr>
    </w:p>
    <w:p>
      <w:pPr>
        <w:ind w:right="20" w:firstLine="972"/>
        <w:spacing w:after="0" w:line="247" w:lineRule="auto"/>
        <w:tabs>
          <w:tab w:leader="none" w:pos="1139" w:val="left"/>
        </w:tabs>
        <w:numPr>
          <w:ilvl w:val="1"/>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Subject to any limitations imposed by applicable law and subject to the rights of the holders of any series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84" w:lineRule="exact"/>
        <w:rPr>
          <w:rFonts w:ascii="Times New Roman" w:cs="Times New Roman" w:eastAsia="Times New Roman" w:hAnsi="Times New Roman"/>
          <w:sz w:val="18"/>
          <w:szCs w:val="18"/>
          <w:b w:val="1"/>
          <w:bCs w:val="1"/>
          <w:color w:val="auto"/>
        </w:rPr>
      </w:pPr>
    </w:p>
    <w:p>
      <w:pPr>
        <w:ind w:firstLine="972"/>
        <w:spacing w:after="0" w:line="246" w:lineRule="auto"/>
        <w:tabs>
          <w:tab w:leader="none" w:pos="1139" w:val="left"/>
        </w:tabs>
        <w:numPr>
          <w:ilvl w:val="1"/>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Notwithstanding anything herein to the contrary, during any period when the holders of any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Company shall be reduced accordingly.</w:t>
      </w:r>
    </w:p>
    <w:p>
      <w:pPr>
        <w:spacing w:after="0" w:line="81" w:lineRule="exact"/>
        <w:rPr>
          <w:rFonts w:ascii="Times New Roman" w:cs="Times New Roman" w:eastAsia="Times New Roman" w:hAnsi="Times New Roman"/>
          <w:sz w:val="18"/>
          <w:szCs w:val="18"/>
          <w:b w:val="1"/>
          <w:bCs w:val="1"/>
          <w:color w:val="auto"/>
        </w:rPr>
      </w:pPr>
    </w:p>
    <w:p>
      <w:pPr>
        <w:ind w:right="60" w:firstLine="436"/>
        <w:spacing w:after="0" w:line="248" w:lineRule="auto"/>
        <w:tabs>
          <w:tab w:leader="none" w:pos="633"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Actions</w:t>
      </w:r>
      <w:r>
        <w:rPr>
          <w:rFonts w:ascii="Times New Roman" w:cs="Times New Roman" w:eastAsia="Times New Roman" w:hAnsi="Times New Roman"/>
          <w:sz w:val="18"/>
          <w:szCs w:val="18"/>
          <w:color w:val="auto"/>
        </w:rPr>
        <w:t>. Following the Final Conversion Date, no action shall be taken by the stockholders of the Company except at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meeting of stockholders called in accordance with the Bylaws and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of the Company. Prior to the Final Conversion Date, any action required or permitted to be taken by the stockholders of the Company at a meeting may be effected by consent in writing or by electronic transmission of such stockholders in compliance with Section 228 of the DGCL.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580" w:top="265" w:right="599" w:bottom="1440" w:gutter="0" w:footer="0" w:header="0"/>
        </w:sectPr>
      </w:pPr>
    </w:p>
    <w:bookmarkStart w:id="364" w:name="page365"/>
    <w:bookmarkEnd w:id="364"/>
    <w:p>
      <w:pPr>
        <w:ind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 Bylaws</w:t>
      </w:r>
      <w:r>
        <w:rPr>
          <w:rFonts w:ascii="Times New Roman" w:cs="Times New Roman" w:eastAsia="Times New Roman" w:hAnsi="Times New Roman"/>
          <w:sz w:val="18"/>
          <w:szCs w:val="18"/>
          <w:color w:val="auto"/>
        </w:rPr>
        <w:t>. Subject to the restrictions of Section 4(d) of Part D of Article IV, the Board of Directors is expressly empowered to adopt, amend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repeal the Bylaws of the Company. The stockholders shall also have power to adopt, amend or repeal the Bylaws of the Company;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any time after the Final Conversion Date, in addition to any vote of the holders of any class or series of stock of the Company required by law or by the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82"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D. Special Meetings of Stockholders. </w:t>
      </w:r>
      <w:r>
        <w:rPr>
          <w:rFonts w:ascii="Times New Roman" w:cs="Times New Roman" w:eastAsia="Times New Roman" w:hAnsi="Times New Roman"/>
          <w:sz w:val="18"/>
          <w:szCs w:val="18"/>
          <w:color w:val="auto"/>
        </w:rPr>
        <w:t>Special meetings of the stockholders (i) may be called, for any purpose as is a proper matter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action under the DGCL, by (A) the Chairperson of the Board of Directors, (B) the Chief Executive Officer, or (C)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(ii) until the Final Conversion Date, shall be called, for any purpose as is a proper matter for stockholder action under the DGCL, by the Secretary of the Company upon the written request of stockholders of record entitled to cast not less than a majority of the votes at such special meeting, provided that such written request is in compliance with the Bylaws of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13" w:lineRule="exact"/>
        <w:rPr>
          <w:sz w:val="20"/>
          <w:szCs w:val="20"/>
          <w:color w:val="auto"/>
        </w:rPr>
      </w:pPr>
    </w:p>
    <w:p>
      <w:pPr>
        <w:ind w:right="14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liability of the directors of the Company for monetary damages for breach of fiduciary duty as a director shall be eliminated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under applicable law. If the DGCL is hereafter amended to permit exculpation of officers, then, from and after the effective time of such amendment, the officers of the Company for which such exculpation is permitted shall not be liable to the Company or its stockholders for monetary damages for breach of fiduciary duty as an officer, except to the to the extent such exemption from liability or limitation thereof is not permitted under the DGCL as the same exists or may thereafter be amended.</w:t>
      </w:r>
    </w:p>
    <w:p>
      <w:pPr>
        <w:spacing w:after="0" w:line="77" w:lineRule="exact"/>
        <w:rPr>
          <w:sz w:val="20"/>
          <w:szCs w:val="20"/>
          <w:color w:val="auto"/>
        </w:rPr>
      </w:pPr>
    </w:p>
    <w:p>
      <w:pPr>
        <w:jc w:val="both"/>
        <w:ind w:right="280" w:firstLine="428"/>
        <w:spacing w:after="0" w:line="303" w:lineRule="auto"/>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6"/>
          <w:szCs w:val="16"/>
          <w:color w:val="auto"/>
        </w:rPr>
        <w:t>To the fullest extent permitted by applicable law, the Company may provide indemnification of (and advancement of expenses to)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officers, and other agents of the Company (and any other persons to which applicable law permits the Company to provide indemnification) through Bylaw provisions, agreements with such agents or other persons, vote of stockholders or disinterested directors or otherwise.</w:t>
      </w:r>
    </w:p>
    <w:p>
      <w:pPr>
        <w:spacing w:after="0" w:line="38" w:lineRule="exact"/>
        <w:rPr>
          <w:sz w:val="20"/>
          <w:szCs w:val="20"/>
          <w:color w:val="auto"/>
        </w:rPr>
      </w:pPr>
    </w:p>
    <w:p>
      <w:pPr>
        <w:ind w:right="1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Any repeal or modification of this Article VI shall only be prospective and shall not affect the rights under this Article VI in effect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alleged occurrence of any action or omission to act giving rise to liability.</w:t>
      </w:r>
    </w:p>
    <w:p>
      <w:pPr>
        <w:spacing w:after="0" w:line="59" w:lineRule="exact"/>
        <w:rPr>
          <w:sz w:val="20"/>
          <w:szCs w:val="20"/>
          <w:color w:val="auto"/>
        </w:rPr>
      </w:pPr>
    </w:p>
    <w:p>
      <w:pPr>
        <w:ind w:firstLine="42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and exclusive forum for the following types of actions or proceedings under Delaware statutory or common law: (A) any derivative action or proceeding brought on behalf of the Company; (B) any action or proceeding asserting a claim of breach of a fiduciary duty owed by any current or former director, officer or other employee of the Company or any stockholder to the Company or the Company’s stockholders; (C) any action or proceeding asserting a claim against the Company or any current or former director, officer or other employee of the Company or any stockholder arising pursuant to any provision of the DGCL, the Certificate of Incorporation or the Bylaws of the Company (as each may be amended from time to time); (D) any action or proceeding to interpret, apply, enforce or determine the validity of the Certificate of Incorporation or the Bylaws of the Company (including any right, obligation or remedy thereunder); (E) any action or proceeding as to which the DGCL confers jurisdiction to the Court of Chancery of the State of Delaware; and (F)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VII shall not apply to suits brought to enforce a duty or liability created by the Securities Exchange Act of 1934 or any other claim for which the federal courts have exclusive jurisdiction.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00"/>
          </w:cols>
          <w:pgMar w:left="580" w:top="263" w:right="619" w:bottom="1440" w:gutter="0" w:footer="0" w:header="0"/>
        </w:sectPr>
      </w:pPr>
    </w:p>
    <w:bookmarkStart w:id="365" w:name="page366"/>
    <w:bookmarkEnd w:id="365"/>
    <w:p>
      <w:pPr>
        <w:ind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 </w:t>
      </w: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exclusive forum for the resolution of any complaint asserting a cause or causes of action arising under the Securities Act of 1933, as amended, including all causes of action 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82" w:lineRule="exact"/>
        <w:rPr>
          <w:sz w:val="20"/>
          <w:szCs w:val="20"/>
          <w:color w:val="auto"/>
        </w:rPr>
      </w:pPr>
    </w:p>
    <w:p>
      <w:pPr>
        <w:ind w:right="2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Any person or Entity holding, owning or otherwise acquiring any interest in shares of capital stock of the Company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and to have consented to the provisions of this Article VI.</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13" w:lineRule="exact"/>
        <w:rPr>
          <w:sz w:val="20"/>
          <w:szCs w:val="20"/>
          <w:color w:val="auto"/>
        </w:rPr>
      </w:pPr>
    </w:p>
    <w:p>
      <w:pPr>
        <w:ind w:right="16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reserves the right to amend, alter, change or repeal any provision contained in this Certificate of Incorporation,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hereafter prescribed by statute, except as provided in paragraph B. of this Article VII and subject to the restrictions of Section 4(d) of Part D of Article IV, and all rights conferred upon the stockholders herein are granted subject to this reservation.</w:t>
      </w:r>
    </w:p>
    <w:p>
      <w:pPr>
        <w:spacing w:after="0" w:line="73"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 this Certificate of Incorporation or any provision of law that might otherwise permit a lesser vote or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but in addition to any affirmative vote required by law or by this Certificate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w:t>
      </w:r>
    </w:p>
    <w:p>
      <w:pPr>
        <w:spacing w:after="0" w:line="211" w:lineRule="exact"/>
        <w:rPr>
          <w:sz w:val="20"/>
          <w:szCs w:val="20"/>
          <w:color w:val="auto"/>
        </w:rPr>
      </w:pPr>
    </w:p>
    <w:p>
      <w:pPr>
        <w:ind w:right="2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FOUR: </w:t>
      </w:r>
      <w:r>
        <w:rPr>
          <w:rFonts w:ascii="Times New Roman" w:cs="Times New Roman" w:eastAsia="Times New Roman" w:hAnsi="Times New Roman"/>
          <w:sz w:val="18"/>
          <w:szCs w:val="18"/>
          <w:color w:val="auto"/>
        </w:rPr>
        <w:t>This Amended and Restated Certificate of Incorporation has been duly authorized in accordance with Sections 228, 242 and 245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00"/>
          </w:cols>
          <w:pgMar w:left="580" w:top="263" w:right="619" w:bottom="1440" w:gutter="0" w:footer="0" w:header="0"/>
        </w:sectPr>
      </w:pPr>
    </w:p>
    <w:bookmarkStart w:id="366" w:name="page367"/>
    <w:bookmarkEnd w:id="366"/>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Labs, Inc. has caused this Eleventh Amended and Restated Certificate of Incorporation to be signed by a duly authorized officer on [•], 202[•].</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Eric Lefkofsky</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480"/>
          </w:cols>
          <w:pgMar w:left="580" w:top="265" w:right="83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00" w:lineRule="exact"/>
        <w:rPr>
          <w:sz w:val="20"/>
          <w:szCs w:val="20"/>
          <w:color w:val="auto"/>
        </w:rPr>
      </w:pPr>
    </w:p>
    <w:p>
      <w:pPr>
        <w:spacing w:after="0" w:line="2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9860"/>
          </w:cols>
          <w:pgMar w:left="1440" w:top="119" w:right="599" w:bottom="1440" w:gutter="0" w:footer="0" w:header="0"/>
        </w:sectPr>
      </w:pPr>
    </w:p>
    <w:bookmarkStart w:id="368" w:name="page369"/>
    <w:bookmarkEnd w:id="3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AMENDED AND RESTATED BYLAWS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13" w:lineRule="exact"/>
        <w:rPr>
          <w:sz w:val="20"/>
          <w:szCs w:val="20"/>
          <w:color w:val="auto"/>
        </w:rPr>
      </w:pPr>
    </w:p>
    <w:p>
      <w:pPr>
        <w:ind w:right="1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registered office of the corporation in the State of Delaware shall be as set forth in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as may be amended from time to time, of the corporation (the “Certificate of Incorporation”).</w:t>
      </w:r>
    </w:p>
    <w:p>
      <w:pPr>
        <w:spacing w:after="0" w:line="164" w:lineRule="exact"/>
        <w:rPr>
          <w:sz w:val="20"/>
          <w:szCs w:val="20"/>
          <w:color w:val="auto"/>
        </w:rPr>
      </w:pPr>
    </w:p>
    <w:p>
      <w:pPr>
        <w:ind w:right="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may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“Board of Directors”), and may also have offices at such other places, both within and without the State of Delaware as the Board of Directors may from time to time determine or the business of the corporation may require.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13" w:lineRule="exact"/>
        <w:rPr>
          <w:sz w:val="20"/>
          <w:szCs w:val="20"/>
          <w:color w:val="auto"/>
        </w:rPr>
      </w:pPr>
    </w:p>
    <w:p>
      <w:pPr>
        <w:ind w:right="2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Seal-Delaware.” Said seal may be used by causing it or a facsimile thereof to be impressed or affixed or reproduced or otherwise.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13" w:lineRule="exact"/>
        <w:rPr>
          <w:sz w:val="20"/>
          <w:szCs w:val="20"/>
          <w:color w:val="auto"/>
        </w:rPr>
      </w:pPr>
    </w:p>
    <w:p>
      <w:pPr>
        <w:ind w:right="6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Place of Meetings. </w:t>
      </w:r>
      <w:r>
        <w:rPr>
          <w:rFonts w:ascii="Times New Roman" w:cs="Times New Roman" w:eastAsia="Times New Roman" w:hAnsi="Times New Roman"/>
          <w:sz w:val="18"/>
          <w:szCs w:val="18"/>
          <w:color w:val="auto"/>
        </w:rPr>
        <w:t>Meetings of the stockholders of the corporation may be held at such place, if any, either within or without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(“DGCL”) and Section 14 below.</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 Annual Meetings.</w:t>
      </w:r>
    </w:p>
    <w:p>
      <w:pPr>
        <w:spacing w:after="0" w:line="110" w:lineRule="exact"/>
        <w:rPr>
          <w:sz w:val="20"/>
          <w:szCs w:val="20"/>
          <w:color w:val="auto"/>
        </w:rPr>
      </w:pPr>
    </w:p>
    <w:p>
      <w:pPr>
        <w:ind w:firstLine="972"/>
        <w:spacing w:after="0" w:line="245" w:lineRule="auto"/>
        <w:tabs>
          <w:tab w:leader="none" w:pos="120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 of meeting of stockholders; (ii) by or at the direction of the Board of Directors or a duly authorized committee thereof; or (iii)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“1934 Act”)) before an annual meeting of stockholders.</w:t>
      </w:r>
    </w:p>
    <w:p>
      <w:pPr>
        <w:sectPr>
          <w:pgSz w:w="11900" w:h="16838" w:orient="portrait"/>
          <w:cols w:equalWidth="0" w:num="1">
            <w:col w:w="10700"/>
          </w:cols>
          <w:pgMar w:left="580" w:top="263" w:right="619" w:bottom="1440" w:gutter="0" w:footer="0" w:header="0"/>
        </w:sectPr>
      </w:pPr>
    </w:p>
    <w:bookmarkStart w:id="369" w:name="page370"/>
    <w:bookmarkEnd w:id="369"/>
    <w:p>
      <w:pPr>
        <w:jc w:val="both"/>
        <w:ind w:left="-860" w:right="360" w:firstLine="972"/>
        <w:spacing w:after="0" w:line="255" w:lineRule="auto"/>
        <w:tabs>
          <w:tab w:leader="none" w:pos="35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At an annual meeting of the stockholders, only such business shall be conducted as is a proper matter for stockholder action under Delaware law, the Certificate of Incorporation and these Bylaws, and as shall have been properly brought before the meeting in accordance with the procedures below.</w:t>
      </w:r>
    </w:p>
    <w:p>
      <w:pPr>
        <w:spacing w:after="0" w:line="75" w:lineRule="exact"/>
        <w:rPr>
          <w:rFonts w:ascii="Times New Roman" w:cs="Times New Roman" w:eastAsia="Times New Roman" w:hAnsi="Times New Roman"/>
          <w:sz w:val="18"/>
          <w:szCs w:val="18"/>
          <w:color w:val="auto"/>
        </w:rPr>
      </w:pPr>
    </w:p>
    <w:p>
      <w:pPr>
        <w:ind w:left="-860" w:right="40" w:firstLine="1400"/>
        <w:spacing w:after="0" w:line="244" w:lineRule="auto"/>
        <w:tabs>
          <w:tab w:leader="none" w:pos="741" w:val="left"/>
        </w:tabs>
        <w:numPr>
          <w:ilvl w:val="1"/>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(4) the date or dates on which such shares were acquired and the investment intent of such acquisition, (5) a statement whether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an independent director of the corporation (as such term is used in any applicable stock exchange listing requirements or applicable law) or on any committee or sub-committee of the Board of Directors under any applicable stock exchange listing requirements or applicable law, or that could be material to a reasonable stockholder’s understanding of the independence, or lack thereof, of such proposed nominee.</w:t>
      </w:r>
    </w:p>
    <w:p>
      <w:pPr>
        <w:spacing w:after="0" w:line="98" w:lineRule="exact"/>
        <w:rPr>
          <w:rFonts w:ascii="Times New Roman" w:cs="Times New Roman" w:eastAsia="Times New Roman" w:hAnsi="Times New Roman"/>
          <w:sz w:val="18"/>
          <w:szCs w:val="18"/>
          <w:b w:val="1"/>
          <w:bCs w:val="1"/>
          <w:color w:val="auto"/>
        </w:rPr>
      </w:pPr>
    </w:p>
    <w:p>
      <w:pPr>
        <w:ind w:left="-860" w:firstLine="1400"/>
        <w:spacing w:after="0" w:line="246" w:lineRule="auto"/>
        <w:tabs>
          <w:tab w:leader="none" w:pos="790" w:val="left"/>
        </w:tabs>
        <w:numPr>
          <w:ilvl w:val="1"/>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83" w:lineRule="exact"/>
        <w:rPr>
          <w:rFonts w:ascii="Times New Roman" w:cs="Times New Roman" w:eastAsia="Times New Roman" w:hAnsi="Times New Roman"/>
          <w:sz w:val="18"/>
          <w:szCs w:val="18"/>
          <w:b w:val="1"/>
          <w:bCs w:val="1"/>
          <w:color w:val="auto"/>
        </w:rPr>
      </w:pPr>
    </w:p>
    <w:p>
      <w:pPr>
        <w:ind w:left="-860" w:right="80" w:firstLine="1400"/>
        <w:spacing w:after="0" w:line="249" w:lineRule="auto"/>
        <w:tabs>
          <w:tab w:leader="none" w:pos="839" w:val="left"/>
        </w:tabs>
        <w:numPr>
          <w:ilvl w:val="1"/>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timely, the written notice required by Section 5(b)(i) or 5(b)(ii) must be received by the Secretary at the principal executive offices of the corporation not later than the close of business on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the first anniversary of the immediately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the last sentence of this Section 5(b)(iii), in the event that (A) the date of the annual meeting is advanced more than 30 days prior to or delayed by more than 30 days after the anniversary of the preceding year’s annual meeting,</w:t>
      </w:r>
    </w:p>
    <w:p>
      <w:pPr>
        <w:sectPr>
          <w:pgSz w:w="11900" w:h="16838" w:orient="portrait"/>
          <w:cols w:equalWidth="0" w:num="1">
            <w:col w:w="9860"/>
          </w:cols>
          <w:pgMar w:left="1440" w:top="265" w:right="599" w:bottom="1440" w:gutter="0" w:footer="0" w:header="0"/>
        </w:sectPr>
      </w:pPr>
    </w:p>
    <w:bookmarkStart w:id="370" w:name="page371"/>
    <w:bookmarkEnd w:id="370"/>
    <w:p>
      <w:pPr>
        <w:ind w:right="20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 by the stockholder to be timely must be so received not earlier than the close of business on the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such annual meeting or, if later than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such annual meeting,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stockholder’s notice as described above.</w:t>
      </w:r>
    </w:p>
    <w:p>
      <w:pPr>
        <w:spacing w:after="0" w:line="84" w:lineRule="exact"/>
        <w:rPr>
          <w:sz w:val="20"/>
          <w:szCs w:val="20"/>
          <w:color w:val="auto"/>
        </w:rPr>
      </w:pPr>
    </w:p>
    <w:p>
      <w:pPr>
        <w:ind w:firstLine="1400"/>
        <w:spacing w:after="0" w:line="277" w:lineRule="auto"/>
        <w:tabs>
          <w:tab w:leader="none" w:pos="1689" w:val="left"/>
        </w:tabs>
        <w:numPr>
          <w:ilvl w:val="1"/>
          <w:numId w:val="2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written notice required by Section 5(b)(i) or 5(b)(ii) shall also set forth, as of the date of the notice and as to the stockholder giving the notice and the beneficial owner, if any, on whose behalf the nomination or proposal is made (each, a “Proponent” and collectively, the “Proponents”):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has a right to acquire beneficial ownership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12 month period, including the date of the transactions and the class, series and number of securities involved in, and the material economic terms of, such Derivative Transactions.</w:t>
      </w:r>
    </w:p>
    <w:p>
      <w:pPr>
        <w:spacing w:after="0" w:line="276" w:lineRule="exact"/>
        <w:rPr>
          <w:rFonts w:ascii="Times New Roman" w:cs="Times New Roman" w:eastAsia="Times New Roman" w:hAnsi="Times New Roman"/>
          <w:sz w:val="16"/>
          <w:szCs w:val="16"/>
          <w:b w:val="1"/>
          <w:bCs w:val="1"/>
          <w:color w:val="auto"/>
        </w:rPr>
      </w:pPr>
    </w:p>
    <w:p>
      <w:pPr>
        <w:ind w:right="80" w:firstLine="972"/>
        <w:spacing w:after="0" w:line="281" w:lineRule="auto"/>
        <w:tabs>
          <w:tab w:leader="none" w:pos="1202"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In the case of an update and supplement pursuant to clause (i) of this Section 5(c), such update and supplement shall be received by the Secretary at the principal executive offices of the corporation not later than five Business Days after the public announcement of the record date for the determination of stockholders entitled to notice of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56" w:lineRule="exact"/>
        <w:rPr>
          <w:rFonts w:ascii="Times New Roman" w:cs="Times New Roman" w:eastAsia="Times New Roman" w:hAnsi="Times New Roman"/>
          <w:sz w:val="16"/>
          <w:szCs w:val="16"/>
          <w:color w:val="auto"/>
        </w:rPr>
      </w:pPr>
    </w:p>
    <w:p>
      <w:pPr>
        <w:ind w:right="120" w:firstLine="972"/>
        <w:spacing w:after="0" w:line="251" w:lineRule="auto"/>
        <w:tabs>
          <w:tab w:leader="none" w:pos="121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not be eligible for election or re-election as a director at an annual meeting, unless the person is nominated in accordance with either clause (ii) or (iii)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or (iii) of Section 5(a) and in</w:t>
      </w:r>
    </w:p>
    <w:p>
      <w:pPr>
        <w:sectPr>
          <w:pgSz w:w="11900" w:h="16838" w:orient="portrait"/>
          <w:cols w:equalWidth="0" w:num="1">
            <w:col w:w="10720"/>
          </w:cols>
          <w:pgMar w:left="580" w:top="265" w:right="599" w:bottom="1440" w:gutter="0" w:footer="0" w:header="0"/>
        </w:sectPr>
      </w:pPr>
    </w:p>
    <w:bookmarkStart w:id="371" w:name="page372"/>
    <w:bookmarkEnd w:id="371"/>
    <w:p>
      <w:pPr>
        <w:ind w:right="4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accordance with the procedures set forth in Section 5(b) and Section 5(c), as applicable. Except as otherwise required by applicable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 or such business may have been solicited or received.</w:t>
      </w:r>
    </w:p>
    <w:p>
      <w:pPr>
        <w:spacing w:after="0" w:line="54" w:lineRule="exact"/>
        <w:rPr>
          <w:sz w:val="20"/>
          <w:szCs w:val="20"/>
          <w:color w:val="auto"/>
        </w:rPr>
      </w:pPr>
    </w:p>
    <w:p>
      <w:pPr>
        <w:ind w:firstLine="972"/>
        <w:spacing w:after="0" w:line="283" w:lineRule="auto"/>
        <w:tabs>
          <w:tab w:leader="none" w:pos="1202"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references in these Bylaws to the 1934 Act or the rules and regulations thereunder are not intended to and shall not limit the requirements applicable to proposals and/or nominations to be considered pursuant to Section 5(a)(iii). Nothing in these Bylaws shall be deemed to affect any rights of holders of any class or series of preferred stock to nominate and elect directors pursuant to and to the extent provided in any applicable provision of the Certificate of Incorporation.</w:t>
      </w:r>
    </w:p>
    <w:p>
      <w:pPr>
        <w:spacing w:after="0" w:line="56" w:lineRule="exact"/>
        <w:rPr>
          <w:rFonts w:ascii="Times New Roman" w:cs="Times New Roman" w:eastAsia="Times New Roman" w:hAnsi="Times New Roman"/>
          <w:sz w:val="16"/>
          <w:szCs w:val="16"/>
          <w:color w:val="auto"/>
        </w:rPr>
      </w:pPr>
    </w:p>
    <w:p>
      <w:pPr>
        <w:ind w:right="100" w:firstLine="972"/>
        <w:spacing w:after="0" w:line="285" w:lineRule="auto"/>
        <w:tabs>
          <w:tab w:leader="none" w:pos="1183"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one hundred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54" w:lineRule="exact"/>
        <w:rPr>
          <w:rFonts w:ascii="Times New Roman" w:cs="Times New Roman" w:eastAsia="Times New Roman" w:hAnsi="Times New Roman"/>
          <w:sz w:val="16"/>
          <w:szCs w:val="16"/>
          <w:color w:val="auto"/>
        </w:rPr>
      </w:pPr>
    </w:p>
    <w:p>
      <w:pPr>
        <w:ind w:left="1220" w:hanging="248"/>
        <w:spacing w:after="0"/>
        <w:tabs>
          <w:tab w:leader="none" w:pos="12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Sections 5 and 6,</w:t>
      </w:r>
    </w:p>
    <w:p>
      <w:pPr>
        <w:spacing w:after="0" w:line="108" w:lineRule="exact"/>
        <w:rPr>
          <w:rFonts w:ascii="Times New Roman" w:cs="Times New Roman" w:eastAsia="Times New Roman" w:hAnsi="Times New Roman"/>
          <w:sz w:val="18"/>
          <w:szCs w:val="18"/>
          <w:color w:val="auto"/>
        </w:rPr>
      </w:pPr>
    </w:p>
    <w:p>
      <w:pPr>
        <w:ind w:left="1600" w:hanging="200"/>
        <w:spacing w:after="0"/>
        <w:tabs>
          <w:tab w:leader="none" w:pos="1600" w:val="left"/>
        </w:tabs>
        <w:numPr>
          <w:ilvl w:val="1"/>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“affiliates” and “associates” shall have the meanings set forth in Rule 405 under the Securities Act of 1933, as amended (the</w:t>
      </w:r>
    </w:p>
    <w:p>
      <w:pPr>
        <w:spacing w:after="0" w:line="2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“1933 Act”);</w:t>
      </w:r>
    </w:p>
    <w:p>
      <w:pPr>
        <w:spacing w:after="0" w:line="90"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1"/>
          <w:numId w:val="2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“Business Day” means any day other than Saturday, Sunday or a day on which banks are closed in New York City, New York;</w:t>
      </w:r>
    </w:p>
    <w:p>
      <w:pPr>
        <w:spacing w:after="0" w:line="131" w:lineRule="exact"/>
        <w:rPr>
          <w:rFonts w:ascii="Times New Roman" w:cs="Times New Roman" w:eastAsia="Times New Roman" w:hAnsi="Times New Roman"/>
          <w:sz w:val="16"/>
          <w:szCs w:val="16"/>
          <w:b w:val="1"/>
          <w:bCs w:val="1"/>
          <w:color w:val="auto"/>
        </w:rPr>
      </w:pPr>
    </w:p>
    <w:p>
      <w:pPr>
        <w:ind w:firstLine="1400"/>
        <w:spacing w:after="0" w:line="267" w:lineRule="auto"/>
        <w:tabs>
          <w:tab w:leader="none" w:pos="1699" w:val="left"/>
        </w:tabs>
        <w:numPr>
          <w:ilvl w:val="1"/>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“close of business” means 6:00 p.m. local time at the principal executive offices of the corporation on any calendar day, whether or not the day is a Business Day;</w:t>
      </w:r>
    </w:p>
    <w:p>
      <w:pPr>
        <w:spacing w:after="0" w:line="64" w:lineRule="exact"/>
        <w:rPr>
          <w:rFonts w:ascii="Times New Roman" w:cs="Times New Roman" w:eastAsia="Times New Roman" w:hAnsi="Times New Roman"/>
          <w:sz w:val="18"/>
          <w:szCs w:val="18"/>
          <w:b w:val="1"/>
          <w:bCs w:val="1"/>
          <w:color w:val="auto"/>
        </w:rPr>
      </w:pPr>
    </w:p>
    <w:p>
      <w:pPr>
        <w:ind w:right="180" w:firstLine="1400"/>
        <w:spacing w:after="0" w:line="267" w:lineRule="auto"/>
        <w:tabs>
          <w:tab w:leader="none" w:pos="1689" w:val="left"/>
        </w:tabs>
        <w:numPr>
          <w:ilvl w:val="1"/>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“Derivative Transaction” means any agreement, arrangement, interest or understanding entered into by, or on behalf or for the benefit of, any Proponent or any of its affiliates or associates, whether record or beneficial:</w:t>
      </w:r>
    </w:p>
    <w:p>
      <w:pPr>
        <w:spacing w:after="0" w:line="65" w:lineRule="exact"/>
        <w:rPr>
          <w:sz w:val="20"/>
          <w:szCs w:val="20"/>
          <w:color w:val="auto"/>
        </w:rPr>
      </w:pPr>
    </w:p>
    <w:p>
      <w:pPr>
        <w:ind w:left="1400" w:right="680"/>
        <w:spacing w:after="0" w:line="267" w:lineRule="auto"/>
        <w:tabs>
          <w:tab w:leader="none" w:pos="168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64" w:lineRule="exact"/>
        <w:rPr>
          <w:rFonts w:ascii="Times New Roman" w:cs="Times New Roman" w:eastAsia="Times New Roman" w:hAnsi="Times New Roman"/>
          <w:sz w:val="18"/>
          <w:szCs w:val="18"/>
          <w:color w:val="auto"/>
        </w:rPr>
      </w:pPr>
    </w:p>
    <w:p>
      <w:pPr>
        <w:ind w:left="1400" w:right="420"/>
        <w:spacing w:after="0" w:line="267" w:lineRule="auto"/>
        <w:tabs>
          <w:tab w:leader="none" w:pos="167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otherwise provides any direct or indirect opportunity to gain or share in any gain derived from a change in the value of securities of the corporation;</w:t>
      </w:r>
    </w:p>
    <w:p>
      <w:pPr>
        <w:spacing w:after="0" w:line="64" w:lineRule="exact"/>
        <w:rPr>
          <w:rFonts w:ascii="Times New Roman" w:cs="Times New Roman" w:eastAsia="Times New Roman" w:hAnsi="Times New Roman"/>
          <w:sz w:val="18"/>
          <w:szCs w:val="18"/>
          <w:color w:val="auto"/>
        </w:rPr>
      </w:pPr>
    </w:p>
    <w:p>
      <w:pPr>
        <w:ind w:left="1400" w:right="600"/>
        <w:spacing w:after="0" w:line="267" w:lineRule="auto"/>
        <w:tabs>
          <w:tab w:leader="none" w:pos="167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from changes in value or price with respect to any securities of the corporation; or</w:t>
      </w:r>
    </w:p>
    <w:p>
      <w:pPr>
        <w:sectPr>
          <w:pgSz w:w="11900" w:h="16838" w:orient="portrait"/>
          <w:cols w:equalWidth="0" w:num="1">
            <w:col w:w="10700"/>
          </w:cols>
          <w:pgMar w:left="580" w:top="265" w:right="619" w:bottom="1440" w:gutter="0" w:footer="0" w:header="0"/>
        </w:sectPr>
      </w:pPr>
    </w:p>
    <w:bookmarkStart w:id="372" w:name="page373"/>
    <w:bookmarkEnd w:id="372"/>
    <w:p>
      <w:pPr>
        <w:ind w:left="1400" w:right="100"/>
        <w:spacing w:after="0" w:line="267" w:lineRule="auto"/>
        <w:tabs>
          <w:tab w:leader="none" w:pos="168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that provides the right to vote or increase or decrease the voting power of, such Proponent, or any of its affiliates or associates, directly or indirectly, with respect to any securities of the corporation,</w:t>
      </w:r>
    </w:p>
    <w:p>
      <w:pPr>
        <w:spacing w:after="0" w:line="17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82" w:lineRule="exact"/>
        <w:rPr>
          <w:sz w:val="20"/>
          <w:szCs w:val="20"/>
          <w:color w:val="auto"/>
        </w:rPr>
      </w:pPr>
    </w:p>
    <w:p>
      <w:pPr>
        <w:ind w:right="160" w:firstLine="1400"/>
        <w:spacing w:after="0" w:line="251" w:lineRule="auto"/>
        <w:tabs>
          <w:tab w:leader="none" w:pos="164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 Special Meetings.</w:t>
      </w:r>
    </w:p>
    <w:p>
      <w:pPr>
        <w:spacing w:after="0" w:line="110" w:lineRule="exact"/>
        <w:rPr>
          <w:sz w:val="20"/>
          <w:szCs w:val="20"/>
          <w:color w:val="auto"/>
        </w:rPr>
      </w:pPr>
    </w:p>
    <w:p>
      <w:pPr>
        <w:ind w:firstLine="972"/>
        <w:spacing w:after="0" w:line="283" w:lineRule="auto"/>
        <w:tabs>
          <w:tab w:leader="none" w:pos="1202"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meetings of the stockholders of the corporation (i) may be called, for any purpose as is a proper matter for stockholder action under Delaware law, by (A) the Chairperson of the Board of Directors, (B) the Chief Executive Officer, or (C)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(ii) until the Final Conversion Date (as defined in the Certificate of Incorporation) shall be called, for any purpose as is a proper matter for stockholder action under Delaware law, by the Secretary of the Company upon written request of stockholders of record entitled to cast not less than a majority of the votes at such special meeting, provided that such written request is in compliance with the requirements of Section 6(b) hereof (“Stockholder-Requested Meeting”).</w:t>
      </w:r>
    </w:p>
    <w:p>
      <w:pPr>
        <w:spacing w:after="0" w:line="56" w:lineRule="exact"/>
        <w:rPr>
          <w:rFonts w:ascii="Times New Roman" w:cs="Times New Roman" w:eastAsia="Times New Roman" w:hAnsi="Times New Roman"/>
          <w:sz w:val="16"/>
          <w:szCs w:val="16"/>
          <w:color w:val="auto"/>
        </w:rPr>
      </w:pPr>
    </w:p>
    <w:p>
      <w:pPr>
        <w:ind w:right="20" w:firstLine="972"/>
        <w:spacing w:after="0" w:line="245" w:lineRule="auto"/>
        <w:tabs>
          <w:tab w:leader="none" w:pos="121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special meeting called pursuant to Section 6(a)(i), 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For a Stockholder-Requested Meeting, the request shall (i) be in writing, signed and dated by a stockholder of record, (ii) set forth the purpose of calling the special meeting and include the information required by the stockholder’s notice as set forth in Section 5(b)(i) and in Section 5(b)(ii) (for the proposal of business other than nominations) and (iii) be delivered personally or sent by certified or registered mail, return receipt requested, to the Secretary at the principal executive offices of the corporation. If the Board of Directors determines that a request pursuant to Section 6(a)(ii) is valid, the Board of Directors shall determine the time and place, if any, of a Stockholder-Requested Meeting, which time shall be not less than thirty (30) days nor more than ninety (90) days after the receipt of such request, and shall set a record date for the determination of stockholders entitled to vote at such meeting in the manner set forth in Section 38 hereof. Following determination of the time and place, if any, of the meeting, the Secretary shall cause a notice of meeting to be given to the stockholders entitled to vote, in accordance with the provisions of Section 7 of these Bylaws. No business may be transacted at a special meeting, including a Stockholder-Requested Meeting, otherwise than as specified in the notice of meeting.</w:t>
      </w:r>
    </w:p>
    <w:p>
      <w:pPr>
        <w:spacing w:after="0" w:line="90" w:lineRule="exact"/>
        <w:rPr>
          <w:rFonts w:ascii="Times New Roman" w:cs="Times New Roman" w:eastAsia="Times New Roman" w:hAnsi="Times New Roman"/>
          <w:sz w:val="18"/>
          <w:szCs w:val="18"/>
          <w:color w:val="auto"/>
        </w:rPr>
      </w:pPr>
    </w:p>
    <w:p>
      <w:pPr>
        <w:ind w:firstLine="972"/>
        <w:spacing w:after="0" w:line="249" w:lineRule="auto"/>
        <w:tabs>
          <w:tab w:leader="none" w:pos="120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who is entitled to vote at the</w:t>
      </w:r>
    </w:p>
    <w:p>
      <w:pPr>
        <w:sectPr>
          <w:pgSz w:w="11900" w:h="16838" w:orient="portrait"/>
          <w:cols w:equalWidth="0" w:num="1">
            <w:col w:w="10640"/>
          </w:cols>
          <w:pgMar w:left="580" w:top="265" w:right="679" w:bottom="1440" w:gutter="0" w:footer="0" w:header="0"/>
        </w:sectPr>
      </w:pPr>
    </w:p>
    <w:bookmarkStart w:id="373" w:name="page374"/>
    <w:bookmarkEnd w:id="373"/>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meeting and who delivers written notice to the Secretary of the corporation setting forth the information required by Sections 5(b)(i) and 5(b)(iv).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and 5(b)(iv) shall be received by the Secretary at the principal executive offices of the corporation not earlier than 120 days prior to such special meeting and not later than the close of business on the later of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18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 person shall not be eligible for election or re-election as a director at the special meeting unless the person is nominated either in accordance with clause (i) or clause (ii) of this Section 6(c). Except as otherwise required by applicable law, the chairperson of the meeting shall have the power and duty to determine whether a nomination was made in accordance with the procedures set forth in these Bylaws and, if any proposed nomination or business is not in compliance with these Bylaws, or if the Proponent does not act in accordance with the representations in Sections 5(b)(iv)(D) and 5(b)(iv)(E), to declare that such nomination shall not be presented for stockholder action at the meeting and shall be disregarded, notwithstanding that proxies in respect of such nomination may have been solicited or received.</w:t>
      </w:r>
    </w:p>
    <w:p>
      <w:pPr>
        <w:spacing w:after="0" w:line="82" w:lineRule="exact"/>
        <w:rPr>
          <w:sz w:val="20"/>
          <w:szCs w:val="20"/>
          <w:color w:val="auto"/>
        </w:rPr>
      </w:pPr>
    </w:p>
    <w:p>
      <w:pPr>
        <w:ind w:right="160" w:firstLine="972"/>
        <w:spacing w:after="0" w:line="249" w:lineRule="auto"/>
        <w:tabs>
          <w:tab w:leader="none" w:pos="121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any references in these Bylaws to the 1934 Act or the rules and regulations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nominations for the election to the Board of Directors to be considered pursuant to Section 6(c).</w:t>
      </w:r>
    </w:p>
    <w:p>
      <w:pPr>
        <w:spacing w:after="0" w:line="185" w:lineRule="exact"/>
        <w:rPr>
          <w:sz w:val="20"/>
          <w:szCs w:val="20"/>
          <w:color w:val="auto"/>
        </w:rPr>
      </w:pPr>
    </w:p>
    <w:p>
      <w:pPr>
        <w:ind w:firstLine="428"/>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Section 4. Notice of Meetings. </w:t>
      </w:r>
      <w:r>
        <w:rPr>
          <w:rFonts w:ascii="Times New Roman" w:cs="Times New Roman" w:eastAsia="Times New Roman" w:hAnsi="Times New Roman"/>
          <w:sz w:val="16"/>
          <w:szCs w:val="16"/>
          <w:color w:val="auto"/>
        </w:rPr>
        <w:t>Except as otherwise provided by applicable law, notice, given in writing or by electronic transmission, of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meeting of stockholders shall be given not less than ten nor more than 60 days before the date of the meeting to each stockholder entitled to vote at such meeting. Such notice shall specify the place, if any, date and hour,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ectPr>
          <w:pgSz w:w="11900" w:h="16838" w:orient="portrait"/>
          <w:cols w:equalWidth="0" w:num="1">
            <w:col w:w="10700"/>
          </w:cols>
          <w:pgMar w:left="580" w:top="265" w:right="619" w:bottom="1440" w:gutter="0" w:footer="0" w:header="0"/>
        </w:sectPr>
      </w:pPr>
    </w:p>
    <w:bookmarkStart w:id="374" w:name="page375"/>
    <w:bookmarkEnd w:id="374"/>
    <w:p>
      <w:pPr>
        <w:ind w:right="4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 Quorum and Vote Required. </w:t>
      </w:r>
      <w:r>
        <w:rPr>
          <w:rFonts w:ascii="Times New Roman" w:cs="Times New Roman" w:eastAsia="Times New Roman" w:hAnsi="Times New Roman"/>
          <w:sz w:val="18"/>
          <w:szCs w:val="18"/>
          <w:color w:val="auto"/>
        </w:rPr>
        <w:t>At all meetings of stockholders, except where otherwise provided by statute or by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by these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Certificate of Incorporation or these Bylaws or any applicable stock exchange rules,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192" w:lineRule="exact"/>
        <w:rPr>
          <w:sz w:val="20"/>
          <w:szCs w:val="20"/>
          <w:color w:val="auto"/>
        </w:rPr>
      </w:pPr>
    </w:p>
    <w:p>
      <w:pPr>
        <w:ind w:firstLine="42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Section 6. Adjournment and Notice of Adjourned Meetings. </w:t>
      </w:r>
      <w:r>
        <w:rPr>
          <w:rFonts w:ascii="Times New Roman" w:cs="Times New Roman" w:eastAsia="Times New Roman" w:hAnsi="Times New Roman"/>
          <w:sz w:val="18"/>
          <w:szCs w:val="18"/>
          <w:color w:val="auto"/>
        </w:rPr>
        <w:t>Any meeting of stockholders, whether annual or special,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95" w:lineRule="exact"/>
        <w:rPr>
          <w:sz w:val="20"/>
          <w:szCs w:val="20"/>
          <w:color w:val="auto"/>
        </w:rPr>
      </w:pPr>
    </w:p>
    <w:p>
      <w:pPr>
        <w:ind w:right="60" w:firstLine="428"/>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Section 7. Voting Rights. </w:t>
      </w:r>
      <w:r>
        <w:rPr>
          <w:rFonts w:ascii="Times New Roman" w:cs="Times New Roman" w:eastAsia="Times New Roman" w:hAnsi="Times New Roman"/>
          <w:sz w:val="16"/>
          <w:szCs w:val="16"/>
          <w:color w:val="auto"/>
        </w:rPr>
        <w:t>For the purpose of determining those stockholders entitled to vote at any meeting of the stockholders or adjournment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except as otherwise provided by applicable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ectPr>
          <w:pgSz w:w="11900" w:h="16838" w:orient="portrait"/>
          <w:cols w:equalWidth="0" w:num="1">
            <w:col w:w="10700"/>
          </w:cols>
          <w:pgMar w:left="580" w:top="263" w:right="619" w:bottom="1440" w:gutter="0" w:footer="0" w:header="0"/>
        </w:sectPr>
      </w:pPr>
    </w:p>
    <w:bookmarkStart w:id="375" w:name="page376"/>
    <w:bookmarkEnd w:id="375"/>
    <w:p>
      <w:pPr>
        <w:ind w:right="4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8. Joint Owners of Stock. </w:t>
      </w:r>
      <w:r>
        <w:rPr>
          <w:rFonts w:ascii="Times New Roman" w:cs="Times New Roman" w:eastAsia="Times New Roman" w:hAnsi="Times New Roman"/>
          <w:sz w:val="18"/>
          <w:szCs w:val="18"/>
          <w:color w:val="auto"/>
        </w:rPr>
        <w:t>If shares or other securities having voting power stand of record in the names of two or more persons,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or (c) if more than one 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subsection (c) shall be a majority or even-split in interest.</w:t>
      </w:r>
    </w:p>
    <w:p>
      <w:pPr>
        <w:spacing w:after="0" w:line="186" w:lineRule="exact"/>
        <w:rPr>
          <w:sz w:val="20"/>
          <w:szCs w:val="20"/>
          <w:color w:val="auto"/>
        </w:rPr>
      </w:pPr>
    </w:p>
    <w:p>
      <w:pPr>
        <w:ind w:right="40" w:firstLine="42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Section 9. List of Stockholders. </w:t>
      </w:r>
      <w:r>
        <w:rPr>
          <w:rFonts w:ascii="Times New Roman" w:cs="Times New Roman" w:eastAsia="Times New Roman" w:hAnsi="Times New Roman"/>
          <w:sz w:val="18"/>
          <w:szCs w:val="18"/>
          <w:color w:val="auto"/>
        </w:rPr>
        <w:t>The corporation shall prepare, at least ten days before every meeting of stockholders, a complete list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applicable law.</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 Action without Meeting.</w:t>
      </w:r>
    </w:p>
    <w:p>
      <w:pPr>
        <w:spacing w:after="0" w:line="110" w:lineRule="exact"/>
        <w:rPr>
          <w:sz w:val="20"/>
          <w:szCs w:val="20"/>
          <w:color w:val="auto"/>
        </w:rPr>
      </w:pPr>
    </w:p>
    <w:p>
      <w:pPr>
        <w:ind w:firstLine="972"/>
        <w:spacing w:after="0" w:line="247" w:lineRule="auto"/>
        <w:tabs>
          <w:tab w:leader="none" w:pos="120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until the Final Conversion Date (as defined in the Certificate of Incorporation),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Following the Final Conversion Date, no action shall be taken by the stockholders of the Company except at an annual or special meeting of stockholders called in accordance with the Bylaws and no action shall be taken by the stockholders by written consent.</w:t>
      </w:r>
    </w:p>
    <w:p>
      <w:pPr>
        <w:spacing w:after="0" w:line="84" w:lineRule="exact"/>
        <w:rPr>
          <w:rFonts w:ascii="Times New Roman" w:cs="Times New Roman" w:eastAsia="Times New Roman" w:hAnsi="Times New Roman"/>
          <w:sz w:val="18"/>
          <w:szCs w:val="18"/>
          <w:color w:val="auto"/>
        </w:rPr>
      </w:pPr>
    </w:p>
    <w:p>
      <w:pPr>
        <w:ind w:firstLine="972"/>
        <w:spacing w:after="0" w:line="278" w:lineRule="auto"/>
        <w:tabs>
          <w:tab w:leader="none" w:pos="1212"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that the corporation may determine the stockholders entitled to consent to corporate action in writing without a meeting, so long as such action is provided for,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Any stockholder of record seeking to have the stockholders authorize or take corporate action by written consent may, by written notice to the Secretary, request the Board of Directors to fix a record date. The Board of Directors shall promptly, but in all events within ten days after the date on which such a request is received, adopt a resolution fixing the record date. If no request to fix a record date is made or no record date has been fixed by the Board of Directors within ten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ectPr>
          <w:pgSz w:w="11900" w:h="16838" w:orient="portrait"/>
          <w:cols w:equalWidth="0" w:num="1">
            <w:col w:w="10700"/>
          </w:cols>
          <w:pgMar w:left="580" w:top="263" w:right="619" w:bottom="1440" w:gutter="0" w:footer="0" w:header="0"/>
        </w:sectPr>
      </w:pPr>
    </w:p>
    <w:bookmarkStart w:id="376" w:name="page377"/>
    <w:bookmarkEnd w:id="376"/>
    <w:p>
      <w:pPr>
        <w:ind w:right="40" w:firstLine="428"/>
        <w:spacing w:after="0" w:line="33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11. Remote Communication. </w:t>
      </w:r>
      <w:r>
        <w:rPr>
          <w:rFonts w:ascii="Times New Roman" w:cs="Times New Roman" w:eastAsia="Times New Roman" w:hAnsi="Times New Roman"/>
          <w:sz w:val="16"/>
          <w:szCs w:val="16"/>
          <w:color w:val="auto"/>
        </w:rPr>
        <w:t>For the purposes of these Bylaws, if authorized by the Board of Directors in its sole discretion, and subject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such guidelines and procedures as the Board of Directors may adopt, stockholders and proxyholders may, by means of remote communication:</w:t>
      </w:r>
    </w:p>
    <w:p>
      <w:pPr>
        <w:spacing w:after="0" w:line="17" w:lineRule="exact"/>
        <w:rPr>
          <w:sz w:val="20"/>
          <w:szCs w:val="20"/>
          <w:color w:val="auto"/>
        </w:rPr>
      </w:pPr>
    </w:p>
    <w:p>
      <w:pPr>
        <w:ind w:left="1200" w:hanging="228"/>
        <w:spacing w:after="0"/>
        <w:tabs>
          <w:tab w:leader="none" w:pos="12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108" w:lineRule="exact"/>
        <w:rPr>
          <w:rFonts w:ascii="Times New Roman" w:cs="Times New Roman" w:eastAsia="Times New Roman" w:hAnsi="Times New Roman"/>
          <w:sz w:val="18"/>
          <w:szCs w:val="18"/>
          <w:color w:val="auto"/>
        </w:rPr>
      </w:pPr>
    </w:p>
    <w:p>
      <w:pPr>
        <w:ind w:firstLine="972"/>
        <w:spacing w:after="0" w:line="247" w:lineRule="auto"/>
        <w:tabs>
          <w:tab w:leader="none" w:pos="121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 Organization.</w:t>
      </w:r>
    </w:p>
    <w:p>
      <w:pPr>
        <w:spacing w:after="0" w:line="110" w:lineRule="exact"/>
        <w:rPr>
          <w:sz w:val="20"/>
          <w:szCs w:val="20"/>
          <w:color w:val="auto"/>
        </w:rPr>
      </w:pPr>
    </w:p>
    <w:p>
      <w:pPr>
        <w:ind w:firstLine="972"/>
        <w:spacing w:after="0" w:line="247" w:lineRule="auto"/>
        <w:tabs>
          <w:tab w:leader="none" w:pos="120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84" w:lineRule="exact"/>
        <w:rPr>
          <w:rFonts w:ascii="Times New Roman" w:cs="Times New Roman" w:eastAsia="Times New Roman" w:hAnsi="Times New Roman"/>
          <w:sz w:val="18"/>
          <w:szCs w:val="18"/>
          <w:color w:val="auto"/>
        </w:rPr>
      </w:pPr>
    </w:p>
    <w:p>
      <w:pPr>
        <w:ind w:firstLine="972"/>
        <w:spacing w:after="0" w:line="245" w:lineRule="auto"/>
        <w:tabs>
          <w:tab w:leader="none" w:pos="121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ectPr>
          <w:pgSz w:w="11900" w:h="16838" w:orient="portrait"/>
          <w:cols w:equalWidth="0" w:num="1">
            <w:col w:w="10700"/>
          </w:cols>
          <w:pgMar w:left="580" w:top="263" w:right="619" w:bottom="1440" w:gutter="0" w:footer="0" w:header="0"/>
        </w:sectPr>
      </w:pPr>
    </w:p>
    <w:bookmarkStart w:id="377" w:name="page378"/>
    <w:bookmarkEnd w:id="3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IV</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13" w:lineRule="exact"/>
        <w:rPr>
          <w:sz w:val="20"/>
          <w:szCs w:val="20"/>
          <w:color w:val="auto"/>
        </w:rPr>
      </w:pPr>
    </w:p>
    <w:p>
      <w:pPr>
        <w:jc w:val="both"/>
        <w:ind w:right="14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Number and Term of Office. </w:t>
      </w:r>
      <w:r>
        <w:rPr>
          <w:rFonts w:ascii="Times New Roman" w:cs="Times New Roman" w:eastAsia="Times New Roman" w:hAnsi="Times New Roman"/>
          <w:sz w:val="18"/>
          <w:szCs w:val="18"/>
          <w:color w:val="auto"/>
        </w:rPr>
        <w:t>The authorized number of directors of the corporation shall be fixed in accordance with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1" w:lineRule="exact"/>
        <w:rPr>
          <w:sz w:val="20"/>
          <w:szCs w:val="20"/>
          <w:color w:val="auto"/>
        </w:rPr>
      </w:pPr>
    </w:p>
    <w:p>
      <w:pPr>
        <w:ind w:right="3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2. Powers. </w:t>
      </w:r>
      <w:r>
        <w:rPr>
          <w:rFonts w:ascii="Times New Roman" w:cs="Times New Roman" w:eastAsia="Times New Roman" w:hAnsi="Times New Roman"/>
          <w:sz w:val="18"/>
          <w:szCs w:val="18"/>
          <w:color w:val="auto"/>
        </w:rPr>
        <w:t>The business and affairs of the corporation shall be managed by or under the direction of the Board of Directors,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otherwise provided by the Certificate of Incorporation or the DGCL.</w:t>
      </w:r>
    </w:p>
    <w:p>
      <w:pPr>
        <w:spacing w:after="0" w:line="164" w:lineRule="exact"/>
        <w:rPr>
          <w:sz w:val="20"/>
          <w:szCs w:val="20"/>
          <w:color w:val="auto"/>
        </w:rPr>
      </w:pPr>
    </w:p>
    <w:p>
      <w:pPr>
        <w:ind w:right="2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3. Classes of Directors. </w:t>
      </w:r>
      <w:r>
        <w:rPr>
          <w:rFonts w:ascii="Times New Roman" w:cs="Times New Roman" w:eastAsia="Times New Roman" w:hAnsi="Times New Roman"/>
          <w:sz w:val="18"/>
          <w:szCs w:val="18"/>
          <w:color w:val="auto"/>
        </w:rPr>
        <w:t>The directors shall be divided into classes as and to the extent provided in the Certificate of Incorporation,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otherwise required by applicable law.</w:t>
      </w:r>
    </w:p>
    <w:p>
      <w:pPr>
        <w:spacing w:after="0" w:line="164" w:lineRule="exact"/>
        <w:rPr>
          <w:sz w:val="20"/>
          <w:szCs w:val="20"/>
          <w:color w:val="auto"/>
        </w:rPr>
      </w:pPr>
    </w:p>
    <w:p>
      <w:pPr>
        <w:ind w:right="4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4. Vacancies. </w:t>
      </w:r>
      <w:r>
        <w:rPr>
          <w:rFonts w:ascii="Times New Roman" w:cs="Times New Roman" w:eastAsia="Times New Roman" w:hAnsi="Times New Roman"/>
          <w:sz w:val="18"/>
          <w:szCs w:val="18"/>
          <w:color w:val="auto"/>
        </w:rPr>
        <w:t>Vacancies on the Board of Directors shall be filled as provided in the Certificate of Incorporation, except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w:t>
      </w:r>
    </w:p>
    <w:p>
      <w:pPr>
        <w:spacing w:after="0" w:line="164" w:lineRule="exact"/>
        <w:rPr>
          <w:sz w:val="20"/>
          <w:szCs w:val="20"/>
          <w:color w:val="auto"/>
        </w:rPr>
      </w:pPr>
    </w:p>
    <w:p>
      <w:pPr>
        <w:ind w:right="2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5.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89"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6. Removal. </w:t>
      </w:r>
      <w:r>
        <w:rPr>
          <w:rFonts w:ascii="Times New Roman" w:cs="Times New Roman" w:eastAsia="Times New Roman" w:hAnsi="Times New Roman"/>
          <w:sz w:val="18"/>
          <w:szCs w:val="18"/>
          <w:color w:val="auto"/>
        </w:rPr>
        <w:t>Subject to any limitation imposed by applicable law, any individual director or the entire Board of Directors may be removed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office as provided in Section 141(k) of the DGCL.</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 Meetings.</w:t>
      </w:r>
    </w:p>
    <w:p>
      <w:pPr>
        <w:spacing w:after="0" w:line="108" w:lineRule="exact"/>
        <w:rPr>
          <w:sz w:val="20"/>
          <w:szCs w:val="20"/>
          <w:color w:val="auto"/>
        </w:rPr>
      </w:pPr>
    </w:p>
    <w:p>
      <w:pPr>
        <w:ind w:right="140" w:firstLine="972"/>
        <w:spacing w:after="0" w:line="293" w:lineRule="auto"/>
        <w:tabs>
          <w:tab w:leader="none" w:pos="1202"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Regular Meetings. </w:t>
      </w:r>
      <w:r>
        <w:rPr>
          <w:rFonts w:ascii="Times New Roman" w:cs="Times New Roman" w:eastAsia="Times New Roman" w:hAnsi="Times New Roman"/>
          <w:sz w:val="16"/>
          <w:szCs w:val="16"/>
          <w:color w:val="auto"/>
        </w:rPr>
        <w:t>Unless otherwise restricted by the Certificate of Incorporation, regular meetings of the Board of Directors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held at any time or date and at any place within or without the State of 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46" w:lineRule="exact"/>
        <w:rPr>
          <w:rFonts w:ascii="Times New Roman" w:cs="Times New Roman" w:eastAsia="Times New Roman" w:hAnsi="Times New Roman"/>
          <w:sz w:val="16"/>
          <w:szCs w:val="16"/>
          <w:color w:val="auto"/>
        </w:rPr>
      </w:pPr>
    </w:p>
    <w:p>
      <w:pPr>
        <w:ind w:right="220" w:firstLine="972"/>
        <w:spacing w:after="0" w:line="256" w:lineRule="auto"/>
        <w:tabs>
          <w:tab w:leader="none" w:pos="121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Unless otherwise restricted by the Certificate of Incorporation, special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and place within or without the State of Delaware as designated and called by the Chairperson of the Board of Directors, the Chief Executive Officer or the Board of Directors</w:t>
      </w:r>
      <w:r>
        <w:rPr>
          <w:rFonts w:ascii="Times New Roman" w:cs="Times New Roman" w:eastAsia="Times New Roman" w:hAnsi="Times New Roman"/>
          <w:sz w:val="18"/>
          <w:szCs w:val="18"/>
          <w:b w:val="1"/>
          <w:bCs w:val="1"/>
          <w:color w:val="auto"/>
        </w:rPr>
        <w:t>.</w:t>
      </w:r>
    </w:p>
    <w:p>
      <w:pPr>
        <w:spacing w:after="0" w:line="72" w:lineRule="exact"/>
        <w:rPr>
          <w:rFonts w:ascii="Times New Roman" w:cs="Times New Roman" w:eastAsia="Times New Roman" w:hAnsi="Times New Roman"/>
          <w:sz w:val="18"/>
          <w:szCs w:val="18"/>
          <w:color w:val="auto"/>
        </w:rPr>
      </w:pPr>
    </w:p>
    <w:p>
      <w:pPr>
        <w:ind w:right="360" w:firstLine="972"/>
        <w:spacing w:after="0" w:line="303" w:lineRule="auto"/>
        <w:tabs>
          <w:tab w:leader="none" w:pos="1202"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Meetings by Electronic Communications Equipment. </w:t>
      </w:r>
      <w:r>
        <w:rPr>
          <w:rFonts w:ascii="Times New Roman" w:cs="Times New Roman" w:eastAsia="Times New Roman" w:hAnsi="Times New Roman"/>
          <w:sz w:val="16"/>
          <w:szCs w:val="16"/>
          <w:color w:val="auto"/>
        </w:rPr>
        <w:t>Any member of the Board of Directors, or of any committee thereof,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38" w:lineRule="exact"/>
        <w:rPr>
          <w:rFonts w:ascii="Times New Roman" w:cs="Times New Roman" w:eastAsia="Times New Roman" w:hAnsi="Times New Roman"/>
          <w:sz w:val="16"/>
          <w:szCs w:val="16"/>
          <w:color w:val="auto"/>
        </w:rPr>
      </w:pPr>
    </w:p>
    <w:p>
      <w:pPr>
        <w:jc w:val="both"/>
        <w:ind w:right="80" w:firstLine="972"/>
        <w:spacing w:after="0" w:line="252" w:lineRule="auto"/>
        <w:tabs>
          <w:tab w:leader="none" w:pos="121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if any, of all special meetings of the Board of Directors shall be transmitted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orally or in writing, by telephone, including a voice messaging system or other system or technology designed to record and communicate messages, or by electronic mail or other electronic means, during normal business hours, at least 24 hours before the date and time of the meeting. If notice is sent by U.S. mail, it shall be sent by first class mail, postage prepaid, at least three days before the date of the meeting.</w:t>
      </w:r>
    </w:p>
    <w:p>
      <w:pPr>
        <w:sectPr>
          <w:pgSz w:w="11900" w:h="16838" w:orient="portrait"/>
          <w:cols w:equalWidth="0" w:num="1">
            <w:col w:w="10720"/>
          </w:cols>
          <w:pgMar w:left="580" w:top="263" w:right="599" w:bottom="1440" w:gutter="0" w:footer="0" w:header="0"/>
        </w:sectPr>
      </w:pPr>
    </w:p>
    <w:bookmarkStart w:id="378" w:name="page379"/>
    <w:bookmarkEnd w:id="378"/>
    <w:p>
      <w:pPr>
        <w:ind w:right="160" w:firstLine="972"/>
        <w:spacing w:after="0" w:line="247" w:lineRule="auto"/>
        <w:tabs>
          <w:tab w:leader="none" w:pos="120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Waiver of Notice. </w:t>
      </w:r>
      <w:r>
        <w:rPr>
          <w:rFonts w:ascii="Times New Roman" w:cs="Times New Roman" w:eastAsia="Times New Roman" w:hAnsi="Times New Roman"/>
          <w:sz w:val="18"/>
          <w:szCs w:val="18"/>
          <w:color w:val="auto"/>
        </w:rPr>
        <w:t>Notice of any meeting of the Board of Directors may be waived in writing, or by electronic transmission,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 Quorum and Voting.</w:t>
      </w:r>
    </w:p>
    <w:p>
      <w:pPr>
        <w:spacing w:after="0" w:line="110" w:lineRule="exact"/>
        <w:rPr>
          <w:sz w:val="20"/>
          <w:szCs w:val="20"/>
          <w:color w:val="auto"/>
        </w:rPr>
      </w:pPr>
    </w:p>
    <w:p>
      <w:pPr>
        <w:ind w:right="160" w:firstLine="972"/>
        <w:spacing w:after="0" w:line="247" w:lineRule="auto"/>
        <w:tabs>
          <w:tab w:leader="none" w:pos="120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Certificate of Incorporation requires a greater number, and except with respect to questions related to indemnification arising under Section 45 for which a quorum shall be one-third of the exact number of directors fixed from time to time by the Board of Directors in accordance with the Certificate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Certificate of Incorporation.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84" w:lineRule="exact"/>
        <w:rPr>
          <w:rFonts w:ascii="Times New Roman" w:cs="Times New Roman" w:eastAsia="Times New Roman" w:hAnsi="Times New Roman"/>
          <w:sz w:val="18"/>
          <w:szCs w:val="18"/>
          <w:color w:val="auto"/>
        </w:rPr>
      </w:pPr>
    </w:p>
    <w:p>
      <w:pPr>
        <w:ind w:right="380" w:firstLine="972"/>
        <w:spacing w:after="0" w:line="255" w:lineRule="auto"/>
        <w:tabs>
          <w:tab w:leader="none" w:pos="121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the affirmative vote of a majority of the directors present, unless a different vote be required by applicable law, the Certificate of Incorporation or these Bylaws.</w:t>
      </w:r>
    </w:p>
    <w:p>
      <w:pPr>
        <w:spacing w:after="0" w:line="178" w:lineRule="exact"/>
        <w:rPr>
          <w:sz w:val="20"/>
          <w:szCs w:val="20"/>
          <w:color w:val="auto"/>
        </w:rPr>
      </w:pPr>
    </w:p>
    <w:p>
      <w:pPr>
        <w:ind w:right="4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9. Action without Meeting. </w:t>
      </w:r>
      <w:r>
        <w:rPr>
          <w:rFonts w:ascii="Times New Roman" w:cs="Times New Roman" w:eastAsia="Times New Roman" w:hAnsi="Times New Roman"/>
          <w:sz w:val="18"/>
          <w:szCs w:val="18"/>
          <w:color w:val="auto"/>
        </w:rPr>
        <w:t>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Such consent or consents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77" w:lineRule="exact"/>
        <w:rPr>
          <w:sz w:val="20"/>
          <w:szCs w:val="20"/>
          <w:color w:val="auto"/>
        </w:rPr>
      </w:pPr>
    </w:p>
    <w:p>
      <w:pPr>
        <w:ind w:right="80" w:firstLine="972"/>
        <w:spacing w:after="0" w:line="247" w:lineRule="auto"/>
        <w:tabs>
          <w:tab w:leader="none" w:pos="120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 and Compensation</w:t>
      </w:r>
      <w:r>
        <w:rPr>
          <w:rFonts w:ascii="Times New Roman" w:cs="Times New Roman" w:eastAsia="Times New Roman" w:hAnsi="Times New Roman"/>
          <w:sz w:val="18"/>
          <w:szCs w:val="18"/>
          <w:color w:val="auto"/>
        </w:rPr>
        <w:t>. Directors shall be entitled to such compensation for their services as may be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a fixed sum and reimbursement of expenses incurred, if any, for attendance at each regular or special meeting of the Board of Directors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 Committees.</w:t>
      </w:r>
    </w:p>
    <w:p>
      <w:pPr>
        <w:spacing w:after="0" w:line="108" w:lineRule="exact"/>
        <w:rPr>
          <w:sz w:val="20"/>
          <w:szCs w:val="20"/>
          <w:color w:val="auto"/>
        </w:rPr>
      </w:pPr>
    </w:p>
    <w:p>
      <w:pPr>
        <w:ind w:firstLine="972"/>
        <w:spacing w:after="0" w:line="280" w:lineRule="auto"/>
        <w:tabs>
          <w:tab w:leader="none" w:pos="1202"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Executive Committee. </w:t>
      </w:r>
      <w:r>
        <w:rPr>
          <w:rFonts w:ascii="Times New Roman" w:cs="Times New Roman" w:eastAsia="Times New Roman" w:hAnsi="Times New Roman"/>
          <w:sz w:val="16"/>
          <w:szCs w:val="16"/>
          <w:color w:val="auto"/>
        </w:rPr>
        <w:t>The Board of Directors may appoint an Executive Committee to consist of one or more members of the Board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1" w:lineRule="exact"/>
        <w:rPr>
          <w:rFonts w:ascii="Times New Roman" w:cs="Times New Roman" w:eastAsia="Times New Roman" w:hAnsi="Times New Roman"/>
          <w:sz w:val="16"/>
          <w:szCs w:val="16"/>
          <w:color w:val="auto"/>
        </w:rPr>
      </w:pPr>
    </w:p>
    <w:p>
      <w:pPr>
        <w:ind w:right="40" w:firstLine="8"/>
        <w:spacing w:after="0" w:line="247" w:lineRule="auto"/>
        <w:tabs>
          <w:tab w:leader="none" w:pos="20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ectPr>
          <w:pgSz w:w="11900" w:h="16838" w:orient="portrait"/>
          <w:cols w:equalWidth="0" w:num="1">
            <w:col w:w="10700"/>
          </w:cols>
          <w:pgMar w:left="580" w:top="263" w:right="619" w:bottom="1440" w:gutter="0" w:footer="0" w:header="0"/>
        </w:sectPr>
      </w:pPr>
    </w:p>
    <w:bookmarkStart w:id="379" w:name="page380"/>
    <w:bookmarkEnd w:id="379"/>
    <w:p>
      <w:pPr>
        <w:ind w:right="80" w:firstLine="972"/>
        <w:spacing w:after="0" w:line="252" w:lineRule="auto"/>
        <w:tabs>
          <w:tab w:leader="none" w:pos="121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75" w:lineRule="exact"/>
        <w:rPr>
          <w:rFonts w:ascii="Times New Roman" w:cs="Times New Roman" w:eastAsia="Times New Roman" w:hAnsi="Times New Roman"/>
          <w:sz w:val="18"/>
          <w:szCs w:val="18"/>
          <w:color w:val="auto"/>
        </w:rPr>
      </w:pPr>
    </w:p>
    <w:p>
      <w:pPr>
        <w:ind w:right="40" w:firstLine="972"/>
        <w:spacing w:after="0" w:line="246" w:lineRule="auto"/>
        <w:tabs>
          <w:tab w:leader="none" w:pos="120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10,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86" w:lineRule="exact"/>
        <w:rPr>
          <w:rFonts w:ascii="Times New Roman" w:cs="Times New Roman" w:eastAsia="Times New Roman" w:hAnsi="Times New Roman"/>
          <w:sz w:val="18"/>
          <w:szCs w:val="18"/>
          <w:color w:val="auto"/>
        </w:rPr>
      </w:pPr>
    </w:p>
    <w:p>
      <w:pPr>
        <w:ind w:firstLine="972"/>
        <w:spacing w:after="0" w:line="245" w:lineRule="auto"/>
        <w:tabs>
          <w:tab w:leader="none" w:pos="121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10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95" w:lineRule="exact"/>
        <w:rPr>
          <w:sz w:val="20"/>
          <w:szCs w:val="20"/>
          <w:color w:val="auto"/>
        </w:rPr>
      </w:pPr>
    </w:p>
    <w:p>
      <w:pPr>
        <w:ind w:right="4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11. Lead Independent Director. </w:t>
      </w:r>
      <w:r>
        <w:rPr>
          <w:rFonts w:ascii="Times New Roman" w:cs="Times New Roman" w:eastAsia="Times New Roman" w:hAnsi="Times New Roman"/>
          <w:sz w:val="18"/>
          <w:szCs w:val="18"/>
          <w:color w:val="auto"/>
        </w:rPr>
        <w:t>The Chairperson of the Board of Directors, or if the Chairperson is not an independent director, 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independent directors, 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spacing w:after="0" w:line="182" w:lineRule="exact"/>
        <w:rPr>
          <w:sz w:val="20"/>
          <w:szCs w:val="20"/>
          <w:color w:val="auto"/>
        </w:rPr>
      </w:pPr>
    </w:p>
    <w:p>
      <w:pPr>
        <w:ind w:right="80"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Section 12. Organization. </w:t>
      </w:r>
      <w:r>
        <w:rPr>
          <w:rFonts w:ascii="Times New Roman" w:cs="Times New Roman" w:eastAsia="Times New Roman" w:hAnsi="Times New Roman"/>
          <w:sz w:val="18"/>
          <w:szCs w:val="18"/>
          <w:color w:val="auto"/>
        </w:rPr>
        <w:t>At every meeting of the directors, the Chairperson of the Board of Directors, or, if a Chairperson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or is absent, the Lead Independent Director, or if the Lead Independent Director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ectPr>
          <w:pgSz w:w="11900" w:h="16838" w:orient="portrait"/>
          <w:cols w:equalWidth="0" w:num="1">
            <w:col w:w="10720"/>
          </w:cols>
          <w:pgMar w:left="580" w:top="263" w:right="599" w:bottom="1440" w:gutter="0" w:footer="0" w:header="0"/>
        </w:sectPr>
      </w:pPr>
    </w:p>
    <w:bookmarkStart w:id="380" w:name="page381"/>
    <w:bookmarkEnd w:id="3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V</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13" w:lineRule="exact"/>
        <w:rPr>
          <w:sz w:val="20"/>
          <w:szCs w:val="20"/>
          <w:color w:val="auto"/>
        </w:rPr>
      </w:pPr>
    </w:p>
    <w:p>
      <w:pPr>
        <w:ind w:right="140" w:firstLine="428"/>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Section 1. Officers Designated. </w:t>
      </w:r>
      <w:r>
        <w:rPr>
          <w:rFonts w:ascii="Times New Roman" w:cs="Times New Roman" w:eastAsia="Times New Roman" w:hAnsi="Times New Roman"/>
          <w:sz w:val="16"/>
          <w:szCs w:val="16"/>
          <w:color w:val="auto"/>
        </w:rPr>
        <w:t>The officers of the corporation shall include, if and when designated by the Board of Directors, the Chairperson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Board of Directors (provided that notwithstanding the foregoing or anything to the contrary in these Bylaws, the Chairperson of the Board of Directors shall not be deemed an officer of the corporation unless specifically designated an officer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Certificate of Incorporation or these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 Tenure and Duties of Officers.</w:t>
      </w:r>
    </w:p>
    <w:p>
      <w:pPr>
        <w:spacing w:after="0" w:line="108" w:lineRule="exact"/>
        <w:rPr>
          <w:sz w:val="20"/>
          <w:szCs w:val="20"/>
          <w:color w:val="auto"/>
        </w:rPr>
      </w:pPr>
    </w:p>
    <w:p>
      <w:pPr>
        <w:ind w:right="100" w:firstLine="972"/>
        <w:spacing w:after="0" w:line="252" w:lineRule="auto"/>
        <w:tabs>
          <w:tab w:leader="none" w:pos="120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 unless sooner removed.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75" w:lineRule="exact"/>
        <w:rPr>
          <w:rFonts w:ascii="Times New Roman" w:cs="Times New Roman" w:eastAsia="Times New Roman" w:hAnsi="Times New Roman"/>
          <w:sz w:val="18"/>
          <w:szCs w:val="18"/>
          <w:color w:val="auto"/>
        </w:rPr>
      </w:pPr>
    </w:p>
    <w:p>
      <w:pPr>
        <w:ind w:firstLine="972"/>
        <w:spacing w:after="0" w:line="247" w:lineRule="auto"/>
        <w:tabs>
          <w:tab w:leader="none" w:pos="12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Chief Executive Officer. </w:t>
      </w:r>
      <w:r>
        <w:rPr>
          <w:rFonts w:ascii="Times New Roman" w:cs="Times New Roman" w:eastAsia="Times New Roman" w:hAnsi="Times New Roman"/>
          <w:sz w:val="18"/>
          <w:szCs w:val="18"/>
          <w:color w:val="auto"/>
        </w:rPr>
        <w:t>The Chief Executive Officer shall preside at all meetings of the stockholders and, if a director,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Board of Directors, unless a Chairperson of the Board of Directors or Lead Independent Director has been appointed and is present. The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these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81" w:lineRule="exact"/>
        <w:rPr>
          <w:rFonts w:ascii="Times New Roman" w:cs="Times New Roman" w:eastAsia="Times New Roman" w:hAnsi="Times New Roman"/>
          <w:sz w:val="18"/>
          <w:szCs w:val="18"/>
          <w:color w:val="auto"/>
        </w:rPr>
      </w:pPr>
    </w:p>
    <w:p>
      <w:pPr>
        <w:ind w:firstLine="972"/>
        <w:spacing w:after="0" w:line="247" w:lineRule="auto"/>
        <w:tabs>
          <w:tab w:leader="none" w:pos="120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if a director, at all meetings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unless a Chairperson of the Board of Directors,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ectPr>
          <w:pgSz w:w="11900" w:h="16838" w:orient="portrait"/>
          <w:cols w:equalWidth="0" w:num="1">
            <w:col w:w="10720"/>
          </w:cols>
          <w:pgMar w:left="580" w:top="263" w:right="599" w:bottom="1440" w:gutter="0" w:footer="0" w:header="0"/>
        </w:sectPr>
      </w:pPr>
    </w:p>
    <w:bookmarkStart w:id="381" w:name="page382"/>
    <w:bookmarkEnd w:id="381"/>
    <w:p>
      <w:pPr>
        <w:ind w:left="-440" w:right="260" w:firstLine="972"/>
        <w:spacing w:after="0" w:line="250" w:lineRule="auto"/>
        <w:tabs>
          <w:tab w:leader="none" w:pos="77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Duties of Vice Presidents. </w:t>
      </w:r>
      <w:r>
        <w:rPr>
          <w:rFonts w:ascii="Times New Roman" w:cs="Times New Roman" w:eastAsia="Times New Roman" w:hAnsi="Times New Roman"/>
          <w:sz w:val="18"/>
          <w:szCs w:val="18"/>
          <w:color w:val="auto"/>
        </w:rPr>
        <w:t>A Vice President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77" w:lineRule="exact"/>
        <w:rPr>
          <w:rFonts w:ascii="Times New Roman" w:cs="Times New Roman" w:eastAsia="Times New Roman" w:hAnsi="Times New Roman"/>
          <w:sz w:val="18"/>
          <w:szCs w:val="18"/>
          <w:color w:val="auto"/>
        </w:rPr>
      </w:pPr>
    </w:p>
    <w:p>
      <w:pPr>
        <w:ind w:left="-440" w:firstLine="972"/>
        <w:spacing w:after="0" w:line="281" w:lineRule="auto"/>
        <w:tabs>
          <w:tab w:leader="none" w:pos="762"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Duties of Secretary and Assistant Secretary. </w:t>
      </w:r>
      <w:r>
        <w:rPr>
          <w:rFonts w:ascii="Times New Roman" w:cs="Times New Roman" w:eastAsia="Times New Roman" w:hAnsi="Times New Roman"/>
          <w:sz w:val="16"/>
          <w:szCs w:val="16"/>
          <w:color w:val="auto"/>
        </w:rPr>
        <w:t>The Secretary shall attend all meetings of the stockholders and of the Board of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shall record all acts, votes and proceedings thereof in the minute books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56" w:lineRule="exact"/>
        <w:rPr>
          <w:rFonts w:ascii="Times New Roman" w:cs="Times New Roman" w:eastAsia="Times New Roman" w:hAnsi="Times New Roman"/>
          <w:sz w:val="16"/>
          <w:szCs w:val="16"/>
          <w:color w:val="auto"/>
        </w:rPr>
      </w:pPr>
    </w:p>
    <w:p>
      <w:pPr>
        <w:ind w:left="-440" w:firstLine="972"/>
        <w:spacing w:after="0" w:line="246" w:lineRule="auto"/>
        <w:tabs>
          <w:tab w:leader="none" w:pos="74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Chief Financial Officer. </w:t>
      </w:r>
      <w:r>
        <w:rPr>
          <w:rFonts w:ascii="Times New Roman" w:cs="Times New Roman" w:eastAsia="Times New Roman" w:hAnsi="Times New Roman"/>
          <w:sz w:val="18"/>
          <w:szCs w:val="18"/>
          <w:color w:val="auto"/>
        </w:rPr>
        <w:t>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to assume and perform the duties of the Chief Financial Officer in the absence or disability of the Chief Financial Officer.</w:t>
      </w:r>
    </w:p>
    <w:p>
      <w:pPr>
        <w:spacing w:after="0" w:line="86" w:lineRule="exact"/>
        <w:rPr>
          <w:rFonts w:ascii="Times New Roman" w:cs="Times New Roman" w:eastAsia="Times New Roman" w:hAnsi="Times New Roman"/>
          <w:sz w:val="18"/>
          <w:szCs w:val="18"/>
          <w:color w:val="auto"/>
        </w:rPr>
      </w:pPr>
    </w:p>
    <w:p>
      <w:pPr>
        <w:ind w:left="-440" w:right="60" w:firstLine="972"/>
        <w:spacing w:after="0" w:line="246" w:lineRule="auto"/>
        <w:tabs>
          <w:tab w:leader="none" w:pos="77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Treasurer and Assistant Treasurer. </w:t>
      </w:r>
      <w:r>
        <w:rPr>
          <w:rFonts w:ascii="Times New Roman" w:cs="Times New Roman" w:eastAsia="Times New Roman" w:hAnsi="Times New Roman"/>
          <w:sz w:val="18"/>
          <w:szCs w:val="18"/>
          <w:color w:val="auto"/>
        </w:rPr>
        <w:t>Unless another officer has been appointed Chief Financial Officer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be the chief financial officer of the corporation, shall keep or cause to be kept the books of account of the corporation in a thorough and proper manner and shall render statements of the financial affairs of the corporation in such form and as often as required by the Board of Directors, the Chief Executive Officer or the President. Unless another officer has been appointed Chief Financial Officer of the corporation, the Treasurer, subject to the order of the Board of Directors, shall have the custody of all funds and securities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Delegation of Authority.</w:t>
      </w:r>
    </w:p>
    <w:p>
      <w:pPr>
        <w:spacing w:after="0" w:line="110" w:lineRule="exact"/>
        <w:rPr>
          <w:sz w:val="20"/>
          <w:szCs w:val="20"/>
          <w:color w:val="auto"/>
        </w:rPr>
      </w:pPr>
    </w:p>
    <w:p>
      <w:pPr>
        <w:ind w:left="-440" w:right="1140" w:firstLine="972"/>
        <w:spacing w:after="0" w:line="267" w:lineRule="auto"/>
        <w:tabs>
          <w:tab w:leader="none" w:pos="76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from time to time delegate the powers or duties of any officer to any other officer or agent, notwithstanding any provision hereof.</w:t>
      </w:r>
    </w:p>
    <w:p>
      <w:pPr>
        <w:spacing w:after="0" w:line="64" w:lineRule="exact"/>
        <w:rPr>
          <w:rFonts w:ascii="Times New Roman" w:cs="Times New Roman" w:eastAsia="Times New Roman" w:hAnsi="Times New Roman"/>
          <w:sz w:val="18"/>
          <w:szCs w:val="18"/>
          <w:color w:val="auto"/>
        </w:rPr>
      </w:pPr>
    </w:p>
    <w:p>
      <w:pPr>
        <w:ind w:left="-440" w:firstLine="972"/>
        <w:spacing w:after="0" w:line="255" w:lineRule="auto"/>
        <w:tabs>
          <w:tab w:leader="none" w:pos="77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of Directors, when present, shall preside at all 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w:t>
      </w:r>
    </w:p>
    <w:p>
      <w:pPr>
        <w:sectPr>
          <w:pgSz w:w="11900" w:h="16838" w:orient="portrait"/>
          <w:cols w:equalWidth="0" w:num="1">
            <w:col w:w="10280"/>
          </w:cols>
          <w:pgMar w:left="1020" w:top="263" w:right="599" w:bottom="1440" w:gutter="0" w:footer="0" w:header="0"/>
        </w:sectPr>
      </w:pPr>
    </w:p>
    <w:bookmarkStart w:id="382" w:name="page383"/>
    <w:bookmarkEnd w:id="382"/>
    <w:p>
      <w:pPr>
        <w:ind w:right="80" w:firstLine="428"/>
        <w:spacing w:after="0" w:line="288"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4. Resignations. </w:t>
      </w:r>
      <w:r>
        <w:rPr>
          <w:rFonts w:ascii="Times New Roman" w:cs="Times New Roman" w:eastAsia="Times New Roman" w:hAnsi="Times New Roman"/>
          <w:sz w:val="16"/>
          <w:szCs w:val="16"/>
          <w:color w:val="auto"/>
        </w:rPr>
        <w:t>Any officer may resign at any time by giving notice in writing or by electronic transmission to the Board of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56" w:lineRule="exact"/>
        <w:rPr>
          <w:sz w:val="20"/>
          <w:szCs w:val="20"/>
          <w:color w:val="auto"/>
        </w:rPr>
      </w:pPr>
    </w:p>
    <w:p>
      <w:pPr>
        <w:ind w:right="4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5. Removal. </w:t>
      </w:r>
      <w:r>
        <w:rPr>
          <w:rFonts w:ascii="Times New Roman" w:cs="Times New Roman" w:eastAsia="Times New Roman" w:hAnsi="Times New Roman"/>
          <w:sz w:val="18"/>
          <w:szCs w:val="18"/>
          <w:color w:val="auto"/>
        </w:rPr>
        <w:t>Any officer may be removed from office at any time, either with or without cause, by the Board of Directors,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or any superior officer upon whom such power of removal may have been conferred by the Board of Directors.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193" w:lineRule="exact"/>
        <w:rPr>
          <w:sz w:val="20"/>
          <w:szCs w:val="20"/>
          <w:color w:val="auto"/>
        </w:rPr>
      </w:pPr>
    </w:p>
    <w:p>
      <w:pPr>
        <w:ind w:right="2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Execution of Corporate Instruments. </w:t>
      </w:r>
      <w:r>
        <w:rPr>
          <w:rFonts w:ascii="Times New Roman" w:cs="Times New Roman" w:eastAsia="Times New Roman" w:hAnsi="Times New Roman"/>
          <w:sz w:val="18"/>
          <w:szCs w:val="18"/>
          <w:color w:val="auto"/>
        </w:rPr>
        <w:t>The Board of Directors may, in its discretion, determine the method and designate the signatory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w:t>
      </w:r>
    </w:p>
    <w:p>
      <w:pPr>
        <w:spacing w:after="0" w:line="183" w:lineRule="exact"/>
        <w:rPr>
          <w:sz w:val="20"/>
          <w:szCs w:val="20"/>
          <w:color w:val="auto"/>
        </w:rPr>
      </w:pPr>
    </w:p>
    <w:p>
      <w:pPr>
        <w:ind w:right="120" w:firstLine="428"/>
        <w:spacing w:after="0" w:line="267" w:lineRule="auto"/>
        <w:rPr>
          <w:sz w:val="20"/>
          <w:szCs w:val="20"/>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170"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Unless otherwise specifically determined by the Board of Directors or otherwise required by applicable law, the execution, signing or endorsement of any corporate instrument or document may be effected manually, by facsimile or (to the extent permitted by applicable law and subject to such policies and procedures as the corporation may have in effect from time to time) by electronic signature.</w:t>
      </w:r>
    </w:p>
    <w:p>
      <w:pPr>
        <w:spacing w:after="0" w:line="180" w:lineRule="exact"/>
        <w:rPr>
          <w:sz w:val="20"/>
          <w:szCs w:val="20"/>
          <w:color w:val="auto"/>
        </w:rPr>
      </w:pPr>
    </w:p>
    <w:p>
      <w:pPr>
        <w:ind w:right="120" w:firstLine="428"/>
        <w:spacing w:after="0" w:line="331" w:lineRule="auto"/>
        <w:rPr>
          <w:sz w:val="20"/>
          <w:szCs w:val="20"/>
          <w:color w:val="auto"/>
        </w:rPr>
      </w:pPr>
      <w:r>
        <w:rPr>
          <w:rFonts w:ascii="Times New Roman" w:cs="Times New Roman" w:eastAsia="Times New Roman" w:hAnsi="Times New Roman"/>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1"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 Voting of Securities Owned by the Corporation. </w:t>
      </w:r>
      <w:r>
        <w:rPr>
          <w:rFonts w:ascii="Times New Roman" w:cs="Times New Roman" w:eastAsia="Times New Roman" w:hAnsi="Times New Roman"/>
          <w:sz w:val="18"/>
          <w:szCs w:val="18"/>
          <w:color w:val="auto"/>
        </w:rPr>
        <w:t>All stock and other securities of or interests in other corporations or entities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13" w:lineRule="exact"/>
        <w:rPr>
          <w:sz w:val="20"/>
          <w:szCs w:val="20"/>
          <w:color w:val="auto"/>
        </w:rPr>
      </w:pPr>
    </w:p>
    <w:p>
      <w:pPr>
        <w:jc w:val="both"/>
        <w:ind w:right="10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w:t>
      </w:r>
    </w:p>
    <w:p>
      <w:pPr>
        <w:sectPr>
          <w:pgSz w:w="11900" w:h="16838" w:orient="portrait"/>
          <w:cols w:equalWidth="0" w:num="1">
            <w:col w:w="10720"/>
          </w:cols>
          <w:pgMar w:left="580" w:top="263" w:right="599" w:bottom="1440" w:gutter="0" w:footer="0" w:header="0"/>
        </w:sectPr>
      </w:pPr>
    </w:p>
    <w:bookmarkStart w:id="383" w:name="page384"/>
    <w:bookmarkEnd w:id="383"/>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authorized officers of the corporation,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2" w:lineRule="exact"/>
        <w:rPr>
          <w:sz w:val="20"/>
          <w:szCs w:val="20"/>
          <w:color w:val="auto"/>
        </w:rPr>
      </w:pPr>
    </w:p>
    <w:p>
      <w:pPr>
        <w:ind w:right="100"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Section 2. Lost Certificates. </w:t>
      </w:r>
      <w:r>
        <w:rPr>
          <w:rFonts w:ascii="Times New Roman" w:cs="Times New Roman" w:eastAsia="Times New Roman" w:hAnsi="Times New Roman"/>
          <w:sz w:val="18"/>
          <w:szCs w:val="18"/>
          <w:color w:val="auto"/>
        </w:rPr>
        <w:t>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 Transfers.</w:t>
      </w:r>
    </w:p>
    <w:p>
      <w:pPr>
        <w:spacing w:after="0" w:line="110" w:lineRule="exact"/>
        <w:rPr>
          <w:sz w:val="20"/>
          <w:szCs w:val="20"/>
          <w:color w:val="auto"/>
        </w:rPr>
      </w:pPr>
    </w:p>
    <w:p>
      <w:pPr>
        <w:ind w:right="260" w:firstLine="972"/>
        <w:spacing w:after="0" w:line="255" w:lineRule="auto"/>
        <w:tabs>
          <w:tab w:leader="none" w:pos="120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75" w:lineRule="exact"/>
        <w:rPr>
          <w:rFonts w:ascii="Times New Roman" w:cs="Times New Roman" w:eastAsia="Times New Roman" w:hAnsi="Times New Roman"/>
          <w:sz w:val="18"/>
          <w:szCs w:val="18"/>
          <w:color w:val="auto"/>
        </w:rPr>
      </w:pPr>
    </w:p>
    <w:p>
      <w:pPr>
        <w:ind w:right="20" w:firstLine="972"/>
        <w:spacing w:after="0" w:line="255" w:lineRule="auto"/>
        <w:tabs>
          <w:tab w:leader="none" w:pos="121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 Fixing Record Dates.</w:t>
      </w:r>
    </w:p>
    <w:p>
      <w:pPr>
        <w:spacing w:after="0" w:line="110" w:lineRule="exact"/>
        <w:rPr>
          <w:sz w:val="20"/>
          <w:szCs w:val="20"/>
          <w:color w:val="auto"/>
        </w:rPr>
      </w:pPr>
    </w:p>
    <w:p>
      <w:pPr>
        <w:ind w:firstLine="972"/>
        <w:spacing w:after="0" w:line="245" w:lineRule="auto"/>
        <w:tabs>
          <w:tab w:leader="none" w:pos="120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adjourned meeting in accordance with the provisions of this Section 38(a).</w:t>
      </w:r>
    </w:p>
    <w:p>
      <w:pPr>
        <w:spacing w:after="0" w:line="90" w:lineRule="exact"/>
        <w:rPr>
          <w:rFonts w:ascii="Times New Roman" w:cs="Times New Roman" w:eastAsia="Times New Roman" w:hAnsi="Times New Roman"/>
          <w:sz w:val="18"/>
          <w:szCs w:val="18"/>
          <w:color w:val="auto"/>
        </w:rPr>
      </w:pPr>
    </w:p>
    <w:p>
      <w:pPr>
        <w:ind w:firstLine="972"/>
        <w:spacing w:after="0" w:line="248" w:lineRule="auto"/>
        <w:tabs>
          <w:tab w:leader="none" w:pos="121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ectPr>
          <w:pgSz w:w="11900" w:h="16838" w:orient="portrait"/>
          <w:cols w:equalWidth="0" w:num="1">
            <w:col w:w="10700"/>
          </w:cols>
          <w:pgMar w:left="580" w:top="265" w:right="619" w:bottom="1440" w:gutter="0" w:footer="0" w:header="0"/>
        </w:sectPr>
      </w:pPr>
    </w:p>
    <w:bookmarkStart w:id="384" w:name="page385"/>
    <w:bookmarkEnd w:id="384"/>
    <w:p>
      <w:pPr>
        <w:jc w:val="both"/>
        <w:ind w:right="18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 Registered Stockholders.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1" w:lineRule="exact"/>
        <w:rPr>
          <w:sz w:val="20"/>
          <w:szCs w:val="20"/>
          <w:color w:val="auto"/>
        </w:rPr>
      </w:pPr>
    </w:p>
    <w:p>
      <w:pPr>
        <w:ind w:right="320" w:firstLine="428"/>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Section 6. Additional Powers of the Board. </w:t>
      </w:r>
      <w:r>
        <w:rPr>
          <w:rFonts w:ascii="Times New Roman" w:cs="Times New Roman" w:eastAsia="Times New Roman" w:hAnsi="Times New Roman"/>
          <w:sz w:val="16"/>
          <w:szCs w:val="16"/>
          <w:color w:val="auto"/>
        </w:rPr>
        <w:t>In addition to, and without limiting, the powers set forth in these Bylaws, the Board of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these Bylaws. The Board of Directors may appoint and remove transfer agents and registrars of transfers, and may require all stock certificates to bear the signature of any such transfer agent and/or any such registrar of transfers.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13" w:lineRule="exact"/>
        <w:rPr>
          <w:sz w:val="20"/>
          <w:szCs w:val="20"/>
          <w:color w:val="auto"/>
        </w:rPr>
      </w:pPr>
    </w:p>
    <w:p>
      <w:pPr>
        <w:ind w:firstLine="428"/>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Section 1. Execution of Other Securities. </w:t>
      </w:r>
      <w:r>
        <w:rPr>
          <w:rFonts w:ascii="Times New Roman" w:cs="Times New Roman" w:eastAsia="Times New Roman" w:hAnsi="Times New Roman"/>
          <w:sz w:val="16"/>
          <w:szCs w:val="16"/>
          <w:color w:val="auto"/>
        </w:rPr>
        <w:t>All bonds, debentures and other corporate securities of the corporation, other than stock certificates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(covered in Article VII), may be signed by the Chairperson of the Board of Directors, the Chief Executive Officer, the President or any Vice President, or such other person as may be authorized by the Board of Directors;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3" w:lineRule="exact"/>
        <w:rPr>
          <w:sz w:val="20"/>
          <w:szCs w:val="20"/>
          <w:color w:val="auto"/>
        </w:rPr>
      </w:pPr>
    </w:p>
    <w:p>
      <w:pPr>
        <w:ind w:right="4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 Declaration of Dividends. </w:t>
      </w:r>
      <w:r>
        <w:rPr>
          <w:rFonts w:ascii="Times New Roman" w:cs="Times New Roman" w:eastAsia="Times New Roman" w:hAnsi="Times New Roman"/>
          <w:sz w:val="18"/>
          <w:szCs w:val="18"/>
          <w:color w:val="auto"/>
        </w:rPr>
        <w:t>Dividends upon the capital stock of the corporation, subject to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applicable law, if any, may be declared by the Board of Directors. Dividends may be paid in cash, in property, or in shares of the corporation’s capital stock, subject to the provisions of the Certificate of Incorporation and applicable law.</w:t>
      </w:r>
    </w:p>
    <w:p>
      <w:pPr>
        <w:spacing w:after="0" w:line="178"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 Dividend Reserve. </w:t>
      </w:r>
      <w:r>
        <w:rPr>
          <w:rFonts w:ascii="Times New Roman" w:cs="Times New Roman" w:eastAsia="Times New Roman" w:hAnsi="Times New Roman"/>
          <w:sz w:val="18"/>
          <w:szCs w:val="18"/>
          <w:color w:val="auto"/>
        </w:rPr>
        <w:t>Before payment of any dividend, there may be set aside out of any funds of the corporation available for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sum or sums as the Board of Directors from time to time, in its 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ectPr>
          <w:pgSz w:w="11900" w:h="16838" w:orient="portrait"/>
          <w:cols w:equalWidth="0" w:num="1">
            <w:col w:w="10700"/>
          </w:cols>
          <w:pgMar w:left="580" w:top="263" w:right="619" w:bottom="1440" w:gutter="0" w:footer="0" w:header="0"/>
        </w:sectPr>
      </w:pPr>
    </w:p>
    <w:bookmarkStart w:id="385" w:name="page386"/>
    <w:bookmarkEnd w:id="3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X</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 Fiscal Year. </w:t>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 Indemnification of Directors, Executive Officers, Employees and Other Agents.</w:t>
      </w:r>
    </w:p>
    <w:p>
      <w:pPr>
        <w:spacing w:after="0" w:line="108" w:lineRule="exact"/>
        <w:rPr>
          <w:sz w:val="20"/>
          <w:szCs w:val="20"/>
          <w:color w:val="auto"/>
        </w:rPr>
      </w:pPr>
    </w:p>
    <w:p>
      <w:pPr>
        <w:ind w:firstLine="972"/>
        <w:spacing w:after="0" w:line="245" w:lineRule="auto"/>
        <w:tabs>
          <w:tab w:leader="none" w:pos="120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18"/>
          <w:szCs w:val="18"/>
          <w:color w:val="auto"/>
        </w:rPr>
        <w:t>The corporation shall indemnify to the full extent permitted under and in any manner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DGCL or any other applicable law, any person who is made or threatened to be made a party to or is otherwise involved (as a witness or otherwise) in any threatened, pending, or completed action, suit, or proceeding, whether civil, criminal, administrative, or investigative (hereinafter, a “Proceeding”), by reason of the fact that such person is or was a director or executive officer (for the purposes of this Article XI, “executive officers”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“Another Enterprise”),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corporation may modify the extent of such indemnification by individual contracts with its directors and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applicable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this Section 45.</w:t>
      </w:r>
    </w:p>
    <w:p>
      <w:pPr>
        <w:spacing w:after="0" w:line="83" w:lineRule="exact"/>
        <w:rPr>
          <w:rFonts w:ascii="Times New Roman" w:cs="Times New Roman" w:eastAsia="Times New Roman" w:hAnsi="Times New Roman"/>
          <w:sz w:val="18"/>
          <w:szCs w:val="18"/>
          <w:color w:val="auto"/>
        </w:rPr>
      </w:pPr>
    </w:p>
    <w:p>
      <w:pPr>
        <w:ind w:right="220" w:firstLine="972"/>
        <w:spacing w:after="0" w:line="252" w:lineRule="auto"/>
        <w:tabs>
          <w:tab w:leader="none" w:pos="121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Officers, Employees and Other Agents. </w:t>
      </w:r>
      <w:r>
        <w:rPr>
          <w:rFonts w:ascii="Times New Roman" w:cs="Times New Roman" w:eastAsia="Times New Roman" w:hAnsi="Times New Roman"/>
          <w:sz w:val="18"/>
          <w:szCs w:val="18"/>
          <w:color w:val="auto"/>
        </w:rPr>
        <w:t>The corporation shall have power to indemnify (including the power to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 a manner consistent with subsection (c) of this Section 45)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75" w:lineRule="exact"/>
        <w:rPr>
          <w:rFonts w:ascii="Times New Roman" w:cs="Times New Roman" w:eastAsia="Times New Roman" w:hAnsi="Times New Roman"/>
          <w:sz w:val="18"/>
          <w:szCs w:val="18"/>
          <w:color w:val="auto"/>
        </w:rPr>
      </w:pPr>
    </w:p>
    <w:p>
      <w:pPr>
        <w:ind w:right="60" w:firstLine="972"/>
        <w:spacing w:after="0" w:line="281" w:lineRule="auto"/>
        <w:tabs>
          <w:tab w:leader="none" w:pos="1202"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Expenses. </w:t>
      </w:r>
      <w:r>
        <w:rPr>
          <w:rFonts w:ascii="Times New Roman" w:cs="Times New Roman" w:eastAsia="Times New Roman" w:hAnsi="Times New Roman"/>
          <w:sz w:val="16"/>
          <w:szCs w:val="16"/>
          <w:color w:val="auto"/>
        </w:rPr>
        <w:t>The corporation shall advance to any person who was or is a party or is threatened to be made a party to any threatened,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45 or otherwise.</w:t>
      </w:r>
    </w:p>
    <w:p>
      <w:pPr>
        <w:sectPr>
          <w:pgSz w:w="11900" w:h="16838" w:orient="portrait"/>
          <w:cols w:equalWidth="0" w:num="1">
            <w:col w:w="10720"/>
          </w:cols>
          <w:pgMar w:left="580" w:top="263" w:right="599" w:bottom="1440" w:gutter="0" w:footer="0" w:header="0"/>
        </w:sectPr>
      </w:pPr>
    </w:p>
    <w:bookmarkStart w:id="386" w:name="page387"/>
    <w:bookmarkEnd w:id="386"/>
    <w:p>
      <w:pPr>
        <w:ind w:right="60" w:firstLine="428"/>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82" w:lineRule="exact"/>
        <w:rPr>
          <w:sz w:val="20"/>
          <w:szCs w:val="20"/>
          <w:color w:val="auto"/>
        </w:rPr>
      </w:pPr>
    </w:p>
    <w:p>
      <w:pPr>
        <w:ind w:firstLine="972"/>
        <w:spacing w:after="0" w:line="277" w:lineRule="auto"/>
        <w:tabs>
          <w:tab w:leader="none" w:pos="1212"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Enforcement. </w:t>
      </w:r>
      <w:r>
        <w:rPr>
          <w:rFonts w:ascii="Times New Roman" w:cs="Times New Roman" w:eastAsia="Times New Roman" w:hAnsi="Times New Roman"/>
          <w:sz w:val="16"/>
          <w:szCs w:val="16"/>
          <w:color w:val="auto"/>
        </w:rPr>
        <w:t>Without the necessity of entering into an express contract, all rights to indemnification and advances to directors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officers under this Section 45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45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45 or otherwise shall be on the corporation.</w:t>
      </w:r>
    </w:p>
    <w:p>
      <w:pPr>
        <w:spacing w:after="0" w:line="200" w:lineRule="exact"/>
        <w:rPr>
          <w:rFonts w:ascii="Times New Roman" w:cs="Times New Roman" w:eastAsia="Times New Roman" w:hAnsi="Times New Roman"/>
          <w:sz w:val="16"/>
          <w:szCs w:val="16"/>
          <w:color w:val="auto"/>
        </w:rPr>
      </w:pPr>
    </w:p>
    <w:p>
      <w:pPr>
        <w:spacing w:after="0" w:line="281" w:lineRule="exact"/>
        <w:rPr>
          <w:rFonts w:ascii="Times New Roman" w:cs="Times New Roman" w:eastAsia="Times New Roman" w:hAnsi="Times New Roman"/>
          <w:sz w:val="16"/>
          <w:szCs w:val="16"/>
          <w:color w:val="auto"/>
        </w:rPr>
      </w:pPr>
    </w:p>
    <w:p>
      <w:pPr>
        <w:ind w:right="20" w:firstLine="972"/>
        <w:spacing w:after="0" w:line="250" w:lineRule="auto"/>
        <w:tabs>
          <w:tab w:leader="none" w:pos="120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 Section 45 shall not be exclusive of any other right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77" w:lineRule="exact"/>
        <w:rPr>
          <w:rFonts w:ascii="Times New Roman" w:cs="Times New Roman" w:eastAsia="Times New Roman" w:hAnsi="Times New Roman"/>
          <w:sz w:val="18"/>
          <w:szCs w:val="18"/>
          <w:color w:val="auto"/>
        </w:rPr>
      </w:pPr>
    </w:p>
    <w:p>
      <w:pPr>
        <w:ind w:right="340" w:firstLine="972"/>
        <w:spacing w:after="0" w:line="333" w:lineRule="auto"/>
        <w:tabs>
          <w:tab w:leader="none" w:pos="1183"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Survival of Rights. </w:t>
      </w:r>
      <w:r>
        <w:rPr>
          <w:rFonts w:ascii="Times New Roman" w:cs="Times New Roman" w:eastAsia="Times New Roman" w:hAnsi="Times New Roman"/>
          <w:sz w:val="16"/>
          <w:szCs w:val="16"/>
          <w:color w:val="auto"/>
        </w:rPr>
        <w:t>The rights conferred on any person by this Bylaw shall continue as to a person who has ceased to be a director,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officer, officer, employee or other agent and shall inure to the benefit of the heirs, executors and administrators of such a person.</w:t>
      </w:r>
    </w:p>
    <w:p>
      <w:pPr>
        <w:sectPr>
          <w:pgSz w:w="11900" w:h="16838" w:orient="portrait"/>
          <w:cols w:equalWidth="0" w:num="1">
            <w:col w:w="10720"/>
          </w:cols>
          <w:pgMar w:left="580" w:top="266" w:right="599" w:bottom="1440" w:gutter="0" w:footer="0" w:header="0"/>
        </w:sectPr>
      </w:pPr>
    </w:p>
    <w:bookmarkStart w:id="387" w:name="page388"/>
    <w:bookmarkEnd w:id="387"/>
    <w:p>
      <w:pPr>
        <w:ind w:left="-860" w:right="240" w:firstLine="972"/>
        <w:spacing w:after="0" w:line="333" w:lineRule="auto"/>
        <w:tabs>
          <w:tab w:leader="none" w:pos="352"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Insurance. </w:t>
      </w:r>
      <w:r>
        <w:rPr>
          <w:rFonts w:ascii="Times New Roman" w:cs="Times New Roman" w:eastAsia="Times New Roman" w:hAnsi="Times New Roman"/>
          <w:sz w:val="16"/>
          <w:szCs w:val="16"/>
          <w:color w:val="auto"/>
        </w:rPr>
        <w:t>To the fullest extent permitted by the DGCL or any other applicable law, the corporation, upon approval by the Board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Directors, may purchase and maintain insurance on behalf of any person required or permitted to be indemnified pursuant to this Section 45.</w:t>
      </w:r>
    </w:p>
    <w:p>
      <w:pPr>
        <w:spacing w:after="0" w:line="14" w:lineRule="exact"/>
        <w:rPr>
          <w:rFonts w:ascii="Times New Roman" w:cs="Times New Roman" w:eastAsia="Times New Roman" w:hAnsi="Times New Roman"/>
          <w:sz w:val="16"/>
          <w:szCs w:val="16"/>
          <w:color w:val="auto"/>
        </w:rPr>
      </w:pPr>
    </w:p>
    <w:p>
      <w:pPr>
        <w:ind w:left="-860" w:right="140" w:firstLine="972"/>
        <w:spacing w:after="0" w:line="256" w:lineRule="auto"/>
        <w:tabs>
          <w:tab w:leader="none" w:pos="35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Any repeal or modification of this Section 45 shall only be prospective and shall not affect the rights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45 as in effect at the time of the alleged occurrence of any action or omission to act that is the cause of any Proceeding against any agent of the corporation.</w:t>
      </w:r>
    </w:p>
    <w:p>
      <w:pPr>
        <w:spacing w:after="0" w:line="72" w:lineRule="exact"/>
        <w:rPr>
          <w:rFonts w:ascii="Times New Roman" w:cs="Times New Roman" w:eastAsia="Times New Roman" w:hAnsi="Times New Roman"/>
          <w:sz w:val="18"/>
          <w:szCs w:val="18"/>
          <w:color w:val="auto"/>
        </w:rPr>
      </w:pPr>
    </w:p>
    <w:p>
      <w:pPr>
        <w:ind w:left="-860" w:right="60" w:firstLine="972"/>
        <w:spacing w:after="0" w:line="250" w:lineRule="auto"/>
        <w:tabs>
          <w:tab w:leader="none" w:pos="31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Saving Clause. </w:t>
      </w:r>
      <w:r>
        <w:rPr>
          <w:rFonts w:ascii="Times New Roman" w:cs="Times New Roman" w:eastAsia="Times New Roman" w:hAnsi="Times New Roman"/>
          <w:sz w:val="18"/>
          <w:szCs w:val="18"/>
          <w:color w:val="auto"/>
        </w:rPr>
        <w:t>If this Article XI or any portion hereof shall be invalidated on any ground by any court of competent jurisdiction,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under any other applicable law.</w:t>
      </w:r>
    </w:p>
    <w:p>
      <w:pPr>
        <w:spacing w:after="0" w:line="77" w:lineRule="exact"/>
        <w:rPr>
          <w:rFonts w:ascii="Times New Roman" w:cs="Times New Roman" w:eastAsia="Times New Roman" w:hAnsi="Times New Roman"/>
          <w:sz w:val="18"/>
          <w:szCs w:val="18"/>
          <w:color w:val="auto"/>
        </w:rPr>
      </w:pPr>
    </w:p>
    <w:p>
      <w:pPr>
        <w:ind w:left="-860" w:firstLine="972"/>
        <w:spacing w:after="0" w:line="270" w:lineRule="auto"/>
        <w:tabs>
          <w:tab w:leader="none" w:pos="31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Definitions and Construction of Terms. </w:t>
      </w:r>
      <w:r>
        <w:rPr>
          <w:rFonts w:ascii="Times New Roman" w:cs="Times New Roman" w:eastAsia="Times New Roman" w:hAnsi="Times New Roman"/>
          <w:sz w:val="18"/>
          <w:szCs w:val="18"/>
          <w:color w:val="auto"/>
        </w:rPr>
        <w:t>For the purposes of Article XI of these Bylaws, the following definitions and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shall apply:</w:t>
      </w:r>
    </w:p>
    <w:p>
      <w:pPr>
        <w:spacing w:after="0" w:line="57" w:lineRule="exact"/>
        <w:rPr>
          <w:rFonts w:ascii="Times New Roman" w:cs="Times New Roman" w:eastAsia="Times New Roman" w:hAnsi="Times New Roman"/>
          <w:sz w:val="18"/>
          <w:szCs w:val="18"/>
          <w:color w:val="auto"/>
        </w:rPr>
      </w:pPr>
    </w:p>
    <w:p>
      <w:pPr>
        <w:ind w:left="-860" w:right="740" w:firstLine="1400"/>
        <w:spacing w:after="0" w:line="258" w:lineRule="auto"/>
        <w:tabs>
          <w:tab w:leader="none" w:pos="741"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67" w:lineRule="exact"/>
        <w:rPr>
          <w:rFonts w:ascii="Times New Roman" w:cs="Times New Roman" w:eastAsia="Times New Roman" w:hAnsi="Times New Roman"/>
          <w:sz w:val="18"/>
          <w:szCs w:val="18"/>
          <w:b w:val="1"/>
          <w:bCs w:val="1"/>
          <w:color w:val="auto"/>
        </w:rPr>
      </w:pPr>
    </w:p>
    <w:p>
      <w:pPr>
        <w:ind w:left="-860" w:right="180" w:firstLine="1400"/>
        <w:spacing w:after="0" w:line="336" w:lineRule="auto"/>
        <w:tabs>
          <w:tab w:leader="none" w:pos="790" w:val="left"/>
        </w:tabs>
        <w:numPr>
          <w:ilvl w:val="1"/>
          <w:numId w:val="2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i w:val="1"/>
          <w:iCs w:val="1"/>
          <w:color w:val="auto"/>
        </w:rPr>
        <w:t>expenses</w:t>
      </w:r>
      <w:r>
        <w:rPr>
          <w:rFonts w:ascii="Times New Roman" w:cs="Times New Roman" w:eastAsia="Times New Roman" w:hAnsi="Times New Roman"/>
          <w:sz w:val="16"/>
          <w:szCs w:val="16"/>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9" w:lineRule="exact"/>
        <w:rPr>
          <w:rFonts w:ascii="Times New Roman" w:cs="Times New Roman" w:eastAsia="Times New Roman" w:hAnsi="Times New Roman"/>
          <w:sz w:val="16"/>
          <w:szCs w:val="16"/>
          <w:b w:val="1"/>
          <w:bCs w:val="1"/>
          <w:color w:val="auto"/>
        </w:rPr>
      </w:pPr>
    </w:p>
    <w:p>
      <w:pPr>
        <w:ind w:left="-860" w:right="20" w:firstLine="1400"/>
        <w:spacing w:after="0" w:line="249" w:lineRule="auto"/>
        <w:tabs>
          <w:tab w:leader="none" w:pos="839"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45 with respect to the resulting or surviving corporation as he would have with respect to such constituent corporation if its separate existence had continued.</w:t>
      </w:r>
    </w:p>
    <w:p>
      <w:pPr>
        <w:spacing w:after="0" w:line="76" w:lineRule="exact"/>
        <w:rPr>
          <w:rFonts w:ascii="Times New Roman" w:cs="Times New Roman" w:eastAsia="Times New Roman" w:hAnsi="Times New Roman"/>
          <w:sz w:val="18"/>
          <w:szCs w:val="18"/>
          <w:b w:val="1"/>
          <w:bCs w:val="1"/>
          <w:color w:val="auto"/>
        </w:rPr>
      </w:pPr>
    </w:p>
    <w:p>
      <w:pPr>
        <w:jc w:val="both"/>
        <w:ind w:left="-860" w:right="440" w:firstLine="1400"/>
        <w:spacing w:after="0" w:line="258" w:lineRule="auto"/>
        <w:tabs>
          <w:tab w:leader="none" w:pos="829"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67" w:lineRule="exact"/>
        <w:rPr>
          <w:rFonts w:ascii="Times New Roman" w:cs="Times New Roman" w:eastAsia="Times New Roman" w:hAnsi="Times New Roman"/>
          <w:sz w:val="18"/>
          <w:szCs w:val="18"/>
          <w:b w:val="1"/>
          <w:bCs w:val="1"/>
          <w:color w:val="auto"/>
        </w:rPr>
      </w:pPr>
    </w:p>
    <w:p>
      <w:pPr>
        <w:ind w:left="-860" w:right="40" w:firstLine="1400"/>
        <w:spacing w:after="0" w:line="249" w:lineRule="auto"/>
        <w:tabs>
          <w:tab w:leader="none" w:pos="780"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Another Enterprise</w:t>
      </w:r>
      <w:r>
        <w:rPr>
          <w:rFonts w:ascii="Times New Roman" w:cs="Times New Roman" w:eastAsia="Times New Roman" w:hAnsi="Times New Roman"/>
          <w:sz w:val="18"/>
          <w:szCs w:val="18"/>
          <w:color w:val="auto"/>
        </w:rPr>
        <w:t>”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45.</w:t>
      </w:r>
    </w:p>
    <w:p>
      <w:pPr>
        <w:sectPr>
          <w:pgSz w:w="11900" w:h="16838" w:orient="portrait"/>
          <w:cols w:equalWidth="0" w:num="1">
            <w:col w:w="9860"/>
          </w:cols>
          <w:pgMar w:left="1440" w:top="263" w:right="599" w:bottom="1440" w:gutter="0" w:footer="0" w:header="0"/>
        </w:sectPr>
      </w:pPr>
    </w:p>
    <w:bookmarkStart w:id="388" w:name="page389"/>
    <w:bookmarkEnd w:id="38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XII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 Notices.</w:t>
      </w:r>
    </w:p>
    <w:p>
      <w:pPr>
        <w:spacing w:after="0" w:line="108" w:lineRule="exact"/>
        <w:rPr>
          <w:sz w:val="20"/>
          <w:szCs w:val="20"/>
          <w:color w:val="auto"/>
        </w:rPr>
      </w:pPr>
    </w:p>
    <w:p>
      <w:pPr>
        <w:ind w:right="40" w:firstLine="972"/>
        <w:spacing w:after="0" w:line="252" w:lineRule="auto"/>
        <w:tabs>
          <w:tab w:leader="none" w:pos="120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Notice to stockholders of stockholder meetings shall be given as provided in Section 7.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w:t>
      </w:r>
    </w:p>
    <w:p>
      <w:pPr>
        <w:spacing w:after="0" w:line="75" w:lineRule="exact"/>
        <w:rPr>
          <w:rFonts w:ascii="Times New Roman" w:cs="Times New Roman" w:eastAsia="Times New Roman" w:hAnsi="Times New Roman"/>
          <w:sz w:val="18"/>
          <w:szCs w:val="18"/>
          <w:color w:val="auto"/>
        </w:rPr>
      </w:pPr>
    </w:p>
    <w:p>
      <w:pPr>
        <w:ind w:right="60" w:firstLine="972"/>
        <w:spacing w:after="0" w:line="252" w:lineRule="auto"/>
        <w:tabs>
          <w:tab w:leader="none" w:pos="121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Directors. </w:t>
      </w:r>
      <w:r>
        <w:rPr>
          <w:rFonts w:ascii="Times New Roman" w:cs="Times New Roman" w:eastAsia="Times New Roman" w:hAnsi="Times New Roman"/>
          <w:sz w:val="18"/>
          <w:szCs w:val="18"/>
          <w:color w:val="auto"/>
        </w:rPr>
        <w:t>Any notice required to be given to any director may be given by the method stated in subsection (a),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these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post office address of such director.</w:t>
      </w:r>
    </w:p>
    <w:p>
      <w:pPr>
        <w:spacing w:after="0" w:line="75" w:lineRule="exact"/>
        <w:rPr>
          <w:rFonts w:ascii="Times New Roman" w:cs="Times New Roman" w:eastAsia="Times New Roman" w:hAnsi="Times New Roman"/>
          <w:sz w:val="18"/>
          <w:szCs w:val="18"/>
          <w:color w:val="auto"/>
        </w:rPr>
      </w:pPr>
    </w:p>
    <w:p>
      <w:pPr>
        <w:ind w:firstLine="972"/>
        <w:spacing w:after="0" w:line="252" w:lineRule="auto"/>
        <w:tabs>
          <w:tab w:leader="none" w:pos="120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Affidavit of Mailing. </w:t>
      </w:r>
      <w:r>
        <w:rPr>
          <w:rFonts w:ascii="Times New Roman" w:cs="Times New Roman" w:eastAsia="Times New Roman" w:hAnsi="Times New Roman"/>
          <w:sz w:val="18"/>
          <w:szCs w:val="18"/>
          <w:color w:val="auto"/>
        </w:rPr>
        <w:t>An affidavit of mailing,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75" w:lineRule="exact"/>
        <w:rPr>
          <w:rFonts w:ascii="Times New Roman" w:cs="Times New Roman" w:eastAsia="Times New Roman" w:hAnsi="Times New Roman"/>
          <w:sz w:val="18"/>
          <w:szCs w:val="18"/>
          <w:color w:val="auto"/>
        </w:rPr>
      </w:pPr>
    </w:p>
    <w:p>
      <w:pPr>
        <w:ind w:right="100" w:firstLine="972"/>
        <w:spacing w:after="0" w:line="256" w:lineRule="auto"/>
        <w:tabs>
          <w:tab w:leader="none" w:pos="121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72" w:lineRule="exact"/>
        <w:rPr>
          <w:rFonts w:ascii="Times New Roman" w:cs="Times New Roman" w:eastAsia="Times New Roman" w:hAnsi="Times New Roman"/>
          <w:sz w:val="18"/>
          <w:szCs w:val="18"/>
          <w:color w:val="auto"/>
        </w:rPr>
      </w:pPr>
    </w:p>
    <w:p>
      <w:pPr>
        <w:ind w:firstLine="972"/>
        <w:spacing w:after="0" w:line="247" w:lineRule="auto"/>
        <w:tabs>
          <w:tab w:leader="none" w:pos="120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applicable law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84" w:lineRule="exact"/>
        <w:rPr>
          <w:rFonts w:ascii="Times New Roman" w:cs="Times New Roman" w:eastAsia="Times New Roman" w:hAnsi="Times New Roman"/>
          <w:sz w:val="18"/>
          <w:szCs w:val="18"/>
          <w:color w:val="auto"/>
        </w:rPr>
      </w:pPr>
    </w:p>
    <w:p>
      <w:pPr>
        <w:ind w:right="80" w:firstLine="972"/>
        <w:spacing w:after="0" w:line="250" w:lineRule="auto"/>
        <w:tabs>
          <w:tab w:leader="none" w:pos="118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Stockholders Sharing an Address. </w:t>
      </w:r>
      <w:r>
        <w:rPr>
          <w:rFonts w:ascii="Times New Roman" w:cs="Times New Roman" w:eastAsia="Times New Roman" w:hAnsi="Times New Roman"/>
          <w:sz w:val="18"/>
          <w:szCs w:val="18"/>
          <w:color w:val="auto"/>
        </w:rPr>
        <w:t>Except as otherwise prohibited under the DGCL, any notice given under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ectPr>
          <w:pgSz w:w="11900" w:h="16838" w:orient="portrait"/>
          <w:cols w:equalWidth="0" w:num="1">
            <w:col w:w="10720"/>
          </w:cols>
          <w:pgMar w:left="580" w:top="263" w:right="599" w:bottom="1440" w:gutter="0" w:footer="0" w:header="0"/>
        </w:sectPr>
      </w:pPr>
    </w:p>
    <w:bookmarkStart w:id="389" w:name="page390"/>
    <w:bookmarkEnd w:id="38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ARTICLE XIII</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13" w:lineRule="exact"/>
        <w:rPr>
          <w:sz w:val="20"/>
          <w:szCs w:val="20"/>
          <w:color w:val="auto"/>
        </w:rPr>
      </w:pPr>
    </w:p>
    <w:p>
      <w:pPr>
        <w:ind w:right="4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1. Amendments. </w:t>
      </w:r>
      <w:r>
        <w:rPr>
          <w:rFonts w:ascii="Times New Roman" w:cs="Times New Roman" w:eastAsia="Times New Roman" w:hAnsi="Times New Roman"/>
          <w:sz w:val="18"/>
          <w:szCs w:val="18"/>
          <w:color w:val="auto"/>
        </w:rPr>
        <w:t>Subject to the limitations set forth in herein or the provisions of the Certificate of Incorporation,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time after the Final Conversion Date, in addition to any vote of the holders of any class or series of stock of the corporation required by law or by the Certificate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13" w:lineRule="exact"/>
        <w:rPr>
          <w:sz w:val="20"/>
          <w:szCs w:val="20"/>
          <w:color w:val="auto"/>
        </w:rPr>
      </w:pPr>
    </w:p>
    <w:p>
      <w:pPr>
        <w:ind w:firstLine="964"/>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Section 1. Loans to Officers. </w:t>
      </w:r>
      <w:r>
        <w:rPr>
          <w:rFonts w:ascii="Times New Roman" w:cs="Times New Roman" w:eastAsia="Times New Roman" w:hAnsi="Times New Roman"/>
          <w:sz w:val="16"/>
          <w:szCs w:val="16"/>
          <w:color w:val="auto"/>
        </w:rPr>
        <w:t>Except as otherwise prohibited by applicable law, the corporation may lend money to, or guarantee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ectPr>
          <w:pgSz w:w="11900" w:h="16838" w:orient="portrait"/>
          <w:cols w:equalWidth="0" w:num="1">
            <w:col w:w="10680"/>
          </w:cols>
          <w:pgMar w:left="580" w:top="263" w:right="63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 INVESTORS’ RIGHTS AGREEMENT</w:t>
      </w:r>
    </w:p>
    <w:p>
      <w:pPr>
        <w:spacing w:after="0" w:line="215" w:lineRule="exact"/>
        <w:rPr>
          <w:sz w:val="20"/>
          <w:szCs w:val="20"/>
          <w:color w:val="auto"/>
        </w:rPr>
      </w:pPr>
    </w:p>
    <w:p>
      <w:pPr>
        <w:ind w:right="120" w:firstLine="428"/>
        <w:spacing w:after="0" w:line="302" w:lineRule="auto"/>
        <w:rPr>
          <w:sz w:val="20"/>
          <w:szCs w:val="20"/>
          <w:color w:val="auto"/>
        </w:rPr>
      </w:pPr>
      <w:r>
        <w:rPr>
          <w:rFonts w:ascii="Times New Roman" w:cs="Times New Roman" w:eastAsia="Times New Roman" w:hAnsi="Times New Roman"/>
          <w:sz w:val="16"/>
          <w:szCs w:val="16"/>
          <w:color w:val="auto"/>
        </w:rPr>
        <w:t>This TENTH AMENDED AND RESTATED INVESTORS’ RIGHTS AGREEMENT is made as of April 18, 2022, by and among Tempus Labs,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each of the investors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each of whom is referred to in this Agreement as an “</w:t>
      </w:r>
      <w:r>
        <w:rPr>
          <w:rFonts w:ascii="Times New Roman" w:cs="Times New Roman" w:eastAsia="Times New Roman" w:hAnsi="Times New Roman"/>
          <w:sz w:val="16"/>
          <w:szCs w:val="16"/>
          <w:b w:val="1"/>
          <w:bCs w:val="1"/>
          <w:i w:val="1"/>
          <w:iCs w:val="1"/>
          <w:color w:val="auto"/>
        </w:rPr>
        <w:t>Investor</w:t>
      </w:r>
      <w:r>
        <w:rPr>
          <w:rFonts w:ascii="Times New Roman" w:cs="Times New Roman" w:eastAsia="Times New Roman" w:hAnsi="Times New Roman"/>
          <w:sz w:val="16"/>
          <w:szCs w:val="16"/>
          <w:color w:val="auto"/>
        </w:rPr>
        <w:t xml:space="preserve">” and each of the stockholders listed on </w:t>
      </w:r>
      <w:r>
        <w:rPr>
          <w:rFonts w:ascii="Times New Roman" w:cs="Times New Roman" w:eastAsia="Times New Roman" w:hAnsi="Times New Roman"/>
          <w:sz w:val="16"/>
          <w:szCs w:val="16"/>
          <w:u w:val="single" w:color="auto"/>
          <w:color w:val="auto"/>
        </w:rPr>
        <w:t>Schedule B</w:t>
      </w:r>
      <w:r>
        <w:rPr>
          <w:rFonts w:ascii="Times New Roman" w:cs="Times New Roman" w:eastAsia="Times New Roman" w:hAnsi="Times New Roman"/>
          <w:sz w:val="16"/>
          <w:szCs w:val="16"/>
          <w:color w:val="auto"/>
        </w:rPr>
        <w:t xml:space="preserve"> hereto, each of whom is referred to in this Agreement as a “</w:t>
      </w:r>
      <w:r>
        <w:rPr>
          <w:rFonts w:ascii="Times New Roman" w:cs="Times New Roman" w:eastAsia="Times New Roman" w:hAnsi="Times New Roman"/>
          <w:sz w:val="16"/>
          <w:szCs w:val="16"/>
          <w:b w:val="1"/>
          <w:bCs w:val="1"/>
          <w:i w:val="1"/>
          <w:iCs w:val="1"/>
          <w:color w:val="auto"/>
        </w:rPr>
        <w:t>Common Holder</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ind w:right="240" w:firstLine="428"/>
        <w:spacing w:after="0" w:line="255" w:lineRule="auto"/>
        <w:rPr>
          <w:sz w:val="20"/>
          <w:szCs w:val="20"/>
          <w:color w:val="auto"/>
        </w:rPr>
      </w:pPr>
      <w:r>
        <w:rPr>
          <w:rFonts w:ascii="Times New Roman" w:cs="Times New Roman" w:eastAsia="Times New Roman" w:hAnsi="Times New Roman"/>
          <w:sz w:val="18"/>
          <w:szCs w:val="18"/>
          <w:color w:val="auto"/>
        </w:rPr>
        <w:t>WHEREAS, the Company and certain of the Investors are parties to the Series G-3 Preferred Stock Purchase Agreement, of even date herewith (the “</w:t>
      </w:r>
      <w:r>
        <w:rPr>
          <w:rFonts w:ascii="Times New Roman" w:cs="Times New Roman" w:eastAsia="Times New Roman" w:hAnsi="Times New Roman"/>
          <w:sz w:val="18"/>
          <w:szCs w:val="18"/>
          <w:b w:val="1"/>
          <w:bCs w:val="1"/>
          <w:i w:val="1"/>
          <w:iCs w:val="1"/>
          <w:color w:val="auto"/>
        </w:rPr>
        <w:t>Series G-3 Purchase Agreement</w:t>
      </w:r>
      <w:r>
        <w:rPr>
          <w:rFonts w:ascii="Times New Roman" w:cs="Times New Roman" w:eastAsia="Times New Roman" w:hAnsi="Times New Roman"/>
          <w:sz w:val="18"/>
          <w:szCs w:val="18"/>
          <w:color w:val="auto"/>
        </w:rPr>
        <w:t>”), pursuant to which such Investors have agreed to purchase shares of the Series G-3 Preferred Stock of the Company, par value $0.0001 per share (“</w:t>
      </w:r>
      <w:r>
        <w:rPr>
          <w:rFonts w:ascii="Times New Roman" w:cs="Times New Roman" w:eastAsia="Times New Roman" w:hAnsi="Times New Roman"/>
          <w:sz w:val="18"/>
          <w:szCs w:val="18"/>
          <w:b w:val="1"/>
          <w:bCs w:val="1"/>
          <w:i w:val="1"/>
          <w:iCs w:val="1"/>
          <w:color w:val="auto"/>
        </w:rPr>
        <w:t>Series G-3 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28"/>
        <w:spacing w:after="0" w:line="281" w:lineRule="auto"/>
        <w:rPr>
          <w:sz w:val="20"/>
          <w:szCs w:val="20"/>
          <w:color w:val="auto"/>
        </w:rPr>
      </w:pPr>
      <w:r>
        <w:rPr>
          <w:rFonts w:ascii="Times New Roman" w:cs="Times New Roman" w:eastAsia="Times New Roman" w:hAnsi="Times New Roman"/>
          <w:sz w:val="16"/>
          <w:szCs w:val="16"/>
          <w:color w:val="auto"/>
        </w:rPr>
        <w:t>WHEREAS, certain of the Investors hold shares of Series A Preferred Stock, par value $0.0001 per share (“</w:t>
      </w:r>
      <w:r>
        <w:rPr>
          <w:rFonts w:ascii="Times New Roman" w:cs="Times New Roman" w:eastAsia="Times New Roman" w:hAnsi="Times New Roman"/>
          <w:sz w:val="16"/>
          <w:szCs w:val="16"/>
          <w:b w:val="1"/>
          <w:bCs w:val="1"/>
          <w:i w:val="1"/>
          <w:iCs w:val="1"/>
          <w:color w:val="auto"/>
        </w:rPr>
        <w:t>Series A Preferred Stock</w:t>
      </w:r>
      <w:r>
        <w:rPr>
          <w:rFonts w:ascii="Times New Roman" w:cs="Times New Roman" w:eastAsia="Times New Roman" w:hAnsi="Times New Roman"/>
          <w:sz w:val="16"/>
          <w:szCs w:val="16"/>
          <w:color w:val="auto"/>
        </w:rPr>
        <w:t>”), Series B Preferred Stock of the Company, par value $0.0001 per share (“</w:t>
      </w:r>
      <w:r>
        <w:rPr>
          <w:rFonts w:ascii="Times New Roman" w:cs="Times New Roman" w:eastAsia="Times New Roman" w:hAnsi="Times New Roman"/>
          <w:sz w:val="16"/>
          <w:szCs w:val="16"/>
          <w:b w:val="1"/>
          <w:bCs w:val="1"/>
          <w:i w:val="1"/>
          <w:iCs w:val="1"/>
          <w:color w:val="auto"/>
        </w:rPr>
        <w:t>Series B Preferred Stock</w:t>
      </w:r>
      <w:r>
        <w:rPr>
          <w:rFonts w:ascii="Times New Roman" w:cs="Times New Roman" w:eastAsia="Times New Roman" w:hAnsi="Times New Roman"/>
          <w:sz w:val="16"/>
          <w:szCs w:val="16"/>
          <w:color w:val="auto"/>
        </w:rPr>
        <w:t>”), Series B-1 Preferred Stock of the Company, par value $0.0001 per share (“</w:t>
      </w:r>
      <w:r>
        <w:rPr>
          <w:rFonts w:ascii="Times New Roman" w:cs="Times New Roman" w:eastAsia="Times New Roman" w:hAnsi="Times New Roman"/>
          <w:sz w:val="16"/>
          <w:szCs w:val="16"/>
          <w:b w:val="1"/>
          <w:bCs w:val="1"/>
          <w:i w:val="1"/>
          <w:iCs w:val="1"/>
          <w:color w:val="auto"/>
        </w:rPr>
        <w:t>Series B-1 Preferred Stock</w:t>
      </w:r>
      <w:r>
        <w:rPr>
          <w:rFonts w:ascii="Times New Roman" w:cs="Times New Roman" w:eastAsia="Times New Roman" w:hAnsi="Times New Roman"/>
          <w:sz w:val="16"/>
          <w:szCs w:val="16"/>
          <w:color w:val="auto"/>
        </w:rPr>
        <w:t>”), Series B-2 Preferred Stock of the Company, par value $0.0001 per share (“</w:t>
      </w:r>
      <w:r>
        <w:rPr>
          <w:rFonts w:ascii="Times New Roman" w:cs="Times New Roman" w:eastAsia="Times New Roman" w:hAnsi="Times New Roman"/>
          <w:sz w:val="16"/>
          <w:szCs w:val="16"/>
          <w:b w:val="1"/>
          <w:bCs w:val="1"/>
          <w:i w:val="1"/>
          <w:iCs w:val="1"/>
          <w:color w:val="auto"/>
        </w:rPr>
        <w:t>Series B-2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Series C Preferred Stock of the Company, par value $0.0001 per share (“</w:t>
      </w:r>
      <w:r>
        <w:rPr>
          <w:rFonts w:ascii="Times New Roman" w:cs="Times New Roman" w:eastAsia="Times New Roman" w:hAnsi="Times New Roman"/>
          <w:sz w:val="16"/>
          <w:szCs w:val="16"/>
          <w:b w:val="1"/>
          <w:bCs w:val="1"/>
          <w:i w:val="1"/>
          <w:iCs w:val="1"/>
          <w:color w:val="auto"/>
        </w:rPr>
        <w:t>Series C Preferred Stock</w:t>
      </w:r>
      <w:r>
        <w:rPr>
          <w:rFonts w:ascii="Times New Roman" w:cs="Times New Roman" w:eastAsia="Times New Roman" w:hAnsi="Times New Roman"/>
          <w:sz w:val="16"/>
          <w:szCs w:val="16"/>
          <w:color w:val="auto"/>
        </w:rPr>
        <w:t>”), Series D Preferred Stock of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 value $0.0001 per share (“</w:t>
      </w:r>
      <w:r>
        <w:rPr>
          <w:rFonts w:ascii="Times New Roman" w:cs="Times New Roman" w:eastAsia="Times New Roman" w:hAnsi="Times New Roman"/>
          <w:sz w:val="16"/>
          <w:szCs w:val="16"/>
          <w:b w:val="1"/>
          <w:bCs w:val="1"/>
          <w:i w:val="1"/>
          <w:iCs w:val="1"/>
          <w:color w:val="auto"/>
        </w:rPr>
        <w:t>Series D Preferred Stock</w:t>
      </w:r>
      <w:r>
        <w:rPr>
          <w:rFonts w:ascii="Times New Roman" w:cs="Times New Roman" w:eastAsia="Times New Roman" w:hAnsi="Times New Roman"/>
          <w:sz w:val="16"/>
          <w:szCs w:val="16"/>
          <w:color w:val="auto"/>
        </w:rPr>
        <w:t>”), Series E Preferred Stock of the Company, par value $0.0001 per share (“</w:t>
      </w:r>
      <w:r>
        <w:rPr>
          <w:rFonts w:ascii="Times New Roman" w:cs="Times New Roman" w:eastAsia="Times New Roman" w:hAnsi="Times New Roman"/>
          <w:sz w:val="16"/>
          <w:szCs w:val="16"/>
          <w:b w:val="1"/>
          <w:bCs w:val="1"/>
          <w:i w:val="1"/>
          <w:iCs w:val="1"/>
          <w:color w:val="auto"/>
        </w:rPr>
        <w:t>Series E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Series F Preferred Stock of the Company, par value $0.0001 per share (“</w:t>
      </w:r>
      <w:r>
        <w:rPr>
          <w:rFonts w:ascii="Times New Roman" w:cs="Times New Roman" w:eastAsia="Times New Roman" w:hAnsi="Times New Roman"/>
          <w:sz w:val="16"/>
          <w:szCs w:val="16"/>
          <w:b w:val="1"/>
          <w:bCs w:val="1"/>
          <w:i w:val="1"/>
          <w:iCs w:val="1"/>
          <w:color w:val="auto"/>
        </w:rPr>
        <w:t>Series F Preferred Stock</w:t>
      </w:r>
      <w:r>
        <w:rPr>
          <w:rFonts w:ascii="Times New Roman" w:cs="Times New Roman" w:eastAsia="Times New Roman" w:hAnsi="Times New Roman"/>
          <w:sz w:val="16"/>
          <w:szCs w:val="16"/>
          <w:color w:val="auto"/>
        </w:rPr>
        <w:t>”), Series G Preferred Stock of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 value $0.0001 per share (“</w:t>
      </w:r>
      <w:r>
        <w:rPr>
          <w:rFonts w:ascii="Times New Roman" w:cs="Times New Roman" w:eastAsia="Times New Roman" w:hAnsi="Times New Roman"/>
          <w:sz w:val="16"/>
          <w:szCs w:val="16"/>
          <w:b w:val="1"/>
          <w:bCs w:val="1"/>
          <w:i w:val="1"/>
          <w:iCs w:val="1"/>
          <w:color w:val="auto"/>
        </w:rPr>
        <w:t>Series G Preferred Stock</w:t>
      </w:r>
      <w:r>
        <w:rPr>
          <w:rFonts w:ascii="Times New Roman" w:cs="Times New Roman" w:eastAsia="Times New Roman" w:hAnsi="Times New Roman"/>
          <w:sz w:val="16"/>
          <w:szCs w:val="16"/>
          <w:color w:val="auto"/>
        </w:rPr>
        <w:t>”), Series G-2 Preferred Stock of the Company, par value $0.0001 per share (“</w:t>
      </w:r>
      <w:r>
        <w:rPr>
          <w:rFonts w:ascii="Times New Roman" w:cs="Times New Roman" w:eastAsia="Times New Roman" w:hAnsi="Times New Roman"/>
          <w:sz w:val="16"/>
          <w:szCs w:val="16"/>
          <w:b w:val="1"/>
          <w:bCs w:val="1"/>
          <w:i w:val="1"/>
          <w:iCs w:val="1"/>
          <w:color w:val="auto"/>
        </w:rPr>
        <w:t>Series G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and/or Voting Common Stock and possess registration rights, information rights, rights of first offer and other rights pursuant to that certain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Ninth Amended and Restated Investors’ Rights Agreement dated as of November 19, 2020, by and among the parties thereto (the “</w:t>
      </w:r>
      <w:r>
        <w:rPr>
          <w:rFonts w:ascii="Times New Roman" w:cs="Times New Roman" w:eastAsia="Times New Roman" w:hAnsi="Times New Roman"/>
          <w:sz w:val="16"/>
          <w:szCs w:val="16"/>
          <w:b w:val="1"/>
          <w:bCs w:val="1"/>
          <w:i w:val="1"/>
          <w:iCs w:val="1"/>
          <w:color w:val="auto"/>
        </w:rPr>
        <w:t>Prior Agreement</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to the Prior Agreement desire to amend and restate the Prior Agreement in its entirety with this Agreement; and</w:t>
      </w:r>
    </w:p>
    <w:p>
      <w:pPr>
        <w:spacing w:after="0" w:line="213" w:lineRule="exact"/>
        <w:rPr>
          <w:sz w:val="20"/>
          <w:szCs w:val="20"/>
          <w:color w:val="auto"/>
        </w:rPr>
      </w:pPr>
    </w:p>
    <w:p>
      <w:pPr>
        <w:ind w:right="20" w:firstLine="428"/>
        <w:spacing w:after="0" w:line="302" w:lineRule="auto"/>
        <w:rPr>
          <w:sz w:val="20"/>
          <w:szCs w:val="20"/>
          <w:color w:val="auto"/>
        </w:rPr>
      </w:pPr>
      <w:r>
        <w:rPr>
          <w:rFonts w:ascii="Times New Roman" w:cs="Times New Roman" w:eastAsia="Times New Roman" w:hAnsi="Times New Roman"/>
          <w:sz w:val="16"/>
          <w:szCs w:val="16"/>
          <w:color w:val="auto"/>
        </w:rPr>
        <w:t>WHEREAS, the Investors, the Common Holders and the Company hereby agree that this Agreement shall govern the rights of the Investors and the Common Holders to cause the Company to register shares of Voting Common Stock issuable to the Investors, to receive certain information from the Company, and to participate in future equity offerings by the Company, and shall govern certain other matters as set forth in this Agreement.</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04" w:lineRule="exact"/>
        <w:rPr>
          <w:sz w:val="20"/>
          <w:szCs w:val="20"/>
          <w:color w:val="auto"/>
        </w:rPr>
      </w:pPr>
    </w:p>
    <w:p>
      <w:pPr>
        <w:ind w:right="40" w:firstLine="964"/>
        <w:spacing w:after="0" w:line="250"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such Person or by one or more general partners or managing members of, or shares the same (or an affiliate of the same) management company, common investment management or investment adviser with, such Person.</w:t>
      </w:r>
    </w:p>
    <w:p>
      <w:pPr>
        <w:sectPr>
          <w:pgSz w:w="11900" w:h="16838" w:orient="portrait"/>
          <w:cols w:equalWidth="0" w:num="1">
            <w:col w:w="10720"/>
          </w:cols>
          <w:pgMar w:left="580" w:top="118" w:right="599" w:bottom="1440" w:gutter="0" w:footer="0" w:header="0"/>
        </w:sectPr>
      </w:pPr>
    </w:p>
    <w:bookmarkStart w:id="391" w:name="page392"/>
    <w:bookmarkEnd w:id="391"/>
    <w:p>
      <w:pPr>
        <w:ind w:right="100" w:firstLine="964"/>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1.2 “</w:t>
      </w:r>
      <w:r>
        <w:rPr>
          <w:rFonts w:ascii="Times New Roman" w:cs="Times New Roman" w:eastAsia="Times New Roman" w:hAnsi="Times New Roman"/>
          <w:sz w:val="18"/>
          <w:szCs w:val="18"/>
          <w:b w:val="1"/>
          <w:bCs w:val="1"/>
          <w:i w:val="1"/>
          <w:iCs w:val="1"/>
          <w:color w:val="auto"/>
        </w:rPr>
        <w:t>Baillie Gifford</w:t>
      </w:r>
      <w:r>
        <w:rPr>
          <w:rFonts w:ascii="Times New Roman" w:cs="Times New Roman" w:eastAsia="Times New Roman" w:hAnsi="Times New Roman"/>
          <w:sz w:val="18"/>
          <w:szCs w:val="18"/>
          <w:color w:val="auto"/>
        </w:rPr>
        <w:t>” means Baillie Gifford &amp; Co., Baillie Gifford Overseas Limited and any successor or affiliated registered investment advisor to the Baillie Gifford Investors.</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i w:val="1"/>
          <w:iCs w:val="1"/>
          <w:color w:val="auto"/>
        </w:rPr>
        <w:t>Baillie Gifford Investors</w:t>
      </w:r>
      <w:r>
        <w:rPr>
          <w:rFonts w:ascii="Times New Roman" w:cs="Times New Roman" w:eastAsia="Times New Roman" w:hAnsi="Times New Roman"/>
          <w:sz w:val="18"/>
          <w:szCs w:val="18"/>
          <w:color w:val="auto"/>
        </w:rPr>
        <w:t>” means the Investors that are advisory clients of Baillie Gifford.</w:t>
      </w:r>
    </w:p>
    <w:p>
      <w:pPr>
        <w:spacing w:after="0" w:line="108" w:lineRule="exact"/>
        <w:rPr>
          <w:sz w:val="20"/>
          <w:szCs w:val="20"/>
          <w:color w:val="auto"/>
        </w:rPr>
      </w:pPr>
    </w:p>
    <w:p>
      <w:pPr>
        <w:ind w:right="40" w:firstLine="964"/>
        <w:spacing w:after="0" w:line="27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Company’s Tenth Amended and Restated Certificate of Incorporation, as filed with the Office of the Secretary of State of the State of Delaware on the date hereof, as may be amended from time to time.</w:t>
      </w:r>
    </w:p>
    <w:p>
      <w:pPr>
        <w:spacing w:after="0" w:line="56" w:lineRule="exact"/>
        <w:rPr>
          <w:sz w:val="20"/>
          <w:szCs w:val="20"/>
          <w:color w:val="auto"/>
        </w:rPr>
      </w:pPr>
    </w:p>
    <w:p>
      <w:pPr>
        <w:ind w:firstLine="964"/>
        <w:spacing w:after="0" w:line="279" w:lineRule="auto"/>
        <w:rPr>
          <w:sz w:val="20"/>
          <w:szCs w:val="20"/>
          <w:color w:val="auto"/>
        </w:rPr>
      </w:pPr>
      <w:r>
        <w:rPr>
          <w:rFonts w:ascii="Times New Roman" w:cs="Times New Roman" w:eastAsia="Times New Roman" w:hAnsi="Times New Roman"/>
          <w:sz w:val="16"/>
          <w:szCs w:val="16"/>
          <w:color w:val="auto"/>
        </w:rPr>
        <w:t>1.5 “</w:t>
      </w:r>
      <w:r>
        <w:rPr>
          <w:rFonts w:ascii="Times New Roman" w:cs="Times New Roman" w:eastAsia="Times New Roman" w:hAnsi="Times New Roman"/>
          <w:sz w:val="16"/>
          <w:szCs w:val="16"/>
          <w:b w:val="1"/>
          <w:bCs w:val="1"/>
          <w:i w:val="1"/>
          <w:iCs w:val="1"/>
          <w:color w:val="auto"/>
        </w:rPr>
        <w:t>CFIUS Approval</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means (i) the Company and the applicable Purchaser(s) shall have received written notice from CFIUS that review under Section 721 of the Defense Production Act of 1950 as amended by the Foreign Investment Risk Review Modernization Act of 2018, including implementing regulations thereof, 31 C.F.R. Parts 800 and 802 (the “</w:t>
      </w:r>
      <w:r>
        <w:rPr>
          <w:rFonts w:ascii="Times New Roman" w:cs="Times New Roman" w:eastAsia="Times New Roman" w:hAnsi="Times New Roman"/>
          <w:sz w:val="16"/>
          <w:szCs w:val="16"/>
          <w:b w:val="1"/>
          <w:bCs w:val="1"/>
          <w:i w:val="1"/>
          <w:iCs w:val="1"/>
          <w:color w:val="auto"/>
        </w:rPr>
        <w:t>DPA</w:t>
      </w:r>
      <w:r>
        <w:rPr>
          <w:rFonts w:ascii="Times New Roman" w:cs="Times New Roman" w:eastAsia="Times New Roman" w:hAnsi="Times New Roman"/>
          <w:sz w:val="16"/>
          <w:szCs w:val="16"/>
          <w:color w:val="auto"/>
        </w:rPr>
        <w:t>”), of the transactions contemplated hereby has been concluded, and CFIUS shall have determined that there are no unresolved national security concerns with respect to the transactions contemplated hereby, and advised that action under Section 721 of the DPA, and any investigation related thereto, has been concluded with respect to the transactions contemplated hereby;</w:t>
      </w:r>
    </w:p>
    <w:p>
      <w:pPr>
        <w:spacing w:after="0" w:line="3" w:lineRule="exact"/>
        <w:rPr>
          <w:sz w:val="20"/>
          <w:szCs w:val="20"/>
          <w:color w:val="auto"/>
        </w:rPr>
      </w:pPr>
    </w:p>
    <w:p>
      <w:pPr>
        <w:ind w:right="100" w:firstLine="8"/>
        <w:spacing w:after="0" w:line="244" w:lineRule="auto"/>
        <w:tabs>
          <w:tab w:leader="none" w:pos="25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CFIUS shall have concluded that the transactions contemplated hereby are not covered transactions and are not subject to review under Section 721 of the DPA; or (iii) CFIUS shall have sent a report to the President of the United States (the “</w:t>
      </w:r>
      <w:r>
        <w:rPr>
          <w:rFonts w:ascii="Times New Roman" w:cs="Times New Roman" w:eastAsia="Times New Roman" w:hAnsi="Times New Roman"/>
          <w:sz w:val="18"/>
          <w:szCs w:val="18"/>
          <w:b w:val="1"/>
          <w:bCs w:val="1"/>
          <w:i w:val="1"/>
          <w:iCs w:val="1"/>
          <w:color w:val="auto"/>
        </w:rPr>
        <w:t>President</w:t>
      </w:r>
      <w:r>
        <w:rPr>
          <w:rFonts w:ascii="Times New Roman" w:cs="Times New Roman" w:eastAsia="Times New Roman" w:hAnsi="Times New Roman"/>
          <w:sz w:val="18"/>
          <w:szCs w:val="18"/>
          <w:color w:val="auto"/>
        </w:rPr>
        <w:t>”) requesting the President’s decision on the notice and either (1) the period under Section 721 of the DPA during which the President may announce his decision to take action to suspend or prohibit the transactions contemplated hereby shall have expired without any such action being announced or taken or (2) the President shall have announced a decision not to take any action to suspend or prohibit the transactions contemplated hereby.</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means shares of the Class A Common Stock, $0.0001 par value per share.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means shares of the Class B Common Stock, $0.0001 par value per share.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collectively, the shares of the Company’s Voting Common Stock and the Nonvoting Common Stock.</w:t>
      </w:r>
    </w:p>
    <w:p>
      <w:pPr>
        <w:spacing w:after="0" w:line="108"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Damages</w:t>
      </w:r>
      <w:r>
        <w:rPr>
          <w:rFonts w:ascii="Times New Roman" w:cs="Times New Roman" w:eastAsia="Times New Roman" w:hAnsi="Times New Roman"/>
          <w:sz w:val="18"/>
          <w:szCs w:val="18"/>
          <w:color w:val="auto"/>
        </w:rPr>
        <w:t>” means any claim, loss, damage or liability (joint or several) to which a party hereto may become subject under the Securities Act, the Exchange Act, or other federal or state law, insofar as such claim, loss, damage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1" w:right="619" w:bottom="1440" w:gutter="0" w:footer="0" w:header="0"/>
        </w:sectPr>
      </w:pPr>
    </w:p>
    <w:bookmarkStart w:id="392" w:name="page393"/>
    <w:bookmarkEnd w:id="392"/>
    <w:p>
      <w:pPr>
        <w:ind w:right="200" w:firstLine="964"/>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1.10 “</w:t>
      </w:r>
      <w:r>
        <w:rPr>
          <w:rFonts w:ascii="Times New Roman" w:cs="Times New Roman" w:eastAsia="Times New Roman" w:hAnsi="Times New Roman"/>
          <w:sz w:val="18"/>
          <w:szCs w:val="18"/>
          <w:b w:val="1"/>
          <w:bCs w:val="1"/>
          <w:i w:val="1"/>
          <w:i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 Common Stock, including options and warrants.</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08" w:lineRule="exact"/>
        <w:rPr>
          <w:sz w:val="20"/>
          <w:szCs w:val="20"/>
          <w:color w:val="auto"/>
        </w:rPr>
      </w:pPr>
    </w:p>
    <w:p>
      <w:pPr>
        <w:ind w:right="20" w:firstLine="964"/>
        <w:spacing w:after="0" w:line="250"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an Affiliate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77" w:lineRule="exact"/>
        <w:rPr>
          <w:sz w:val="20"/>
          <w:szCs w:val="20"/>
          <w:color w:val="auto"/>
        </w:rPr>
      </w:pPr>
    </w:p>
    <w:p>
      <w:pPr>
        <w:ind w:right="320" w:firstLine="964"/>
        <w:spacing w:after="0" w:line="27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56" w:lineRule="exact"/>
        <w:rPr>
          <w:sz w:val="20"/>
          <w:szCs w:val="20"/>
          <w:color w:val="auto"/>
        </w:rPr>
      </w:pPr>
    </w:p>
    <w:p>
      <w:pPr>
        <w:ind w:firstLine="964"/>
        <w:spacing w:after="0" w:line="25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Google</w:t>
      </w:r>
      <w:r>
        <w:rPr>
          <w:rFonts w:ascii="Times New Roman" w:cs="Times New Roman" w:eastAsia="Times New Roman" w:hAnsi="Times New Roman"/>
          <w:sz w:val="18"/>
          <w:szCs w:val="18"/>
          <w:color w:val="auto"/>
        </w:rPr>
        <w:t>” means Google LLC, a Delaware limited liability company, together with its subsidiaries and Affiliates.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any holder of Registrable Securities who is a party to this Agreement.</w:t>
      </w:r>
    </w:p>
    <w:p>
      <w:pPr>
        <w:spacing w:after="0" w:line="108" w:lineRule="exact"/>
        <w:rPr>
          <w:sz w:val="20"/>
          <w:szCs w:val="20"/>
          <w:color w:val="auto"/>
        </w:rPr>
      </w:pPr>
    </w:p>
    <w:p>
      <w:pPr>
        <w:ind w:right="200" w:firstLine="964"/>
        <w:spacing w:after="0" w:line="336" w:lineRule="auto"/>
        <w:rPr>
          <w:sz w:val="20"/>
          <w:szCs w:val="20"/>
          <w:color w:val="auto"/>
        </w:rPr>
      </w:pPr>
      <w:r>
        <w:rPr>
          <w:rFonts w:ascii="Times New Roman" w:cs="Times New Roman" w:eastAsia="Times New Roman" w:hAnsi="Times New Roman"/>
          <w:sz w:val="16"/>
          <w:szCs w:val="16"/>
          <w:color w:val="auto"/>
        </w:rPr>
        <w:t>1.18 “</w:t>
      </w:r>
      <w:r>
        <w:rPr>
          <w:rFonts w:ascii="Times New Roman" w:cs="Times New Roman" w:eastAsia="Times New Roman" w:hAnsi="Times New Roman"/>
          <w:sz w:val="16"/>
          <w:szCs w:val="16"/>
          <w:b w:val="1"/>
          <w:bCs w:val="1"/>
          <w:i w:val="1"/>
          <w:iCs w:val="1"/>
          <w:color w:val="auto"/>
        </w:rPr>
        <w:t>Immediate Family Member</w:t>
      </w:r>
      <w:r>
        <w:rPr>
          <w:rFonts w:ascii="Times New Roman" w:cs="Times New Roman" w:eastAsia="Times New Roman" w:hAnsi="Times New Roman"/>
          <w:sz w:val="16"/>
          <w:szCs w:val="16"/>
          <w:color w:val="auto"/>
        </w:rPr>
        <w:t>” means a child, stepchild, grandchild, parent, stepparent, grandparent, spouse, sibling, mother-in-law, father-in-law, son-in-law, daughter-in- law, brother-in-law, or sister-in-law, including adoptive relationships, of a natural person referred to herein.</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under this Agreement.</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the Company’s first underwritten public offering of its Common Stock under the Securities Act.</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580" w:top="261" w:right="619" w:bottom="1440" w:gutter="0" w:footer="0" w:header="0"/>
        </w:sectPr>
      </w:pPr>
    </w:p>
    <w:bookmarkStart w:id="393" w:name="page394"/>
    <w:bookmarkEnd w:id="393"/>
    <w:p>
      <w:pPr>
        <w:jc w:val="both"/>
        <w:ind w:firstLine="964"/>
        <w:spacing w:after="0" w:line="30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1.21 “</w:t>
      </w:r>
      <w:r>
        <w:rPr>
          <w:rFonts w:ascii="Times New Roman" w:cs="Times New Roman" w:eastAsia="Times New Roman" w:hAnsi="Times New Roman"/>
          <w:sz w:val="16"/>
          <w:szCs w:val="16"/>
          <w:b w:val="1"/>
          <w:bCs w:val="1"/>
          <w:i w:val="1"/>
          <w:iCs w:val="1"/>
          <w:color w:val="auto"/>
        </w:rPr>
        <w:t>Lightbank</w:t>
      </w:r>
      <w:r>
        <w:rPr>
          <w:rFonts w:ascii="Times New Roman" w:cs="Times New Roman" w:eastAsia="Times New Roman" w:hAnsi="Times New Roman"/>
          <w:sz w:val="16"/>
          <w:szCs w:val="16"/>
          <w:color w:val="auto"/>
        </w:rPr>
        <w:t>” means, collectively, Innovation Group Investors, L.P., Lightbank Investments 1B, LLC, Gray Media, LLC, Blue Media, LLC, Keeks, LLC, Tempus Series B Investments, LLC, Tempus Series B-1 Investments, LLC, and Tempus Series B-2 Investments, LLC, Tempus Series C Investments, LLC, Tempus Series D Investments, LLC, Tempus Series E Investments, LLC and Tempus Series G Investments, LLC.</w:t>
      </w:r>
    </w:p>
    <w:p>
      <w:pPr>
        <w:spacing w:after="0" w:line="34" w:lineRule="exact"/>
        <w:rPr>
          <w:sz w:val="20"/>
          <w:szCs w:val="20"/>
          <w:color w:val="auto"/>
        </w:rPr>
      </w:pPr>
    </w:p>
    <w:p>
      <w:pPr>
        <w:jc w:val="both"/>
        <w:ind w:right="60" w:firstLine="964"/>
        <w:spacing w:after="0" w:line="294" w:lineRule="auto"/>
        <w:rPr>
          <w:sz w:val="20"/>
          <w:szCs w:val="20"/>
          <w:color w:val="auto"/>
        </w:rPr>
      </w:pPr>
      <w:r>
        <w:rPr>
          <w:rFonts w:ascii="Times New Roman" w:cs="Times New Roman" w:eastAsia="Times New Roman" w:hAnsi="Times New Roman"/>
          <w:sz w:val="16"/>
          <w:szCs w:val="16"/>
          <w:color w:val="auto"/>
        </w:rPr>
        <w:t>1.22 “</w:t>
      </w:r>
      <w:r>
        <w:rPr>
          <w:rFonts w:ascii="Times New Roman" w:cs="Times New Roman" w:eastAsia="Times New Roman" w:hAnsi="Times New Roman"/>
          <w:sz w:val="16"/>
          <w:szCs w:val="16"/>
          <w:b w:val="1"/>
          <w:bCs w:val="1"/>
          <w:i w:val="1"/>
          <w:iCs w:val="1"/>
          <w:color w:val="auto"/>
        </w:rPr>
        <w:t>Major Investor</w:t>
      </w:r>
      <w:r>
        <w:rPr>
          <w:rFonts w:ascii="Times New Roman" w:cs="Times New Roman" w:eastAsia="Times New Roman" w:hAnsi="Times New Roman"/>
          <w:sz w:val="16"/>
          <w:szCs w:val="16"/>
          <w:color w:val="auto"/>
        </w:rPr>
        <w:t>” means (i) any Investor or Common Holder that, individually or together with such Investor’s or Common Holder’s Affiliates, holds at least 1,000,000 shares of Registrable Securities (as adjusted for any stock split, stock dividend, combination, or other recapitalization or reclassification effected after the date hereof), (ii) each T. Rowe Price Investor that holds any Registrable Securities, (iii) any Baillie Gifford Investor that holds any Registrable Securities, and (iv) each Neuberger Investor that continues to satisfy the Neuberger Rights Threshold.</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i w:val="1"/>
          <w:iCs w:val="1"/>
          <w:color w:val="auto"/>
        </w:rPr>
        <w:t>NEA</w:t>
      </w:r>
      <w:r>
        <w:rPr>
          <w:rFonts w:ascii="Times New Roman" w:cs="Times New Roman" w:eastAsia="Times New Roman" w:hAnsi="Times New Roman"/>
          <w:sz w:val="18"/>
          <w:szCs w:val="18"/>
          <w:color w:val="auto"/>
        </w:rPr>
        <w:t>” means, collectively, New Enterprise Associates 16, L.P. and any of its Affiliates.</w:t>
      </w:r>
    </w:p>
    <w:p>
      <w:pPr>
        <w:spacing w:after="0" w:line="108" w:lineRule="exact"/>
        <w:rPr>
          <w:sz w:val="20"/>
          <w:szCs w:val="20"/>
          <w:color w:val="auto"/>
        </w:rPr>
      </w:pPr>
    </w:p>
    <w:p>
      <w:pPr>
        <w:ind w:right="540" w:firstLine="964"/>
        <w:spacing w:after="0" w:line="272"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i w:val="1"/>
          <w:iCs w:val="1"/>
          <w:color w:val="auto"/>
        </w:rPr>
        <w:t>Neuberger</w:t>
      </w:r>
      <w:r>
        <w:rPr>
          <w:rFonts w:ascii="Times New Roman" w:cs="Times New Roman" w:eastAsia="Times New Roman" w:hAnsi="Times New Roman"/>
          <w:sz w:val="18"/>
          <w:szCs w:val="18"/>
          <w:color w:val="auto"/>
        </w:rPr>
        <w:t>” means Neuberger Berman Investment Advisers LLC and/or NB Alternatives Advisers LLC and any successor or affiliated registered investment advisor to the Neuberger Investors.</w:t>
      </w:r>
    </w:p>
    <w:p>
      <w:pPr>
        <w:spacing w:after="0" w:line="56" w:lineRule="exact"/>
        <w:rPr>
          <w:sz w:val="20"/>
          <w:szCs w:val="20"/>
          <w:color w:val="auto"/>
        </w:rPr>
      </w:pPr>
    </w:p>
    <w:p>
      <w:pPr>
        <w:jc w:val="both"/>
        <w:ind w:right="400" w:firstLine="964"/>
        <w:spacing w:after="0" w:line="258"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i w:val="1"/>
          <w:iCs w:val="1"/>
          <w:color w:val="auto"/>
        </w:rPr>
        <w:t>Neuberger Investors</w:t>
      </w:r>
      <w:r>
        <w:rPr>
          <w:rFonts w:ascii="Times New Roman" w:cs="Times New Roman" w:eastAsia="Times New Roman" w:hAnsi="Times New Roman"/>
          <w:sz w:val="18"/>
          <w:szCs w:val="18"/>
          <w:color w:val="auto"/>
        </w:rPr>
        <w:t>” means Neuberger Berman Principal Strategies PRIMA Fund LP, Neuberger Berman Principal Strategies PRIMA Co-Invest Fund IV LP, PRIMA MLP Fund LP and any other Investors that are investment management or management advisory clients of Neuberger.</w:t>
      </w:r>
    </w:p>
    <w:p>
      <w:pPr>
        <w:spacing w:after="0" w:line="68" w:lineRule="exact"/>
        <w:rPr>
          <w:sz w:val="20"/>
          <w:szCs w:val="20"/>
          <w:color w:val="auto"/>
        </w:rPr>
      </w:pPr>
    </w:p>
    <w:p>
      <w:pPr>
        <w:ind w:right="80" w:firstLine="964"/>
        <w:spacing w:after="0" w:line="253"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i w:val="1"/>
          <w:iCs w:val="1"/>
          <w:color w:val="auto"/>
        </w:rPr>
        <w:t>Neuberger Rights Threshold</w:t>
      </w:r>
      <w:r>
        <w:rPr>
          <w:rFonts w:ascii="Times New Roman" w:cs="Times New Roman" w:eastAsia="Times New Roman" w:hAnsi="Times New Roman"/>
          <w:sz w:val="18"/>
          <w:szCs w:val="18"/>
          <w:color w:val="auto"/>
        </w:rPr>
        <w:t>” means, with respect to each Neuberger Investor that such Neuberger Investor continues to hold all of the shares of Preferred Stock initially purchased by such Neuberger Investor or shares of capital stock issued upon conversion of such shares of Preferred Stock (such number subject to appropriate adjustment in the event of any stock split, stock dividend, combination, or other recapitalization or reclassification effected after the date hereof).</w:t>
      </w:r>
    </w:p>
    <w:p>
      <w:pPr>
        <w:spacing w:after="0" w:line="72" w:lineRule="exact"/>
        <w:rPr>
          <w:sz w:val="20"/>
          <w:szCs w:val="20"/>
          <w:color w:val="auto"/>
        </w:rPr>
      </w:pPr>
    </w:p>
    <w:p>
      <w:pPr>
        <w:ind w:right="20" w:firstLine="964"/>
        <w:spacing w:after="0" w:line="258"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i w:val="1"/>
          <w:i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i w:val="1"/>
          <w:iCs w:val="1"/>
          <w:color w:val="auto"/>
        </w:rPr>
        <w:t>Nonvoting Common Stock</w:t>
      </w:r>
      <w:r>
        <w:rPr>
          <w:rFonts w:ascii="Times New Roman" w:cs="Times New Roman" w:eastAsia="Times New Roman" w:hAnsi="Times New Roman"/>
          <w:sz w:val="18"/>
          <w:szCs w:val="18"/>
          <w:color w:val="auto"/>
        </w:rPr>
        <w:t>” means the shares of the Company’s Nonvoting Common Stock, $0.0001 par value per share.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i w:val="1"/>
          <w:iCs w:val="1"/>
          <w:color w:val="auto"/>
        </w:rPr>
        <w:t>Novo</w:t>
      </w:r>
      <w:r>
        <w:rPr>
          <w:rFonts w:ascii="Times New Roman" w:cs="Times New Roman" w:eastAsia="Times New Roman" w:hAnsi="Times New Roman"/>
          <w:sz w:val="18"/>
          <w:szCs w:val="18"/>
          <w:color w:val="auto"/>
        </w:rPr>
        <w:t>” means Novo Holdings A/S and any of its Affiliates.</w:t>
      </w:r>
    </w:p>
    <w:p>
      <w:pPr>
        <w:spacing w:after="0" w:line="108" w:lineRule="exact"/>
        <w:rPr>
          <w:sz w:val="20"/>
          <w:szCs w:val="20"/>
          <w:color w:val="auto"/>
        </w:rPr>
      </w:pPr>
    </w:p>
    <w:p>
      <w:pPr>
        <w:ind w:right="400" w:firstLine="964"/>
        <w:spacing w:after="0" w:line="272" w:lineRule="auto"/>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i w:val="1"/>
          <w:iCs w:val="1"/>
          <w:color w:val="auto"/>
        </w:rPr>
        <w:t>Novo Side Letter</w:t>
      </w:r>
      <w:r>
        <w:rPr>
          <w:rFonts w:ascii="Times New Roman" w:cs="Times New Roman" w:eastAsia="Times New Roman" w:hAnsi="Times New Roman"/>
          <w:sz w:val="18"/>
          <w:szCs w:val="18"/>
          <w:color w:val="auto"/>
        </w:rPr>
        <w:t xml:space="preserve">” means that certain letter agreement dated May 29, 2019, by and among the Company, Novo and the Founder Stockholders (as defined therein),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580" w:top="261" w:right="599" w:bottom="1440" w:gutter="0" w:footer="0" w:header="0"/>
        </w:sectPr>
      </w:pPr>
    </w:p>
    <w:bookmarkStart w:id="394" w:name="page395"/>
    <w:bookmarkEnd w:id="39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1.31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p>
    <w:p>
      <w:pPr>
        <w:spacing w:after="0" w:line="108" w:lineRule="exact"/>
        <w:rPr>
          <w:sz w:val="20"/>
          <w:szCs w:val="20"/>
          <w:color w:val="auto"/>
        </w:rPr>
      </w:pPr>
    </w:p>
    <w:p>
      <w:pPr>
        <w:ind w:right="220" w:firstLine="964"/>
        <w:spacing w:after="0" w:line="258"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means, collectively, the shares of the Company’s Series A Preferred Stock, Series B Preferred Stock, Series B-1 Preferred Stock, Series B-2 Preferred Stock, Series C Preferred Stock, Series D Preferred Stock, Series E Preferred Stock, Series F Preferred Stock, Series G Preferred Stock, Series G-2 Preferred Stock and Series G-3 Preferred Stock.</w:t>
      </w:r>
    </w:p>
    <w:p>
      <w:pPr>
        <w:spacing w:after="0" w:line="68" w:lineRule="exact"/>
        <w:rPr>
          <w:sz w:val="20"/>
          <w:szCs w:val="20"/>
          <w:color w:val="auto"/>
        </w:rPr>
      </w:pPr>
    </w:p>
    <w:p>
      <w:pPr>
        <w:ind w:right="60" w:firstLine="964"/>
        <w:spacing w:after="0" w:line="281" w:lineRule="auto"/>
        <w:rPr>
          <w:sz w:val="20"/>
          <w:szCs w:val="20"/>
          <w:color w:val="auto"/>
        </w:rPr>
      </w:pPr>
      <w:r>
        <w:rPr>
          <w:rFonts w:ascii="Times New Roman" w:cs="Times New Roman" w:eastAsia="Times New Roman" w:hAnsi="Times New Roman"/>
          <w:sz w:val="16"/>
          <w:szCs w:val="16"/>
          <w:color w:val="auto"/>
        </w:rPr>
        <w:t>1.33 “</w:t>
      </w:r>
      <w:r>
        <w:rPr>
          <w:rFonts w:ascii="Times New Roman" w:cs="Times New Roman" w:eastAsia="Times New Roman" w:hAnsi="Times New Roman"/>
          <w:sz w:val="16"/>
          <w:szCs w:val="16"/>
          <w:b w:val="1"/>
          <w:bCs w:val="1"/>
          <w:i w:val="1"/>
          <w:iCs w:val="1"/>
          <w:color w:val="auto"/>
        </w:rPr>
        <w:t>Registrable Securities</w:t>
      </w:r>
      <w:r>
        <w:rPr>
          <w:rFonts w:ascii="Times New Roman" w:cs="Times New Roman" w:eastAsia="Times New Roman" w:hAnsi="Times New Roman"/>
          <w:sz w:val="16"/>
          <w:szCs w:val="16"/>
          <w:color w:val="auto"/>
        </w:rPr>
        <w:t xml:space="preserve">” means (a) the Voting Common Stock, (b) the Voting Common Stock issuable or issued upon conversion of the Preferred Stock, (c) any Common Stock, or any Common Stock issued or issuable (directly or indirectly) upon conversion and/or exercise of any other securities of the Company, acquired or held by the Investors or the Common Holders; and (d) any Common Stock issued as (or issuable upon the conversion or exercise of any warrant, right, or other security that is issued as) a dividend or other distribution with respect to, or in exchange for or in replacement of, the shares referenced in clauses (a) or (b) above; excluding in all cases, however, (i) any Registrable Securities sold by a Person in a transaction in which the applicable rights under this Agreement are not assigned pursuant to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(ii) excluding for purposes of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any shares for which registration rights have terminated pursuant to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of this Agreement, and (iii) Voting Common Stock that has been converted from Nonvoting Common Stock and any Common Stock issued as (or issuable upon the conversion or exercise of any warrant, right, or other security that is issued as) a dividend or other distribution with respect to, or in exchange for or in replacement of, such Voting Common Stock.</w:t>
      </w:r>
    </w:p>
    <w:p>
      <w:pPr>
        <w:spacing w:after="0" w:line="57" w:lineRule="exact"/>
        <w:rPr>
          <w:sz w:val="20"/>
          <w:szCs w:val="20"/>
          <w:color w:val="auto"/>
        </w:rPr>
      </w:pPr>
    </w:p>
    <w:p>
      <w:pPr>
        <w:jc w:val="both"/>
        <w:ind w:right="120" w:firstLine="964"/>
        <w:spacing w:after="0" w:line="258"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i w:val="1"/>
          <w:iCs w:val="1"/>
          <w:color w:val="auto"/>
        </w:rPr>
        <w:t>Registrable Securities Then Outstanding</w:t>
      </w:r>
      <w:r>
        <w:rPr>
          <w:rFonts w:ascii="Times New Roman" w:cs="Times New Roman" w:eastAsia="Times New Roman" w:hAnsi="Times New Roman"/>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68" w:lineRule="exact"/>
        <w:rPr>
          <w:sz w:val="20"/>
          <w:szCs w:val="20"/>
          <w:color w:val="auto"/>
        </w:rPr>
      </w:pPr>
    </w:p>
    <w:p>
      <w:pPr>
        <w:ind w:firstLine="964"/>
        <w:spacing w:after="0" w:line="272"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i w:val="1"/>
          <w:iCs w:val="1"/>
          <w:color w:val="auto"/>
        </w:rPr>
        <w:t>Required Approvals</w:t>
      </w:r>
      <w:r>
        <w:rPr>
          <w:rFonts w:ascii="Times New Roman" w:cs="Times New Roman" w:eastAsia="Times New Roman" w:hAnsi="Times New Roman"/>
          <w:sz w:val="18"/>
          <w:szCs w:val="18"/>
          <w:color w:val="auto"/>
        </w:rPr>
        <w:t>” means all consents, approvals, clearances or other authorizations of, and expiration of waiting periods required by, any governmental authorities required under applicable laws, including the CFIUS Approval.</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i w:val="1"/>
          <w:iCs w:val="1"/>
          <w:color w:val="auto"/>
        </w:rPr>
        <w:t>Restricted Securities</w:t>
      </w:r>
      <w:r>
        <w:rPr>
          <w:rFonts w:ascii="Times New Roman" w:cs="Times New Roman" w:eastAsia="Times New Roman" w:hAnsi="Times New Roman"/>
          <w:sz w:val="18"/>
          <w:szCs w:val="18"/>
          <w:color w:val="auto"/>
        </w:rPr>
        <w:t xml:space="preserve">” means the securities of the Company required to bear the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hereof.</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i w:val="1"/>
          <w:iCs w:val="1"/>
          <w:color w:val="auto"/>
        </w:rPr>
        <w:t>Revolution</w:t>
      </w:r>
      <w:r>
        <w:rPr>
          <w:rFonts w:ascii="Times New Roman" w:cs="Times New Roman" w:eastAsia="Times New Roman" w:hAnsi="Times New Roman"/>
          <w:sz w:val="18"/>
          <w:szCs w:val="18"/>
          <w:color w:val="auto"/>
        </w:rPr>
        <w:t>” means, collectively, Revolution Growth III, LP and any of its Affiliates.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i w:val="1"/>
          <w:iCs w:val="1"/>
          <w:color w:val="auto"/>
        </w:rPr>
        <w:t>SEC Rule 144</w:t>
      </w:r>
      <w:r>
        <w:rPr>
          <w:rFonts w:ascii="Times New Roman" w:cs="Times New Roman" w:eastAsia="Times New Roman" w:hAnsi="Times New Roman"/>
          <w:sz w:val="18"/>
          <w:szCs w:val="18"/>
          <w:color w:val="auto"/>
        </w:rPr>
        <w:t>” means Rule 144 promulgated by the SEC under the Securities Act.</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b w:val="1"/>
          <w:bCs w:val="1"/>
          <w:i w:val="1"/>
          <w:iCs w:val="1"/>
          <w:color w:val="auto"/>
        </w:rPr>
        <w:t>SEC Rule 145</w:t>
      </w:r>
      <w:r>
        <w:rPr>
          <w:rFonts w:ascii="Times New Roman" w:cs="Times New Roman" w:eastAsia="Times New Roman" w:hAnsi="Times New Roman"/>
          <w:sz w:val="18"/>
          <w:szCs w:val="18"/>
          <w:color w:val="auto"/>
        </w:rPr>
        <w:t>” means Rule 145 promulgated by the SEC under the Securities Act.</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1" w:right="619" w:bottom="1440" w:gutter="0" w:footer="0" w:header="0"/>
        </w:sectPr>
      </w:pPr>
    </w:p>
    <w:bookmarkStart w:id="395" w:name="page396"/>
    <w:bookmarkEnd w:id="3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1.41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08" w:lineRule="exact"/>
        <w:rPr>
          <w:sz w:val="20"/>
          <w:szCs w:val="20"/>
          <w:color w:val="auto"/>
        </w:rPr>
      </w:pPr>
    </w:p>
    <w:p>
      <w:pPr>
        <w:ind w:right="20" w:firstLine="964"/>
        <w:spacing w:after="0" w:line="258"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b w:val="1"/>
          <w:bCs w:val="1"/>
          <w:i w:val="1"/>
          <w:i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Section 2.6.</w:t>
      </w:r>
    </w:p>
    <w:p>
      <w:pPr>
        <w:spacing w:after="0" w:line="68" w:lineRule="exact"/>
        <w:rPr>
          <w:sz w:val="20"/>
          <w:szCs w:val="20"/>
          <w:color w:val="auto"/>
        </w:rPr>
      </w:pPr>
    </w:p>
    <w:p>
      <w:pPr>
        <w:ind w:right="200" w:firstLine="964"/>
        <w:spacing w:after="0" w:line="272"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i w:val="1"/>
          <w:iCs w:val="1"/>
          <w:color w:val="auto"/>
        </w:rPr>
        <w:t>T. Rowe Price</w:t>
      </w:r>
      <w:r>
        <w:rPr>
          <w:rFonts w:ascii="Times New Roman" w:cs="Times New Roman" w:eastAsia="Times New Roman" w:hAnsi="Times New Roman"/>
          <w:sz w:val="18"/>
          <w:szCs w:val="18"/>
          <w:color w:val="auto"/>
        </w:rPr>
        <w:t>” means T. Rowe Price Associates, Inc. and any successor or affiliated registered investment advisor to the T. Rowe Price Investors.</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b w:val="1"/>
          <w:bCs w:val="1"/>
          <w:i w:val="1"/>
          <w:iCs w:val="1"/>
          <w:color w:val="auto"/>
        </w:rPr>
        <w:t>T. Rowe Price Investors</w:t>
      </w:r>
      <w:r>
        <w:rPr>
          <w:rFonts w:ascii="Times New Roman" w:cs="Times New Roman" w:eastAsia="Times New Roman" w:hAnsi="Times New Roman"/>
          <w:sz w:val="18"/>
          <w:szCs w:val="18"/>
          <w:color w:val="auto"/>
        </w:rPr>
        <w:t>” means the Investors that are advisory clients of T. Rowe Price.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i w:val="1"/>
          <w:iCs w:val="1"/>
          <w:color w:val="auto"/>
        </w:rPr>
        <w:t>Voting Common Stock</w:t>
      </w:r>
      <w:r>
        <w:rPr>
          <w:rFonts w:ascii="Times New Roman" w:cs="Times New Roman" w:eastAsia="Times New Roman" w:hAnsi="Times New Roman"/>
          <w:sz w:val="18"/>
          <w:szCs w:val="18"/>
          <w:color w:val="auto"/>
        </w:rPr>
        <w:t>” means shares of the Class A Common Stock and Class B Common Stock.</w:t>
      </w:r>
    </w:p>
    <w:p>
      <w:pPr>
        <w:spacing w:after="0" w:line="112" w:lineRule="exact"/>
        <w:rPr>
          <w:sz w:val="20"/>
          <w:szCs w:val="20"/>
          <w:color w:val="auto"/>
        </w:rPr>
      </w:pPr>
    </w:p>
    <w:p>
      <w:pPr>
        <w:ind w:left="980" w:right="5320" w:hanging="544"/>
        <w:spacing w:after="0" w:line="365" w:lineRule="auto"/>
        <w:tabs>
          <w:tab w:leader="none" w:pos="61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The Company covenants and agrees as follows: 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ind w:right="120" w:firstLine="1400"/>
        <w:spacing w:after="0" w:line="246" w:lineRule="auto"/>
        <w:tabs>
          <w:tab w:leader="none" w:pos="163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one hundred eighty (180) days after the effective date of the registration statement for the IPO, the Company receives a request from Holders of at least a majority of the Registrable Securities Then Outstanding that the Company file a Form S-1 registration statement with respect to all or any portion of their Registrable Securities if the anticipated aggregate offering price, net of Selling Expenses, would exceed $15,000,000, then the Company shall (i) within ten (10) days after the date such request is given, give notice thereof (the “</w:t>
      </w:r>
      <w:r>
        <w:rPr>
          <w:rFonts w:ascii="Times New Roman" w:cs="Times New Roman" w:eastAsia="Times New Roman" w:hAnsi="Times New Roman"/>
          <w:sz w:val="18"/>
          <w:szCs w:val="18"/>
          <w:b w:val="1"/>
          <w:bCs w:val="1"/>
          <w:i w:val="1"/>
          <w:iCs w:val="1"/>
          <w:color w:val="auto"/>
        </w:rPr>
        <w:t>Demand Notice</w:t>
      </w:r>
      <w:r>
        <w:rPr>
          <w:rFonts w:ascii="Times New Roman" w:cs="Times New Roman" w:eastAsia="Times New Roman" w:hAnsi="Times New Roman"/>
          <w:sz w:val="18"/>
          <w:szCs w:val="18"/>
          <w:color w:val="auto"/>
        </w:rPr>
        <w:t xml:space="preserve">”) to all Holders other than the Initiating Holders, and (ii)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firstLine="1400"/>
        <w:spacing w:after="0" w:line="247" w:lineRule="auto"/>
        <w:tabs>
          <w:tab w:leader="none" w:pos="164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1" w:right="619" w:bottom="1440" w:gutter="0" w:footer="0" w:header="0"/>
        </w:sectPr>
      </w:pPr>
    </w:p>
    <w:bookmarkStart w:id="396" w:name="page397"/>
    <w:bookmarkEnd w:id="396"/>
    <w:p>
      <w:pPr>
        <w:ind w:right="40" w:firstLine="1400"/>
        <w:spacing w:after="0" w:line="247" w:lineRule="auto"/>
        <w:tabs>
          <w:tab w:leader="none" w:pos="163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Notwithstanding the foregoing obligations, if the Company furnishes to Holders requesting a 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be filed and it is therefore necessary to defer the filing of such registration statement, then the Company shall have the right to defer taking action with respect to such filing, and any time periods with respect to filing or effectiveness thereof shall be tolled correspondingly, for a period of not more than sixty (60) days after the request of the Initiating Holders is given;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not invoke this right more than once in any twelve (12) month period;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register any securities for its own account or that of any other stockholder during such ninety (90)-day period other than pursuant to any Excluded Registrations.</w:t>
      </w:r>
    </w:p>
    <w:p>
      <w:pPr>
        <w:spacing w:after="0" w:line="81" w:lineRule="exact"/>
        <w:rPr>
          <w:rFonts w:ascii="Times New Roman" w:cs="Times New Roman" w:eastAsia="Times New Roman" w:hAnsi="Times New Roman"/>
          <w:sz w:val="18"/>
          <w:szCs w:val="18"/>
          <w:color w:val="auto"/>
        </w:rPr>
      </w:pPr>
    </w:p>
    <w:p>
      <w:pPr>
        <w:ind w:firstLine="1400"/>
        <w:spacing w:after="0" w:line="248" w:lineRule="auto"/>
        <w:tabs>
          <w:tab w:leader="none" w:pos="16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or file any registration statement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 during the period commencing on the date that that is ninety (90) days before the Company’s good faith estimate of the date of filing of, and ending on a date that is one hundred eighty (180) days after the effective date of, a Company-initiated registration, provided that the Company is actively employing in good faith commercially reasonable efforts to cause such registration statement to become effective; (ii) after the Company has effected two registrations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right="40" w:firstLine="1400"/>
        <w:spacing w:after="0" w:line="246" w:lineRule="auto"/>
        <w:tabs>
          <w:tab w:leader="none" w:pos="163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or file any registration statement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 during the period commencing on the date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(ii) if the Company has effected two registrations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within the twelve (12)- month period immediately preceding the date of such request; or (iii) if the Company has effected a registration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within the six (6)-month 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 registration relating to a demand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cause to be registered all of the Registrable Securities that each such Holder has requested to be included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397" w:name="page398"/>
    <w:bookmarkEnd w:id="397"/>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Underwriting Requirements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1400"/>
        <w:spacing w:after="0" w:line="245" w:lineRule="auto"/>
        <w:tabs>
          <w:tab w:leader="none" w:pos="163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xml:space="preserve">) enter into and perform their obligations under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86" w:lineRule="exact"/>
        <w:rPr>
          <w:rFonts w:ascii="Times New Roman" w:cs="Times New Roman" w:eastAsia="Times New Roman" w:hAnsi="Times New Roman"/>
          <w:sz w:val="18"/>
          <w:szCs w:val="18"/>
          <w:color w:val="auto"/>
        </w:rPr>
      </w:pPr>
    </w:p>
    <w:p>
      <w:pPr>
        <w:ind w:firstLine="1400"/>
        <w:spacing w:after="0" w:line="246" w:lineRule="auto"/>
        <w:tabs>
          <w:tab w:leader="none" w:pos="16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offering involving an underwriting of shares of the Company’s capital stock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5" w:right="599" w:bottom="1440" w:gutter="0" w:footer="0" w:header="0"/>
        </w:sectPr>
      </w:pPr>
    </w:p>
    <w:bookmarkStart w:id="398" w:name="page399"/>
    <w:bookmarkEnd w:id="398"/>
    <w:p>
      <w:pPr>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(ii) the number of Registrable Securities comprised of shares of Common Stock issued or issuable upon conversion of the Series G-3 Preferred Stock, Series G-2 Preferred Stock, Series G Preferred Stock, Series F Preferred Stock, Series E Preferred Stock, Series D Preferred Stock and Series C Preferred Stock included in the offering be reduced unless all other securities ranking junior to the Series G-3 Preferred Stock, Series G-2 Preferred Stock, Series G Preferred Stock, Series F Preferred Stock, Series E Preferred Stock, Series D Preferred Stock and Series C Preferred Stock in respect of liquidation preferences (other than securities to be sold by the Company) are first entirely excluded from the offering, or (iii) the number of Registrable Securities included in the offering be reduced below twenty-five percent (25%)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281" w:lineRule="exact"/>
        <w:rPr>
          <w:sz w:val="20"/>
          <w:szCs w:val="20"/>
          <w:color w:val="auto"/>
        </w:rPr>
      </w:pPr>
    </w:p>
    <w:p>
      <w:pPr>
        <w:ind w:right="60" w:firstLine="1400"/>
        <w:spacing w:after="0" w:line="255" w:lineRule="auto"/>
        <w:tabs>
          <w:tab w:leader="none" w:pos="163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fewer than fifty percent (50%) of the total number of Registrable Securities that Holders have requested to be included in such registration statement are actually included.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Whenever required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effect the registration of any Registrable Securities,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90" w:lineRule="exact"/>
        <w:rPr>
          <w:sz w:val="20"/>
          <w:szCs w:val="20"/>
          <w:color w:val="auto"/>
        </w:rPr>
      </w:pPr>
    </w:p>
    <w:p>
      <w:pPr>
        <w:ind w:right="60" w:firstLine="1400"/>
        <w:spacing w:after="0" w:line="246" w:lineRule="auto"/>
        <w:tabs>
          <w:tab w:leader="none" w:pos="163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60"/>
          </w:cols>
          <w:pgMar w:left="580" w:top="265" w:right="659" w:bottom="1440" w:gutter="0" w:footer="0" w:header="0"/>
        </w:sectPr>
      </w:pPr>
    </w:p>
    <w:bookmarkStart w:id="399" w:name="page400"/>
    <w:bookmarkEnd w:id="399"/>
    <w:p>
      <w:pPr>
        <w:ind w:left="-60" w:right="280" w:firstLine="1400"/>
        <w:spacing w:after="0" w:line="255" w:lineRule="auto"/>
        <w:tabs>
          <w:tab w:leader="none" w:pos="15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75" w:lineRule="exact"/>
        <w:rPr>
          <w:rFonts w:ascii="Times New Roman" w:cs="Times New Roman" w:eastAsia="Times New Roman" w:hAnsi="Times New Roman"/>
          <w:sz w:val="18"/>
          <w:szCs w:val="18"/>
          <w:color w:val="auto"/>
        </w:rPr>
      </w:pPr>
    </w:p>
    <w:p>
      <w:pPr>
        <w:ind w:left="-60" w:right="260" w:firstLine="1400"/>
        <w:spacing w:after="0" w:line="331" w:lineRule="auto"/>
        <w:tabs>
          <w:tab w:leader="none" w:pos="1571"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7" w:lineRule="exact"/>
        <w:rPr>
          <w:rFonts w:ascii="Times New Roman" w:cs="Times New Roman" w:eastAsia="Times New Roman" w:hAnsi="Times New Roman"/>
          <w:sz w:val="16"/>
          <w:szCs w:val="16"/>
          <w:color w:val="auto"/>
        </w:rPr>
      </w:pPr>
    </w:p>
    <w:p>
      <w:pPr>
        <w:jc w:val="both"/>
        <w:ind w:left="-60" w:right="180" w:firstLine="1400"/>
        <w:spacing w:after="0" w:line="251" w:lineRule="auto"/>
        <w:tabs>
          <w:tab w:leader="none" w:pos="15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79" w:lineRule="exact"/>
        <w:rPr>
          <w:rFonts w:ascii="Times New Roman" w:cs="Times New Roman" w:eastAsia="Times New Roman" w:hAnsi="Times New Roman"/>
          <w:sz w:val="18"/>
          <w:szCs w:val="18"/>
          <w:color w:val="auto"/>
        </w:rPr>
      </w:pPr>
    </w:p>
    <w:p>
      <w:pPr>
        <w:ind w:left="-60" w:right="20" w:firstLine="1400"/>
        <w:spacing w:after="0" w:line="267" w:lineRule="auto"/>
        <w:tabs>
          <w:tab w:leader="none" w:pos="157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64" w:lineRule="exact"/>
        <w:rPr>
          <w:rFonts w:ascii="Times New Roman" w:cs="Times New Roman" w:eastAsia="Times New Roman" w:hAnsi="Times New Roman"/>
          <w:sz w:val="18"/>
          <w:szCs w:val="18"/>
          <w:color w:val="auto"/>
        </w:rPr>
      </w:pPr>
    </w:p>
    <w:p>
      <w:pPr>
        <w:ind w:left="-60" w:firstLine="1400"/>
        <w:spacing w:after="0" w:line="255" w:lineRule="auto"/>
        <w:tabs>
          <w:tab w:leader="none" w:pos="155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75" w:lineRule="exact"/>
        <w:rPr>
          <w:rFonts w:ascii="Times New Roman" w:cs="Times New Roman" w:eastAsia="Times New Roman" w:hAnsi="Times New Roman"/>
          <w:sz w:val="18"/>
          <w:szCs w:val="18"/>
          <w:color w:val="auto"/>
        </w:rPr>
      </w:pPr>
    </w:p>
    <w:p>
      <w:pPr>
        <w:ind w:left="-60" w:right="200" w:firstLine="1400"/>
        <w:spacing w:after="0" w:line="267" w:lineRule="auto"/>
        <w:tabs>
          <w:tab w:leader="none" w:pos="15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64" w:lineRule="exact"/>
        <w:rPr>
          <w:rFonts w:ascii="Times New Roman" w:cs="Times New Roman" w:eastAsia="Times New Roman" w:hAnsi="Times New Roman"/>
          <w:sz w:val="18"/>
          <w:szCs w:val="18"/>
          <w:color w:val="auto"/>
        </w:rPr>
      </w:pPr>
    </w:p>
    <w:p>
      <w:pPr>
        <w:ind w:left="-60" w:right="100" w:firstLine="1400"/>
        <w:spacing w:after="0" w:line="248" w:lineRule="auto"/>
        <w:tabs>
          <w:tab w:leader="none" w:pos="15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82" w:lineRule="exact"/>
        <w:rPr>
          <w:rFonts w:ascii="Times New Roman" w:cs="Times New Roman" w:eastAsia="Times New Roman" w:hAnsi="Times New Roman"/>
          <w:sz w:val="18"/>
          <w:szCs w:val="18"/>
          <w:color w:val="auto"/>
        </w:rPr>
      </w:pPr>
    </w:p>
    <w:p>
      <w:pPr>
        <w:ind w:left="-60" w:right="80" w:firstLine="1400"/>
        <w:spacing w:after="0" w:line="267" w:lineRule="auto"/>
        <w:tabs>
          <w:tab w:leader="none" w:pos="154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20"/>
          </w:cols>
          <w:pgMar w:left="640" w:top="265" w:right="639" w:bottom="1440" w:gutter="0" w:footer="0" w:header="0"/>
        </w:sectPr>
      </w:pPr>
    </w:p>
    <w:bookmarkStart w:id="400" w:name="page401"/>
    <w:bookmarkEnd w:id="400"/>
    <w:p>
      <w:pPr>
        <w:ind w:right="460" w:firstLine="1400"/>
        <w:spacing w:after="0" w:line="267" w:lineRule="auto"/>
        <w:tabs>
          <w:tab w:leader="none" w:pos="160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after such registration statement becomes effective, notify each selling Holder of any request by the SEC that the Company amend or supplement such registration statement or prospectus.</w:t>
      </w:r>
    </w:p>
    <w:p>
      <w:pPr>
        <w:spacing w:after="0" w:line="65" w:lineRule="exact"/>
        <w:rPr>
          <w:sz w:val="20"/>
          <w:szCs w:val="20"/>
          <w:color w:val="auto"/>
        </w:rPr>
      </w:pPr>
    </w:p>
    <w:p>
      <w:pPr>
        <w:ind w:right="180" w:firstLine="964"/>
        <w:spacing w:after="0" w:line="25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79"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not to exceed $30,000, of one counsel for the selling Holders (“</w:t>
      </w:r>
      <w:r>
        <w:rPr>
          <w:rFonts w:ascii="Times New Roman" w:cs="Times New Roman" w:eastAsia="Times New Roman" w:hAnsi="Times New Roman"/>
          <w:sz w:val="18"/>
          <w:szCs w:val="18"/>
          <w:b w:val="1"/>
          <w:bCs w:val="1"/>
          <w:i w:val="1"/>
          <w:iCs w:val="1"/>
          <w:color w:val="auto"/>
        </w:rPr>
        <w:t>Selling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Counsel</w:t>
      </w:r>
      <w:r>
        <w:rPr>
          <w:rFonts w:ascii="Times New Roman" w:cs="Times New Roman" w:eastAsia="Times New Roman" w:hAnsi="Times New Roman"/>
          <w:sz w:val="18"/>
          <w:szCs w:val="18"/>
          <w:color w:val="auto"/>
        </w:rPr>
        <w:t>”), shall be borne and paid 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for any expenses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registration proceeding begun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(other than fees and dissbursements of counsel to any Holder, other than the Selling Holder Counsel, which shall be borne solely by the Holder engaging such counsel) pro rata on the basis of the number of Registrable Securities registered on their behalf.</w:t>
      </w:r>
    </w:p>
    <w:p>
      <w:pPr>
        <w:spacing w:after="0" w:line="88" w:lineRule="exact"/>
        <w:rPr>
          <w:sz w:val="20"/>
          <w:szCs w:val="20"/>
          <w:color w:val="auto"/>
        </w:rPr>
      </w:pPr>
    </w:p>
    <w:p>
      <w:pPr>
        <w:ind w:right="60" w:firstLine="964"/>
        <w:spacing w:after="0" w:line="331"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Delay of Registration</w:t>
      </w:r>
      <w:r>
        <w:rPr>
          <w:rFonts w:ascii="Times New Roman" w:cs="Times New Roman" w:eastAsia="Times New Roman" w:hAnsi="Times New Roman"/>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If any Registrable Securities are included in a registration statement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right="140" w:firstLine="1400"/>
        <w:spacing w:after="0" w:line="251" w:lineRule="auto"/>
        <w:tabs>
          <w:tab w:leader="none" w:pos="163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5" w:right="619" w:bottom="1440" w:gutter="0" w:footer="0" w:header="0"/>
        </w:sectPr>
      </w:pPr>
    </w:p>
    <w:bookmarkStart w:id="401" w:name="page402"/>
    <w:bookmarkEnd w:id="401"/>
    <w:p>
      <w:pPr>
        <w:ind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82" w:lineRule="exact"/>
        <w:rPr>
          <w:sz w:val="20"/>
          <w:szCs w:val="20"/>
          <w:color w:val="auto"/>
        </w:rPr>
      </w:pPr>
    </w:p>
    <w:p>
      <w:pPr>
        <w:ind w:right="80" w:firstLine="1400"/>
        <w:spacing w:after="0" w:line="279" w:lineRule="auto"/>
        <w:tabs>
          <w:tab w:leader="none" w:pos="164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indemnity agreement contained in this </w:t>
      </w:r>
      <w:r>
        <w:rPr>
          <w:rFonts w:ascii="Times New Roman" w:cs="Times New Roman" w:eastAsia="Times New Roman" w:hAnsi="Times New Roman"/>
          <w:sz w:val="16"/>
          <w:szCs w:val="16"/>
          <w:u w:val="single" w:color="auto"/>
          <w:color w:val="auto"/>
        </w:rPr>
        <w:t>Section 2.8(b)</w:t>
      </w:r>
      <w:r>
        <w:rPr>
          <w:rFonts w:ascii="Times New Roman" w:cs="Times New Roman" w:eastAsia="Times New Roman" w:hAnsi="Times New Roman"/>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 no event shall the aggregate amounts payable by any Holder by way of indemnity or contribution under </w:t>
      </w:r>
      <w:r>
        <w:rPr>
          <w:rFonts w:ascii="Times New Roman" w:cs="Times New Roman" w:eastAsia="Times New Roman" w:hAnsi="Times New Roman"/>
          <w:sz w:val="16"/>
          <w:szCs w:val="16"/>
          <w:u w:val="single" w:color="auto"/>
          <w:color w:val="auto"/>
        </w:rPr>
        <w:t>Sections 2.8(b)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2.8(d)</w:t>
      </w:r>
      <w:r>
        <w:rPr>
          <w:rFonts w:ascii="Times New Roman" w:cs="Times New Roman" w:eastAsia="Times New Roman" w:hAnsi="Times New Roman"/>
          <w:sz w:val="16"/>
          <w:szCs w:val="16"/>
          <w:color w:val="auto"/>
        </w:rPr>
        <w:t xml:space="preserve"> exceed the proceeds from the offering received by such Holder (net of any Selling Expenses paid by such Holder), except in the case of fraud or willful misconduct by such Holder.</w:t>
      </w:r>
    </w:p>
    <w:p>
      <w:pPr>
        <w:spacing w:after="0" w:line="272" w:lineRule="exact"/>
        <w:rPr>
          <w:rFonts w:ascii="Times New Roman" w:cs="Times New Roman" w:eastAsia="Times New Roman" w:hAnsi="Times New Roman"/>
          <w:sz w:val="16"/>
          <w:szCs w:val="16"/>
          <w:color w:val="auto"/>
        </w:rPr>
      </w:pPr>
    </w:p>
    <w:p>
      <w:pPr>
        <w:ind w:firstLine="1400"/>
        <w:spacing w:after="0" w:line="245" w:lineRule="auto"/>
        <w:tabs>
          <w:tab w:leader="none" w:pos="163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not relieve such indemnifying party of any liability to the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except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5" w:right="599" w:bottom="1440" w:gutter="0" w:footer="0" w:header="0"/>
        </w:sectPr>
      </w:pPr>
    </w:p>
    <w:bookmarkStart w:id="402" w:name="page403"/>
    <w:bookmarkEnd w:id="402"/>
    <w:p>
      <w:pPr>
        <w:ind w:right="60" w:firstLine="1400"/>
        <w:spacing w:after="0" w:line="279" w:lineRule="auto"/>
        <w:tabs>
          <w:tab w:leader="none" w:pos="1640"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provides for indemnification in such case, or</w:t>
      </w:r>
    </w:p>
    <w:p>
      <w:pPr>
        <w:spacing w:after="0" w:line="2" w:lineRule="exact"/>
        <w:rPr>
          <w:rFonts w:ascii="Times New Roman" w:cs="Times New Roman" w:eastAsia="Times New Roman" w:hAnsi="Times New Roman"/>
          <w:sz w:val="16"/>
          <w:szCs w:val="16"/>
          <w:color w:val="auto"/>
        </w:rPr>
      </w:pPr>
    </w:p>
    <w:p>
      <w:pPr>
        <w:ind w:firstLine="8"/>
        <w:spacing w:after="0" w:line="277" w:lineRule="auto"/>
        <w:tabs>
          <w:tab w:leader="none" w:pos="258"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contribution under the Securities Act may be required on the part of any party hereto for which indemnification is provided under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 no event shall a Holder’s liability pursuant to this </w:t>
      </w:r>
      <w:r>
        <w:rPr>
          <w:rFonts w:ascii="Times New Roman" w:cs="Times New Roman" w:eastAsia="Times New Roman" w:hAnsi="Times New Roman"/>
          <w:sz w:val="16"/>
          <w:szCs w:val="16"/>
          <w:u w:val="single" w:color="auto"/>
          <w:color w:val="auto"/>
        </w:rPr>
        <w:t>Section 2.8(d)</w:t>
      </w:r>
      <w:r>
        <w:rPr>
          <w:rFonts w:ascii="Times New Roman" w:cs="Times New Roman" w:eastAsia="Times New Roman" w:hAnsi="Times New Roman"/>
          <w:sz w:val="16"/>
          <w:szCs w:val="16"/>
          <w:color w:val="auto"/>
        </w:rPr>
        <w:t xml:space="preserve">, when combined with the amounts paid or payable by such Holder pursuant to </w:t>
      </w:r>
      <w:r>
        <w:rPr>
          <w:rFonts w:ascii="Times New Roman" w:cs="Times New Roman" w:eastAsia="Times New Roman" w:hAnsi="Times New Roman"/>
          <w:sz w:val="16"/>
          <w:szCs w:val="16"/>
          <w:u w:val="single" w:color="auto"/>
          <w:color w:val="auto"/>
        </w:rPr>
        <w:t>Section 2.8(b)</w:t>
      </w:r>
      <w:r>
        <w:rPr>
          <w:rFonts w:ascii="Times New Roman" w:cs="Times New Roman" w:eastAsia="Times New Roman" w:hAnsi="Times New Roman"/>
          <w:sz w:val="16"/>
          <w:szCs w:val="16"/>
          <w:color w:val="auto"/>
        </w:rPr>
        <w:t>, exceed the proceeds from the offering received by such Holder (net of any Selling Expenses paid by such Holder), except in the case of willful misconduct or fraud by such Holder.</w:t>
      </w:r>
    </w:p>
    <w:p>
      <w:pPr>
        <w:spacing w:after="0" w:line="269" w:lineRule="exact"/>
        <w:rPr>
          <w:rFonts w:ascii="Times New Roman" w:cs="Times New Roman" w:eastAsia="Times New Roman" w:hAnsi="Times New Roman"/>
          <w:sz w:val="16"/>
          <w:szCs w:val="16"/>
          <w:color w:val="auto"/>
        </w:rPr>
      </w:pPr>
    </w:p>
    <w:p>
      <w:pPr>
        <w:ind w:right="100" w:firstLine="1400"/>
        <w:spacing w:after="0" w:line="255" w:lineRule="auto"/>
        <w:tabs>
          <w:tab w:leader="none" w:pos="1631"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5" w:lineRule="exact"/>
        <w:rPr>
          <w:rFonts w:ascii="Times New Roman" w:cs="Times New Roman" w:eastAsia="Times New Roman" w:hAnsi="Times New Roman"/>
          <w:sz w:val="18"/>
          <w:szCs w:val="18"/>
          <w:color w:val="auto"/>
        </w:rPr>
      </w:pPr>
    </w:p>
    <w:p>
      <w:pPr>
        <w:ind w:right="60" w:firstLine="1400"/>
        <w:spacing w:after="0" w:line="255" w:lineRule="auto"/>
        <w:tabs>
          <w:tab w:leader="none" w:pos="1611"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w:t>
      </w:r>
    </w:p>
    <w:p>
      <w:pPr>
        <w:spacing w:after="0" w:line="75" w:lineRule="exact"/>
        <w:rPr>
          <w:sz w:val="20"/>
          <w:szCs w:val="20"/>
          <w:color w:val="auto"/>
        </w:rPr>
      </w:pPr>
    </w:p>
    <w:p>
      <w:pPr>
        <w:ind w:right="380" w:firstLine="964"/>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60"/>
          </w:cols>
          <w:pgMar w:left="580" w:top="265" w:right="659" w:bottom="1440" w:gutter="0" w:footer="0" w:header="0"/>
        </w:sectPr>
      </w:pPr>
    </w:p>
    <w:bookmarkStart w:id="403" w:name="page404"/>
    <w:bookmarkEnd w:id="403"/>
    <w:p>
      <w:pPr>
        <w:ind w:right="100" w:firstLine="1400"/>
        <w:spacing w:after="0" w:line="267" w:lineRule="auto"/>
        <w:tabs>
          <w:tab w:leader="none" w:pos="163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make and keep available adequate current public information, as those terms are understood and defined in SEC Rule 144, at all times after the effective date of the registration statement filed by the Company for the IPO;</w:t>
      </w:r>
    </w:p>
    <w:p>
      <w:pPr>
        <w:spacing w:after="0" w:line="64" w:lineRule="exact"/>
        <w:rPr>
          <w:rFonts w:ascii="Times New Roman" w:cs="Times New Roman" w:eastAsia="Times New Roman" w:hAnsi="Times New Roman"/>
          <w:sz w:val="18"/>
          <w:szCs w:val="18"/>
          <w:color w:val="auto"/>
        </w:rPr>
      </w:pPr>
    </w:p>
    <w:p>
      <w:pPr>
        <w:ind w:right="400" w:firstLine="1400"/>
        <w:spacing w:after="0" w:line="331" w:lineRule="auto"/>
        <w:tabs>
          <w:tab w:leader="none" w:pos="164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7" w:lineRule="exact"/>
        <w:rPr>
          <w:rFonts w:ascii="Times New Roman" w:cs="Times New Roman" w:eastAsia="Times New Roman" w:hAnsi="Times New Roman"/>
          <w:sz w:val="16"/>
          <w:szCs w:val="16"/>
          <w:color w:val="auto"/>
        </w:rPr>
      </w:pPr>
    </w:p>
    <w:p>
      <w:pPr>
        <w:ind w:right="40" w:firstLine="1400"/>
        <w:spacing w:after="0" w:line="247" w:lineRule="auto"/>
        <w:tabs>
          <w:tab w:leader="none" w:pos="163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84"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From and after the date of this Agreement, the Company shall not, without the prior written consent of the Holders of at least a majority of the Registrable Securities Then Outstanding, enter into any agreement with any holder or prospective holder of any securities of the Company that would allow such holder or prospective holder to include such securities in any registration unless (i) such other registration rights are subordinate to the registration rights granted to the Holders hereunder and the inclusion of such securities will not reduce the amount of the Registrable Securities of the Holders that are included in a given registration and (ii) the holders of such rights are subject to market standoff obligations no more favorable to such persons than those contained herein.</w:t>
      </w:r>
    </w:p>
    <w:p>
      <w:pPr>
        <w:spacing w:after="0" w:line="82" w:lineRule="exact"/>
        <w:rPr>
          <w:sz w:val="20"/>
          <w:szCs w:val="20"/>
          <w:color w:val="auto"/>
        </w:rPr>
      </w:pPr>
    </w:p>
    <w:p>
      <w:pPr>
        <w:ind w:right="80" w:firstLine="964"/>
        <w:spacing w:after="0" w:line="277" w:lineRule="auto"/>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“Market Stand-off” Agreement.</w:t>
      </w:r>
      <w:r>
        <w:rPr>
          <w:rFonts w:ascii="Times New Roman" w:cs="Times New Roman" w:eastAsia="Times New Roman" w:hAnsi="Times New Roman"/>
          <w:sz w:val="16"/>
          <w:szCs w:val="16"/>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w:t>
      </w:r>
    </w:p>
    <w:p>
      <w:pPr>
        <w:spacing w:after="0" w:line="2" w:lineRule="exact"/>
        <w:rPr>
          <w:sz w:val="20"/>
          <w:szCs w:val="20"/>
          <w:color w:val="auto"/>
        </w:rPr>
      </w:pPr>
    </w:p>
    <w:p>
      <w:pPr>
        <w:jc w:val="both"/>
        <w:ind w:right="100" w:firstLine="8"/>
        <w:spacing w:after="0" w:line="244" w:lineRule="auto"/>
        <w:tabs>
          <w:tab w:leader="none" w:pos="25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 shall apply only to the IPO, (B) shall not apply to shares of Common Stock acquired in the IPO or in the open market following the IPO, (C) shall not apply to the sale of any shares to an underwriter pursuant to an underwriting agreement and (D) shall be applicable to the Holders only if all officers and directors are subject to the same restrictions and the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00"/>
          </w:cols>
          <w:pgMar w:left="580" w:top="265" w:right="61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obtains a similar agreement from all stockholders individually owning more than one percent (1%) of the outstanding Common Stock (after giving effect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conversion into Common Stock of all outstanding Preferred Stock). The underwriters in connection with such registration are intended third-party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beneficiaries of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and shall have the right, power and authority to enforce the provisions hereof as though they were a party hereto. Each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further agrees to execute such agreements as may be reasonably requested by the underwriters in connection with such registration that are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consistent with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or that are necessary to give further effect thereto. If any of the obligations described in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are waived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with respect to any of the securities of any such Holder, officer, director or greater than one-percent stockholder (in any such case,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Released Securities</w:t>
      </w:r>
      <w:r>
        <w:rPr>
          <w:rFonts w:ascii="Times New Roman" w:cs="Times New Roman" w:eastAsia="Times New Roman" w:hAnsi="Times New Roman"/>
          <w:sz w:val="16"/>
          <w:szCs w:val="16"/>
          <w:color w:val="auto"/>
        </w:rPr>
        <w:t>”), the foregoing provisions shall be waived or terminated, as applicable, to the same extent and with respect to the same percentage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securities of each Holder as the percentage of Released Securities represent with respect to the securities held by the applicable Holder,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or greater than one-percent stockholder, subject, in the case of an underwritten offering, to any applicable cut-back priority rights set forth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80" w:firstLine="1400"/>
        <w:spacing w:after="0" w:line="247" w:lineRule="auto"/>
        <w:tabs>
          <w:tab w:leader="none" w:pos="163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and shall issue stop- transfer instructions to its transfer agent with respect to any such sale, pledge, or transfer, except upon the conditions specified in this Agreement, which conditions are intended to ensure compliance with the provisions of the Securities Act. A transferring Holder shall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84" w:lineRule="exact"/>
        <w:rPr>
          <w:rFonts w:ascii="Times New Roman" w:cs="Times New Roman" w:eastAsia="Times New Roman" w:hAnsi="Times New Roman"/>
          <w:sz w:val="18"/>
          <w:szCs w:val="18"/>
          <w:color w:val="auto"/>
        </w:rPr>
      </w:pPr>
    </w:p>
    <w:p>
      <w:pPr>
        <w:ind w:right="240" w:firstLine="1400"/>
        <w:spacing w:after="0" w:line="251" w:lineRule="auto"/>
        <w:tabs>
          <w:tab w:leader="none" w:pos="16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be stamped or otherwise imprinted with a legend substantially in the following form (in addition to any legend required under applicable state securities laws):</w:t>
      </w:r>
    </w:p>
    <w:p>
      <w:pPr>
        <w:spacing w:after="0" w:line="79" w:lineRule="exact"/>
        <w:rPr>
          <w:sz w:val="20"/>
          <w:szCs w:val="20"/>
          <w:color w:val="auto"/>
        </w:rPr>
      </w:pPr>
    </w:p>
    <w:p>
      <w:pPr>
        <w:ind w:left="440" w:right="100"/>
        <w:spacing w:after="0" w:line="251"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220"/>
        <w:spacing w:after="0" w:line="255" w:lineRule="auto"/>
        <w:rPr>
          <w:sz w:val="20"/>
          <w:szCs w:val="20"/>
          <w:color w:val="auto"/>
        </w:rPr>
      </w:pPr>
      <w:r>
        <w:rPr>
          <w:rFonts w:ascii="Times New Roman" w:cs="Times New Roman" w:eastAsia="Times New Roman" w:hAnsi="Times New Roman"/>
          <w:sz w:val="18"/>
          <w:szCs w:val="18"/>
          <w:color w:val="auto"/>
        </w:rPr>
        <w:t>THE SECURITIES REPRESENTED HEREBY MAY BE TRANSFERRED ONLY IN ACCORDANCE WITH THE TERMS OF A TENTH AMENDED AND RESTATED INVESTORS’ RIGHTS AGREEMENT BETWEEN THE COMPANY AND THE STOCKHOLDER, A COPY OF WHICH IS ON FILE WITH THE SECRETARY OF THE COMPANY.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5" w:right="599" w:bottom="1440" w:gutter="0" w:footer="0" w:header="0"/>
        </w:sectPr>
      </w:pPr>
    </w:p>
    <w:bookmarkStart w:id="405" w:name="page406"/>
    <w:bookmarkEnd w:id="405"/>
    <w:p>
      <w:pPr>
        <w:ind w:right="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Section 2.12.</w:t>
      </w:r>
    </w:p>
    <w:p>
      <w:pPr>
        <w:spacing w:after="0" w:line="65" w:lineRule="exact"/>
        <w:rPr>
          <w:sz w:val="20"/>
          <w:szCs w:val="20"/>
          <w:color w:val="auto"/>
        </w:rPr>
      </w:pPr>
    </w:p>
    <w:p>
      <w:pPr>
        <w:ind w:firstLine="1400"/>
        <w:spacing w:after="0" w:line="244" w:lineRule="auto"/>
        <w:tabs>
          <w:tab w:leader="none" w:pos="163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each certificate representing Restricted Securities, by acceptance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transfers under the foregoing clause (y), each transferee agrees in writing to be subject to the terms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Each certificate or instrument evidencing the Restricted Securities transferred as above provided shall bear, except if such transfer is made pursuant to SEC Rule 144 or pursuant to an effective registration statement, the appropriate restrictive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98" w:lineRule="exact"/>
        <w:rPr>
          <w:sz w:val="20"/>
          <w:szCs w:val="20"/>
          <w:color w:val="auto"/>
        </w:rPr>
      </w:pPr>
    </w:p>
    <w:p>
      <w:pPr>
        <w:ind w:right="100" w:firstLine="964"/>
        <w:spacing w:after="0" w:line="247"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terminate upon the earliest to occur of (a) the closing of a Deemed Liquidation Event, as such term is defined in the Certificate, (b) such time after the consummation of the IPO as Rule 144 or another similar exemption under the Securities Act is available for the sale of all of such Holder’s shares without limitation during a three-month period without registration (and without the requirement for the Company to be in compliance with the current public information required under Rule 144(c)(1)) and such Holder holds less than one percent (1%) of the outstanding capital stock of the Company and (c) the fifth anniversary of the consummation of the IPO (or such later date that is one hundred eighty (180) days following the expiration of all deferrals of the Company’s obligations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that remain in effect as of the fifth anniversary of the consummation of the IPO).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20"/>
          </w:cols>
          <w:pgMar w:left="580" w:top="265" w:right="599" w:bottom="1440" w:gutter="0" w:footer="0" w:header="0"/>
        </w:sectPr>
      </w:pPr>
    </w:p>
    <w:bookmarkStart w:id="406" w:name="page407"/>
    <w:bookmarkEnd w:id="406"/>
    <w:p>
      <w:pPr>
        <w:ind w:left="620" w:hanging="184"/>
        <w:spacing w:after="0"/>
        <w:tabs>
          <w:tab w:leader="none" w:pos="6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Information Rights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40" w:firstLine="964"/>
        <w:spacing w:after="0" w:line="250"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The Company shall deliver to each Major Investor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is a competitor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none of NEA, Revolution, any T. Rowe Price Investor, any Baillie Gifford Investor or any Neuberger Investor shall be deemed a competitor for purposes of this Agreement solely due to an investment in a portfolio company that is a competitor of the Company;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Google LLC shall not be deemed a competitor of the Company):</w:t>
      </w:r>
    </w:p>
    <w:p>
      <w:pPr>
        <w:spacing w:after="0" w:line="79" w:lineRule="exact"/>
        <w:rPr>
          <w:sz w:val="20"/>
          <w:szCs w:val="20"/>
          <w:color w:val="auto"/>
        </w:rPr>
      </w:pPr>
    </w:p>
    <w:p>
      <w:pPr>
        <w:ind w:right="80" w:firstLine="1400"/>
        <w:spacing w:after="0" w:line="249" w:lineRule="auto"/>
        <w:tabs>
          <w:tab w:leader="none" w:pos="1631"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ninety (90) days after the end of each fiscal year of the Company, (i) a balance sheet as of the end of such year, (ii) statements of income and of cash flows for such year, and (iii) a statement of stockholders’ equity as of the end of such year, all prepared in accordance with GAAP (except that such financial statements may not contain all notes thereto that may be required in accordance with GAAP), which financial statements shall be audited and certified by independent public accountants of nationally recognized standing selected by the Company;</w:t>
      </w:r>
    </w:p>
    <w:p>
      <w:pPr>
        <w:spacing w:after="0" w:line="81" w:lineRule="exact"/>
        <w:rPr>
          <w:rFonts w:ascii="Times New Roman" w:cs="Times New Roman" w:eastAsia="Times New Roman" w:hAnsi="Times New Roman"/>
          <w:sz w:val="18"/>
          <w:szCs w:val="18"/>
          <w:color w:val="auto"/>
        </w:rPr>
      </w:pPr>
    </w:p>
    <w:p>
      <w:pPr>
        <w:jc w:val="both"/>
        <w:ind w:right="140" w:firstLine="1400"/>
        <w:spacing w:after="0" w:line="251" w:lineRule="auto"/>
        <w:tabs>
          <w:tab w:leader="none" w:pos="164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after the end of each quarter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79" w:lineRule="exact"/>
        <w:rPr>
          <w:rFonts w:ascii="Times New Roman" w:cs="Times New Roman" w:eastAsia="Times New Roman" w:hAnsi="Times New Roman"/>
          <w:sz w:val="18"/>
          <w:szCs w:val="18"/>
          <w:color w:val="auto"/>
        </w:rPr>
      </w:pPr>
    </w:p>
    <w:p>
      <w:pPr>
        <w:ind w:right="40" w:firstLine="1400"/>
        <w:spacing w:after="0" w:line="267" w:lineRule="auto"/>
        <w:tabs>
          <w:tab w:leader="none" w:pos="1631"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after the end of each quarter of each fiscal year of the Company, a detailed capitalization table of the Company as of the end of such fiscal quarter; and</w:t>
      </w:r>
    </w:p>
    <w:p>
      <w:pPr>
        <w:spacing w:after="0" w:line="64" w:lineRule="exact"/>
        <w:rPr>
          <w:rFonts w:ascii="Times New Roman" w:cs="Times New Roman" w:eastAsia="Times New Roman" w:hAnsi="Times New Roman"/>
          <w:sz w:val="18"/>
          <w:szCs w:val="18"/>
          <w:color w:val="auto"/>
        </w:rPr>
      </w:pPr>
    </w:p>
    <w:p>
      <w:pPr>
        <w:ind w:right="120" w:firstLine="1400"/>
        <w:spacing w:after="0" w:line="285" w:lineRule="auto"/>
        <w:tabs>
          <w:tab w:leader="none" w:pos="1640"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other information relating to the financial condition, business, prospects or corporate affairs of the Company as any Major Investor may from time to time reasonably request, provided that the Company shall not be obligated under this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to provide information</w:t>
      </w:r>
    </w:p>
    <w:p>
      <w:pPr>
        <w:spacing w:after="0" w:line="1" w:lineRule="exact"/>
        <w:rPr>
          <w:rFonts w:ascii="Times New Roman" w:cs="Times New Roman" w:eastAsia="Times New Roman" w:hAnsi="Times New Roman"/>
          <w:sz w:val="16"/>
          <w:szCs w:val="16"/>
          <w:color w:val="auto"/>
        </w:rPr>
      </w:pPr>
    </w:p>
    <w:p>
      <w:pPr>
        <w:ind w:right="220" w:firstLine="8"/>
        <w:spacing w:after="0" w:line="245" w:lineRule="auto"/>
        <w:tabs>
          <w:tab w:leader="none" w:pos="20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reasonably determines in good faith to be a trade secret or confidential information (unless covered by an enforceable confidentiality agreement, in a form reasonably acceptable to the Company); or (ii) the disclosure of which would adversely affect the attorney-client privilege between the Company and its counsel.</w:t>
      </w:r>
    </w:p>
    <w:p>
      <w:pPr>
        <w:spacing w:after="0" w:line="188"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Company’s covenants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80"/>
          </w:cols>
          <w:pgMar w:left="580" w:top="265" w:right="639" w:bottom="1440" w:gutter="0" w:footer="0" w:header="0"/>
        </w:sectPr>
      </w:pPr>
    </w:p>
    <w:bookmarkStart w:id="407" w:name="page408"/>
    <w:bookmarkEnd w:id="407"/>
    <w:p>
      <w:pPr>
        <w:ind w:right="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Company shall promptly and accurately respond, and shall use its commercially reasonable efforts to cause its transfer agent to promptly respond, to reasonable requests for information made on behalf of any T. Rowe Price Investor or any Baillie Gifford Investor relating to (i) accounting or securities law matters required in connection with its audit or (ii) the actual holdings of the T. Rowe Price Investor or any Baillie Gifford Investor, respectively, including in relation to the total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provide any such information that could reasonably result in a violation of applicable law or conflict with a confidentiality obligation of the Company. On or immediately prior to the effectiveness of the IPO, the Company shall provide each T. Rowe Price Investor and each Baillie Gifford Investor written confirmation of its equity holdings in the Company (on an as-converted basis).</w:t>
      </w:r>
    </w:p>
    <w:p>
      <w:pPr>
        <w:spacing w:after="0" w:line="189"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Notwithstanding anything to the contrary contained in this Agreement, the Company and the Baillie Gifford Investors acknowledge and agree that, absent all Required Approvals, the Baillie Gifford Investors shall not request or obtain and Company shall not grant: (i) control (as defined in 31 C.F.R.</w:t>
      </w:r>
    </w:p>
    <w:p>
      <w:pPr>
        <w:spacing w:after="0" w:line="1" w:lineRule="exact"/>
        <w:rPr>
          <w:sz w:val="20"/>
          <w:szCs w:val="20"/>
          <w:color w:val="auto"/>
        </w:rPr>
      </w:pPr>
    </w:p>
    <w:p>
      <w:pPr>
        <w:ind w:right="100" w:firstLine="8"/>
        <w:spacing w:after="0" w:line="244" w:lineRule="auto"/>
        <w:tabs>
          <w:tab w:leader="none" w:pos="13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800.208) of the Company; (ii) access to any material nonpublic technical information (as defined in 31 C.F.R. § 800.232) in the possession of the Company (which shall not include financial information about the Company), including access to any information not already in the public domain that is necessary to design, fabricate, develop, test, produce, or manufacture Company products or services, including processes, techniques, or methods; or (iii) any involvement (other than through voting of shares) in substantive decision making of the Company regarding the use, development, acquisition, or release of any of the Company’s critical technologies (as defined in 31 C.F.R. § 800.215).</w:t>
      </w:r>
    </w:p>
    <w:p>
      <w:pPr>
        <w:spacing w:after="0" w:line="85" w:lineRule="exact"/>
        <w:rPr>
          <w:sz w:val="20"/>
          <w:szCs w:val="20"/>
          <w:color w:val="auto"/>
        </w:rPr>
      </w:pPr>
    </w:p>
    <w:p>
      <w:pPr>
        <w:ind w:right="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xml:space="preserve">.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such Major Investor;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form reasonably acceptable to the Company) or the disclosure of which would adversely affect the attorney-client privilege between the Company and its counsel.</w:t>
      </w:r>
    </w:p>
    <w:p>
      <w:pPr>
        <w:spacing w:after="0" w:line="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Observer Rights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1400"/>
        <w:spacing w:after="0" w:line="288" w:lineRule="auto"/>
        <w:tabs>
          <w:tab w:leader="none" w:pos="1631"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so long as the T. Rowe Price Investors own any shares of Preferred Stock or shares of capital stock issued upon conversion of such Preferred Stock, the Company shall give the T. Rowe Price Investors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all information so provided shall be subject to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that the Company reserves the right to withhold any information if access to such information could adversely affect the attorney-client privilege between the Company and its counsel or would result in disclosure of trade secrets to the T. Rowe Price Investors.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20"/>
          </w:cols>
          <w:pgMar w:left="580" w:top="265" w:right="599" w:bottom="1440" w:gutter="0" w:footer="0" w:header="0"/>
        </w:sectPr>
      </w:pPr>
    </w:p>
    <w:bookmarkStart w:id="408" w:name="page409"/>
    <w:bookmarkEnd w:id="408"/>
    <w:p>
      <w:pPr>
        <w:ind w:right="80" w:firstLine="1400"/>
        <w:spacing w:after="0" w:line="248" w:lineRule="auto"/>
        <w:tabs>
          <w:tab w:leader="none" w:pos="1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For so long as a Neuberger Investor satisfies the Neuberger Rights Threshold but ceasing when the Company engages legal counsel to prepare a registration statement on Form S-1 for its IPO, the Company shall give such Neuberger Investor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all information so provided shall be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Company reserves the right to withhold any information if access to such information could adversely affect the attorney-client privilege between the Company and its counsel or would result in disclosure of trade secrets to such Neuberger Investor.</w:t>
      </w:r>
    </w:p>
    <w:p>
      <w:pPr>
        <w:spacing w:after="0" w:line="82"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Termination of Information Rights</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terminate and be of no further force or effect (a) immediately before the consummation of the IPO, (b) when the Company first becomes subject to the periodic reporting requirements of Section 12(g) or 15(d) of the Exchange Act or (c) upon a Deemed Liquidation Event, as such term is defined in the Certificate, whichever event occurs first;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only terminate if the consideration received by the Investors in such Deemed Liquidation Event is in the form of cash and/or publicly traded securities unless the Investors receive financial information from the acquiring company or other successor to the Company comparable to those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(iii) to any Affiliate, partner, partner of a partner, member, director, officer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court order or an applicable governmental or regulatory body, provided that the Investor promptly notifies the Company of such disclosure and takes reasonable steps to minimize the extent of any such required disclosure. Notwithstanding the foregoing, a T. Rowe Price Investor, a Baillie Gifford Investor or a Neuberger Investor may identify the Company and the value of such T. Rowe Price Investor’s, Baillie Gifford Investor’s or Neuberger Investor’s security holdings in the Company in accordance with applicable investment reporting and disclosure regulations or internal policies and respond to examinations, demands, requests or reporting requirements of a regulatory authority without prior notice to or consent from the Company.</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00"/>
          </w:cols>
          <w:pgMar w:left="580" w:top="265" w:right="619" w:bottom="1440" w:gutter="0" w:footer="0" w:header="0"/>
        </w:sectPr>
      </w:pPr>
    </w:p>
    <w:bookmarkStart w:id="409" w:name="page410"/>
    <w:bookmarkEnd w:id="409"/>
    <w:p>
      <w:pPr>
        <w:ind w:firstLine="428"/>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understands and acknowledges that in the regular course of a T. Rowe Price Investor’s and a Baillie Gifford Investor’s such T. Rowe Price Investor or Baillie Gifford Investor may invest in companies that have issued securities that are publicly traded (each, a “</w:t>
      </w:r>
      <w:r>
        <w:rPr>
          <w:rFonts w:ascii="Times New Roman" w:cs="Times New Roman" w:eastAsia="Times New Roman" w:hAnsi="Times New Roman"/>
          <w:sz w:val="18"/>
          <w:szCs w:val="18"/>
          <w:b w:val="1"/>
          <w:bCs w:val="1"/>
          <w:i w:val="1"/>
          <w:iCs w:val="1"/>
          <w:color w:val="auto"/>
        </w:rPr>
        <w:t>Public Company</w:t>
      </w:r>
      <w:r>
        <w:rPr>
          <w:rFonts w:ascii="Times New Roman" w:cs="Times New Roman" w:eastAsia="Times New Roman" w:hAnsi="Times New Roman"/>
          <w:sz w:val="18"/>
          <w:szCs w:val="18"/>
          <w:color w:val="auto"/>
        </w:rPr>
        <w:t>”). Accordingly, the Company covenants and agrees that before providing material non- public information about a Public Company (“</w:t>
      </w:r>
      <w:r>
        <w:rPr>
          <w:rFonts w:ascii="Times New Roman" w:cs="Times New Roman" w:eastAsia="Times New Roman" w:hAnsi="Times New Roman"/>
          <w:sz w:val="18"/>
          <w:szCs w:val="18"/>
          <w:b w:val="1"/>
          <w:bCs w:val="1"/>
          <w:i w:val="1"/>
          <w:iCs w:val="1"/>
          <w:color w:val="auto"/>
        </w:rPr>
        <w:t>Public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to a T. Rowe Price Investor or a Baillie Gifford Investor, the Company will use commercially reasonable efforts to provide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to the following compliance personnel at such T. Rowe Price Investor or such Baillie Gifford Investor, respectively, describing such information in reasonable detail:</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 a T. Rowe Price Investor</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 a Baillie Gifford Investor</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To the address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13" w:lineRule="exact"/>
        <w:rPr>
          <w:sz w:val="20"/>
          <w:szCs w:val="20"/>
          <w:color w:val="auto"/>
        </w:rPr>
      </w:pPr>
    </w:p>
    <w:p>
      <w:pPr>
        <w:ind w:right="280" w:firstLine="428"/>
        <w:spacing w:after="0" w:line="251" w:lineRule="auto"/>
        <w:rPr>
          <w:sz w:val="20"/>
          <w:szCs w:val="20"/>
          <w:color w:val="auto"/>
        </w:rPr>
      </w:pPr>
      <w:r>
        <w:rPr>
          <w:rFonts w:ascii="Times New Roman" w:cs="Times New Roman" w:eastAsia="Times New Roman" w:hAnsi="Times New Roman"/>
          <w:sz w:val="18"/>
          <w:szCs w:val="18"/>
          <w:color w:val="auto"/>
        </w:rPr>
        <w:t xml:space="preserve">The Company shall not disclose Public Company Information to any T. Rowe Price Investor or Baillie Gifford Investor without written authorization from the applicable compliance personnel listed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be permitted to disclose agreements entered into with Public Companies in the ordinary course of business, such as routine customer, supplier, advertising and publishing agreements without such written authorization.</w:t>
      </w:r>
    </w:p>
    <w:p>
      <w:pPr>
        <w:spacing w:after="0" w:line="79" w:lineRule="exact"/>
        <w:rPr>
          <w:sz w:val="20"/>
          <w:szCs w:val="20"/>
          <w:color w:val="auto"/>
        </w:rPr>
      </w:pPr>
    </w:p>
    <w:p>
      <w:pPr>
        <w:ind w:left="620" w:hanging="184"/>
        <w:spacing w:after="0"/>
        <w:tabs>
          <w:tab w:leader="none" w:pos="6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to Future Stock Issuances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964"/>
        <w:spacing w:after="0" w:line="24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applicable securities laws, if the Company proposes to offer or sell any New Securities, the Company shall first offer such New Securities to each Major Investor. Each Major Investor shall be entitled to apportion among itself and its Affiliates the right of first offer hereby granted to it in such proportions as it deems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parties acknowledge and agree that each of Blue Media, LLC, Gray Media, LLC and Keeks, LLC have assigned a portion of their respective rights of first offer hereunder to Novo in accordance with and subject to the terms of Section 4(a) of the Novo Side Letter.</w:t>
      </w:r>
    </w:p>
    <w:p>
      <w:pPr>
        <w:spacing w:after="0" w:line="78" w:lineRule="exact"/>
        <w:rPr>
          <w:sz w:val="20"/>
          <w:szCs w:val="20"/>
          <w:color w:val="auto"/>
        </w:rPr>
      </w:pPr>
    </w:p>
    <w:p>
      <w:pPr>
        <w:ind w:right="160" w:firstLine="1400"/>
        <w:spacing w:after="0" w:line="258" w:lineRule="auto"/>
        <w:tabs>
          <w:tab w:leader="none" w:pos="163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i w:val="1"/>
          <w:iCs w:val="1"/>
          <w:color w:val="auto"/>
        </w:rPr>
        <w:t>Offer Notice</w:t>
      </w:r>
      <w:r>
        <w:rPr>
          <w:rFonts w:ascii="Times New Roman" w:cs="Times New Roman" w:eastAsia="Times New Roman" w:hAnsi="Times New Roman"/>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71" w:lineRule="exact"/>
        <w:rPr>
          <w:rFonts w:ascii="Times New Roman" w:cs="Times New Roman" w:eastAsia="Times New Roman" w:hAnsi="Times New Roman"/>
          <w:sz w:val="18"/>
          <w:szCs w:val="18"/>
          <w:color w:val="auto"/>
        </w:rPr>
      </w:pPr>
    </w:p>
    <w:p>
      <w:pPr>
        <w:ind w:right="120" w:firstLine="1400"/>
        <w:spacing w:after="0" w:line="248" w:lineRule="auto"/>
        <w:tabs>
          <w:tab w:leader="none" w:pos="16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shares of Common Stock (assuming the conversion, exercise and exchange of all Derivative Securities then held by such Major Investor) then held by such Major Investor bears to the total Common Stock of the Company then outstanding (assuming full conversion, exercise and/or exchange, as applicable, of all Preferred Stock and other Derivative Securities then outstanding) (“</w:t>
      </w:r>
      <w:r>
        <w:rPr>
          <w:rFonts w:ascii="Times New Roman" w:cs="Times New Roman" w:eastAsia="Times New Roman" w:hAnsi="Times New Roman"/>
          <w:sz w:val="18"/>
          <w:szCs w:val="18"/>
          <w:b w:val="1"/>
          <w:bCs w:val="1"/>
          <w:i w:val="1"/>
          <w:iCs w:val="1"/>
          <w:color w:val="auto"/>
        </w:rPr>
        <w:t>Pro Rata Portion</w:t>
      </w:r>
      <w:r>
        <w:rPr>
          <w:rFonts w:ascii="Times New Roman" w:cs="Times New Roman" w:eastAsia="Times New Roman" w:hAnsi="Times New Roman"/>
          <w:sz w:val="18"/>
          <w:szCs w:val="18"/>
          <w:color w:val="auto"/>
        </w:rPr>
        <w:t>”). At the expiration of such twenty (20) day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20"/>
          </w:cols>
          <w:pgMar w:left="580" w:top="265" w:right="599" w:bottom="1440" w:gutter="0" w:footer="0" w:header="0"/>
        </w:sectPr>
      </w:pPr>
    </w:p>
    <w:bookmarkStart w:id="410" w:name="page411"/>
    <w:bookmarkEnd w:id="410"/>
    <w:p>
      <w:pPr>
        <w:ind w:right="6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period, the Company shall promptly notify each Major Investor that elects to purchase or acquire all the shares available to it (each, a “</w:t>
      </w:r>
      <w:r>
        <w:rPr>
          <w:rFonts w:ascii="Times New Roman" w:cs="Times New Roman" w:eastAsia="Times New Roman" w:hAnsi="Times New Roman"/>
          <w:sz w:val="18"/>
          <w:szCs w:val="18"/>
          <w:b w:val="1"/>
          <w:bCs w:val="1"/>
          <w:i w:val="1"/>
          <w:iCs w:val="1"/>
          <w:color w:val="auto"/>
        </w:rPr>
        <w:t>Fully 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of any other Major Investor’s failure to do likewise. During the ten (10) day period commencing after the Company has given such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shall occur on or before the later of one hundred twenty (120) days after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firstLine="1400"/>
        <w:spacing w:after="0" w:line="285" w:lineRule="auto"/>
        <w:tabs>
          <w:tab w:leader="none" w:pos="1631"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all New Securities referred to in the Offer Notice are not elected to be purchased or acquired as provided in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the Company may, during the ninety (90) day period following the expiration of the thirty (30) day period provided in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and the Common Holders in accordance with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ind w:right="340" w:firstLine="1400"/>
        <w:spacing w:after="0" w:line="255" w:lineRule="auto"/>
        <w:tabs>
          <w:tab w:leader="none" w:pos="1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be applicable to (i) Exempted Securities (as defined in the Certificate), (ii) shares of Common Stock issued in the IPO and (iii) the issuance of shares of Series G-3 Preferred Stock to Additional Purchasers pursuant to Section 1.3 of the Series G-3 Purchase Agreement.</w:t>
      </w:r>
    </w:p>
    <w:p>
      <w:pPr>
        <w:spacing w:after="0" w:line="75" w:lineRule="exact"/>
        <w:rPr>
          <w:sz w:val="20"/>
          <w:szCs w:val="20"/>
          <w:color w:val="auto"/>
        </w:rPr>
      </w:pPr>
    </w:p>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whichever event occurs first.</w:t>
      </w:r>
    </w:p>
    <w:p>
      <w:pPr>
        <w:spacing w:after="0" w:line="75" w:lineRule="exact"/>
        <w:rPr>
          <w:sz w:val="20"/>
          <w:szCs w:val="20"/>
          <w:color w:val="auto"/>
        </w:rPr>
      </w:pPr>
    </w:p>
    <w:p>
      <w:pPr>
        <w:ind w:left="620" w:hanging="184"/>
        <w:spacing w:after="0"/>
        <w:tabs>
          <w:tab w:leader="none" w:pos="6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964"/>
        <w:spacing w:after="0" w:line="281"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Employee Agreements</w:t>
      </w:r>
      <w:r>
        <w:rPr>
          <w:rFonts w:ascii="Times New Roman" w:cs="Times New Roman" w:eastAsia="Times New Roman" w:hAnsi="Times New Roman"/>
          <w:sz w:val="16"/>
          <w:szCs w:val="16"/>
          <w:color w:val="auto"/>
        </w:rPr>
        <w:t>. The Company will cause each Person now or hereafter employed by it or by any subsidiary (or engaged by the Company or any subsidiary as a consultant/independent contractor) to enter into a nondisclosure and proprietary rights assignment agreement, which will provide that such person (i) except as limited by applicable law, is either an at-will employee or a consultant of the Company, as the case may be,</w:t>
      </w:r>
    </w:p>
    <w:p>
      <w:pPr>
        <w:spacing w:after="0" w:line="2" w:lineRule="exact"/>
        <w:rPr>
          <w:sz w:val="20"/>
          <w:szCs w:val="20"/>
          <w:color w:val="auto"/>
        </w:rPr>
      </w:pPr>
    </w:p>
    <w:p>
      <w:pPr>
        <w:jc w:val="both"/>
        <w:ind w:right="20" w:firstLine="8"/>
        <w:spacing w:after="0" w:line="244" w:lineRule="auto"/>
        <w:tabs>
          <w:tab w:leader="none" w:pos="25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maintain all proprietary information of the Company in confidence, (iii) will assign to the Company all inventions created by such person as an employee or consultant during the term of such person’s employment with or service to the Company, and (iv) will not disclose any information related to the Company’s workforce and will not solicit any employees from the Company for a period of twelve months should such person’s employment with or service to the Company be terminated for any reason.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20"/>
          </w:cols>
          <w:pgMar w:left="580" w:top="261" w:right="599" w:bottom="1440" w:gutter="0" w:footer="0" w:header="0"/>
        </w:sectPr>
      </w:pPr>
    </w:p>
    <w:bookmarkStart w:id="411" w:name="page412"/>
    <w:bookmarkEnd w:id="411"/>
    <w:p>
      <w:pPr>
        <w:ind w:right="80" w:firstLine="964"/>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Employee Stock</w:t>
      </w:r>
      <w:r>
        <w:rPr>
          <w:rFonts w:ascii="Times New Roman" w:cs="Times New Roman" w:eastAsia="Times New Roman" w:hAnsi="Times New Roman"/>
          <w:sz w:val="18"/>
          <w:szCs w:val="18"/>
          <w:color w:val="auto"/>
        </w:rPr>
        <w:t xml:space="preserve">. All grants of options to purchase capital stock, awards of shares of capital stock and grants of other equity incentive awards to the employees and consultants of the Company after the date hereof shall be approved by the Board of Directors. Unless otherwise approved by the Board of Directors, all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 six (36) months, and (ii) a market stand-off provision substantially similar to that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addition, unless otherwise approved by the Board of Directors, the Company shall retain a “right of first refusal” on employee transfers until the consummation of the IPO and shall have the right to repurchase unvested shares at cost upon termination of employment of a holder of restricted stock.</w:t>
      </w:r>
    </w:p>
    <w:p>
      <w:pPr>
        <w:spacing w:after="0" w:line="86" w:lineRule="exact"/>
        <w:rPr>
          <w:sz w:val="20"/>
          <w:szCs w:val="20"/>
          <w:color w:val="auto"/>
        </w:rPr>
      </w:pPr>
    </w:p>
    <w:p>
      <w:pPr>
        <w:ind w:right="180" w:firstLine="96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Board Matters</w:t>
      </w:r>
      <w:r>
        <w:rPr>
          <w:rFonts w:ascii="Times New Roman" w:cs="Times New Roman" w:eastAsia="Times New Roman" w:hAnsi="Times New Roman"/>
          <w:sz w:val="18"/>
          <w:szCs w:val="18"/>
          <w:color w:val="auto"/>
        </w:rPr>
        <w:t>. Unless otherwise determined by the vote of a majority of the non-employee directors then in office, the Board of Directors shall meet at least quarterly in accordance with an agreed-upon schedule. The Company shall reimburse all non-employee directors for their actual and reasonable out-of-pocket travel and other expenses incurred in attending meetings of the Board or any committee thereof.</w:t>
      </w:r>
    </w:p>
    <w:p>
      <w:pPr>
        <w:spacing w:after="0" w:line="75" w:lineRule="exact"/>
        <w:rPr>
          <w:sz w:val="20"/>
          <w:szCs w:val="20"/>
          <w:color w:val="auto"/>
        </w:rPr>
      </w:pPr>
    </w:p>
    <w:p>
      <w:pPr>
        <w:ind w:firstLine="964"/>
        <w:spacing w:after="0" w:line="249"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or elsewhere, as the case may be.</w:t>
      </w:r>
    </w:p>
    <w:p>
      <w:pPr>
        <w:spacing w:after="0" w:line="82"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Indemnification Matters</w:t>
      </w:r>
      <w:r>
        <w:rPr>
          <w:rFonts w:ascii="Times New Roman" w:cs="Times New Roman" w:eastAsia="Times New Roman" w:hAnsi="Times New Roman"/>
          <w:sz w:val="18"/>
          <w:szCs w:val="18"/>
          <w:color w:val="auto"/>
        </w:rPr>
        <w:t>. The Company hereby acknowledges that one (1) or more of the directors nominated to serve on the Board of Directors by the Investors (each a “</w:t>
      </w:r>
      <w:r>
        <w:rPr>
          <w:rFonts w:ascii="Times New Roman" w:cs="Times New Roman" w:eastAsia="Times New Roman" w:hAnsi="Times New Roman"/>
          <w:sz w:val="18"/>
          <w:szCs w:val="18"/>
          <w:b w:val="1"/>
          <w:bCs w:val="1"/>
          <w:i w:val="1"/>
          <w:iCs w:val="1"/>
          <w:color w:val="auto"/>
        </w:rPr>
        <w:t>Fund Director</w:t>
      </w:r>
      <w:r>
        <w:rPr>
          <w:rFonts w:ascii="Times New Roman" w:cs="Times New Roman" w:eastAsia="Times New Roman" w:hAnsi="Times New Roman"/>
          <w:sz w:val="18"/>
          <w:szCs w:val="18"/>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i w:val="1"/>
          <w:iCs w:val="1"/>
          <w:color w:val="auto"/>
        </w:rPr>
        <w:t>Fund Indemnitors</w:t>
      </w:r>
      <w:r>
        <w:rPr>
          <w:rFonts w:ascii="Times New Roman" w:cs="Times New Roman" w:eastAsia="Times New Roman" w:hAnsi="Times New Roman"/>
          <w:sz w:val="18"/>
          <w:szCs w:val="18"/>
          <w:color w:val="auto"/>
        </w:rPr>
        <w:t>”). The Company hereby agrees (a)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680"/>
          </w:cols>
          <w:pgMar w:left="580" w:top="265" w:right="639" w:bottom="1440" w:gutter="0" w:footer="0" w:header="0"/>
        </w:sectPr>
      </w:pPr>
    </w:p>
    <w:bookmarkStart w:id="412" w:name="page413"/>
    <w:bookmarkEnd w:id="412"/>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82" w:lineRule="exact"/>
        <w:rPr>
          <w:sz w:val="20"/>
          <w:szCs w:val="20"/>
          <w:color w:val="auto"/>
        </w:rPr>
      </w:pPr>
    </w:p>
    <w:p>
      <w:pPr>
        <w:ind w:right="40" w:firstLine="964"/>
        <w:spacing w:after="0" w:line="279"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Right to Conduct Activities</w:t>
      </w:r>
      <w:r>
        <w:rPr>
          <w:rFonts w:ascii="Times New Roman" w:cs="Times New Roman" w:eastAsia="Times New Roman" w:hAnsi="Times New Roman"/>
          <w:sz w:val="16"/>
          <w:szCs w:val="16"/>
          <w:color w:val="auto"/>
        </w:rPr>
        <w:t xml:space="preserve">. The Company hereby agrees and acknowledges that Lightbank, NEA, Revolution, the T. Rowe Price Investors, the Baillie Gifford Investors, the Neuberger Investors and Google LLC invest in numerous companies, some of which may be deemed competitive with the Company’s business (as currently conducted or as currently propose to be conducted). The Company hereby agrees that, to the extent permitted under applicable law, Lightbank, NEA, Revolution, the T. Rowe Price Investors, the Baillie Gifford Investors, the Neuberger Investors and Google LLC shall not be liable to the Company for any claim arising out of, or based upon, (i) the investment or acquisition by Lightbank, NEA, Revolution, the T. Rowe Price Investors, the Baillie Gifford Investors, the Neuberger Investors, Google LLC or any of their respective Affiliates, in any entity competitive with the Company, or (ii) actions taken by any director, officer, stockholder or other representative of Lightbank, NEA, Revolution, the T. Rowe Price Investors, the Baillie Gifford Investors, the Neuberger Investors and Google LLC or any of their respective Affiliates,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273"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use its commercially reasonable efforts to maintain Directors and Officers liability insurance from a financially sound and reputable insurer in an amount and on terms and conditions satisfactory to the Board of Directors, until such time as the Board of Directors determines that such insurance should be discontinued. In addition, in the event that the Board of Directors determines that the Company should obtain term “key- person” insurance on Eric Lefkofsky, the Company shall use its commercially reasonable efforts to obtain and maintain such insurance from a financially sound and reputable insurer in an amount and on terms and conditions satisfactory to the Board of Directors, until such time as the Board of Directors, determines that such insurance should be discontinued. The key-person policy shall name the Company as loss payee, and neither policy shall be cancelable by the Company without prior approval by the Board of Directors.</w:t>
      </w:r>
    </w:p>
    <w:p>
      <w:pPr>
        <w:spacing w:after="0" w:line="84"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FIRPTA Compliance</w:t>
      </w:r>
      <w:r>
        <w:rPr>
          <w:rFonts w:ascii="Times New Roman" w:cs="Times New Roman" w:eastAsia="Times New Roman" w:hAnsi="Times New Roman"/>
          <w:sz w:val="18"/>
          <w:szCs w:val="18"/>
          <w:color w:val="auto"/>
        </w:rPr>
        <w:t>. The Company shall provide prompt notice to NEA following any “determination date” (as defined in Treasury Regulation Section 1.897-2(c)(1)) on which the Company becomes a United States real property holding corporation. In addition, upon a written request by NEA made at reasonable intervals, the Company shall provide NEA with a written statement informing NEA whether NEA’s interest in the Company constitutes a United States real property interest. The Company’s determination shall comply with the requirements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20"/>
          </w:cols>
          <w:pgMar w:left="580" w:top="265" w:right="599" w:bottom="1440" w:gutter="0" w:footer="0" w:header="0"/>
        </w:sectPr>
      </w:pPr>
    </w:p>
    <w:bookmarkStart w:id="413" w:name="page414"/>
    <w:bookmarkEnd w:id="413"/>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written statement to NEA shall be delivered to NEA within 10 days of NEA’s written request therefor. The Company’s obligation to furnish such written statement shall continue notwithstanding the fact that a class of the Company’s stock may be regularly traded on an established securities market or the fact that there is no preferred stock then outstanding.</w:t>
      </w:r>
    </w:p>
    <w:p>
      <w:pPr>
        <w:spacing w:after="0" w:line="82" w:lineRule="exact"/>
        <w:rPr>
          <w:sz w:val="20"/>
          <w:szCs w:val="20"/>
          <w:color w:val="auto"/>
        </w:rPr>
      </w:pPr>
    </w:p>
    <w:p>
      <w:pPr>
        <w:ind w:right="60" w:firstLine="964"/>
        <w:spacing w:after="0" w:line="24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Matters Requiring Investor Director Approval</w:t>
      </w:r>
      <w:r>
        <w:rPr>
          <w:rFonts w:ascii="Times New Roman" w:cs="Times New Roman" w:eastAsia="Times New Roman" w:hAnsi="Times New Roman"/>
          <w:sz w:val="18"/>
          <w:szCs w:val="18"/>
          <w:color w:val="auto"/>
        </w:rPr>
        <w:t>. So long as the holders of Series C Preferred Stock are entitled to elect a Series C Director, the Company hereby covenants and agrees with each of the Investors that it shall not, without approval of the Board of Directors, enter into or be a party to any transaction with any director, officer, or Affiliate of the Company or any “associate” (as defined in Rule 12b-2 promulgated under the Exchange Act) of any such Person, except for transactions contemplated by this Agreement, the Purchase Agreement, and transactions entered into in the ordinary course of business pursuant to reasonable requirements of the Company’s business and upon fair and reasonable terms approved by a majority of the disinterested members of the Board of Directors.</w:t>
      </w:r>
    </w:p>
    <w:p>
      <w:pPr>
        <w:spacing w:after="0" w:line="82" w:lineRule="exact"/>
        <w:rPr>
          <w:sz w:val="20"/>
          <w:szCs w:val="20"/>
          <w:color w:val="auto"/>
        </w:rPr>
      </w:pPr>
    </w:p>
    <w:p>
      <w:pPr>
        <w:ind w:right="60" w:firstLine="964"/>
        <w:spacing w:after="0" w:line="25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Sections 5.4</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whichever event occurs first.</w:t>
      </w:r>
    </w:p>
    <w:p>
      <w:pPr>
        <w:spacing w:after="0" w:line="79" w:lineRule="exact"/>
        <w:rPr>
          <w:sz w:val="20"/>
          <w:szCs w:val="20"/>
          <w:color w:val="auto"/>
        </w:rPr>
      </w:pPr>
    </w:p>
    <w:p>
      <w:pPr>
        <w:ind w:left="620" w:hanging="184"/>
        <w:spacing w:after="0"/>
        <w:tabs>
          <w:tab w:leader="none" w:pos="6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964"/>
        <w:spacing w:after="0" w:line="277"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The rights under this Agreement may be assigned (but only with all related obligations) by a Holder to a transferee of Registrable Securities that (a) is an Affiliate, partner or member of a Holder, (b) is a Holder’s Immediate Family Member or trust for the benefit of an individual Holder or one or more of such Holder’s Immediate Family Members or (c) after such transfer, holds at least 1,000,000 shares of Registrable Securities (subject to appropriate adjustment for stock splits, stock dividends, combinations, and other recapitalizations) or, if less, all of the Registrable Securities held by such Holder;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(x) the Company is, within a reasonable time after such transfer, furnished with written notice of the name and address of such transferee and the Registrable Securities with respect to which such rights are being transferred and</w:t>
      </w:r>
    </w:p>
    <w:p>
      <w:pPr>
        <w:spacing w:after="0" w:line="4" w:lineRule="exact"/>
        <w:rPr>
          <w:sz w:val="20"/>
          <w:szCs w:val="20"/>
          <w:color w:val="auto"/>
        </w:rPr>
      </w:pPr>
    </w:p>
    <w:p>
      <w:pPr>
        <w:ind w:right="100" w:firstLine="8"/>
        <w:spacing w:after="0" w:line="244" w:lineRule="auto"/>
        <w:tabs>
          <w:tab w:leader="none" w:pos="24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all transferees who would not qualify individually for assignment of rights shall have a single attorney-in-fact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80"/>
          </w:cols>
          <w:pgMar w:left="580" w:top="265" w:right="639" w:bottom="1440" w:gutter="0" w:footer="0" w:header="0"/>
        </w:sectPr>
      </w:pPr>
    </w:p>
    <w:bookmarkStart w:id="414" w:name="page415"/>
    <w:bookmarkEnd w:id="414"/>
    <w:p>
      <w:pPr>
        <w:ind w:right="22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w:t>
      </w:r>
    </w:p>
    <w:p>
      <w:pPr>
        <w:spacing w:after="0" w:line="75"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r>
        <w:rPr>
          <w:rFonts w:ascii="Times New Roman" w:cs="Times New Roman" w:eastAsia="Times New Roman" w:hAnsi="Times New Roman"/>
          <w:sz w:val="18"/>
          <w:szCs w:val="18"/>
          <w:b w:val="1"/>
          <w:bCs w:val="1"/>
          <w:color w:val="auto"/>
        </w:rPr>
        <w:t>.</w:t>
      </w:r>
    </w:p>
    <w:p>
      <w:pPr>
        <w:spacing w:after="0" w:line="79" w:lineRule="exact"/>
        <w:rPr>
          <w:sz w:val="20"/>
          <w:szCs w:val="20"/>
          <w:color w:val="auto"/>
        </w:rPr>
      </w:pPr>
    </w:p>
    <w:p>
      <w:pPr>
        <w:ind w:right="40" w:firstLine="964"/>
        <w:spacing w:after="0" w:line="247"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as defined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 Consent to Electronic Notice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1400"/>
        <w:spacing w:after="0" w:line="280" w:lineRule="auto"/>
        <w:tabs>
          <w:tab w:leader="none" w:pos="1631"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notices and other communications hereunder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 notice by the Company sent by facsimile only shall be deemed effective or delivered to the Baillie Gifford Investors or Google LLC, regardless of confirmation or receipt; (c) five (5) days after having been sent by registered or certified mail, return receipt requested, postage prepaid; or (d)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If notice is given to the Company, a copy (which shall not constitute notice) shall also be sent to Cooley, LLP, 110 North Wacker Drive, 42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Floor, Chicago, IL 60606, Attn: Richard E. Ginsberg (rginsberg@cooley.com).</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00"/>
          </w:cols>
          <w:pgMar w:left="580" w:top="265" w:right="619" w:bottom="1440" w:gutter="0" w:footer="0" w:header="0"/>
        </w:sectPr>
      </w:pPr>
    </w:p>
    <w:bookmarkStart w:id="415" w:name="page416"/>
    <w:bookmarkEnd w:id="415"/>
    <w:p>
      <w:pPr>
        <w:ind w:left="1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 Each Investor consents to the delivery of any stockholder notice pursuant to the Delaware General Corporation Law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DGCL</w:t>
      </w:r>
      <w:r>
        <w:rPr>
          <w:rFonts w:ascii="Times New Roman" w:cs="Times New Roman" w:eastAsia="Times New Roman" w:hAnsi="Times New Roman"/>
          <w:sz w:val="16"/>
          <w:szCs w:val="16"/>
          <w:color w:val="auto"/>
        </w:rPr>
        <w:t>”), as amended or superseded from time to time, by electronic transmission pursuant to Section 232 of the DGCL (or any successor thereto)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electronic mail address or the facsimile number as on the books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notice by the Company sent 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only shall be deemed effective or delivered to the Baillie Gifford Investors or Google LLC, regardless of confirmation or receipt. Each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agrees to promptly notify the Company of any change in such stockholder’s electronic mail address, and that failure to do so shall not affect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1400"/>
        <w:spacing w:after="0" w:line="244" w:lineRule="auto"/>
        <w:tabs>
          <w:tab w:leader="none" w:pos="163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of this Agreement may be amended, modified or terminated and the observance of any term of this Agreement may be waived (either generally or in a particular instance, and either retroactively or prospectively) only with the written consent of (i) the Company, (ii) the Common Holders and the Investors then holding a majority of the Voting Common Stock and Preferred Stock (voting together as a single class as measured on the basis of voting power set forth in the Restated Certificate), (iii) the Investors then holding a majority of the shares of Series A Preferred Stock, Series B Preferred Stock, Series B-1 Preferred Stock, and Series B-2 Preferred Stock, voting together as a single class as measured on the basis of voting power set forth in this Restated Certificate, if such amendment, modification, termination or waiver would adversely affect the powers, preferences or rights of such series of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such series of Preferred Stock held by such Investor,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such series of Preferred Stock held by such holders, shall not be deemed to adversely affect the rights or obligations of such holders), (iv) the Investors then holding at least sixty percent (60%) of the shares of Common Stock issued or issuable upon conversion of the Series C Preferred Stock, voting as a separate class, if such amendment, modification, termination or waiver would adversely affect the rights or obligations of the Investors holding Common Stock issued or issuable upon conversion of the Series C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C Preferred Stock held by such Investors,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C Preferred Stock held by such Investors, shall not be deemed to adversely affect the rights or obligations of such Investors), (v) the Investors then holding at least sixty percent (60%) of the shares of Common Stock issued or issuable upon conversion of the Series D Preferred Stock, voting as a separate class, if such amendment, modification, termination or waiver would adversely affect the rights or obligations of the Investors holding Common Stock issued or issuable upon conversion of the Series D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D Preferred Stock held by such Investors,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D Preferred Stock held by such Investors, shall not be deemed to adversely affect the rights or obligations of such Investors), (vi) the Investors then holding a majority of the shares of Common Stock issued or issuable upon conversion of the Series E Preferred Stock, voting as a separate class, if such amendment, modification, termination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80" w:top="265" w:right="59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waiver would adversely affect the rights or obligations of the Investors holding Common Stock issued or issuable upon conversion of the Series 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Stock set forth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for the avoidance of doubt, the creation, authorization or issuance of any shares of preferred stock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 preferences or rights of the Series E Preferred Stock held by such Investors, or the granting to purchasers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of such shares 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 preferences or rights of the Series E Preferred Stock held by such Investors, shall not be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deemed to adversely affect the rights or obligations of such Investors), (vii) the Investors then holding a majority of the shares of Common Stock issued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issuable upon conversion of the Series F Preferred Stock, voting as a separate class, if such amendment, modification, termination or waiver would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adversely affect the rights or obligations of the Investors holding Common Stock issued or issuable upon conversion of the Series F Preferred Stock set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forth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for the avoidance of doubt, the creation, authorization or issuance of any shares of preferred stock with rights senior to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powers, preferences or rights of the Series F Preferred Stock held by such Investors, or the granting to purchasers of such shares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F Preferred Stock held by such Investors, shall not be deemed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adversely affect the rights or obligations of such Investors), (viii) the Investors then holding a majority of the shares of Common Stock issued or issuable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upon conversion of the Series G Preferred Stock, voting as a separate class, if such amendment, modification, termination or waiver would adversely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rights or obligations of the Investors holding Common Stock issued or issuable upon conversion of the Series G Preferred Stock set forth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passu </w:t>
      </w:r>
      <w:r>
        <w:rPr>
          <w:rFonts w:ascii="Times New Roman" w:cs="Times New Roman" w:eastAsia="Times New Roman" w:hAnsi="Times New Roman"/>
          <w:sz w:val="16"/>
          <w:szCs w:val="16"/>
          <w:color w:val="auto"/>
        </w:rPr>
        <w:t>with the powers, preferences or rights of the Series G Preferred Stock held by such Investors, or the granting to purchasers of such shares rights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 preferences or rights of the Series G Preferred Stock held by such Investors, shall not be deemed to adversely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rights or obligations of such Investors), (ix) the Investors then holding a majority of the shares of Common Stock issued or issuable upon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conversion of the Series G-2 Preferred Stock, voting as a separate class, if such amendment, modification, termination or waiver would adversely affect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rights or obligations of the Investors holding Common Stock issued or issuable upon conversion of the Series G-2 Preferred Stock set forth 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powers, preferences or rights of the Series G-2 Preferred Stock held by such Investors, or the granting to purchasers of such shares rights senior to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pari passu </w:t>
      </w:r>
      <w:r>
        <w:rPr>
          <w:rFonts w:ascii="Times New Roman" w:cs="Times New Roman" w:eastAsia="Times New Roman" w:hAnsi="Times New Roman"/>
          <w:sz w:val="16"/>
          <w:szCs w:val="16"/>
          <w:color w:val="auto"/>
        </w:rPr>
        <w:t>with the powers, preferences or rights of the Series G-2 Preferred Stock held by such Investors, shall not be deemed to adversely affect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or obligations of such Investors) and (x) the Investors then holding a majority of the shares of Common Stock issued or issuable upon conversion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Series G-3 Preferred Stock, voting as a separate class, if such amendment, modification, termination or waiver would adversely affect the rights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obligations of the Investors holding Common Stock issued or issuable upon conversion of the Series G-3 Preferred Stock set forth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the avoidance of doubt, the creation, authorization or issuance of any shares of preferred stock with 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preferences or rights of the Series G-3 Preferred Stock held by such Investors, or the granting to purchasers of such shares rights senior to or </w:t>
      </w:r>
      <w:r>
        <w:rPr>
          <w:rFonts w:ascii="Times New Roman" w:cs="Times New Roman" w:eastAsia="Times New Roman" w:hAnsi="Times New Roman"/>
          <w:sz w:val="16"/>
          <w:szCs w:val="16"/>
          <w:i w:val="1"/>
          <w:iCs w:val="1"/>
          <w:color w:val="auto"/>
        </w:rPr>
        <w:t>pari passu</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powers, preferences or rights of the Series G-3 Preferred Stock held by such Investors, shall not be deemed to adversely affect the rights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obligations of such Investors);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w:t>
      </w:r>
      <w:r>
        <w:rPr>
          <w:rFonts w:ascii="Times New Roman" w:cs="Times New Roman" w:eastAsia="Times New Roman" w:hAnsi="Times New Roman"/>
          <w:sz w:val="16"/>
          <w:szCs w:val="16"/>
          <w:u w:val="single" w:color="auto"/>
          <w:color w:val="auto"/>
        </w:rPr>
        <w:t>Sections 2.11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3.4</w:t>
      </w:r>
      <w:r>
        <w:rPr>
          <w:rFonts w:ascii="Times New Roman" w:cs="Times New Roman" w:eastAsia="Times New Roman" w:hAnsi="Times New Roman"/>
          <w:sz w:val="16"/>
          <w:szCs w:val="16"/>
          <w:color w:val="auto"/>
        </w:rPr>
        <w:t xml:space="preserve"> shall not be modified, supplemented, amended or waived, in whole or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(A) in a manner that adversely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20"/>
          </w:cols>
          <w:pgMar w:left="580" w:top="265" w:right="599" w:bottom="1440" w:gutter="0" w:footer="0" w:header="0"/>
        </w:sectPr>
      </w:pPr>
    </w:p>
    <w:bookmarkStart w:id="417" w:name="page418"/>
    <w:bookmarkEnd w:id="417"/>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affects the T. Rowe Price Investors, without the prior written consent of the T. Rowe Price Investors holding a majority of the Registable Securities held by all T. Rowe Price Investors or (B) in a manner that adversely affects the Baillie Gifford Investors, without the prior written consent of the Baillie Gifford Investors holding a majority of the Registable Securities held by all Baillie Gifford Investors, (ii)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shall not be modified, supplemented, amended or waived, in whole or in part, in a manner that adversely affects the Neuberger Investors, without the prior written consent of the Neuberger Investors holding a majority of the Registable Securities held by all Neuberger Investors, and (iii) the Company may in its sole discretion waive compliance with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shall be deemed to be a waiver);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provision hereof may be waived by any waiving party on such party’s own behalf, without the consent of any other party. Notwithstanding the foregoing,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may not be amended, modified, terminated or waived without the written consent of the holders of a majority of the Preferred Stock then outstanding and held by the Major Investors (it being agreed that a waiver of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with respect to a particular transaction shall be deemed to apply to all Major Investors in the same fashion if such waiver does so by its terms, notwithstanding the fact that certain Major Investors may nonetheless, by agreement with the Company, purchase securities in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proviso in the second sentence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be modified, supplemented, amended or waived, in whole or in part, without the prior written consent of Novo. Notwithstanding anything to the contrary herein, no amendment or waiver that adversely affects any Investor in a manner disproportionate to any adverse effect such amendment or waiver would have on the rights or obligations of the other Investors holding the same series of Preferred Stock shall be effective against such Investor without such Investor’s prior written consent.</w:t>
      </w:r>
    </w:p>
    <w:p>
      <w:pPr>
        <w:spacing w:after="0" w:line="85" w:lineRule="exact"/>
        <w:rPr>
          <w:sz w:val="20"/>
          <w:szCs w:val="20"/>
          <w:color w:val="auto"/>
        </w:rPr>
      </w:pPr>
    </w:p>
    <w:p>
      <w:pPr>
        <w:ind w:right="60" w:firstLine="1400"/>
        <w:spacing w:after="0" w:line="249" w:lineRule="auto"/>
        <w:tabs>
          <w:tab w:leader="none" w:pos="1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be binding on all parties hereto, regardless of whether any such party has executed such consent or instrument or otherwise consented thereto. No waivers of or exceptions to any term, condition, or provision of this Agreement, in any one or more instances, shall be deemed to be or construed as a further or continuing waiver of any such term, condition, or provision.</w:t>
      </w:r>
    </w:p>
    <w:p>
      <w:pPr>
        <w:spacing w:after="0" w:line="82" w:lineRule="exact"/>
        <w:rPr>
          <w:sz w:val="20"/>
          <w:szCs w:val="20"/>
          <w:color w:val="auto"/>
        </w:rPr>
      </w:pPr>
    </w:p>
    <w:p>
      <w:pPr>
        <w:ind w:right="200" w:firstLine="964"/>
        <w:spacing w:after="0" w:line="25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79"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00"/>
          </w:cols>
          <w:pgMar w:left="580" w:top="265" w:right="619" w:bottom="1440" w:gutter="0" w:footer="0" w:header="0"/>
        </w:sectPr>
      </w:pPr>
    </w:p>
    <w:bookmarkStart w:id="418" w:name="page419"/>
    <w:bookmarkEnd w:id="418"/>
    <w:p>
      <w:pPr>
        <w:ind w:right="180" w:firstLine="96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and Exhibits hereto) constitutes the full and entire understanding and agreement among the parties with respect to the subject matter hereof. This Agreement supersedes all prior written agreements, arrangements, communications and understandings, and all prior and contemporaneous oral agreements, arrangements, communications and understandings between the parties with respect to the subject matter hereof, including without limitation, the Prior Agreement.</w:t>
      </w:r>
    </w:p>
    <w:p>
      <w:pPr>
        <w:spacing w:after="0" w:line="79"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 hereby irrevocably and unconditionally submit to the jurisdiction of the state courts of Delaware and to the jurisdiction of any United States District Court in the state of Delaware for the purpose of any suit, action or other proceeding arising out of or based upon this Agreement, (b) agree not to commence any suit, action or other proceeding arising out of or based upon this Agreement except in the state courts of Delaware or any United States District Court in the state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The prevailing party shall be entitled to reasonable attorneys’ fees, costs, and necessary disbursements in addition to any other relief to which such party may be entitled.</w:t>
      </w:r>
    </w:p>
    <w:p>
      <w:pPr>
        <w:spacing w:after="0" w:line="86"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57" w:lineRule="exact"/>
        <w:rPr>
          <w:sz w:val="20"/>
          <w:szCs w:val="20"/>
          <w:color w:val="auto"/>
        </w:rPr>
      </w:pPr>
    </w:p>
    <w:p>
      <w:pPr>
        <w:ind w:right="40" w:firstLine="964"/>
        <w:spacing w:after="0" w:line="249"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20"/>
          </w:cols>
          <w:pgMar w:left="580" w:top="265" w:right="599" w:bottom="1440" w:gutter="0" w:footer="0" w:header="0"/>
        </w:sectPr>
      </w:pPr>
    </w:p>
    <w:bookmarkStart w:id="419" w:name="page420"/>
    <w:bookmarkEnd w:id="419"/>
    <w:p>
      <w:pPr>
        <w:ind w:firstLine="964"/>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6.13 </w:t>
      </w:r>
      <w:r>
        <w:rPr>
          <w:rFonts w:ascii="Times New Roman" w:cs="Times New Roman" w:eastAsia="Times New Roman" w:hAnsi="Times New Roman"/>
          <w:sz w:val="16"/>
          <w:szCs w:val="16"/>
          <w:u w:val="single" w:color="auto"/>
          <w:color w:val="auto"/>
        </w:rPr>
        <w:t>Acknowledgment</w:t>
      </w:r>
      <w:r>
        <w:rPr>
          <w:rFonts w:ascii="Times New Roman" w:cs="Times New Roman" w:eastAsia="Times New Roman" w:hAnsi="Times New Roman"/>
          <w:sz w:val="16"/>
          <w:szCs w:val="16"/>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47" w:lineRule="exact"/>
        <w:rPr>
          <w:sz w:val="20"/>
          <w:szCs w:val="20"/>
          <w:color w:val="auto"/>
        </w:rPr>
      </w:pPr>
    </w:p>
    <w:p>
      <w:pPr>
        <w:ind w:right="40" w:firstLine="964"/>
        <w:spacing w:after="0" w:line="248"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Amendment and Restatement of Prior Agreement</w:t>
      </w:r>
      <w:r>
        <w:rPr>
          <w:rFonts w:ascii="Times New Roman" w:cs="Times New Roman" w:eastAsia="Times New Roman" w:hAnsi="Times New Roman"/>
          <w:sz w:val="18"/>
          <w:szCs w:val="18"/>
          <w:color w:val="auto"/>
        </w:rPr>
        <w:t>. The Prior Agreement is hereby amended in its entirety and restated herein. Such amendment and restatement is effective upon the execution of this Agreement by the Company and the holders of a majority of the Registrable Securities (as defined in the Prior Agreement), regardless of whether any other party has executed this Agreement. Upon such execution, all provisions of, rights granted and covenants made in the Prior Agreement are hereby waived, released and superseded in their entirety and shall have no further force or effect, including, without limitation, all rights of first refusal and any notice period associated therewith otherwise applicable to the transactions contemplated by the Series G-3 Purchase Agreement.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580" w:top="265" w:right="619" w:bottom="1440" w:gutter="0" w:footer="0" w:header="0"/>
        </w:sectPr>
      </w:pPr>
    </w:p>
    <w:bookmarkStart w:id="420" w:name="page421"/>
    <w:bookmarkEnd w:id="420"/>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Ryan Fukushima</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10400"/>
          </w:cols>
          <w:pgMar w:left="580" w:top="265" w:right="919" w:bottom="1440" w:gutter="0" w:footer="0" w:header="0"/>
        </w:sectPr>
      </w:pPr>
    </w:p>
    <w:bookmarkStart w:id="421" w:name="page422"/>
    <w:bookmarkEnd w:id="421"/>
    <w:p>
      <w:pPr>
        <w:ind w:right="28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SCOTTISH MORTGAGE INVESTMENT TRUST PLC</w:t>
      </w:r>
    </w:p>
    <w:p>
      <w:pPr>
        <w:spacing w:after="0" w:line="2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Executed for and on behalf of Scottish Mortgage Investment</w:t>
      </w:r>
    </w:p>
    <w:p>
      <w:pPr>
        <w:spacing w:after="0" w:line="4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Trust plc, acting through its agent, Baillie Gifford &amp; Co</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Tom Slater</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Partner of Baillie Gifford &amp; Co.</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THE SCHIEHALLION FUND LIMITED</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Executed for and on behalf of The Schiehallion Fund</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Limited, acting through its agent, Baillie Gifford Overseas</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Limited</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Tom Slater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Authorised Signatory of Baillie Gifford Overseas</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Limited</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PAGE TO TENTH AMENDED &amp; RESTATED INVESTORS’ RIGHTS AGREEMENT (TEMPUS LABS, INC.)</w:t>
      </w:r>
    </w:p>
    <w:p>
      <w:pPr>
        <w:sectPr>
          <w:pgSz w:w="11900" w:h="16838" w:orient="portrait"/>
          <w:cols w:equalWidth="0" w:num="1">
            <w:col w:w="10680"/>
          </w:cols>
          <w:pgMar w:left="580" w:top="265" w:right="639" w:bottom="1440" w:gutter="0" w:footer="0" w:header="0"/>
        </w:sectPr>
      </w:pPr>
    </w:p>
    <w:bookmarkStart w:id="422" w:name="page423"/>
    <w:bookmarkEnd w:id="422"/>
    <w:p>
      <w:pPr>
        <w:ind w:right="12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NEUBERGER BERMAN PRINCIPAL STRATEGIES</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PRIMA FUND LP</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Neuberger Berman Investment Advisers LLC, its</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Gabe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Gabe Cahill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NEUBERGER BERMAN PRINCIPAL STRATEGIES</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PRIMA CO-INVEST FUND IV LP</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Neuberger Berman Investment Advisers LLC, its</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Gabe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Gabe Cahill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SIGNATURE PAGE TO TENTH AMENDED &amp; RESTATED INVESTORS’ RIGHTS AGREEMENT (TEMPUS LABS, INC.)</w:t>
      </w:r>
    </w:p>
    <w:p>
      <w:pPr>
        <w:sectPr>
          <w:pgSz w:w="11900" w:h="16838" w:orient="portrait"/>
          <w:cols w:equalWidth="0" w:num="1">
            <w:col w:w="10520"/>
          </w:cols>
          <w:pgMar w:left="580" w:top="265" w:right="799" w:bottom="1440" w:gutter="0" w:footer="0" w:header="0"/>
        </w:sectPr>
      </w:pPr>
    </w:p>
    <w:bookmarkStart w:id="423" w:name="page424"/>
    <w:bookmarkEnd w:id="423"/>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 Title: Manager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10400"/>
          </w:cols>
          <w:pgMar w:left="580" w:top="265" w:right="919" w:bottom="1440" w:gutter="0" w:footer="0" w:header="0"/>
        </w:sectPr>
      </w:pPr>
    </w:p>
    <w:bookmarkStart w:id="424" w:name="page425"/>
    <w:bookmarkEnd w:id="424"/>
    <w:p>
      <w:pPr>
        <w:ind w:right="32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JAMES AND WENDY ABRAMS, AS JOINT</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TENANTS</w:t>
      </w:r>
    </w:p>
    <w:p>
      <w:pPr>
        <w:spacing w:after="0" w:line="208" w:lineRule="exact"/>
        <w:rPr>
          <w:sz w:val="20"/>
          <w:szCs w:val="20"/>
          <w:color w:val="auto"/>
        </w:rPr>
      </w:pPr>
    </w:p>
    <w:tbl>
      <w:tblPr>
        <w:tblLayout w:type="fixed"/>
        <w:tblInd w:w="644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James Abrams</w:t>
            </w:r>
          </w:p>
        </w:tc>
      </w:tr>
      <w:tr>
        <w:trPr>
          <w:trHeight w:val="2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James Abrams</w:t>
            </w:r>
          </w:p>
        </w:tc>
      </w:tr>
      <w:tr>
        <w:trPr>
          <w:trHeight w:val="41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Wendy Abrams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635</wp:posOffset>
            </wp:positionV>
            <wp:extent cx="23590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ind w:left="6440"/>
        <w:spacing w:after="0"/>
        <w:rPr>
          <w:sz w:val="20"/>
          <w:szCs w:val="20"/>
          <w:color w:val="auto"/>
        </w:rPr>
      </w:pPr>
      <w:r>
        <w:rPr>
          <w:rFonts w:ascii="Times New Roman" w:cs="Times New Roman" w:eastAsia="Times New Roman" w:hAnsi="Times New Roman"/>
          <w:sz w:val="18"/>
          <w:szCs w:val="18"/>
          <w:color w:val="auto"/>
        </w:rPr>
        <w:t>Name: Wendy Abrams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 TENTH AMENDED &amp; RESTATED INVESTORS’ RIGHTS AGREEMENT (TEMPUS LABS, INC.)</w:t>
      </w:r>
    </w:p>
    <w:p>
      <w:pPr>
        <w:sectPr>
          <w:pgSz w:w="11900" w:h="16838" w:orient="portrait"/>
          <w:cols w:equalWidth="0" w:num="1">
            <w:col w:w="10720"/>
          </w:cols>
          <w:pgMar w:left="580" w:top="265" w:right="599" w:bottom="1440" w:gutter="0" w:footer="0" w:header="0"/>
        </w:sectPr>
      </w:pPr>
    </w:p>
    <w:bookmarkStart w:id="425" w:name="page426"/>
    <w:bookmarkEnd w:id="425"/>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INNOVATION GROUP INVESTORS, L.P.</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 2011 SERIES</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Innovation Group, LLC, its General Partner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 Title: Manager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LIGHTBANK INVESTMENTS 1B, LLC</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 Title: Manager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INNOVATION GROUP INVESTORS, L.P.</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 SERIES 1B</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Innovation Group, LLC, its General Partner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 Title: Manager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10400"/>
          </w:cols>
          <w:pgMar w:left="580" w:top="265" w:right="919" w:bottom="1440" w:gutter="0" w:footer="0" w:header="0"/>
        </w:sectPr>
      </w:pPr>
    </w:p>
    <w:bookmarkStart w:id="426" w:name="page427"/>
    <w:bookmarkEnd w:id="426"/>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A INVESTMENTS, LLC</w:t>
      </w:r>
    </w:p>
    <w:p>
      <w:pPr>
        <w:spacing w:after="0" w:line="1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B INVESTMENTS, LLC</w:t>
      </w:r>
    </w:p>
    <w:p>
      <w:pPr>
        <w:spacing w:after="0" w:line="1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B-1 INVESTMENTS, LLC</w:t>
      </w:r>
    </w:p>
    <w:p>
      <w:pPr>
        <w:spacing w:after="0" w:line="1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Manager</w:t>
      </w:r>
    </w:p>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10400"/>
          </w:cols>
          <w:pgMar w:left="580" w:top="265" w:right="919" w:bottom="1440" w:gutter="0" w:footer="0" w:header="0"/>
        </w:sectPr>
      </w:pPr>
    </w:p>
    <w:bookmarkStart w:id="427" w:name="page428"/>
    <w:bookmarkEnd w:id="427"/>
    <w:p>
      <w:pPr>
        <w:ind w:left="5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B-2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TEMPUS SERIES C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TEMPUS SERIES D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TEMPUS SERIES E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9460"/>
          </w:cols>
          <w:pgMar w:left="1220" w:top="263" w:right="1219" w:bottom="1440" w:gutter="0" w:footer="0" w:header="0"/>
        </w:sectPr>
      </w:pPr>
    </w:p>
    <w:bookmarkStart w:id="428" w:name="page429"/>
    <w:bookmarkEnd w:id="428"/>
    <w:p>
      <w:pPr>
        <w:ind w:left="5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G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9460"/>
          </w:cols>
          <w:pgMar w:left="1220" w:top="263" w:right="1219" w:bottom="1440" w:gutter="0" w:footer="0" w:header="0"/>
        </w:sectPr>
      </w:pPr>
    </w:p>
    <w:bookmarkStart w:id="429" w:name="page430"/>
    <w:bookmarkEnd w:id="429"/>
    <w:p>
      <w:pPr>
        <w:ind w:left="340" w:firstLine="39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u w:val="single" w:color="auto"/>
          <w:color w:val="auto"/>
        </w:rPr>
        <w:t>COMMON HOLDERS:</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GRAY MEDIA, LLC</w:t>
      </w:r>
    </w:p>
    <w:p>
      <w:pPr>
        <w:spacing w:after="0" w:line="21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1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 PAGE TO TENTH AMENDED &amp; RESTATED INVESTORS’ RIGHTS AGREEMENT (TEMPUS LABS, INC.)</w:t>
      </w:r>
    </w:p>
    <w:p>
      <w:pPr>
        <w:sectPr>
          <w:pgSz w:w="11900" w:h="16838" w:orient="portrait"/>
          <w:cols w:equalWidth="0" w:num="1">
            <w:col w:w="10020"/>
          </w:cols>
          <w:pgMar w:left="1220" w:top="265" w:right="659" w:bottom="1440" w:gutter="0" w:footer="0" w:header="0"/>
        </w:sectPr>
      </w:pPr>
    </w:p>
    <w:bookmarkStart w:id="430" w:name="page431"/>
    <w:bookmarkEnd w:id="430"/>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A</w:t>
      </w: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Lefkofsky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Innovation Group Investors, L.P. – Series 2011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Lightbank Investments 1B,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Innovation Group Investors, L.P. – Series 1B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Highland Alternative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GCM Progress,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Grosvenor Holdings,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North Michigan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1100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60611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Attention:Michael Sacks/Adam Pollock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and Wendy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80581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80581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389890</wp:posOffset>
            </wp:positionV>
            <wp:extent cx="80581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Schedule A-1</w:t>
      </w:r>
    </w:p>
    <w:p>
      <w:pPr>
        <w:sectPr>
          <w:pgSz w:w="11900" w:h="16838" w:orient="portrait"/>
          <w:cols w:equalWidth="0" w:num="1">
            <w:col w:w="9879"/>
          </w:cols>
          <w:pgMar w:left="580" w:top="263" w:right="1440"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A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B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B-1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B-2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C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D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E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130"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8"/>
          <w:szCs w:val="18"/>
          <w:color w:val="auto"/>
        </w:rPr>
        <w:t>Schedule A-2</w:t>
      </w:r>
    </w:p>
    <w:p>
      <w:pPr>
        <w:sectPr>
          <w:pgSz w:w="11900" w:h="16838" w:orient="portrait"/>
          <w:cols w:equalWidth="0" w:num="1">
            <w:col w:w="9879"/>
          </w:cols>
          <w:pgMar w:left="580" w:top="263" w:right="1440"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G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Enterprise Associates 16,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1954 Greenspring Drive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Timonium, Maryland 21093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Attention:General Counsel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Ventures 2017,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1954 Greenspring Drive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Timonium, Maryland 21093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Attention:General Counsel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New Horizons Fund,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New Horizons Trust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U.S. Equities Trust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MassMutual Select Funds - MassMutual Select T. Rowe Price Small and Mid Cap Blend Fund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Health Sciences Fund,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 Mutual Funds - TD Health Sciences Fund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VALIC Company I - Science &amp; Technology Fund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Health Sciences Portfolio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 Rowe Price Associates,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Baek, Vice President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Revolution Growth III,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1717 Rhode Island Ave. NW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Attention:General Counsel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Praxitela Ventures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751 Laurel Street, No. 717</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California 94070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Barbara S. Hager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SFT Private Equity LLC (2016) SCT 2018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G. Searle Charitable Trusts Partnership</w:t>
      </w:r>
    </w:p>
    <w:p>
      <w:pPr>
        <w:spacing w:after="0" w:line="1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Schedule A-3</w:t>
      </w:r>
    </w:p>
    <w:p>
      <w:pPr>
        <w:sectPr>
          <w:pgSz w:w="11900" w:h="16838" w:orient="portrait"/>
          <w:cols w:equalWidth="0" w:num="1">
            <w:col w:w="9879"/>
          </w:cols>
          <w:pgMar w:left="580" w:top="263" w:right="1440"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Frances C. Searle Charitable Trusts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KTC Alternatives Fund IV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KTC Alternatives Fund V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Kinship Trust Company,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West Washington, 28th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Chris Lucchetti</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Scottish Mortgage Investment Trust plc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Schiehallion Fund Limited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Baillie Gifford &amp; Co.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Calton Square, 1 Greenside Row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Edinburgh EH1 3AN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Scotland, the United Kingdom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Teacher Retirement System of Texas, a public pension fund and entity of the State of Texas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Red River Street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 78701-2698</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Novo Holdings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Tuborg Havnevej 19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DK-2900 Hellerup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Ghenchev</w:t>
      </w:r>
    </w:p>
    <w:p>
      <w:pPr>
        <w:spacing w:after="0" w:line="298" w:lineRule="exact"/>
        <w:rPr>
          <w:sz w:val="20"/>
          <w:szCs w:val="20"/>
          <w:color w:val="auto"/>
        </w:rPr>
      </w:pPr>
    </w:p>
    <w:p>
      <w:pPr>
        <w:ind w:right="4259"/>
        <w:spacing w:after="0" w:line="282" w:lineRule="auto"/>
        <w:rPr>
          <w:sz w:val="20"/>
          <w:szCs w:val="20"/>
          <w:color w:val="auto"/>
        </w:rPr>
      </w:pPr>
      <w:r>
        <w:rPr>
          <w:rFonts w:ascii="Times New Roman" w:cs="Times New Roman" w:eastAsia="Times New Roman" w:hAnsi="Times New Roman"/>
          <w:sz w:val="16"/>
          <w:szCs w:val="16"/>
          <w:b w:val="1"/>
          <w:bCs w:val="1"/>
          <w:color w:val="auto"/>
        </w:rPr>
        <w:t>Franklin Strategic Series – Franklin Growth Opportunities Fund Franklin Templeton Investment Funds – Franklin U.S. Opportunities Fund Franklin Templeton Investment Funds – Franklin Technology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Franklin Parkway, Building 920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 94403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RFG-Sunflower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Fourth Street,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RFG-Hazel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Fourth Street,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Google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 Amphitheatre Parkway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View, California 94043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-22225</wp:posOffset>
            </wp:positionV>
            <wp:extent cx="7778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77875" cy="8255"/>
                    </a:xfrm>
                    <a:prstGeom prst="rect">
                      <a:avLst/>
                    </a:prstGeom>
                    <a:noFill/>
                  </pic:spPr>
                </pic:pic>
              </a:graphicData>
            </a:graphic>
          </wp:anchor>
        </w:drawing>
      </w:r>
    </w:p>
    <w:p>
      <w:pPr>
        <w:spacing w:after="0" w:line="1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Schedule A-4</w:t>
      </w:r>
    </w:p>
    <w:p>
      <w:pPr>
        <w:sectPr>
          <w:pgSz w:w="11900" w:h="16838" w:orient="portrait"/>
          <w:cols w:equalWidth="0" w:num="1">
            <w:col w:w="9879"/>
          </w:cols>
          <w:pgMar w:left="580" w:top="263" w:right="1440"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Neuberger Berman Principal Strategies PRIMA Fund LP</w:t>
      </w:r>
    </w:p>
    <w:p>
      <w:pPr>
        <w:spacing w:after="0" w:line="23" w:lineRule="exact"/>
        <w:rPr>
          <w:sz w:val="20"/>
          <w:szCs w:val="20"/>
          <w:color w:val="auto"/>
        </w:rPr>
      </w:pPr>
    </w:p>
    <w:p>
      <w:pPr>
        <w:ind w:right="4559"/>
        <w:spacing w:after="0" w:line="243" w:lineRule="auto"/>
        <w:rPr>
          <w:sz w:val="20"/>
          <w:szCs w:val="20"/>
          <w:color w:val="auto"/>
        </w:rPr>
      </w:pPr>
      <w:r>
        <w:rPr>
          <w:rFonts w:ascii="Times New Roman" w:cs="Times New Roman" w:eastAsia="Times New Roman" w:hAnsi="Times New Roman"/>
          <w:sz w:val="18"/>
          <w:szCs w:val="18"/>
          <w:b w:val="1"/>
          <w:bCs w:val="1"/>
          <w:color w:val="auto"/>
        </w:rPr>
        <w:t>Neuberger Berman Principal Strategies PRIMA Co-Invest Fund IV LP PRIMA MLP Fund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 S. LaSalle Street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60603</w:t>
      </w:r>
    </w:p>
    <w:p>
      <w:pPr>
        <w:spacing w:after="0" w:line="130"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8"/>
          <w:szCs w:val="18"/>
          <w:color w:val="auto"/>
        </w:rPr>
        <w:t>Schedule A-5</w:t>
      </w:r>
    </w:p>
    <w:p>
      <w:pPr>
        <w:sectPr>
          <w:pgSz w:w="11900" w:h="16838" w:orient="portrait"/>
          <w:cols w:equalWidth="0" w:num="1">
            <w:col w:w="9879"/>
          </w:cols>
          <w:pgMar w:left="580" w:top="263" w:right="1440" w:bottom="1440" w:gutter="0" w:footer="0" w:header="0"/>
        </w:sectPr>
      </w:pPr>
    </w:p>
    <w:bookmarkStart w:id="435" w:name="page436"/>
    <w:bookmarkEnd w:id="435"/>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B</w:t>
      </w:r>
    </w:p>
    <w:p>
      <w:pPr>
        <w:spacing w:after="0" w:line="213"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8"/>
          <w:szCs w:val="18"/>
          <w:b w:val="1"/>
          <w:bCs w:val="1"/>
          <w:u w:val="single" w:color="auto"/>
          <w:color w:val="auto"/>
        </w:rPr>
        <w:t>Common Holders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Gray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Lefkofsky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Lefkofsky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Keeks,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Brad Keywell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RFG-Sunflower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Fourth Street,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RFG-Hazel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Fourth Street,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36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Schedule B-1</w:t>
      </w:r>
    </w:p>
    <w:p>
      <w:pPr>
        <w:sectPr>
          <w:pgSz w:w="11900" w:h="16838" w:orient="portrait"/>
          <w:cols w:equalWidth="0" w:num="1">
            <w:col w:w="9879"/>
          </w:cols>
          <w:pgMar w:left="580" w:top="263" w:right="1440" w:bottom="1440" w:gutter="0" w:footer="0" w:header="0"/>
        </w:sectPr>
      </w:pPr>
    </w:p>
    <w:bookmarkStart w:id="436" w:name="page437"/>
    <w:bookmarkEnd w:id="43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Novo Side Letter</w:t>
      </w:r>
    </w:p>
    <w:p>
      <w:pPr>
        <w:sectPr>
          <w:pgSz w:w="11900" w:h="16838" w:orient="portrait"/>
          <w:cols w:equalWidth="0" w:num="1">
            <w:col w:w="9019"/>
          </w:cols>
          <w:pgMar w:left="1440" w:top="263" w:right="1440" w:bottom="1440" w:gutter="0" w:footer="0" w:header="0"/>
        </w:sectPr>
      </w:pPr>
    </w:p>
    <w:bookmarkStart w:id="437" w:name="page438"/>
    <w:bookmarkEnd w:id="43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TEMPUS LABS,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3" w:lineRule="exact"/>
        <w:rPr>
          <w:sz w:val="20"/>
          <w:szCs w:val="20"/>
          <w:color w:val="auto"/>
        </w:rPr>
      </w:pPr>
    </w:p>
    <w:p>
      <w:pPr>
        <w:ind w:left="620" w:hanging="184"/>
        <w:spacing w:after="0"/>
        <w:tabs>
          <w:tab w:leader="none" w:pos="6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STABLISHMENT</w:t>
      </w:r>
      <w:r>
        <w:rPr>
          <w:rFonts w:ascii="Times New Roman" w:cs="Times New Roman" w:eastAsia="Times New Roman" w:hAnsi="Times New Roman"/>
          <w:sz w:val="18"/>
          <w:szCs w:val="18"/>
          <w:b w:val="1"/>
          <w:bCs w:val="1"/>
          <w:u w:val="single" w:color="auto"/>
          <w:color w:val="auto"/>
        </w:rPr>
        <w:t>, P</w:t>
      </w:r>
      <w:r>
        <w:rPr>
          <w:rFonts w:ascii="Times New Roman" w:cs="Times New Roman" w:eastAsia="Times New Roman" w:hAnsi="Times New Roman"/>
          <w:sz w:val="14"/>
          <w:szCs w:val="14"/>
          <w:b w:val="1"/>
          <w:bCs w:val="1"/>
          <w:u w:val="single" w:color="auto"/>
          <w:color w:val="auto"/>
        </w:rPr>
        <w:t>URPOSE AND</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4"/>
          <w:szCs w:val="14"/>
          <w:b w:val="1"/>
          <w:bCs w:val="1"/>
          <w:u w:val="single" w:color="auto"/>
          <w:color w:val="auto"/>
        </w:rPr>
        <w:t>ERM OF</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LAN</w:t>
      </w:r>
      <w:r>
        <w:rPr>
          <w:rFonts w:ascii="Times New Roman" w:cs="Times New Roman" w:eastAsia="Times New Roman" w:hAnsi="Times New Roman"/>
          <w:sz w:val="18"/>
          <w:szCs w:val="18"/>
          <w:b w:val="1"/>
          <w:bCs w:val="1"/>
          <w:u w:val="single" w:color="auto"/>
          <w:color w:val="auto"/>
        </w:rPr>
        <w:t>.</w:t>
      </w:r>
    </w:p>
    <w:p>
      <w:pPr>
        <w:spacing w:after="0" w:line="106" w:lineRule="exact"/>
        <w:rPr>
          <w:sz w:val="20"/>
          <w:szCs w:val="20"/>
          <w:color w:val="auto"/>
        </w:rPr>
      </w:pPr>
    </w:p>
    <w:p>
      <w:pPr>
        <w:ind w:right="480" w:firstLine="964"/>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Establishment.</w:t>
      </w:r>
      <w:r>
        <w:rPr>
          <w:rFonts w:ascii="Times New Roman" w:cs="Times New Roman" w:eastAsia="Times New Roman" w:hAnsi="Times New Roman"/>
          <w:sz w:val="18"/>
          <w:szCs w:val="18"/>
          <w:color w:val="auto"/>
        </w:rPr>
        <w:t xml:space="preserve"> The Tempus Labs, Inc. 2015 Stock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established effective as of September 21, 2015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Plan was amended and restated as of September 8, 2017, and further amended and restated as of March 16, 2018 and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16, 2019.</w:t>
      </w:r>
    </w:p>
    <w:p>
      <w:pPr>
        <w:spacing w:after="0" w:line="68" w:lineRule="exact"/>
        <w:rPr>
          <w:sz w:val="20"/>
          <w:szCs w:val="20"/>
          <w:color w:val="auto"/>
        </w:rPr>
      </w:pPr>
    </w:p>
    <w:p>
      <w:pPr>
        <w:ind w:right="60" w:firstLine="964"/>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Restricted Stock Awards and Restricted Stock Unit Awards.</w:t>
      </w:r>
    </w:p>
    <w:p>
      <w:pPr>
        <w:spacing w:after="0" w:line="74" w:lineRule="exact"/>
        <w:rPr>
          <w:sz w:val="20"/>
          <w:szCs w:val="20"/>
          <w:color w:val="auto"/>
        </w:rPr>
      </w:pPr>
    </w:p>
    <w:p>
      <w:pPr>
        <w:ind w:right="60" w:firstLine="964"/>
        <w:spacing w:after="0" w:line="25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xml:space="preserve"> The Plan shall continue in effect until its termination by the Board; provided, however, that all Awards shall be granted, if at all, within ten (10) years from the earlier of the date the Plan is adopted by the Board or the date the Plan is duly approved by the stockholders of the Company.</w:t>
      </w:r>
    </w:p>
    <w:p>
      <w:pPr>
        <w:spacing w:after="0" w:line="283" w:lineRule="exact"/>
        <w:rPr>
          <w:sz w:val="20"/>
          <w:szCs w:val="20"/>
          <w:color w:val="auto"/>
        </w:rPr>
      </w:pPr>
    </w:p>
    <w:p>
      <w:pPr>
        <w:ind w:left="620" w:hanging="184"/>
        <w:spacing w:after="0"/>
        <w:tabs>
          <w:tab w:leader="none" w:pos="6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4"/>
          <w:szCs w:val="14"/>
          <w:b w:val="1"/>
          <w:bCs w:val="1"/>
          <w:u w:val="single" w:color="auto"/>
          <w:color w:val="auto"/>
        </w:rPr>
        <w:t>EFINITIONS AND</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ONSTRUCTION</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Whenever used herein, the following terms shall have their respective meanings set forth below:</w:t>
      </w:r>
    </w:p>
    <w:p>
      <w:pPr>
        <w:spacing w:after="0" w:line="1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Option, Restricted Stock Purchase Right, Restricted Stock Bonus or Restricted Stock Unit Award granted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Plan.</w:t>
      </w:r>
    </w:p>
    <w:p>
      <w:pPr>
        <w:spacing w:after="0" w:line="86" w:lineRule="exact"/>
        <w:rPr>
          <w:sz w:val="20"/>
          <w:szCs w:val="20"/>
          <w:color w:val="auto"/>
        </w:rPr>
      </w:pPr>
    </w:p>
    <w:p>
      <w:pPr>
        <w:ind w:right="280" w:firstLine="1400"/>
        <w:spacing w:after="0" w:line="272" w:lineRule="auto"/>
        <w:tabs>
          <w:tab w:leader="none" w:pos="16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agreement between the Company and a Participant setting forth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applicable to an Award.</w:t>
      </w:r>
    </w:p>
    <w:p>
      <w:pPr>
        <w:spacing w:after="0" w:line="55" w:lineRule="exact"/>
        <w:rPr>
          <w:rFonts w:ascii="Times New Roman" w:cs="Times New Roman" w:eastAsia="Times New Roman" w:hAnsi="Times New Roman"/>
          <w:sz w:val="18"/>
          <w:szCs w:val="18"/>
          <w:color w:val="auto"/>
        </w:rPr>
      </w:pPr>
    </w:p>
    <w:p>
      <w:pPr>
        <w:ind w:right="580" w:firstLine="1400"/>
        <w:spacing w:after="0" w:line="272" w:lineRule="auto"/>
        <w:tabs>
          <w:tab w:leader="none" w:pos="163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 If one or more Committees have been appointed by the 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administer the Plan,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also means such Committee(s).</w:t>
      </w:r>
    </w:p>
    <w:p>
      <w:pPr>
        <w:spacing w:after="0" w:line="55" w:lineRule="exact"/>
        <w:rPr>
          <w:rFonts w:ascii="Times New Roman" w:cs="Times New Roman" w:eastAsia="Times New Roman" w:hAnsi="Times New Roman"/>
          <w:sz w:val="18"/>
          <w:szCs w:val="18"/>
          <w:color w:val="auto"/>
        </w:rPr>
      </w:pPr>
    </w:p>
    <w:p>
      <w:pPr>
        <w:ind w:firstLine="1400"/>
        <w:spacing w:after="0" w:line="249" w:lineRule="auto"/>
        <w:tabs>
          <w:tab w:leader="none" w:pos="16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unless such term or an equivalent term is otherwise defined by the applicable Award Agreement or other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a Participant and a Participating Company applicable to an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w:t>
      </w:r>
    </w:p>
    <w:p>
      <w:pPr>
        <w:sectPr>
          <w:pgSz w:w="11900" w:h="16838" w:orient="portrait"/>
          <w:cols w:equalWidth="0" w:num="1">
            <w:col w:w="10720"/>
          </w:cols>
          <w:pgMar w:left="580" w:top="119" w:right="599" w:bottom="1440" w:gutter="0" w:footer="0" w:header="0"/>
        </w:sectPr>
      </w:pPr>
    </w:p>
    <w:bookmarkStart w:id="438" w:name="page439"/>
    <w:bookmarkEnd w:id="438"/>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or service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spacing w:after="0" w:line="80" w:lineRule="exact"/>
        <w:rPr>
          <w:sz w:val="20"/>
          <w:szCs w:val="20"/>
          <w:color w:val="auto"/>
        </w:rPr>
      </w:pPr>
    </w:p>
    <w:p>
      <w:pPr>
        <w:jc w:val="both"/>
        <w:ind w:right="40" w:firstLine="1400"/>
        <w:spacing w:after="0" w:line="258" w:lineRule="auto"/>
        <w:tabs>
          <w:tab w:leader="none" w:pos="163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unless such term or an equivalent term is otherwise defined by the applicable Award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written agreement between the Participant and a Participating Company applicable to an Award, the occurrence of any one or a combination of the following:</w:t>
      </w:r>
    </w:p>
    <w:p>
      <w:pPr>
        <w:spacing w:after="0" w:line="67" w:lineRule="exact"/>
        <w:rPr>
          <w:rFonts w:ascii="Times New Roman" w:cs="Times New Roman" w:eastAsia="Times New Roman" w:hAnsi="Times New Roman"/>
          <w:sz w:val="18"/>
          <w:szCs w:val="18"/>
          <w:color w:val="auto"/>
        </w:rPr>
      </w:pPr>
    </w:p>
    <w:p>
      <w:pPr>
        <w:ind w:right="60" w:firstLine="1936"/>
        <w:spacing w:after="0" w:line="250" w:lineRule="auto"/>
        <w:tabs>
          <w:tab w:leader="none" w:pos="213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Ownership Change Event or a series of related Ownership Change Events (collectively,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w:t>
      </w:r>
      <w:r>
        <w:rPr>
          <w:rFonts w:ascii="Times New Roman" w:cs="Times New Roman" w:eastAsia="Times New Roman" w:hAnsi="Times New Roman"/>
          <w:sz w:val="18"/>
          <w:szCs w:val="18"/>
          <w:u w:val="single" w:color="auto"/>
          <w:color w:val="auto"/>
        </w:rPr>
        <w:t>Section 2.1(v)(iii)</w:t>
      </w:r>
      <w:r>
        <w:rPr>
          <w:rFonts w:ascii="Times New Roman" w:cs="Times New Roman" w:eastAsia="Times New Roman" w:hAnsi="Times New Roman"/>
          <w:sz w:val="18"/>
          <w:szCs w:val="18"/>
          <w:color w:val="auto"/>
        </w:rPr>
        <w:t xml:space="preserve">, the entity to which the assets of the Company were transferred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Transferee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 the case may be; or</w:t>
      </w:r>
    </w:p>
    <w:p>
      <w:pPr>
        <w:spacing w:after="0" w:line="81"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date specified by the Board following approval by the stockholders of a plan of complete liquidation or dissolution of</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Company;</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provided, however, that a Change in Control shall be deemed not to include a transaction described in subsection (i)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in which a majority of the members of the board of directors of the continuing, surviving or successor entity, or parent thereof, immediately after such transaction is comprised of Incumbent Directors.</w:t>
      </w:r>
    </w:p>
    <w:p>
      <w:pPr>
        <w:spacing w:after="0" w:line="7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Board shall determine whether multiple events described in subsections (i) and (ii)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are related and to be treated in the aggregate as a single Change in Control, and its determination shall be final, binding and conclusive.</w:t>
      </w:r>
    </w:p>
    <w:p>
      <w:pPr>
        <w:spacing w:after="0" w:line="78" w:lineRule="exact"/>
        <w:rPr>
          <w:sz w:val="20"/>
          <w:szCs w:val="20"/>
          <w:color w:val="auto"/>
        </w:rPr>
      </w:pPr>
    </w:p>
    <w:p>
      <w:pPr>
        <w:ind w:right="320" w:firstLine="1400"/>
        <w:spacing w:after="0" w:line="272" w:lineRule="auto"/>
        <w:tabs>
          <w:tab w:leader="none" w:pos="161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Internal Revenue Code of 1986, as amended, and any applicable regulations and administrative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thereunder.</w:t>
      </w:r>
    </w:p>
    <w:p>
      <w:pPr>
        <w:spacing w:after="0" w:line="55" w:lineRule="exact"/>
        <w:rPr>
          <w:rFonts w:ascii="Times New Roman" w:cs="Times New Roman" w:eastAsia="Times New Roman" w:hAnsi="Times New Roman"/>
          <w:sz w:val="18"/>
          <w:szCs w:val="18"/>
          <w:color w:val="auto"/>
        </w:rPr>
      </w:pPr>
    </w:p>
    <w:p>
      <w:pPr>
        <w:jc w:val="both"/>
        <w:ind w:right="60" w:firstLine="1400"/>
        <w:spacing w:after="0" w:line="253" w:lineRule="auto"/>
        <w:tabs>
          <w:tab w:leader="none" w:pos="16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compensation committee or other committee or subcommittee of the Board duly appointed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Plan and having such powers as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6" w:right="599" w:bottom="1440" w:gutter="0" w:footer="0" w:header="0"/>
        </w:sectPr>
      </w:pPr>
    </w:p>
    <w:bookmarkStart w:id="439" w:name="page440"/>
    <w:bookmarkEnd w:id="439"/>
    <w:p>
      <w:pPr>
        <w:ind w:left="1620" w:hanging="240"/>
        <w:spacing w:after="0"/>
        <w:tabs>
          <w:tab w:leader="none" w:pos="16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Tempus Labs, Inc., a Delaware corporation, and any successor thereto.</w:t>
      </w:r>
    </w:p>
    <w:p>
      <w:pPr>
        <w:spacing w:after="0" w:line="108" w:lineRule="exact"/>
        <w:rPr>
          <w:rFonts w:ascii="Times New Roman" w:cs="Times New Roman" w:eastAsia="Times New Roman" w:hAnsi="Times New Roman"/>
          <w:sz w:val="18"/>
          <w:szCs w:val="18"/>
          <w:color w:val="auto"/>
        </w:rPr>
      </w:pPr>
    </w:p>
    <w:p>
      <w:pPr>
        <w:ind w:left="-20" w:right="40" w:firstLine="1400"/>
        <w:spacing w:after="0" w:line="250" w:lineRule="auto"/>
        <w:tabs>
          <w:tab w:leader="none" w:pos="158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person engaged to provide consulting or advisory services (other than as an Employee or a Director)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77" w:lineRule="exact"/>
        <w:rPr>
          <w:rFonts w:ascii="Times New Roman" w:cs="Times New Roman" w:eastAsia="Times New Roman" w:hAnsi="Times New Roman"/>
          <w:sz w:val="18"/>
          <w:szCs w:val="18"/>
          <w:color w:val="auto"/>
        </w:rPr>
      </w:pPr>
    </w:p>
    <w:p>
      <w:pPr>
        <w:ind w:left="1580" w:hanging="200"/>
        <w:spacing w:after="0"/>
        <w:tabs>
          <w:tab w:leader="none" w:pos="15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w:t>
      </w:r>
    </w:p>
    <w:p>
      <w:pPr>
        <w:spacing w:after="0" w:line="108" w:lineRule="exact"/>
        <w:rPr>
          <w:rFonts w:ascii="Times New Roman" w:cs="Times New Roman" w:eastAsia="Times New Roman" w:hAnsi="Times New Roman"/>
          <w:sz w:val="18"/>
          <w:szCs w:val="18"/>
          <w:color w:val="auto"/>
        </w:rPr>
      </w:pPr>
    </w:p>
    <w:p>
      <w:pPr>
        <w:ind w:left="-20" w:right="40" w:firstLine="1400"/>
        <w:spacing w:after="0" w:line="272" w:lineRule="auto"/>
        <w:tabs>
          <w:tab w:leader="none" w:pos="16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inability of the Participant, in the opinion of a qualified physician acceptable to the Company, to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major duties of the Participant’s position with the Participating Company Group because of the sickness or injury of the Participant.</w:t>
      </w:r>
    </w:p>
    <w:p>
      <w:pPr>
        <w:spacing w:after="0" w:line="55" w:lineRule="exact"/>
        <w:rPr>
          <w:rFonts w:ascii="Times New Roman" w:cs="Times New Roman" w:eastAsia="Times New Roman" w:hAnsi="Times New Roman"/>
          <w:sz w:val="18"/>
          <w:szCs w:val="18"/>
          <w:color w:val="auto"/>
        </w:rPr>
      </w:pPr>
    </w:p>
    <w:p>
      <w:pPr>
        <w:ind w:left="-20" w:right="60" w:firstLine="1400"/>
        <w:spacing w:after="0" w:line="258" w:lineRule="auto"/>
        <w:tabs>
          <w:tab w:leader="none" w:pos="158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right of a Participant, granted at the discretion of the Board or as otherwise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to receive a credit for the account of such Participant in an amount equal to the cash dividends paid on one share of Stock for each share of Stock represented by an Award held by such Participant.</w:t>
      </w:r>
    </w:p>
    <w:p>
      <w:pPr>
        <w:spacing w:after="0" w:line="67" w:lineRule="exact"/>
        <w:rPr>
          <w:rFonts w:ascii="Times New Roman" w:cs="Times New Roman" w:eastAsia="Times New Roman" w:hAnsi="Times New Roman"/>
          <w:sz w:val="18"/>
          <w:szCs w:val="18"/>
          <w:color w:val="auto"/>
        </w:rPr>
      </w:pPr>
    </w:p>
    <w:p>
      <w:pPr>
        <w:ind w:left="-20" w:firstLine="1400"/>
        <w:spacing w:after="0" w:line="282" w:lineRule="auto"/>
        <w:tabs>
          <w:tab w:leader="none" w:pos="1669"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Employee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any person treated as an employee (including an Officer or a Director who is also treated as an employee)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56" w:lineRule="exact"/>
        <w:rPr>
          <w:rFonts w:ascii="Times New Roman" w:cs="Times New Roman" w:eastAsia="Times New Roman" w:hAnsi="Times New Roman"/>
          <w:sz w:val="16"/>
          <w:szCs w:val="16"/>
          <w:color w:val="auto"/>
        </w:rPr>
      </w:pPr>
    </w:p>
    <w:p>
      <w:pPr>
        <w:ind w:left="1620" w:hanging="240"/>
        <w:spacing w:after="0"/>
        <w:tabs>
          <w:tab w:leader="none" w:pos="16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w:t>
      </w:r>
    </w:p>
    <w:p>
      <w:pPr>
        <w:spacing w:after="0" w:line="108" w:lineRule="exact"/>
        <w:rPr>
          <w:rFonts w:ascii="Times New Roman" w:cs="Times New Roman" w:eastAsia="Times New Roman" w:hAnsi="Times New Roman"/>
          <w:sz w:val="18"/>
          <w:szCs w:val="18"/>
          <w:color w:val="auto"/>
        </w:rPr>
      </w:pPr>
    </w:p>
    <w:p>
      <w:pPr>
        <w:ind w:left="-20" w:right="260" w:firstLine="1400"/>
        <w:spacing w:after="0" w:line="336" w:lineRule="auto"/>
        <w:tabs>
          <w:tab w:leader="none" w:pos="162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Fair Market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as of any date, the value of a share of Stock or other property as determined by the Board, in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discretion, or by the Company, in its discretion, if such determination is expressly allocated to the Company herein, subject to the following:</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80"/>
          </w:cols>
          <w:pgMar w:left="600" w:top="261" w:right="619" w:bottom="1440" w:gutter="0" w:footer="0" w:header="0"/>
        </w:sectPr>
      </w:pPr>
    </w:p>
    <w:bookmarkStart w:id="440" w:name="page441"/>
    <w:bookmarkEnd w:id="440"/>
    <w:p>
      <w:pPr>
        <w:ind w:right="120" w:firstLine="1936"/>
        <w:spacing w:after="0" w:line="248" w:lineRule="auto"/>
        <w:tabs>
          <w:tab w:leader="none" w:pos="2137"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Board, in its discretion.</w:t>
      </w:r>
    </w:p>
    <w:p>
      <w:pPr>
        <w:spacing w:after="0" w:line="82" w:lineRule="exact"/>
        <w:rPr>
          <w:rFonts w:ascii="Times New Roman" w:cs="Times New Roman" w:eastAsia="Times New Roman" w:hAnsi="Times New Roman"/>
          <w:sz w:val="18"/>
          <w:szCs w:val="18"/>
          <w:color w:val="auto"/>
        </w:rPr>
      </w:pPr>
    </w:p>
    <w:p>
      <w:pPr>
        <w:ind w:right="140" w:firstLine="1936"/>
        <w:spacing w:after="0" w:line="255" w:lineRule="auto"/>
        <w:tabs>
          <w:tab w:leader="none" w:pos="2186"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or quoted on a national or regional securities exchange or quotation system, the Fair Market Value of a share of Stock shall be as determined by the Board in good faith without regard to any restriction other than a restriction which, by its terms, will never lapse, and in a manner consistent with the requirements of Section 409A.</w:t>
      </w:r>
    </w:p>
    <w:p>
      <w:pPr>
        <w:spacing w:after="0" w:line="71" w:lineRule="exact"/>
        <w:rPr>
          <w:rFonts w:ascii="Times New Roman" w:cs="Times New Roman" w:eastAsia="Times New Roman" w:hAnsi="Times New Roman"/>
          <w:sz w:val="18"/>
          <w:szCs w:val="18"/>
          <w:color w:val="auto"/>
        </w:rPr>
      </w:pPr>
    </w:p>
    <w:p>
      <w:pPr>
        <w:ind w:right="440" w:firstLine="1400"/>
        <w:spacing w:after="0" w:line="272" w:lineRule="auto"/>
        <w:tabs>
          <w:tab w:leader="none" w:pos="16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intended to be (as set forth in the Award Agreement) and which qualifies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 within the meaning of Section 422(b) of the Code.</w:t>
      </w:r>
    </w:p>
    <w:p>
      <w:pPr>
        <w:spacing w:after="0" w:line="55" w:lineRule="exact"/>
        <w:rPr>
          <w:rFonts w:ascii="Times New Roman" w:cs="Times New Roman" w:eastAsia="Times New Roman" w:hAnsi="Times New Roman"/>
          <w:sz w:val="18"/>
          <w:szCs w:val="18"/>
          <w:color w:val="auto"/>
        </w:rPr>
      </w:pPr>
    </w:p>
    <w:p>
      <w:pPr>
        <w:ind w:right="180" w:firstLine="1400"/>
        <w:spacing w:after="0" w:line="253" w:lineRule="auto"/>
        <w:tabs>
          <w:tab w:leader="none" w:pos="16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Incumbent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director who either (i) is a member of the Board as of the Effective Date or (ii) is elected,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72" w:lineRule="exact"/>
        <w:rPr>
          <w:rFonts w:ascii="Times New Roman" w:cs="Times New Roman" w:eastAsia="Times New Roman" w:hAnsi="Times New Roman"/>
          <w:sz w:val="18"/>
          <w:szCs w:val="18"/>
          <w:color w:val="auto"/>
        </w:rPr>
      </w:pPr>
    </w:p>
    <w:p>
      <w:pPr>
        <w:ind w:left="1620" w:hanging="220"/>
        <w:spacing w:after="0"/>
        <w:tabs>
          <w:tab w:leader="none" w:pos="16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Officer, a Director or other person whose transactions in Stock are subject to Section 16 of the Exchange</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86" w:lineRule="exact"/>
        <w:rPr>
          <w:rFonts w:ascii="Times New Roman" w:cs="Times New Roman" w:eastAsia="Times New Roman" w:hAnsi="Times New Roman"/>
          <w:sz w:val="18"/>
          <w:szCs w:val="18"/>
          <w:color w:val="auto"/>
        </w:rPr>
      </w:pPr>
    </w:p>
    <w:p>
      <w:pPr>
        <w:ind w:right="440" w:firstLine="1400"/>
        <w:spacing w:after="0" w:line="272" w:lineRule="auto"/>
        <w:tabs>
          <w:tab w:leader="none" w:pos="162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not intended to be (as set forth in the Award Agreement) or which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an incentive stock option within the meaning of Section 422(b) of the Code.</w:t>
      </w:r>
    </w:p>
    <w:p>
      <w:pPr>
        <w:spacing w:after="0" w:line="55" w:lineRule="exact"/>
        <w:rPr>
          <w:rFonts w:ascii="Times New Roman" w:cs="Times New Roman" w:eastAsia="Times New Roman" w:hAnsi="Times New Roman"/>
          <w:sz w:val="18"/>
          <w:szCs w:val="18"/>
          <w:color w:val="auto"/>
        </w:rPr>
      </w:pPr>
    </w:p>
    <w:p>
      <w:pPr>
        <w:ind w:left="1600" w:hanging="200"/>
        <w:spacing w:after="0"/>
        <w:tabs>
          <w:tab w:leader="none" w:pos="16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person designated by the Board as an officer of the Company.</w:t>
      </w:r>
    </w:p>
    <w:p>
      <w:pPr>
        <w:spacing w:after="0" w:line="108"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Incentive Stock Option or a Nonstatutory Stock Option granted pursuant to the Plan.</w:t>
      </w:r>
    </w:p>
    <w:p>
      <w:pPr>
        <w:spacing w:after="0" w:line="108" w:lineRule="exact"/>
        <w:rPr>
          <w:rFonts w:ascii="Times New Roman" w:cs="Times New Roman" w:eastAsia="Times New Roman" w:hAnsi="Times New Roman"/>
          <w:sz w:val="18"/>
          <w:szCs w:val="18"/>
          <w:color w:val="auto"/>
        </w:rPr>
      </w:pPr>
    </w:p>
    <w:p>
      <w:pPr>
        <w:ind w:firstLine="1400"/>
        <w:spacing w:after="0" w:line="250" w:lineRule="auto"/>
        <w:tabs>
          <w:tab w:leader="none" w:pos="16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occurrence of any of the following with respect to the Company: (i) the direct or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5" w:right="619" w:bottom="1440" w:gutter="0" w:footer="0" w:header="0"/>
        </w:sectPr>
      </w:pPr>
    </w:p>
    <w:bookmarkStart w:id="441" w:name="page442"/>
    <w:bookmarkEnd w:id="441"/>
    <w:p>
      <w:pPr>
        <w:ind w:left="1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Parent Corporation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any present or future “parent corporation” of the Company, as defined in Section 424(e)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86" w:lineRule="exact"/>
        <w:rPr>
          <w:sz w:val="20"/>
          <w:szCs w:val="20"/>
          <w:color w:val="auto"/>
        </w:rPr>
      </w:pPr>
    </w:p>
    <w:p>
      <w:pPr>
        <w:ind w:left="1640" w:hanging="240"/>
        <w:spacing w:after="0"/>
        <w:tabs>
          <w:tab w:leader="none" w:pos="1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means any eligible person who has been granted one or more Awards.</w:t>
      </w:r>
    </w:p>
    <w:p>
      <w:pPr>
        <w:spacing w:after="0" w:line="108"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Company or any Parent Corporation or Subsidiary Corporation.</w:t>
      </w:r>
    </w:p>
    <w:p>
      <w:pPr>
        <w:spacing w:after="0" w:line="108"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Participating Company Group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at any point in time, all entities collectively which are then Participating Companies.</w:t>
      </w:r>
    </w:p>
    <w:p>
      <w:pPr>
        <w:spacing w:after="0" w:line="131" w:lineRule="exact"/>
        <w:rPr>
          <w:rFonts w:ascii="Times New Roman" w:cs="Times New Roman" w:eastAsia="Times New Roman" w:hAnsi="Times New Roman"/>
          <w:sz w:val="16"/>
          <w:szCs w:val="16"/>
          <w:color w:val="auto"/>
        </w:rPr>
      </w:pPr>
    </w:p>
    <w:p>
      <w:pPr>
        <w:ind w:left="1720" w:hanging="320"/>
        <w:spacing w:after="0"/>
        <w:tabs>
          <w:tab w:leader="none" w:pos="17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in the form of a Restricted Stock Bonus or a Restricted Stock Purchase Right.</w:t>
      </w:r>
    </w:p>
    <w:p>
      <w:pPr>
        <w:spacing w:after="0" w:line="108" w:lineRule="exact"/>
        <w:rPr>
          <w:rFonts w:ascii="Times New Roman" w:cs="Times New Roman" w:eastAsia="Times New Roman" w:hAnsi="Times New Roman"/>
          <w:sz w:val="18"/>
          <w:szCs w:val="18"/>
          <w:color w:val="auto"/>
        </w:rPr>
      </w:pPr>
    </w:p>
    <w:p>
      <w:pPr>
        <w:ind w:left="1740" w:hanging="340"/>
        <w:spacing w:after="0"/>
        <w:tabs>
          <w:tab w:leader="none" w:pos="17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Stock granted to a Participant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720" w:hanging="320"/>
        <w:spacing w:after="0"/>
        <w:tabs>
          <w:tab w:leader="none" w:pos="17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Purchase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to purchase Stock granted to a Participant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to Section 7</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1400"/>
        <w:spacing w:after="0" w:line="272" w:lineRule="auto"/>
        <w:tabs>
          <w:tab w:leader="none" w:pos="172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to a Participant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on a future date or event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or cash in lieu thereof, as determined by the Board.</w:t>
      </w:r>
    </w:p>
    <w:p>
      <w:pPr>
        <w:spacing w:after="0" w:line="55" w:lineRule="exact"/>
        <w:rPr>
          <w:rFonts w:ascii="Times New Roman" w:cs="Times New Roman" w:eastAsia="Times New Roman" w:hAnsi="Times New Roman"/>
          <w:sz w:val="18"/>
          <w:szCs w:val="18"/>
          <w:color w:val="auto"/>
        </w:rPr>
      </w:pPr>
    </w:p>
    <w:p>
      <w:pPr>
        <w:ind w:left="1720" w:hanging="320"/>
        <w:spacing w:after="0"/>
        <w:tabs>
          <w:tab w:leader="none" w:pos="172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Rule 16b-3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Rule 16b-3 under the Exchange Act, as amended from time to time, or any successor rule or regulation.</w:t>
      </w:r>
    </w:p>
    <w:p>
      <w:pPr>
        <w:spacing w:after="0" w:line="131" w:lineRule="exact"/>
        <w:rPr>
          <w:rFonts w:ascii="Times New Roman" w:cs="Times New Roman" w:eastAsia="Times New Roman" w:hAnsi="Times New Roman"/>
          <w:sz w:val="16"/>
          <w:szCs w:val="16"/>
          <w:color w:val="auto"/>
        </w:rPr>
      </w:pPr>
    </w:p>
    <w:p>
      <w:pPr>
        <w:ind w:left="1680" w:hanging="280"/>
        <w:spacing w:after="0"/>
        <w:tabs>
          <w:tab w:leader="none" w:pos="16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Section 409A of the Code.</w:t>
      </w:r>
    </w:p>
    <w:p>
      <w:pPr>
        <w:spacing w:after="0" w:line="108" w:lineRule="exact"/>
        <w:rPr>
          <w:rFonts w:ascii="Times New Roman" w:cs="Times New Roman" w:eastAsia="Times New Roman" w:hAnsi="Times New Roman"/>
          <w:sz w:val="18"/>
          <w:szCs w:val="18"/>
          <w:color w:val="auto"/>
        </w:rPr>
      </w:pPr>
    </w:p>
    <w:p>
      <w:pPr>
        <w:ind w:left="1740" w:hanging="340"/>
        <w:spacing w:after="0"/>
        <w:tabs>
          <w:tab w:leader="none" w:pos="17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108" w:lineRule="exact"/>
        <w:rPr>
          <w:rFonts w:ascii="Times New Roman" w:cs="Times New Roman" w:eastAsia="Times New Roman" w:hAnsi="Times New Roman"/>
          <w:sz w:val="18"/>
          <w:szCs w:val="18"/>
          <w:color w:val="auto"/>
        </w:rPr>
      </w:pPr>
    </w:p>
    <w:p>
      <w:pPr>
        <w:ind w:firstLine="1400"/>
        <w:spacing w:after="0" w:line="246" w:lineRule="auto"/>
        <w:tabs>
          <w:tab w:leader="none" w:pos="172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Participant’s employment or service with the Participating Company Group, whether as an Employee,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a Consultant. Unless otherwise provided by the Board,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Board,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1" w:right="619" w:bottom="1440" w:gutter="0" w:footer="0" w:header="0"/>
        </w:sectPr>
      </w:pPr>
    </w:p>
    <w:bookmarkStart w:id="442" w:name="page443"/>
    <w:bookmarkEnd w:id="442"/>
    <w:p>
      <w:pPr>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Participating Company. Subject to the foregoing, the Company, in its discretion, shall determine whether the Participant’s Service has terminated and the effective date of and reason for such termination.</w:t>
      </w:r>
    </w:p>
    <w:p>
      <w:pPr>
        <w:spacing w:after="0" w:line="61" w:lineRule="exact"/>
        <w:rPr>
          <w:sz w:val="20"/>
          <w:szCs w:val="20"/>
          <w:color w:val="auto"/>
        </w:rPr>
      </w:pPr>
    </w:p>
    <w:p>
      <w:pPr>
        <w:ind w:left="1660" w:hanging="260"/>
        <w:spacing w:after="0"/>
        <w:tabs>
          <w:tab w:leader="none" w:pos="16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non-voting common stock of the Company, as adjusted from time to time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660" w:hanging="260"/>
        <w:spacing w:after="0"/>
        <w:tabs>
          <w:tab w:leader="none" w:pos="16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Subsidiary Corporation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any present or future “subsidiary corporation” of the Company, as defined in Section 424(f) of</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w:t>
      </w:r>
    </w:p>
    <w:p>
      <w:pPr>
        <w:spacing w:after="0" w:line="86" w:lineRule="exact"/>
        <w:rPr>
          <w:sz w:val="20"/>
          <w:szCs w:val="20"/>
          <w:color w:val="auto"/>
        </w:rPr>
      </w:pPr>
    </w:p>
    <w:p>
      <w:pPr>
        <w:ind w:right="20" w:firstLine="1400"/>
        <w:spacing w:after="0" w:line="258" w:lineRule="auto"/>
        <w:tabs>
          <w:tab w:leader="none" w:pos="17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person who, at the time an Award is granted to such person, owns stock possessing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ten percent (10%) of the total combined voting power of all classes of stock of a Participating Company within the meaning of Section 422(b)(6) of the Code.</w:t>
      </w:r>
    </w:p>
    <w:p>
      <w:pPr>
        <w:spacing w:after="0" w:line="67" w:lineRule="exact"/>
        <w:rPr>
          <w:rFonts w:ascii="Times New Roman" w:cs="Times New Roman" w:eastAsia="Times New Roman" w:hAnsi="Times New Roman"/>
          <w:sz w:val="18"/>
          <w:szCs w:val="18"/>
          <w:color w:val="auto"/>
        </w:rPr>
      </w:pPr>
    </w:p>
    <w:p>
      <w:pPr>
        <w:jc w:val="both"/>
        <w:ind w:right="500" w:firstLine="1400"/>
        <w:spacing w:after="0" w:line="258" w:lineRule="auto"/>
        <w:tabs>
          <w:tab w:leader="none" w:pos="165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Trading Compliance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written policy of the Company pertaining to the purchase, sale, transfer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the Company’s equity securities by Directors, Officers, Employees or other service providers who may possess material, nonpublic information regarding the Company or its securities.</w:t>
      </w:r>
    </w:p>
    <w:p>
      <w:pPr>
        <w:spacing w:after="0" w:line="67" w:lineRule="exact"/>
        <w:rPr>
          <w:rFonts w:ascii="Times New Roman" w:cs="Times New Roman" w:eastAsia="Times New Roman" w:hAnsi="Times New Roman"/>
          <w:sz w:val="18"/>
          <w:szCs w:val="18"/>
          <w:color w:val="auto"/>
        </w:rPr>
      </w:pPr>
    </w:p>
    <w:p>
      <w:pPr>
        <w:ind w:right="380" w:firstLine="1400"/>
        <w:spacing w:after="0" w:line="305" w:lineRule="auto"/>
        <w:tabs>
          <w:tab w:leader="none" w:pos="1825"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Vesting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 those conditions established in accordance with the Plan prior to the satisfaction of which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36" w:lineRule="exact"/>
        <w:rPr>
          <w:sz w:val="20"/>
          <w:szCs w:val="20"/>
          <w:color w:val="auto"/>
        </w:rPr>
      </w:pPr>
    </w:p>
    <w:p>
      <w:pPr>
        <w:jc w:val="both"/>
        <w:ind w:right="80" w:firstLine="964"/>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388" w:lineRule="exact"/>
        <w:rPr>
          <w:sz w:val="20"/>
          <w:szCs w:val="20"/>
          <w:color w:val="auto"/>
        </w:rPr>
      </w:pPr>
    </w:p>
    <w:p>
      <w:pPr>
        <w:ind w:left="620" w:hanging="184"/>
        <w:spacing w:after="0"/>
        <w:tabs>
          <w:tab w:leader="none" w:pos="6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DMINISTRATION</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right="80" w:firstLine="964"/>
        <w:spacing w:after="0" w:line="24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Administration by the Board.</w:t>
      </w:r>
      <w:r>
        <w:rPr>
          <w:rFonts w:ascii="Times New Roman" w:cs="Times New Roman" w:eastAsia="Times New Roman" w:hAnsi="Times New Roman"/>
          <w:sz w:val="18"/>
          <w:szCs w:val="18"/>
          <w:color w:val="auto"/>
        </w:rPr>
        <w:t xml:space="preserve"> The Plan shall be administered by the Board. All questions of interpretation of the Plan, of any Award Agreement or of any other form of agreement or other document employed by the Company in the administration of the Plan or of any Award shall be determined by the Board, and such determinations shall be final, binding and conclusive upon all persons having an interest in the Plan or such Award, unless fraudulent or made in bad faith. Any and all actions, decisions and determinations taken or made by the Board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84" w:lineRule="exact"/>
        <w:rPr>
          <w:sz w:val="20"/>
          <w:szCs w:val="20"/>
          <w:color w:val="auto"/>
        </w:rPr>
      </w:pPr>
    </w:p>
    <w:p>
      <w:pPr>
        <w:ind w:right="520" w:firstLine="964"/>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Authority of Officers.</w:t>
      </w:r>
      <w:r>
        <w:rPr>
          <w:rFonts w:ascii="Times New Roman" w:cs="Times New Roman" w:eastAsia="Times New Roman" w:hAnsi="Times New Roman"/>
          <w:sz w:val="18"/>
          <w:szCs w:val="18"/>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5" w:right="619" w:bottom="1440" w:gutter="0" w:footer="0" w:header="0"/>
        </w:sectPr>
      </w:pPr>
    </w:p>
    <w:bookmarkStart w:id="443" w:name="page444"/>
    <w:bookmarkEnd w:id="443"/>
    <w:p>
      <w:pPr>
        <w:ind w:right="260" w:firstLine="964"/>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3.3 </w:t>
      </w:r>
      <w:r>
        <w:rPr>
          <w:rFonts w:ascii="Times New Roman" w:cs="Times New Roman" w:eastAsia="Times New Roman" w:hAnsi="Times New Roman"/>
          <w:sz w:val="18"/>
          <w:szCs w:val="18"/>
          <w:b w:val="1"/>
          <w:bCs w:val="1"/>
          <w:color w:val="auto"/>
        </w:rPr>
        <w:t>Powers of the Board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addition to any other powers set forth in the Plan and subject to the provisions of the Plan, the Board shall have the full and final power and authority, in its discretion:</w:t>
      </w:r>
    </w:p>
    <w:p>
      <w:pPr>
        <w:spacing w:after="0" w:line="60" w:lineRule="exact"/>
        <w:rPr>
          <w:sz w:val="20"/>
          <w:szCs w:val="20"/>
          <w:color w:val="auto"/>
        </w:rPr>
      </w:pPr>
    </w:p>
    <w:p>
      <w:pPr>
        <w:ind w:right="80" w:firstLine="1400"/>
        <w:spacing w:after="0" w:line="267" w:lineRule="auto"/>
        <w:tabs>
          <w:tab w:leader="none" w:pos="1631"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persons to whom, and the time or times at which, Awards shall be granted and the number of shares of Stock or units to be subject to each Award;</w:t>
      </w:r>
    </w:p>
    <w:p>
      <w:pPr>
        <w:spacing w:after="0" w:line="64"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of Award granted;</w:t>
      </w:r>
    </w:p>
    <w:p>
      <w:pPr>
        <w:spacing w:after="0" w:line="108"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of shares of Stock or other property;</w:t>
      </w:r>
    </w:p>
    <w:p>
      <w:pPr>
        <w:spacing w:after="0" w:line="108" w:lineRule="exact"/>
        <w:rPr>
          <w:rFonts w:ascii="Times New Roman" w:cs="Times New Roman" w:eastAsia="Times New Roman" w:hAnsi="Times New Roman"/>
          <w:sz w:val="18"/>
          <w:szCs w:val="18"/>
          <w:color w:val="auto"/>
        </w:rPr>
      </w:pPr>
    </w:p>
    <w:p>
      <w:pPr>
        <w:ind w:right="180" w:firstLine="1400"/>
        <w:spacing w:after="0" w:line="247" w:lineRule="auto"/>
        <w:tabs>
          <w:tab w:leader="none" w:pos="1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time of expiration of any Award, (vi) the effect of any Participant’s termination of Service on any of the foregoing, and (vii) all other terms, conditions and restrictions applicable to any Award or shares acquired pursuant thereto not inconsistent with the terms of the Plan;</w:t>
      </w:r>
    </w:p>
    <w:p>
      <w:pPr>
        <w:spacing w:after="0" w:line="84"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 Award will be settled in shares of Stock, cash, other property or in any combination thereof;</w:t>
      </w:r>
    </w:p>
    <w:p>
      <w:pPr>
        <w:spacing w:after="0" w:line="108" w:lineRule="exact"/>
        <w:rPr>
          <w:rFonts w:ascii="Times New Roman" w:cs="Times New Roman" w:eastAsia="Times New Roman" w:hAnsi="Times New Roman"/>
          <w:sz w:val="18"/>
          <w:szCs w:val="18"/>
          <w:color w:val="auto"/>
        </w:rPr>
      </w:pPr>
    </w:p>
    <w:p>
      <w:pPr>
        <w:ind w:left="1620" w:hanging="220"/>
        <w:spacing w:after="0"/>
        <w:tabs>
          <w:tab w:leader="none" w:pos="1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forms of Award Agreement;</w:t>
      </w:r>
    </w:p>
    <w:p>
      <w:pPr>
        <w:spacing w:after="0" w:line="108" w:lineRule="exact"/>
        <w:rPr>
          <w:rFonts w:ascii="Times New Roman" w:cs="Times New Roman" w:eastAsia="Times New Roman" w:hAnsi="Times New Roman"/>
          <w:sz w:val="18"/>
          <w:szCs w:val="18"/>
          <w:color w:val="auto"/>
        </w:rPr>
      </w:pPr>
    </w:p>
    <w:p>
      <w:pPr>
        <w:ind w:right="140" w:firstLine="1400"/>
        <w:spacing w:after="0" w:line="267" w:lineRule="auto"/>
        <w:tabs>
          <w:tab w:leader="none" w:pos="1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modify, extend, cancel or renew any Award or to waive any restrictions or conditions applicable to any Award or any shares acquired pursuant thereto;</w:t>
      </w:r>
    </w:p>
    <w:p>
      <w:pPr>
        <w:spacing w:after="0" w:line="64" w:lineRule="exact"/>
        <w:rPr>
          <w:rFonts w:ascii="Times New Roman" w:cs="Times New Roman" w:eastAsia="Times New Roman" w:hAnsi="Times New Roman"/>
          <w:sz w:val="18"/>
          <w:szCs w:val="18"/>
          <w:color w:val="auto"/>
        </w:rPr>
      </w:pPr>
    </w:p>
    <w:p>
      <w:pPr>
        <w:ind w:right="180" w:firstLine="1400"/>
        <w:spacing w:after="0" w:line="267" w:lineRule="auto"/>
        <w:tabs>
          <w:tab w:leader="none" w:pos="1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reprice or otherwise adjust the exercise price of any Option, or to grant in substitution for any Option a new Award covering the same or different number of shares of Stock;</w:t>
      </w:r>
    </w:p>
    <w:p>
      <w:pPr>
        <w:spacing w:after="0" w:line="64" w:lineRule="exact"/>
        <w:rPr>
          <w:rFonts w:ascii="Times New Roman" w:cs="Times New Roman" w:eastAsia="Times New Roman" w:hAnsi="Times New Roman"/>
          <w:sz w:val="18"/>
          <w:szCs w:val="18"/>
          <w:color w:val="auto"/>
        </w:rPr>
      </w:pPr>
    </w:p>
    <w:p>
      <w:pPr>
        <w:ind w:right="580" w:firstLine="1400"/>
        <w:spacing w:after="0" w:line="267" w:lineRule="auto"/>
        <w:tabs>
          <w:tab w:leader="none" w:pos="160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continue, extend or defer the exercisability or vesting of any Award or any shares acquired pursuant thereto, including with respect to the period following a Participant’s termination of Service;</w:t>
      </w:r>
    </w:p>
    <w:p>
      <w:pPr>
        <w:spacing w:after="0" w:line="64" w:lineRule="exact"/>
        <w:rPr>
          <w:rFonts w:ascii="Times New Roman" w:cs="Times New Roman" w:eastAsia="Times New Roman" w:hAnsi="Times New Roman"/>
          <w:sz w:val="18"/>
          <w:szCs w:val="18"/>
          <w:color w:val="auto"/>
        </w:rPr>
      </w:pPr>
    </w:p>
    <w:p>
      <w:pPr>
        <w:ind w:firstLine="1400"/>
        <w:spacing w:after="0" w:line="255" w:lineRule="auto"/>
        <w:tabs>
          <w:tab w:leader="none" w:pos="160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or rescind rules, guidelines and policies relating to the Plan, or to adopt sub-plans or supplements to, or alternative versions of, the Plan, including, without limitation, as the Board deems necessary or desirable to comply with the laws of, or to accommodate the tax policy, accounting principles or custom of, foreign jurisdictions whose residents may be granted Awards; and</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580" w:top="261" w:right="619" w:bottom="1440" w:gutter="0" w:footer="0" w:header="0"/>
        </w:sectPr>
      </w:pPr>
    </w:p>
    <w:bookmarkStart w:id="444" w:name="page445"/>
    <w:bookmarkEnd w:id="444"/>
    <w:p>
      <w:pPr>
        <w:jc w:val="both"/>
        <w:ind w:right="200" w:firstLine="1400"/>
        <w:spacing w:after="0" w:line="255" w:lineRule="auto"/>
        <w:tabs>
          <w:tab w:leader="none" w:pos="16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correct any defect, supply any omission or reconcile any inconsistency in the Plan or any Award Agreement and to make all other determinations and take such other actions with respect to the Plan or any Award as the Board may deem advisable to the extent not inconsistent with the provisions of the Plan or applicable law.</w:t>
      </w:r>
    </w:p>
    <w:p>
      <w:pPr>
        <w:spacing w:after="0" w:line="73" w:lineRule="exact"/>
        <w:rPr>
          <w:sz w:val="20"/>
          <w:szCs w:val="20"/>
          <w:color w:val="auto"/>
        </w:rPr>
      </w:pPr>
    </w:p>
    <w:p>
      <w:pPr>
        <w:ind w:right="20" w:firstLine="964"/>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Administration with Respect to Insiders.</w:t>
      </w:r>
      <w:r>
        <w:rPr>
          <w:rFonts w:ascii="Times New Roman" w:cs="Times New Roman" w:eastAsia="Times New Roman" w:hAnsi="Times New Roman"/>
          <w:sz w:val="18"/>
          <w:szCs w:val="18"/>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73" w:lineRule="exact"/>
        <w:rPr>
          <w:sz w:val="20"/>
          <w:szCs w:val="20"/>
          <w:color w:val="auto"/>
        </w:rPr>
      </w:pPr>
    </w:p>
    <w:p>
      <w:pPr>
        <w:ind w:right="100" w:firstLine="964"/>
        <w:spacing w:after="0" w:line="24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In addition to such other rights of indemnification as they may have as members of the Board or as officers or employees of the Participating Company Group, to the extent permitted by applicable law, members of the Board and any officers or employees of the Participating Company Group to whom authority to act for the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294" w:lineRule="exact"/>
        <w:rPr>
          <w:sz w:val="20"/>
          <w:szCs w:val="20"/>
          <w:color w:val="auto"/>
        </w:rPr>
      </w:pPr>
    </w:p>
    <w:p>
      <w:pPr>
        <w:ind w:left="620" w:hanging="184"/>
        <w:spacing w:after="0"/>
        <w:tabs>
          <w:tab w:leader="none" w:pos="6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HARES</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UBJECT TO</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LAN</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firstLine="964"/>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Maximum Number of Shares Issuable.</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the maximum aggregate number of shares of Stock that may be issued under the Plan shall be 12,615,750 and shall consist of authorized but unissued or reacquired shares of Stock or any combination thereof.</w:t>
      </w:r>
    </w:p>
    <w:p>
      <w:pPr>
        <w:spacing w:after="0" w:line="73" w:lineRule="exact"/>
        <w:rPr>
          <w:sz w:val="20"/>
          <w:szCs w:val="20"/>
          <w:color w:val="auto"/>
        </w:rPr>
      </w:pPr>
    </w:p>
    <w:p>
      <w:pPr>
        <w:ind w:right="80" w:firstLine="964"/>
        <w:spacing w:after="0" w:line="24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Share Counting.</w:t>
      </w:r>
      <w:r>
        <w:rPr>
          <w:rFonts w:ascii="Times New Roman" w:cs="Times New Roman" w:eastAsia="Times New Roman" w:hAnsi="Times New Roman"/>
          <w:sz w:val="18"/>
          <w:szCs w:val="18"/>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exercise or purchase price, the shares of Stock allocable to the terminated portion of such Award or such forfeited or repurchased shares of Stock shall again be available for issuance under the Plan. Shares of Stock shall not be deemed to have been issued pursuant to the Plan (a) with respect to any portion of an Award that is settled in cash or (b) to the extent such shares are withheld or reacquired by the Company in satisfaction of tax withholding obligations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If the exercise price of an Option is paid by tender to the Company, or attestation to the ownership, of shares of Stock owned by the Participant, or by means of a Net Exercise, the number of shares available for issuance under the Plan shall be reduced by the net number of shares issued upon the exercise of the Option.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5" w:right="599" w:bottom="1440" w:gutter="0" w:footer="0" w:header="0"/>
        </w:sectPr>
      </w:pPr>
    </w:p>
    <w:bookmarkStart w:id="445" w:name="page446"/>
    <w:bookmarkEnd w:id="445"/>
    <w:p>
      <w:pPr>
        <w:ind w:firstLine="964"/>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4.3 </w:t>
      </w:r>
      <w:r>
        <w:rPr>
          <w:rFonts w:ascii="Times New Roman" w:cs="Times New Roman" w:eastAsia="Times New Roman" w:hAnsi="Times New Roman"/>
          <w:sz w:val="16"/>
          <w:szCs w:val="16"/>
          <w:b w:val="1"/>
          <w:bCs w:val="1"/>
          <w:color w:val="auto"/>
        </w:rPr>
        <w:t>Adjustments for Changes in Capital Structure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in the ISO Share Limit set forth in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xml:space="preserve">, and in the exercise or purchase price per share under any outstanding Awards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New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the Board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Board, in its discretion.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the Award. Such adjustments shall be determined by the Board, and its determination shall be final, binding and conclusive.</w:t>
      </w:r>
    </w:p>
    <w:p>
      <w:pPr>
        <w:spacing w:after="0" w:line="268" w:lineRule="exact"/>
        <w:rPr>
          <w:sz w:val="20"/>
          <w:szCs w:val="20"/>
          <w:color w:val="auto"/>
        </w:rPr>
      </w:pPr>
    </w:p>
    <w:p>
      <w:pPr>
        <w:ind w:right="80" w:firstLine="964"/>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Assumption or Substitution of Awards.</w:t>
      </w:r>
      <w:r>
        <w:rPr>
          <w:rFonts w:ascii="Times New Roman" w:cs="Times New Roman" w:eastAsia="Times New Roman" w:hAnsi="Times New Roman"/>
          <w:sz w:val="18"/>
          <w:szCs w:val="18"/>
          <w:color w:val="auto"/>
        </w:rPr>
        <w:t xml:space="preserve"> The Board may, without affecting the number of shares of Stock available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286" w:lineRule="exact"/>
        <w:rPr>
          <w:sz w:val="20"/>
          <w:szCs w:val="20"/>
          <w:color w:val="auto"/>
        </w:rPr>
      </w:pPr>
    </w:p>
    <w:p>
      <w:pPr>
        <w:ind w:left="620" w:hanging="184"/>
        <w:spacing w:after="0"/>
        <w:tabs>
          <w:tab w:leader="none" w:pos="6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LIGIBILITY</w:t>
      </w:r>
      <w:r>
        <w:rPr>
          <w:rFonts w:ascii="Times New Roman" w:cs="Times New Roman" w:eastAsia="Times New Roman" w:hAnsi="Times New Roman"/>
          <w:sz w:val="18"/>
          <w:szCs w:val="18"/>
          <w:b w:val="1"/>
          <w:bCs w:val="1"/>
          <w:u w:val="single" w:color="auto"/>
          <w:color w:val="auto"/>
        </w:rPr>
        <w:t>, P</w:t>
      </w:r>
      <w:r>
        <w:rPr>
          <w:rFonts w:ascii="Times New Roman" w:cs="Times New Roman" w:eastAsia="Times New Roman" w:hAnsi="Times New Roman"/>
          <w:sz w:val="14"/>
          <w:szCs w:val="14"/>
          <w:b w:val="1"/>
          <w:bCs w:val="1"/>
          <w:u w:val="single" w:color="auto"/>
          <w:color w:val="auto"/>
        </w:rPr>
        <w:t>ARTICIPATION AND</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PTION</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IMITATIONS</w:t>
      </w:r>
      <w:r>
        <w:rPr>
          <w:rFonts w:ascii="Times New Roman" w:cs="Times New Roman" w:eastAsia="Times New Roman" w:hAnsi="Times New Roman"/>
          <w:sz w:val="18"/>
          <w:szCs w:val="18"/>
          <w:b w:val="1"/>
          <w:bCs w:val="1"/>
          <w:u w:val="single" w:color="auto"/>
          <w:color w:val="auto"/>
        </w:rPr>
        <w:t>.</w:t>
      </w:r>
    </w:p>
    <w:p>
      <w:pPr>
        <w:spacing w:after="0" w:line="1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Persons Eligible for Awards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Awards may be granted only to Employees, Consultants and Directors.</w:t>
      </w:r>
    </w:p>
    <w:p>
      <w:pPr>
        <w:spacing w:after="0" w:line="215" w:lineRule="exact"/>
        <w:rPr>
          <w:sz w:val="20"/>
          <w:szCs w:val="20"/>
          <w:color w:val="auto"/>
        </w:rPr>
      </w:pPr>
    </w:p>
    <w:p>
      <w:pPr>
        <w:ind w:firstLine="964"/>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Participation in the Plan.</w:t>
      </w:r>
      <w:r>
        <w:rPr>
          <w:rFonts w:ascii="Times New Roman" w:cs="Times New Roman" w:eastAsia="Times New Roman" w:hAnsi="Times New Roman"/>
          <w:sz w:val="18"/>
          <w:szCs w:val="18"/>
          <w:color w:val="auto"/>
        </w:rPr>
        <w:t xml:space="preserve"> Awards are granted solely at the discretion of the Board. Eligible persons may be granted more than one Award. However, eligibility in accordance with this Section shall not entitle any person to be granted an Award, or, having been granted an Award, to be granted an additional Award.</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60"/>
          </w:cols>
          <w:pgMar w:left="580" w:top="261" w:right="659" w:bottom="1440" w:gutter="0" w:footer="0" w:header="0"/>
        </w:sectPr>
      </w:pPr>
    </w:p>
    <w:bookmarkStart w:id="446" w:name="page447"/>
    <w:bookmarkEnd w:id="44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5.3 </w:t>
      </w:r>
      <w:r>
        <w:rPr>
          <w:rFonts w:ascii="Times New Roman" w:cs="Times New Roman" w:eastAsia="Times New Roman" w:hAnsi="Times New Roman"/>
          <w:sz w:val="18"/>
          <w:szCs w:val="18"/>
          <w:b w:val="1"/>
          <w:bCs w:val="1"/>
          <w:color w:val="auto"/>
        </w:rPr>
        <w:t>Incentive Stock Option Limitations.</w:t>
      </w:r>
    </w:p>
    <w:p>
      <w:pPr>
        <w:spacing w:after="0" w:line="106" w:lineRule="exact"/>
        <w:rPr>
          <w:sz w:val="20"/>
          <w:szCs w:val="20"/>
          <w:color w:val="auto"/>
        </w:rPr>
      </w:pPr>
    </w:p>
    <w:p>
      <w:pPr>
        <w:ind w:right="20" w:firstLine="1400"/>
        <w:spacing w:after="0" w:line="250" w:lineRule="auto"/>
        <w:tabs>
          <w:tab w:leader="none" w:pos="163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Maximum Number of Shares Issuable Pursuant to Incentive Stock Options. </w:t>
      </w:r>
      <w:r>
        <w:rPr>
          <w:rFonts w:ascii="Times New Roman" w:cs="Times New Roman" w:eastAsia="Times New Roman" w:hAnsi="Times New Roman"/>
          <w:sz w:val="18"/>
          <w:szCs w:val="18"/>
          <w:color w:val="auto"/>
        </w:rPr>
        <w:t>Subject to Section 4.1 and adjustment as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Sections 4.2 and 4.3, the maximum aggregate number of shares of Stock that may be issued under the Plan pursuant to the exercise of Incentive Stock Options shall not exceed 12,615,750 shares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ISO Share Limit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maximum aggregate number of shares of Stock that may be issued under the Plan pursuant to all Awards other than Incentive Stock Options shall be the number of shares determined in accordance with Section 4.1,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60" w:firstLine="1400"/>
        <w:spacing w:after="0" w:line="258" w:lineRule="auto"/>
        <w:tabs>
          <w:tab w:leader="none" w:pos="164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Persons Eligible. </w:t>
      </w:r>
      <w:r>
        <w:rPr>
          <w:rFonts w:ascii="Times New Roman" w:cs="Times New Roman" w:eastAsia="Times New Roman" w:hAnsi="Times New Roman"/>
          <w:sz w:val="18"/>
          <w:szCs w:val="18"/>
          <w:color w:val="auto"/>
        </w:rPr>
        <w:t>An Incentive Stock Option may be granted only to a person who, on the effective date of grant, is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Any person who is not an Employee on the effective date of the grant of an Option to such person may be granted only a Nonstatutory Stock Option.</w:t>
      </w:r>
    </w:p>
    <w:p>
      <w:pPr>
        <w:spacing w:after="0" w:line="67" w:lineRule="exact"/>
        <w:rPr>
          <w:rFonts w:ascii="Times New Roman" w:cs="Times New Roman" w:eastAsia="Times New Roman" w:hAnsi="Times New Roman"/>
          <w:sz w:val="18"/>
          <w:szCs w:val="18"/>
          <w:color w:val="auto"/>
        </w:rPr>
      </w:pPr>
    </w:p>
    <w:p>
      <w:pPr>
        <w:ind w:right="40" w:firstLine="1400"/>
        <w:spacing w:after="0" w:line="280" w:lineRule="auto"/>
        <w:tabs>
          <w:tab w:leader="none" w:pos="1630" w:val="left"/>
        </w:tabs>
        <w:numPr>
          <w:ilvl w:val="1"/>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Market Value Limitation. </w:t>
      </w:r>
      <w:r>
        <w:rPr>
          <w:rFonts w:ascii="Times New Roman" w:cs="Times New Roman" w:eastAsia="Times New Roman" w:hAnsi="Times New Roman"/>
          <w:sz w:val="16"/>
          <w:szCs w:val="16"/>
          <w:color w:val="auto"/>
        </w:rPr>
        <w:t>To the extent that options designated as Incentive Stock Options (granted under all stock plans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271"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PTIONS</w:t>
      </w:r>
      <w:r>
        <w:rPr>
          <w:rFonts w:ascii="Times New Roman" w:cs="Times New Roman" w:eastAsia="Times New Roman" w:hAnsi="Times New Roman"/>
          <w:sz w:val="18"/>
          <w:szCs w:val="18"/>
          <w:b w:val="1"/>
          <w:bCs w:val="1"/>
          <w:u w:val="single" w:color="auto"/>
          <w:color w:val="auto"/>
        </w:rPr>
        <w:t>.</w:t>
      </w:r>
    </w:p>
    <w:p>
      <w:pPr>
        <w:spacing w:after="0" w:line="110" w:lineRule="exact"/>
        <w:rPr>
          <w:sz w:val="20"/>
          <w:szCs w:val="20"/>
          <w:color w:val="auto"/>
        </w:rPr>
      </w:pPr>
    </w:p>
    <w:p>
      <w:pPr>
        <w:jc w:val="both"/>
        <w:ind w:right="280" w:firstLine="964"/>
        <w:spacing w:after="0" w:line="255" w:lineRule="auto"/>
        <w:rPr>
          <w:sz w:val="20"/>
          <w:szCs w:val="20"/>
          <w:color w:val="auto"/>
        </w:rPr>
      </w:pPr>
      <w:r>
        <w:rPr>
          <w:rFonts w:ascii="Times New Roman" w:cs="Times New Roman" w:eastAsia="Times New Roman" w:hAnsi="Times New Roman"/>
          <w:sz w:val="18"/>
          <w:szCs w:val="18"/>
          <w:color w:val="auto"/>
        </w:rPr>
        <w:t>Options shall be evidenced by Award Agreements specifying the number of shares of Stock covered thereby, in such form as the Board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ind w:right="160" w:firstLine="964"/>
        <w:spacing w:after="0" w:line="288"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b w:val="1"/>
          <w:bCs w:val="1"/>
          <w:color w:val="auto"/>
        </w:rPr>
        <w:t>Exercise Price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exercise price for each Option shall be established in the discretion of the Board; provided, however, that (a) the exercise price per share for an Option shall be not less than the Fair Market Value of a share of Stock on the effective date of grant of the Option and</w:t>
      </w:r>
    </w:p>
    <w:p>
      <w:pPr>
        <w:ind w:firstLine="8"/>
        <w:spacing w:after="0" w:line="244" w:lineRule="auto"/>
        <w:tabs>
          <w:tab w:leader="none" w:pos="24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granted to a Ten Percent Stockholder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 as applicable.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00"/>
          </w:cols>
          <w:pgMar w:left="580" w:top="263" w:right="619" w:bottom="1440" w:gutter="0" w:footer="0" w:header="0"/>
        </w:sectPr>
      </w:pPr>
    </w:p>
    <w:bookmarkStart w:id="447" w:name="page448"/>
    <w:bookmarkEnd w:id="447"/>
    <w:p>
      <w:pPr>
        <w:jc w:val="both"/>
        <w:ind w:right="100" w:firstLine="964"/>
        <w:spacing w:after="0" w:line="28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6.2 </w:t>
      </w:r>
      <w:r>
        <w:rPr>
          <w:rFonts w:ascii="Times New Roman" w:cs="Times New Roman" w:eastAsia="Times New Roman" w:hAnsi="Times New Roman"/>
          <w:sz w:val="16"/>
          <w:szCs w:val="16"/>
          <w:b w:val="1"/>
          <w:bCs w:val="1"/>
          <w:color w:val="auto"/>
        </w:rPr>
        <w:t>Exercisability and Term of Options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Options shall be exercisable at such time or times, or upon such event or events, and subject to such 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w:t>
      </w:r>
    </w:p>
    <w:p>
      <w:pPr>
        <w:spacing w:after="0" w:line="1" w:lineRule="exact"/>
        <w:rPr>
          <w:sz w:val="20"/>
          <w:szCs w:val="20"/>
          <w:color w:val="auto"/>
        </w:rPr>
      </w:pPr>
    </w:p>
    <w:p>
      <w:pPr>
        <w:ind w:firstLine="8"/>
        <w:spacing w:after="0" w:line="244" w:lineRule="auto"/>
        <w:tabs>
          <w:tab w:leader="none" w:pos="24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granted to a Ten Percent Stockholder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Board in the grant of an Option, each Option shall terminate ten (10) years after the effective date of grant of the Option, unless earlier terminated in accordance with its provisions.</w:t>
      </w:r>
    </w:p>
    <w:p>
      <w:pPr>
        <w:spacing w:after="0" w:line="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Payment of Exercise Price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180" w:firstLine="1400"/>
        <w:spacing w:after="0" w:line="249" w:lineRule="auto"/>
        <w:tabs>
          <w:tab w:leader="none" w:pos="163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of Consideration Authorized. </w:t>
      </w:r>
      <w:r>
        <w:rPr>
          <w:rFonts w:ascii="Times New Roman" w:cs="Times New Roman" w:eastAsia="Times New Roman" w:hAnsi="Times New Roman"/>
          <w:sz w:val="18"/>
          <w:szCs w:val="18"/>
          <w:color w:val="auto"/>
        </w:rPr>
        <w:t>Except as otherwise provided below, payment of the exercise price for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shares of Stock being purchased pursuant to any Option shall be made (i) in cash, by check or in cash equivalent, (ii) if permitted by the Company and subject to the limitations contained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by means of (1) a Stock Tender Exercise, (2) a Cashless Exercise or (3) a Net Exercise; (iii) by such other consideration as may be approved by the Board from time to time to the extent permitted by applicable law, or (iv) by any combination thereof. The Board may at any time or from time to time grant Options which do not permit all of the foregoing forms of consideration to be used in payment of the exercise price or which otherwise restrict one or more forms of consideration.</w:t>
      </w:r>
    </w:p>
    <w:p>
      <w:pPr>
        <w:spacing w:after="0" w:line="76"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Limitations on Forms of Consideration</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right="40" w:firstLine="1936"/>
        <w:spacing w:after="0" w:line="284" w:lineRule="auto"/>
        <w:tabs>
          <w:tab w:leader="none" w:pos="2137"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Tender Exercise.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Stock Tender Exercise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the delivery of a properly executed exercise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53" w:lineRule="exact"/>
        <w:rPr>
          <w:rFonts w:ascii="Times New Roman" w:cs="Times New Roman" w:eastAsia="Times New Roman" w:hAnsi="Times New Roman"/>
          <w:sz w:val="16"/>
          <w:szCs w:val="16"/>
          <w:color w:val="auto"/>
        </w:rPr>
      </w:pPr>
    </w:p>
    <w:p>
      <w:pPr>
        <w:ind w:right="100" w:firstLine="1936"/>
        <w:spacing w:after="0" w:line="270" w:lineRule="auto"/>
        <w:tabs>
          <w:tab w:leader="none" w:pos="218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Cashless Exercise. </w:t>
      </w:r>
      <w:r>
        <w:rPr>
          <w:rFonts w:ascii="Times New Roman" w:cs="Times New Roman" w:eastAsia="Times New Roman" w:hAnsi="Times New Roman"/>
          <w:sz w:val="18"/>
          <w:szCs w:val="18"/>
          <w:color w:val="auto"/>
        </w:rPr>
        <w:t>A Cashless Exercise shall be permitted only upon the class of shares subject to the Option becoming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publicly traded in an established securities market.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delivery of a properly executed exercise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580" w:top="261" w:right="599" w:bottom="1440" w:gutter="0" w:footer="0" w:header="0"/>
        </w:sectPr>
      </w:pPr>
    </w:p>
    <w:bookmarkStart w:id="448" w:name="page449"/>
    <w:bookmarkEnd w:id="448"/>
    <w:p>
      <w:pPr>
        <w:ind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78" w:lineRule="exact"/>
        <w:rPr>
          <w:sz w:val="20"/>
          <w:szCs w:val="20"/>
          <w:color w:val="auto"/>
        </w:rPr>
      </w:pPr>
    </w:p>
    <w:p>
      <w:pPr>
        <w:ind w:right="100" w:firstLine="1936"/>
        <w:spacing w:after="0" w:line="250" w:lineRule="auto"/>
        <w:tabs>
          <w:tab w:leader="none" w:pos="223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Exercise.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delivery of a properly executed exercise notice followed by a procedure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20" w:firstLine="1400"/>
        <w:spacing w:after="0" w:line="253" w:lineRule="auto"/>
        <w:tabs>
          <w:tab w:leader="none" w:pos="163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 Exercisability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earlier termination of the Option as otherwise provided by this Plan and unless a longer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period is provided by the Board,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74" w:lineRule="exact"/>
        <w:rPr>
          <w:rFonts w:ascii="Times New Roman" w:cs="Times New Roman" w:eastAsia="Times New Roman" w:hAnsi="Times New Roman"/>
          <w:sz w:val="18"/>
          <w:szCs w:val="18"/>
          <w:color w:val="auto"/>
        </w:rPr>
      </w:pPr>
    </w:p>
    <w:p>
      <w:pPr>
        <w:ind w:right="160" w:firstLine="1936"/>
        <w:spacing w:after="0" w:line="288" w:lineRule="auto"/>
        <w:tabs>
          <w:tab w:leader="none" w:pos="2137"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Disability. </w:t>
      </w:r>
      <w:r>
        <w:rPr>
          <w:rFonts w:ascii="Times New Roman" w:cs="Times New Roman" w:eastAsia="Times New Roman" w:hAnsi="Times New Roman"/>
          <w:sz w:val="16"/>
          <w:szCs w:val="16"/>
          <w:color w:val="auto"/>
        </w:rPr>
        <w:t>If the Participant’s Service terminates because of the Disability of the Participant, the Option,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(but not less than six (6) months) provided by the Award Agreement) after the date on which the Participant’s Service terminated, but in any event no later than the date of expiration of the Option’s term as set forth in the Award Agreement evidencing such Option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Option Expiration Date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51" w:lineRule="exact"/>
        <w:rPr>
          <w:rFonts w:ascii="Times New Roman" w:cs="Times New Roman" w:eastAsia="Times New Roman" w:hAnsi="Times New Roman"/>
          <w:sz w:val="16"/>
          <w:szCs w:val="16"/>
          <w:color w:val="auto"/>
        </w:rPr>
      </w:pPr>
    </w:p>
    <w:p>
      <w:pPr>
        <w:ind w:firstLine="1936"/>
        <w:spacing w:after="0" w:line="247" w:lineRule="auto"/>
        <w:tabs>
          <w:tab w:leader="none" w:pos="218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If the Participant’s Service terminates because of the death of the Participant, the Option,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(but not less than six (6) months) provided by the Award Agreement) after the date on which the Participant’s Service terminated, but in any event no later than the Option Expiration Date. The Participant’s Service shall be deemed to have terminated on account of death if the Participant dies within thirty (30) days (or such longer period provided by the Board) after the Participant’s termination of Service.</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80"/>
          </w:cols>
          <w:pgMar w:left="580" w:top="265" w:right="639" w:bottom="1440" w:gutter="0" w:footer="0" w:header="0"/>
        </w:sectPr>
      </w:pPr>
    </w:p>
    <w:bookmarkStart w:id="449" w:name="page450"/>
    <w:bookmarkEnd w:id="449"/>
    <w:p>
      <w:pPr>
        <w:ind w:right="180" w:firstLine="1936"/>
        <w:spacing w:after="0" w:line="333" w:lineRule="auto"/>
        <w:tabs>
          <w:tab w:leader="none" w:pos="2234"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Termination for Cause. </w:t>
      </w:r>
      <w:r>
        <w:rPr>
          <w:rFonts w:ascii="Times New Roman" w:cs="Times New Roman" w:eastAsia="Times New Roman" w:hAnsi="Times New Roman"/>
          <w:sz w:val="16"/>
          <w:szCs w:val="16"/>
          <w:color w:val="auto"/>
        </w:rPr>
        <w:t>Notwithstanding any other provision of the Plan to the contrary, if the Participant’s Service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terminated for Cause, the Option shall terminate in its entirety and cease to be exercisable immediately upon such termination of Service.</w:t>
      </w:r>
    </w:p>
    <w:p>
      <w:pPr>
        <w:spacing w:after="0" w:line="14" w:lineRule="exact"/>
        <w:rPr>
          <w:rFonts w:ascii="Times New Roman" w:cs="Times New Roman" w:eastAsia="Times New Roman" w:hAnsi="Times New Roman"/>
          <w:sz w:val="16"/>
          <w:szCs w:val="16"/>
          <w:color w:val="auto"/>
        </w:rPr>
      </w:pPr>
    </w:p>
    <w:p>
      <w:pPr>
        <w:ind w:right="40" w:firstLine="1936"/>
        <w:spacing w:after="0" w:line="293" w:lineRule="auto"/>
        <w:tabs>
          <w:tab w:leader="none" w:pos="2224"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Other Termination of Service. </w:t>
      </w:r>
      <w:r>
        <w:rPr>
          <w:rFonts w:ascii="Times New Roman" w:cs="Times New Roman" w:eastAsia="Times New Roman" w:hAnsi="Times New Roman"/>
          <w:sz w:val="16"/>
          <w:szCs w:val="16"/>
          <w:color w:val="auto"/>
        </w:rPr>
        <w:t>If the Participant’s Service terminates for any reason, except Disability, death or Cause,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Option, to the extent unexercised and exercisable for vested shares on the date on which the Participant’s Service terminated, may be exercised by the Participant at any time prior to the expiration of three (3) months (or such longer or shorter period (but not less than thirty (30) days) provided by the Award Agreement) after the date on which the Participant’s Service terminated, but in any event no later than the Option Expiration Date.</w:t>
      </w:r>
    </w:p>
    <w:p>
      <w:pPr>
        <w:spacing w:after="0" w:line="44" w:lineRule="exact"/>
        <w:rPr>
          <w:rFonts w:ascii="Times New Roman" w:cs="Times New Roman" w:eastAsia="Times New Roman" w:hAnsi="Times New Roman"/>
          <w:sz w:val="16"/>
          <w:szCs w:val="16"/>
          <w:color w:val="auto"/>
        </w:rPr>
      </w:pPr>
    </w:p>
    <w:p>
      <w:pPr>
        <w:ind w:right="140" w:firstLine="1400"/>
        <w:spacing w:after="0" w:line="253" w:lineRule="auto"/>
        <w:tabs>
          <w:tab w:leader="none" w:pos="16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Extension if Exercise Prevented by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the foregoing other than termination of Service for Cause,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exercise of an Option within the applicable time periods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is prevented by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the Option shall remain exercisable until the later of (i) thirty (30) days after the date such exercise first would no longer be prevented by such provisions or (ii) the end of the applicable time period under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but in any event no later than the Option Expiration Date.</w:t>
      </w:r>
    </w:p>
    <w:p>
      <w:pPr>
        <w:spacing w:after="0" w:line="74" w:lineRule="exact"/>
        <w:rPr>
          <w:sz w:val="20"/>
          <w:szCs w:val="20"/>
          <w:color w:val="auto"/>
        </w:rPr>
      </w:pPr>
    </w:p>
    <w:p>
      <w:pPr>
        <w:ind w:firstLine="964"/>
        <w:spacing w:after="0" w:line="279"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b w:val="1"/>
          <w:bCs w:val="1"/>
          <w:color w:val="auto"/>
        </w:rPr>
        <w:t>Transferability of Options.</w:t>
      </w:r>
      <w:r>
        <w:rPr>
          <w:rFonts w:ascii="Times New Roman" w:cs="Times New Roman" w:eastAsia="Times New Roman" w:hAnsi="Times New Roman"/>
          <w:sz w:val="16"/>
          <w:szCs w:val="16"/>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provided, however, that to the extent permitted by the Board, in its discretion, and set forth in the Award Agreement evidencing such Option, an Option shall be assignable or transferable subject to the applicable limitations, if any, described in Rule 701 under the Securities Act and the General Instructions to Form S-8 Registration Statement under the Securities Act or, in the case of an Incentive Stock Option, only as permitted by applicable regulations under Section 421 of the Code in a manner that does not disqualify such Option as an Incentive Stock Option. Notwithstanding the foregoing, for so long as the Company is relying on the exemption provided by Rule 12h-1(f) under the Exchange Act, no Option or, prior to its exercise, the shares to be issued upon the exercise of the Option, shall be transferred except in compliance with the restrictions on transfer under Rule 12h-1(f) (including the requirement under such rule that any permitted transferee may not further transfer the Option) or be made subject to any short position, “put equivalent position” or “call equivalent position” by the Participant, as such terms are defined in Rule 16a-1 of the Exchange Act.</w:t>
      </w:r>
    </w:p>
    <w:p>
      <w:pPr>
        <w:spacing w:after="0" w:line="273" w:lineRule="exact"/>
        <w:rPr>
          <w:sz w:val="20"/>
          <w:szCs w:val="20"/>
          <w:color w:val="auto"/>
        </w:rPr>
      </w:pPr>
    </w:p>
    <w:p>
      <w:pPr>
        <w:ind w:left="620" w:hanging="184"/>
        <w:spacing w:after="0"/>
        <w:tabs>
          <w:tab w:leader="none" w:pos="6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4"/>
          <w:szCs w:val="14"/>
          <w:b w:val="1"/>
          <w:bCs w:val="1"/>
          <w:u w:val="single" w:color="auto"/>
          <w:color w:val="auto"/>
        </w:rPr>
        <w:t>ESTRICTED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WARDS</w:t>
      </w:r>
      <w:r>
        <w:rPr>
          <w:rFonts w:ascii="Times New Roman" w:cs="Times New Roman" w:eastAsia="Times New Roman" w:hAnsi="Times New Roman"/>
          <w:sz w:val="18"/>
          <w:szCs w:val="18"/>
          <w:b w:val="1"/>
          <w:bCs w:val="1"/>
          <w:u w:val="single" w:color="auto"/>
          <w:color w:val="auto"/>
        </w:rPr>
        <w:t>.</w:t>
      </w:r>
    </w:p>
    <w:p>
      <w:pPr>
        <w:spacing w:after="0" w:line="110" w:lineRule="exact"/>
        <w:rPr>
          <w:sz w:val="20"/>
          <w:szCs w:val="20"/>
          <w:color w:val="auto"/>
        </w:rPr>
      </w:pPr>
    </w:p>
    <w:p>
      <w:pPr>
        <w:ind w:right="40" w:firstLine="964"/>
        <w:spacing w:after="0" w:line="302" w:lineRule="auto"/>
        <w:rPr>
          <w:sz w:val="20"/>
          <w:szCs w:val="20"/>
          <w:color w:val="auto"/>
        </w:rPr>
      </w:pPr>
      <w:r>
        <w:rPr>
          <w:rFonts w:ascii="Times New Roman" w:cs="Times New Roman" w:eastAsia="Times New Roman" w:hAnsi="Times New Roman"/>
          <w:sz w:val="16"/>
          <w:szCs w:val="16"/>
          <w:color w:val="auto"/>
        </w:rPr>
        <w:t>Restricted Stock Awards shall be evidenced by Award Agreements specifying whether the Award is a Restricted Stock Bonus or a Restricted Stock Purchase Right and the number of shares of Stock subject to the Award, in such form as the Board shall establish. Such Award Agreements may incorporate all or any of the terms of the Plan by reference and shall comply with and be subject to the following terms and conditions: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3" w:right="599" w:bottom="1440" w:gutter="0" w:footer="0" w:header="0"/>
        </w:sectPr>
      </w:pPr>
    </w:p>
    <w:bookmarkStart w:id="450" w:name="page451"/>
    <w:bookmarkEnd w:id="450"/>
    <w:p>
      <w:pPr>
        <w:jc w:val="both"/>
        <w:ind w:right="320" w:firstLine="96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7.1 </w:t>
      </w:r>
      <w:r>
        <w:rPr>
          <w:rFonts w:ascii="Times New Roman" w:cs="Times New Roman" w:eastAsia="Times New Roman" w:hAnsi="Times New Roman"/>
          <w:sz w:val="18"/>
          <w:szCs w:val="18"/>
          <w:b w:val="1"/>
          <w:bCs w:val="1"/>
          <w:color w:val="auto"/>
        </w:rPr>
        <w:t>Types of Restricted Stock Awards Authorized.</w:t>
      </w:r>
      <w:r>
        <w:rPr>
          <w:rFonts w:ascii="Times New Roman" w:cs="Times New Roman" w:eastAsia="Times New Roman" w:hAnsi="Times New Roman"/>
          <w:sz w:val="18"/>
          <w:szCs w:val="18"/>
          <w:color w:val="auto"/>
        </w:rPr>
        <w:t xml:space="preserve"> Restricted Stock Awards may be granted in the form of either a Restricted Stock Bonus or a Restricted Stock Purchase Right. Restricted Stock Awards may be granted upon such conditions as the Board shall determine, including, without limitation, upon the attainment of one or more performance goals.</w:t>
      </w:r>
    </w:p>
    <w:p>
      <w:pPr>
        <w:spacing w:after="0" w:line="73" w:lineRule="exact"/>
        <w:rPr>
          <w:sz w:val="20"/>
          <w:szCs w:val="20"/>
          <w:color w:val="auto"/>
        </w:rPr>
      </w:pPr>
    </w:p>
    <w:p>
      <w:pPr>
        <w:jc w:val="both"/>
        <w:ind w:right="200" w:firstLine="964"/>
        <w:spacing w:after="0" w:line="282"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b w:val="1"/>
          <w:bCs w:val="1"/>
          <w:color w:val="auto"/>
        </w:rPr>
        <w:t>Purchase Price.</w:t>
      </w:r>
      <w:r>
        <w:rPr>
          <w:rFonts w:ascii="Times New Roman" w:cs="Times New Roman" w:eastAsia="Times New Roman" w:hAnsi="Times New Roman"/>
          <w:sz w:val="16"/>
          <w:szCs w:val="16"/>
          <w:color w:val="auto"/>
        </w:rPr>
        <w:t xml:space="preserve"> The purchase price for shares of Stock issuable under each Restricted Stock Purchase Right shall be established by the Board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w:t>
      </w:r>
    </w:p>
    <w:p>
      <w:pPr>
        <w:spacing w:after="0" w:line="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Purchase Period.</w:t>
      </w:r>
      <w:r>
        <w:rPr>
          <w:rFonts w:ascii="Times New Roman" w:cs="Times New Roman" w:eastAsia="Times New Roman" w:hAnsi="Times New Roman"/>
          <w:sz w:val="18"/>
          <w:szCs w:val="18"/>
          <w:color w:val="auto"/>
        </w:rPr>
        <w:t xml:space="preserve"> A Restricted Stock Purchase Right shall be exercisable within a period established by the Board, which shall in no event exceed thirty (30) days from the effective date of the grant of the Restricted Stock Purchase Right.</w:t>
      </w:r>
    </w:p>
    <w:p>
      <w:pPr>
        <w:spacing w:after="0" w:line="59" w:lineRule="exact"/>
        <w:rPr>
          <w:sz w:val="20"/>
          <w:szCs w:val="20"/>
          <w:color w:val="auto"/>
        </w:rPr>
      </w:pPr>
    </w:p>
    <w:p>
      <w:pPr>
        <w:ind w:right="240" w:firstLine="964"/>
        <w:spacing w:after="0" w:line="303"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b w:val="1"/>
          <w:bCs w:val="1"/>
          <w:color w:val="auto"/>
        </w:rPr>
        <w:t>Payment of Purchase Price.</w:t>
      </w:r>
      <w:r>
        <w:rPr>
          <w:rFonts w:ascii="Times New Roman" w:cs="Times New Roman" w:eastAsia="Times New Roman" w:hAnsi="Times New Roman"/>
          <w:sz w:val="16"/>
          <w:szCs w:val="16"/>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Board from time to time to the extent permitted by applicable law, or (c) by any combination thereof.</w:t>
      </w:r>
    </w:p>
    <w:p>
      <w:pPr>
        <w:spacing w:after="0" w:line="38"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Vesting and Restrictions on Transfer.</w:t>
      </w:r>
      <w:r>
        <w:rPr>
          <w:rFonts w:ascii="Times New Roman" w:cs="Times New Roman" w:eastAsia="Times New Roman" w:hAnsi="Times New Roman"/>
          <w:sz w:val="18"/>
          <w:szCs w:val="18"/>
          <w:color w:val="auto"/>
        </w:rPr>
        <w:t xml:space="preserve"> Shares issued pursuant to any Restricted Stock Award may (but need not) be made subject to Vesting Conditions based upon the satisfaction of such Service requirements, conditions, restrictions or performance criteria, as shall be established by the Board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The Board,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82"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Voting Rights; Dividends and Distributions.</w:t>
      </w:r>
      <w:r>
        <w:rPr>
          <w:rFonts w:ascii="Times New Roman" w:cs="Times New Roman" w:eastAsia="Times New Roman" w:hAnsi="Times New Roman"/>
          <w:sz w:val="18"/>
          <w:szCs w:val="18"/>
          <w:color w:val="auto"/>
        </w:rPr>
        <w:t xml:space="preserve"> Except as provided in this Section,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any Award Agreement, during any period in which shares acquired pursuant to a Restricted Stock Award remain subject to Vesting Conditions, the Participant shall</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80"/>
          </w:cols>
          <w:pgMar w:left="580" w:top="263" w:right="639" w:bottom="1440" w:gutter="0" w:footer="0" w:header="0"/>
        </w:sectPr>
      </w:pPr>
    </w:p>
    <w:bookmarkStart w:id="451" w:name="page452"/>
    <w:bookmarkEnd w:id="451"/>
    <w:p>
      <w:pPr>
        <w:ind w:right="40"/>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have all of the rights of a stockholder of the Company holding shares of Stock, including the right to vote such shares and to receive all dividends and other distributions paid with respect to such shares; provided, however, that if so determined by the Board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55"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Board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84" w:lineRule="exact"/>
        <w:rPr>
          <w:sz w:val="20"/>
          <w:szCs w:val="20"/>
          <w:color w:val="auto"/>
        </w:rPr>
      </w:pPr>
    </w:p>
    <w:p>
      <w:pPr>
        <w:ind w:right="100" w:firstLine="964"/>
        <w:spacing w:after="0" w:line="250"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color w:val="auto"/>
        </w:rPr>
        <w:t>Nontransferability of Restricted Stock Award Rights.</w:t>
      </w:r>
      <w:r>
        <w:rPr>
          <w:rFonts w:ascii="Times New Roman" w:cs="Times New Roman" w:eastAsia="Times New Roman" w:hAnsi="Times New Roman"/>
          <w:sz w:val="18"/>
          <w:szCs w:val="18"/>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82" w:lineRule="exact"/>
        <w:rPr>
          <w:sz w:val="20"/>
          <w:szCs w:val="20"/>
          <w:color w:val="auto"/>
        </w:rPr>
      </w:pPr>
    </w:p>
    <w:p>
      <w:pPr>
        <w:ind w:left="620" w:hanging="184"/>
        <w:spacing w:after="0"/>
        <w:tabs>
          <w:tab w:leader="none" w:pos="62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4"/>
          <w:szCs w:val="14"/>
          <w:b w:val="1"/>
          <w:bCs w:val="1"/>
          <w:u w:val="single" w:color="auto"/>
          <w:color w:val="auto"/>
        </w:rPr>
        <w:t>ESTRICTED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U</w:t>
      </w:r>
      <w:r>
        <w:rPr>
          <w:rFonts w:ascii="Times New Roman" w:cs="Times New Roman" w:eastAsia="Times New Roman" w:hAnsi="Times New Roman"/>
          <w:sz w:val="14"/>
          <w:szCs w:val="14"/>
          <w:b w:val="1"/>
          <w:bCs w:val="1"/>
          <w:u w:val="single" w:color="auto"/>
          <w:color w:val="auto"/>
        </w:rPr>
        <w:t>NITS</w:t>
      </w:r>
      <w:r>
        <w:rPr>
          <w:rFonts w:ascii="Times New Roman" w:cs="Times New Roman" w:eastAsia="Times New Roman" w:hAnsi="Times New Roman"/>
          <w:sz w:val="18"/>
          <w:szCs w:val="18"/>
          <w:b w:val="1"/>
          <w:bCs w:val="1"/>
          <w:u w:val="single" w:color="auto"/>
          <w:color w:val="auto"/>
        </w:rPr>
        <w:t>.</w:t>
      </w:r>
    </w:p>
    <w:p>
      <w:pPr>
        <w:spacing w:after="0" w:line="215" w:lineRule="exact"/>
        <w:rPr>
          <w:sz w:val="20"/>
          <w:szCs w:val="20"/>
          <w:color w:val="auto"/>
        </w:rPr>
      </w:pPr>
    </w:p>
    <w:p>
      <w:pPr>
        <w:jc w:val="both"/>
        <w:ind w:right="200" w:firstLine="964"/>
        <w:spacing w:after="0" w:line="255" w:lineRule="auto"/>
        <w:rPr>
          <w:sz w:val="20"/>
          <w:szCs w:val="20"/>
          <w:color w:val="auto"/>
        </w:rPr>
      </w:pPr>
      <w:r>
        <w:rPr>
          <w:rFonts w:ascii="Times New Roman" w:cs="Times New Roman" w:eastAsia="Times New Roman" w:hAnsi="Times New Roman"/>
          <w:sz w:val="18"/>
          <w:szCs w:val="18"/>
          <w:color w:val="auto"/>
        </w:rPr>
        <w:t>Restricted Stock Unit Awards shall be evidenced by Award Agreements specifying the number of Restricted Stock Units subject to the Award, in such form as the Board shall establish. Award Agreements evidencing Restricted Stock Units may incorporate all or any of the terms of the Plan by reference and shall comply with and be subject to the following terms and conditions:</w:t>
      </w:r>
    </w:p>
    <w:p>
      <w:pPr>
        <w:spacing w:after="0" w:line="73" w:lineRule="exact"/>
        <w:rPr>
          <w:sz w:val="20"/>
          <w:szCs w:val="20"/>
          <w:color w:val="auto"/>
        </w:rPr>
      </w:pPr>
    </w:p>
    <w:p>
      <w:pPr>
        <w:ind w:right="420" w:firstLine="964"/>
        <w:spacing w:after="0" w:line="270"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 Unit Awards.</w:t>
      </w:r>
      <w:r>
        <w:rPr>
          <w:rFonts w:ascii="Times New Roman" w:cs="Times New Roman" w:eastAsia="Times New Roman" w:hAnsi="Times New Roman"/>
          <w:sz w:val="18"/>
          <w:szCs w:val="18"/>
          <w:color w:val="auto"/>
        </w:rPr>
        <w:t xml:space="preserve"> Restricted Stock Unit Awards may be granted upon such conditions as the Board shall determine, including, without limitation, upon the attainment of one or more performance goals established by the Board.</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80"/>
          </w:cols>
          <w:pgMar w:left="580" w:top="265" w:right="639" w:bottom="1440" w:gutter="0" w:footer="0" w:header="0"/>
        </w:sectPr>
      </w:pPr>
    </w:p>
    <w:bookmarkStart w:id="452" w:name="page453"/>
    <w:bookmarkEnd w:id="452"/>
    <w:p>
      <w:pPr>
        <w:ind w:firstLine="96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8.2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77" w:lineRule="exact"/>
        <w:rPr>
          <w:sz w:val="20"/>
          <w:szCs w:val="20"/>
          <w:color w:val="auto"/>
        </w:rPr>
      </w:pPr>
    </w:p>
    <w:p>
      <w:pPr>
        <w:ind w:right="80" w:firstLine="964"/>
        <w:spacing w:after="0" w:line="24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xml:space="preserve"> Restricted Stock Unit Awards may (but need not) be made subject to Vesting Conditions based upon the satisfaction of such Service requirements, conditions, restrictions or performance criteria as shall be established by the Board and set forth in the Award Agreement evidencing such Award. The Board, in its discretion, may provide in any Award Agreement evidencing a Restricted Stock Unit Award that, if the satisfaction of Vesting Conditions with respect to any shares subject to the Award would otherwise occur on a day on which the sale of such shares would violate the provisions of the Trading Compliance Policy, then the satisfaction of the Vesting Conditions automatically shall be determined on the first to occur of (a) the next trading day on which the sale of such shares would not violate the Trading Compliance Policy or (b) the last day of the calendar year in which the original vesting date occurred.</w:t>
      </w:r>
    </w:p>
    <w:p>
      <w:pPr>
        <w:spacing w:after="0" w:line="84" w:lineRule="exact"/>
        <w:rPr>
          <w:sz w:val="20"/>
          <w:szCs w:val="20"/>
          <w:color w:val="auto"/>
        </w:rPr>
      </w:pPr>
    </w:p>
    <w:p>
      <w:pPr>
        <w:ind w:right="20" w:firstLine="964"/>
        <w:spacing w:after="0" w:line="277"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b w:val="1"/>
          <w:bCs w:val="1"/>
          <w:color w:val="auto"/>
        </w:rPr>
        <w:t>Voting Rights, Dividend Equivalent Rights and Distributions.</w:t>
      </w:r>
      <w:r>
        <w:rPr>
          <w:rFonts w:ascii="Times New Roman" w:cs="Times New Roman" w:eastAsia="Times New Roman" w:hAnsi="Times New Roman"/>
          <w:sz w:val="16"/>
          <w:szCs w:val="16"/>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Board,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Board. The number of additional Restricted Stock Units (rounded to the nearest whole number), if any, to be credited shall be determined by dividing</w:t>
      </w:r>
    </w:p>
    <w:p>
      <w:pPr>
        <w:spacing w:after="0" w:line="2" w:lineRule="exact"/>
        <w:rPr>
          <w:sz w:val="20"/>
          <w:szCs w:val="20"/>
          <w:color w:val="auto"/>
        </w:rPr>
      </w:pPr>
    </w:p>
    <w:p>
      <w:pPr>
        <w:ind w:right="20" w:firstLine="8"/>
        <w:spacing w:after="0" w:line="244" w:lineRule="auto"/>
        <w:tabs>
          <w:tab w:leader="none" w:pos="238"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dividends paid on the dividend payment date with respect to the number of shares of Stock represented by the Restricted Stock Units previously credited to the Participant by (b) the Fair Market Value per share of Stock on such date.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80"/>
          </w:cols>
          <w:pgMar w:left="580" w:top="263" w:right="639" w:bottom="1440" w:gutter="0" w:footer="0" w:header="0"/>
        </w:sectPr>
      </w:pPr>
    </w:p>
    <w:bookmarkStart w:id="453" w:name="page454"/>
    <w:bookmarkEnd w:id="453"/>
    <w:p>
      <w:pPr>
        <w:ind w:right="120" w:firstLine="96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8.5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Board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76"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 xml:space="preserve">8.6 </w:t>
      </w:r>
      <w:r>
        <w:rPr>
          <w:rFonts w:ascii="Times New Roman" w:cs="Times New Roman" w:eastAsia="Times New Roman" w:hAnsi="Times New Roman"/>
          <w:sz w:val="16"/>
          <w:szCs w:val="16"/>
          <w:b w:val="1"/>
          <w:bCs w:val="1"/>
          <w:color w:val="auto"/>
        </w:rPr>
        <w:t>Settlement of Restricted Stock Unit Awards.</w:t>
      </w:r>
      <w:r>
        <w:rPr>
          <w:rFonts w:ascii="Times New Roman" w:cs="Times New Roman" w:eastAsia="Times New Roman" w:hAnsi="Times New Roman"/>
          <w:sz w:val="16"/>
          <w:szCs w:val="16"/>
          <w:color w:val="auto"/>
        </w:rPr>
        <w:t xml:space="preserve"> The Company shall issue to a Participant on the date on which Restricted Stock Units subject to the Participant’s Restricted Stock Unit Award vest or on such other date determined by the Board in compliance with Section 409A, if applicable, and set forth in the Award Agreement one (1) share of Stock (and/or any other new, substituted or additional securities or other property pursuant to an adjustment described in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for each Restricted Stock Unit then becoming vested or otherwise to be settled on such date, subject to the withholding of applicable taxes, if any. If permitted by the Board,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Board,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57" w:lineRule="exact"/>
        <w:rPr>
          <w:sz w:val="20"/>
          <w:szCs w:val="20"/>
          <w:color w:val="auto"/>
        </w:rPr>
      </w:pPr>
    </w:p>
    <w:p>
      <w:pPr>
        <w:ind w:right="60" w:firstLine="964"/>
        <w:spacing w:after="0" w:line="24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Nontransferability of Restricted Stock Unit Awards.</w:t>
      </w:r>
      <w:r>
        <w:rPr>
          <w:rFonts w:ascii="Times New Roman" w:cs="Times New Roman" w:eastAsia="Times New Roman" w:hAnsi="Times New Roman"/>
          <w:sz w:val="18"/>
          <w:szCs w:val="18"/>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For so long as the Company is relying on an order of the Securities and Exchange Commission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under Section 12(h) of the Exchange Act or a no-action position of the Staff of the SEC relieving the Company from registration under Section 12(g) of the Exchange Act of the Units and the shares of Stock subject thereto, no Restricted Stock Unit Award, or prior to its settlement, shares of Stock underlying such Award, shall be transferred except in compliance with the restrictions on transfer under Rule 12h-1(f) under the Exchange Act that would apply were the Restricted Stock Units subject to such rule (including the requirement under such rule that any permitted transferee may not further transfer the securities) or be made subject to any short position, “put equivalent position” or “call equivalent position” by the Participant, as such terms are defined in Rule 16a-1 under the Exchange Act. All rights with respect to a Restricted Stock Unit Award granted to a Participant hereunder shall be exercisable during his or her lifetime only by such Participant or the Participant’s guardian or legal representative.</w:t>
      </w:r>
    </w:p>
    <w:p>
      <w:pPr>
        <w:spacing w:after="0" w:line="187" w:lineRule="exact"/>
        <w:rPr>
          <w:sz w:val="20"/>
          <w:szCs w:val="20"/>
          <w:color w:val="auto"/>
        </w:rPr>
      </w:pPr>
    </w:p>
    <w:p>
      <w:pPr>
        <w:ind w:left="620" w:hanging="184"/>
        <w:spacing w:after="0"/>
        <w:tabs>
          <w:tab w:leader="none" w:pos="6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TANDARD</w:t>
      </w:r>
      <w:r>
        <w:rPr>
          <w:rFonts w:ascii="Times New Roman" w:cs="Times New Roman" w:eastAsia="Times New Roman" w:hAnsi="Times New Roman"/>
          <w:sz w:val="18"/>
          <w:szCs w:val="18"/>
          <w:b w:val="1"/>
          <w:bCs w:val="1"/>
          <w:u w:val="single" w:color="auto"/>
          <w:color w:val="auto"/>
        </w:rPr>
        <w:t xml:space="preserve"> F</w:t>
      </w:r>
      <w:r>
        <w:rPr>
          <w:rFonts w:ascii="Times New Roman" w:cs="Times New Roman" w:eastAsia="Times New Roman" w:hAnsi="Times New Roman"/>
          <w:sz w:val="14"/>
          <w:szCs w:val="14"/>
          <w:b w:val="1"/>
          <w:bCs w:val="1"/>
          <w:u w:val="single" w:color="auto"/>
          <w:color w:val="auto"/>
        </w:rPr>
        <w:t>ORMS OF</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WARD</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GREEMENTS</w:t>
      </w:r>
      <w:r>
        <w:rPr>
          <w:rFonts w:ascii="Times New Roman" w:cs="Times New Roman" w:eastAsia="Times New Roman" w:hAnsi="Times New Roman"/>
          <w:sz w:val="18"/>
          <w:szCs w:val="18"/>
          <w:b w:val="1"/>
          <w:bCs w:val="1"/>
          <w:u w:val="single" w:color="auto"/>
          <w:color w:val="auto"/>
        </w:rPr>
        <w:t>.</w:t>
      </w:r>
    </w:p>
    <w:p>
      <w:pPr>
        <w:spacing w:after="0" w:line="106" w:lineRule="exact"/>
        <w:rPr>
          <w:sz w:val="20"/>
          <w:szCs w:val="20"/>
          <w:color w:val="auto"/>
        </w:rPr>
      </w:pPr>
    </w:p>
    <w:p>
      <w:pPr>
        <w:ind w:right="220" w:firstLine="964"/>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Award Agreements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Each Award shall comply with and be subject to the terms and conditions set forth in the appropriate form of Award Agreement approved by the Board and as amended from time to time. No Award or purported Award shall be a valid and binding obligation of the Company unless evidenced by a fully executed Award Agreement, which execution may be evidenced by electronic means.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580" w:top="263" w:right="599" w:bottom="1440" w:gutter="0" w:footer="0" w:header="0"/>
        </w:sectPr>
      </w:pPr>
    </w:p>
    <w:bookmarkStart w:id="454" w:name="page455"/>
    <w:bookmarkEnd w:id="454"/>
    <w:p>
      <w:pPr>
        <w:ind w:right="140" w:firstLine="96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9.2 </w:t>
      </w:r>
      <w:r>
        <w:rPr>
          <w:rFonts w:ascii="Times New Roman" w:cs="Times New Roman" w:eastAsia="Times New Roman" w:hAnsi="Times New Roman"/>
          <w:sz w:val="18"/>
          <w:szCs w:val="18"/>
          <w:b w:val="1"/>
          <w:bCs w:val="1"/>
          <w:color w:val="auto"/>
        </w:rPr>
        <w:t>Authority to Vary Terms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Board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79" w:lineRule="exact"/>
        <w:rPr>
          <w:sz w:val="20"/>
          <w:szCs w:val="20"/>
          <w:color w:val="auto"/>
        </w:rPr>
      </w:pPr>
    </w:p>
    <w:p>
      <w:pPr>
        <w:ind w:left="700" w:hanging="264"/>
        <w:spacing w:after="0"/>
        <w:tabs>
          <w:tab w:leader="none" w:pos="7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r>
        <w:rPr>
          <w:rFonts w:ascii="Times New Roman" w:cs="Times New Roman" w:eastAsia="Times New Roman" w:hAnsi="Times New Roman"/>
          <w:sz w:val="18"/>
          <w:szCs w:val="18"/>
          <w:b w:val="1"/>
          <w:bCs w:val="1"/>
          <w:u w:val="single" w:color="auto"/>
          <w:color w:val="auto"/>
        </w:rPr>
        <w:t>.</w:t>
      </w:r>
    </w:p>
    <w:p>
      <w:pPr>
        <w:spacing w:after="0" w:line="106" w:lineRule="exact"/>
        <w:rPr>
          <w:sz w:val="20"/>
          <w:szCs w:val="20"/>
          <w:color w:val="auto"/>
        </w:rPr>
      </w:pPr>
    </w:p>
    <w:p>
      <w:pPr>
        <w:ind w:right="100" w:firstLine="964"/>
        <w:spacing w:after="0" w:line="27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Effect of Change in Control on Awards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Subject to the requirements and limitations of Section 409A, if applicable, the Board may provide for any one or more of the following:</w:t>
      </w:r>
    </w:p>
    <w:p>
      <w:pPr>
        <w:spacing w:after="0" w:line="56" w:lineRule="exact"/>
        <w:rPr>
          <w:sz w:val="20"/>
          <w:szCs w:val="20"/>
          <w:color w:val="auto"/>
        </w:rPr>
      </w:pPr>
    </w:p>
    <w:p>
      <w:pPr>
        <w:ind w:right="60" w:firstLine="1400"/>
        <w:spacing w:after="0" w:line="253" w:lineRule="auto"/>
        <w:tabs>
          <w:tab w:leader="none" w:pos="163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Accelerated Vesting</w:t>
      </w:r>
      <w:r>
        <w:rPr>
          <w:rFonts w:ascii="Times New Roman" w:cs="Times New Roman" w:eastAsia="Times New Roman" w:hAnsi="Times New Roman"/>
          <w:sz w:val="18"/>
          <w:szCs w:val="18"/>
          <w:color w:val="auto"/>
        </w:rPr>
        <w:t>. In its discretion, the Board may provide in the grant of any Award or at any other time may take action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Board determines.</w:t>
      </w:r>
    </w:p>
    <w:p>
      <w:pPr>
        <w:spacing w:after="0" w:line="72" w:lineRule="exact"/>
        <w:rPr>
          <w:rFonts w:ascii="Times New Roman" w:cs="Times New Roman" w:eastAsia="Times New Roman" w:hAnsi="Times New Roman"/>
          <w:sz w:val="18"/>
          <w:szCs w:val="18"/>
          <w:color w:val="auto"/>
        </w:rPr>
      </w:pPr>
    </w:p>
    <w:p>
      <w:pPr>
        <w:ind w:firstLine="1400"/>
        <w:spacing w:after="0" w:line="245" w:lineRule="auto"/>
        <w:tabs>
          <w:tab w:leader="none" w:pos="16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Assumption, Continuation or Substitution of Awards</w:t>
      </w:r>
      <w:r>
        <w:rPr>
          <w:rFonts w:ascii="Times New Roman" w:cs="Times New Roman" w:eastAsia="Times New Roman" w:hAnsi="Times New Roman"/>
          <w:sz w:val="18"/>
          <w:szCs w:val="18"/>
          <w:color w:val="auto"/>
        </w:rPr>
        <w:t>. In the event of a Change in Control, the surviving, continuing, successor,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purchasing corporation or other business entity or parent thereof, as the case may be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For purposes of this Section, if so determined by the Board, in its discretion, an Award or any portion thereof shall be deemed assumed if, following the Change in Control, the Award confers the right to receive, subject to the terms and conditions of the Plan and the applicable Award Agreement, for each share of Stock subject to such portion of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Board may, with the consent of the Acquiror, provide for the consideration to be received upon the exercise or settlement of the Award, for each share of Stock subject to the Award, solely common stock of the Acquiror equal in Fair Market Value to the per share consideration received by holders of Stock pursuant to the Change in Control. If any portion of such consideration may be received by holders of Stock pursuant to the Change in Control on a contingent or delayed basis, the Board may, in its discretion, determine such Fair Market Value per share as of the time of the Change in Control on the basis of the Board’s good faith estimate of the present value of the probable future payment of such consideration. Any Award or portion thereof which is neither assumed or continued by the Acquiror in connection with the Change in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00"/>
          </w:cols>
          <w:pgMar w:left="580" w:top="261" w:right="619" w:bottom="1440" w:gutter="0" w:footer="0" w:header="0"/>
        </w:sectPr>
      </w:pPr>
    </w:p>
    <w:bookmarkStart w:id="455" w:name="page456"/>
    <w:bookmarkEnd w:id="455"/>
    <w:p>
      <w:pPr>
        <w:ind w:right="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Control nor exercised as of the time of consummation of the Change in Control shall terminate and cease to be outstanding effective as of the time of consummation of the Change in Control. Notwithstanding the foregoing, shares acquired upon exercise of an Award prior to the Change in Control and any consideration received pursuant to the Change in Control with respect to such shares shall continue to be subject to all applicable provisions of the Award Agreement evidencing such Award except as otherwise provided in such Award Agreement.</w:t>
      </w:r>
    </w:p>
    <w:p>
      <w:pPr>
        <w:spacing w:after="0" w:line="75" w:lineRule="exact"/>
        <w:rPr>
          <w:sz w:val="20"/>
          <w:szCs w:val="20"/>
          <w:color w:val="auto"/>
        </w:rPr>
      </w:pPr>
    </w:p>
    <w:p>
      <w:pPr>
        <w:ind w:firstLine="1400"/>
        <w:spacing w:after="0" w:line="245" w:lineRule="auto"/>
        <w:tabs>
          <w:tab w:leader="none" w:pos="163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Cash-Out of Outstanding Awards. </w:t>
      </w:r>
      <w:r>
        <w:rPr>
          <w:rFonts w:ascii="Times New Roman" w:cs="Times New Roman" w:eastAsia="Times New Roman" w:hAnsi="Times New Roman"/>
          <w:sz w:val="18"/>
          <w:szCs w:val="18"/>
          <w:color w:val="auto"/>
        </w:rPr>
        <w:t>The Board may, in its discretion and without the consent of any Participant, determine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occurrence of a Change in Control, each or any Award or portion thereof outstanding immediately prior to the Change in Control and not previously exercised or settled shall be canceled in exchange for a payment with respect to each vested share (and each unvested share, if so determined by the Board)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If any portion of such consideration may be received by holders of Stock pursuant to the Change in Control on a contingent or delayed basis, the Board may, in its sole discretion, determine such Fair Market Value per share as of the time of the Change in Control on the basis of the Board’s good faith estimate of the present value of the probable amount of future payment of such consideration. In the event such determination is made by the Board,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10.2 Federal Excise Tax Under Section 4999 of the Code.</w:t>
      </w:r>
    </w:p>
    <w:p>
      <w:pPr>
        <w:spacing w:after="0" w:line="104" w:lineRule="exact"/>
        <w:rPr>
          <w:sz w:val="20"/>
          <w:szCs w:val="20"/>
          <w:color w:val="auto"/>
        </w:rPr>
      </w:pPr>
    </w:p>
    <w:p>
      <w:pPr>
        <w:ind w:right="20" w:firstLine="1400"/>
        <w:spacing w:after="0" w:line="250" w:lineRule="auto"/>
        <w:tabs>
          <w:tab w:leader="none" w:pos="163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Parachute Payment. </w:t>
      </w:r>
      <w:r>
        <w:rPr>
          <w:rFonts w:ascii="Times New Roman" w:cs="Times New Roman" w:eastAsia="Times New Roman" w:hAnsi="Times New Roman"/>
          <w:sz w:val="18"/>
          <w:szCs w:val="18"/>
          <w:color w:val="auto"/>
        </w:rPr>
        <w:t>If any acceleration of vesting pursuant to an Award and any other payment or benefit received 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82" w:lineRule="exact"/>
        <w:rPr>
          <w:rFonts w:ascii="Times New Roman" w:cs="Times New Roman" w:eastAsia="Times New Roman" w:hAnsi="Times New Roman"/>
          <w:sz w:val="18"/>
          <w:szCs w:val="18"/>
          <w:color w:val="auto"/>
        </w:rPr>
      </w:pPr>
    </w:p>
    <w:p>
      <w:pPr>
        <w:ind w:firstLine="1400"/>
        <w:spacing w:after="0" w:line="253" w:lineRule="auto"/>
        <w:tabs>
          <w:tab w:leader="none" w:pos="16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Determination by Tax Firm. </w:t>
      </w:r>
      <w:r>
        <w:rPr>
          <w:rFonts w:ascii="Times New Roman" w:cs="Times New Roman" w:eastAsia="Times New Roman" w:hAnsi="Times New Roman"/>
          <w:sz w:val="18"/>
          <w:szCs w:val="18"/>
          <w:color w:val="auto"/>
        </w:rPr>
        <w:t>To aid the Participant in making any election called for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no later than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occurrence of any event that might reasonably be anticipated to result in an “excess parachute payment” to the Participant as described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the Company shall request a determination in writing by the professional firm engaged by the Company for general tax purposes, or, if the tax firm so engaged by the Company is serving as accountant or auditor for the Acquiror, the Company will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80"/>
          </w:cols>
          <w:pgMar w:left="580" w:top="265" w:right="639" w:bottom="1440" w:gutter="0" w:footer="0" w:header="0"/>
        </w:sectPr>
      </w:pPr>
    </w:p>
    <w:bookmarkStart w:id="456" w:name="page457"/>
    <w:bookmarkEnd w:id="456"/>
    <w:p>
      <w:pPr>
        <w:ind w:right="4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appoint a nationally recognized tax firm to make the determinations required by this Section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Tax Firm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may charge in connection with its services contemplated by this Section.</w:t>
      </w:r>
    </w:p>
    <w:p>
      <w:pPr>
        <w:spacing w:after="0" w:line="184" w:lineRule="exact"/>
        <w:rPr>
          <w:sz w:val="20"/>
          <w:szCs w:val="20"/>
          <w:color w:val="auto"/>
        </w:rPr>
      </w:pPr>
    </w:p>
    <w:p>
      <w:pPr>
        <w:ind w:left="700" w:hanging="264"/>
        <w:spacing w:after="0"/>
        <w:tabs>
          <w:tab w:leader="none" w:pos="70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4"/>
          <w:szCs w:val="14"/>
          <w:b w:val="1"/>
          <w:bCs w:val="1"/>
          <w:u w:val="single" w:color="auto"/>
          <w:color w:val="auto"/>
        </w:rPr>
        <w:t>AX</w:t>
      </w:r>
      <w:r>
        <w:rPr>
          <w:rFonts w:ascii="Times New Roman" w:cs="Times New Roman" w:eastAsia="Times New Roman" w:hAnsi="Times New Roman"/>
          <w:sz w:val="18"/>
          <w:szCs w:val="18"/>
          <w:b w:val="1"/>
          <w:bCs w:val="1"/>
          <w:u w:val="single" w:color="auto"/>
          <w:color w:val="auto"/>
        </w:rPr>
        <w:t xml:space="preserve"> W</w:t>
      </w:r>
      <w:r>
        <w:rPr>
          <w:rFonts w:ascii="Times New Roman" w:cs="Times New Roman" w:eastAsia="Times New Roman" w:hAnsi="Times New Roman"/>
          <w:sz w:val="14"/>
          <w:szCs w:val="14"/>
          <w:b w:val="1"/>
          <w:bCs w:val="1"/>
          <w:u w:val="single" w:color="auto"/>
          <w:color w:val="auto"/>
        </w:rPr>
        <w:t>ITHHOLDING</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right="80" w:firstLine="964"/>
        <w:spacing w:after="0" w:line="24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Tax Withholding in General.</w:t>
      </w:r>
      <w:r>
        <w:rPr>
          <w:rFonts w:ascii="Times New Roman" w:cs="Times New Roman" w:eastAsia="Times New Roman" w:hAnsi="Times New Roman"/>
          <w:sz w:val="18"/>
          <w:szCs w:val="18"/>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82"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Withholding in or Directed Sale of Shares.</w:t>
      </w:r>
      <w:r>
        <w:rPr>
          <w:rFonts w:ascii="Times New Roman" w:cs="Times New Roman" w:eastAsia="Times New Roman" w:hAnsi="Times New Roman"/>
          <w:sz w:val="18"/>
          <w:szCs w:val="18"/>
          <w:color w:val="auto"/>
        </w:rPr>
        <w:t xml:space="preserve"> The Company shall have the right, but not the obligation, to deduct from the shares of Stock issuable to a Participant upon the exercise, vesting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the Participating Company in cash.</w:t>
      </w:r>
    </w:p>
    <w:p>
      <w:pPr>
        <w:spacing w:after="0" w:line="396" w:lineRule="exact"/>
        <w:rPr>
          <w:sz w:val="20"/>
          <w:szCs w:val="20"/>
          <w:color w:val="auto"/>
        </w:rPr>
      </w:pPr>
    </w:p>
    <w:p>
      <w:pPr>
        <w:ind w:left="700" w:hanging="264"/>
        <w:spacing w:after="0"/>
        <w:tabs>
          <w:tab w:leader="none" w:pos="7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OMPLIANCE WITH</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ECTION</w:t>
      </w:r>
      <w:r>
        <w:rPr>
          <w:rFonts w:ascii="Times New Roman" w:cs="Times New Roman" w:eastAsia="Times New Roman" w:hAnsi="Times New Roman"/>
          <w:sz w:val="18"/>
          <w:szCs w:val="18"/>
          <w:b w:val="1"/>
          <w:bCs w:val="1"/>
          <w:u w:val="single" w:color="auto"/>
          <w:color w:val="auto"/>
        </w:rPr>
        <w:t xml:space="preserve"> 409A.</w:t>
      </w:r>
    </w:p>
    <w:p>
      <w:pPr>
        <w:spacing w:after="0" w:line="108" w:lineRule="exact"/>
        <w:rPr>
          <w:sz w:val="20"/>
          <w:szCs w:val="20"/>
          <w:color w:val="auto"/>
        </w:rPr>
      </w:pPr>
    </w:p>
    <w:p>
      <w:pPr>
        <w:ind w:right="120" w:firstLine="964"/>
        <w:spacing w:after="0" w:line="288" w:lineRule="auto"/>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b w:val="1"/>
          <w:bCs w:val="1"/>
          <w:color w:val="auto"/>
        </w:rPr>
        <w:t>In General</w:t>
      </w:r>
      <w:r>
        <w:rPr>
          <w:rFonts w:ascii="Times New Roman" w:cs="Times New Roman" w:eastAsia="Times New Roman" w:hAnsi="Times New Roman"/>
          <w:sz w:val="16"/>
          <w:szCs w:val="16"/>
          <w:color w:val="auto"/>
        </w:rPr>
        <w:t>. The Plan and all Awards granted hereunder are intended to comply with, or otherwise be exempt from, Section 409A. The Plan and all Awards granted under the Plan shall be administered, interpreted, and construed in a manner consistent with Section 409A, as determined by the Company in good faith, to the extent necessary to avoid the imposition of additional taxes under Section 409A(a)(1)(B) of the Code. It is intended that any election, payment or benefit which is made or provided pursuant to or in connection with any Award that may result in deferred compensation within the meaning of Section 409A shall comply in all respects with the applicable requirements of Section 409A.</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00"/>
          </w:cols>
          <w:pgMar w:left="580" w:top="261" w:right="619" w:bottom="1440" w:gutter="0" w:footer="0" w:header="0"/>
        </w:sectPr>
      </w:pPr>
    </w:p>
    <w:bookmarkStart w:id="457" w:name="page458"/>
    <w:bookmarkEnd w:id="457"/>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12.2 </w:t>
      </w:r>
      <w:r>
        <w:rPr>
          <w:rFonts w:ascii="Times New Roman" w:cs="Times New Roman" w:eastAsia="Times New Roman" w:hAnsi="Times New Roman"/>
          <w:sz w:val="18"/>
          <w:szCs w:val="18"/>
          <w:b w:val="1"/>
          <w:bCs w:val="1"/>
          <w:color w:val="auto"/>
        </w:rPr>
        <w:t>Certain Limitations</w:t>
      </w:r>
      <w:r>
        <w:rPr>
          <w:rFonts w:ascii="Times New Roman" w:cs="Times New Roman" w:eastAsia="Times New Roman" w:hAnsi="Times New Roman"/>
          <w:sz w:val="18"/>
          <w:szCs w:val="18"/>
          <w:color w:val="auto"/>
        </w:rPr>
        <w:t>. With respect to any Award that is subject to Section 409A, the following shall apply, as applicable:</w:t>
      </w:r>
    </w:p>
    <w:p>
      <w:pPr>
        <w:spacing w:after="0" w:line="110" w:lineRule="exact"/>
        <w:rPr>
          <w:sz w:val="20"/>
          <w:szCs w:val="20"/>
          <w:color w:val="auto"/>
        </w:rPr>
      </w:pPr>
    </w:p>
    <w:p>
      <w:pPr>
        <w:ind w:firstLine="1400"/>
        <w:spacing w:after="0" w:line="251" w:lineRule="auto"/>
        <w:tabs>
          <w:tab w:leader="none" w:pos="163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Plan or any Award Agreement, to the extent required to avoid tax penalties under Section 409A, amounts that would otherwise be payable and benefits that would otherwise be provided pursuant to the Plan on account of, and during the six (6) month period immediately following, the Participant’s termination of Service shall instead be paid on the first payroll date after the six-month anniversary of the Participant’s separation from service (or the Participant’s death, if earlier).</w:t>
      </w:r>
    </w:p>
    <w:p>
      <w:pPr>
        <w:spacing w:after="0" w:line="79" w:lineRule="exact"/>
        <w:rPr>
          <w:rFonts w:ascii="Times New Roman" w:cs="Times New Roman" w:eastAsia="Times New Roman" w:hAnsi="Times New Roman"/>
          <w:sz w:val="18"/>
          <w:szCs w:val="18"/>
          <w:color w:val="auto"/>
        </w:rPr>
      </w:pPr>
    </w:p>
    <w:p>
      <w:pPr>
        <w:ind w:right="400" w:firstLine="1400"/>
        <w:spacing w:after="0" w:line="267" w:lineRule="auto"/>
        <w:tabs>
          <w:tab w:leader="none" w:pos="164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Participant nor the Company shall take any action to accelerate or delay the payment of any amount or benefits under an Award in any manner which would not be in compliance with Section 409A.</w:t>
      </w:r>
    </w:p>
    <w:p>
      <w:pPr>
        <w:spacing w:after="0" w:line="64" w:lineRule="exact"/>
        <w:rPr>
          <w:rFonts w:ascii="Times New Roman" w:cs="Times New Roman" w:eastAsia="Times New Roman" w:hAnsi="Times New Roman"/>
          <w:sz w:val="18"/>
          <w:szCs w:val="18"/>
          <w:color w:val="auto"/>
        </w:rPr>
      </w:pPr>
    </w:p>
    <w:p>
      <w:pPr>
        <w:ind w:right="20" w:firstLine="1400"/>
        <w:spacing w:after="0" w:line="246" w:lineRule="auto"/>
        <w:tabs>
          <w:tab w:leader="none" w:pos="163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Plan or any Award Agreement, to the extent that any amount constituting deferred compensation subject to Section 409A would become payable under the Plan by reason of a Change in Control, such amount shall become payable only if the event constituting the Change in Control would also constitute a change in ownership or effective control of the Company or a change in the ownership of a substantial portion of the assets of the Company within the meaning of Section 409A. Any Award which constitutes deferred compensation subject to Section 409A and which would vest and otherwise become payable upon a Change in Control as a result of the failure of the Acquiror to assume, continue or substitute for such Award in accordance with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vest to the extent provided by such Award but shall be converted automatically at the effective time of such Change in Control into a right to receive, in cash on the date or dates such award would have been settled in accordance with its then existing settlement schedule, an amount or amounts equal in the aggregate to the intrinsic value of the Award at the time of the Change in Control.</w:t>
      </w:r>
    </w:p>
    <w:p>
      <w:pPr>
        <w:spacing w:after="0" w:line="86" w:lineRule="exact"/>
        <w:rPr>
          <w:rFonts w:ascii="Times New Roman" w:cs="Times New Roman" w:eastAsia="Times New Roman" w:hAnsi="Times New Roman"/>
          <w:sz w:val="18"/>
          <w:szCs w:val="18"/>
          <w:color w:val="auto"/>
        </w:rPr>
      </w:pPr>
    </w:p>
    <w:p>
      <w:pPr>
        <w:ind w:firstLine="1400"/>
        <w:spacing w:after="0" w:line="251" w:lineRule="auto"/>
        <w:tabs>
          <w:tab w:leader="none" w:pos="164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provision of the Plan, any Award Agreement, or any other agreement or arrangement contemplated by the Plan be found not to comply with, or otherwise be exempt from, the provisions of Section 409A, such provision shall be modified and given effect (retroactively if necessary), in the sole discretion of the Board, and without the consent of the holder of the Award, in such manner as the Board determines to be necessary or appropriate to comply with, or to effectuate an exemption from, Section 409A.</w:t>
      </w:r>
    </w:p>
    <w:p>
      <w:pPr>
        <w:spacing w:after="0" w:line="79" w:lineRule="exact"/>
        <w:rPr>
          <w:rFonts w:ascii="Times New Roman" w:cs="Times New Roman" w:eastAsia="Times New Roman" w:hAnsi="Times New Roman"/>
          <w:sz w:val="18"/>
          <w:szCs w:val="18"/>
          <w:color w:val="auto"/>
        </w:rPr>
      </w:pPr>
    </w:p>
    <w:p>
      <w:pPr>
        <w:ind w:right="240" w:firstLine="1400"/>
        <w:spacing w:after="0" w:line="255" w:lineRule="auto"/>
        <w:tabs>
          <w:tab w:leader="none" w:pos="163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neither the Company nor the Board shall have any obligation to take any action to prevent the assessment of any tax or penalty on any Participant under Section 409A, and neither the Company nor the Board will have any liability to any Participant for such tax or penalty.</w:t>
      </w:r>
    </w:p>
    <w:p>
      <w:pPr>
        <w:spacing w:after="0" w:line="17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OMPLIANCE WITH</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ECURITIES</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AW</w:t>
      </w:r>
      <w:r>
        <w:rPr>
          <w:rFonts w:ascii="Times New Roman" w:cs="Times New Roman" w:eastAsia="Times New Roman" w:hAnsi="Times New Roman"/>
          <w:sz w:val="18"/>
          <w:szCs w:val="18"/>
          <w:b w:val="1"/>
          <w:bCs w:val="1"/>
          <w:u w:val="single" w:color="auto"/>
          <w:color w:val="auto"/>
        </w:rPr>
        <w:t>.</w:t>
      </w:r>
    </w:p>
    <w:p>
      <w:pPr>
        <w:spacing w:after="0" w:line="110" w:lineRule="exact"/>
        <w:rPr>
          <w:sz w:val="20"/>
          <w:szCs w:val="20"/>
          <w:color w:val="auto"/>
        </w:rPr>
      </w:pPr>
    </w:p>
    <w:p>
      <w:pPr>
        <w:ind w:right="120" w:firstLine="964"/>
        <w:spacing w:after="0" w:line="255" w:lineRule="auto"/>
        <w:rPr>
          <w:sz w:val="20"/>
          <w:szCs w:val="20"/>
          <w:color w:val="auto"/>
        </w:rPr>
      </w:pPr>
      <w:r>
        <w:rPr>
          <w:rFonts w:ascii="Times New Roman" w:cs="Times New Roman" w:eastAsia="Times New Roman" w:hAnsi="Times New Roman"/>
          <w:sz w:val="18"/>
          <w:szCs w:val="18"/>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80"/>
          </w:cols>
          <w:pgMar w:left="580" w:top="263" w:right="639" w:bottom="1440" w:gutter="0" w:footer="0" w:header="0"/>
        </w:sectPr>
      </w:pPr>
    </w:p>
    <w:bookmarkStart w:id="458" w:name="page459"/>
    <w:bookmarkEnd w:id="458"/>
    <w:p>
      <w:pPr>
        <w:spacing w:after="0" w:line="28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Except as otherwise determined by the Board, the Company intends that securities issued pursuant to the Plan be exempt from requirements of registration and qualification of such securities pursuant to the exemptions afforded by Rule 701 promulgated under the Securities Act and any other applicable exemptions, and the Plan shall be so construed.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377" w:lineRule="exact"/>
        <w:rPr>
          <w:sz w:val="20"/>
          <w:szCs w:val="20"/>
          <w:color w:val="auto"/>
        </w:rPr>
      </w:pPr>
    </w:p>
    <w:p>
      <w:pPr>
        <w:ind w:left="700" w:hanging="264"/>
        <w:spacing w:after="0"/>
        <w:tabs>
          <w:tab w:leader="none" w:pos="7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MENDMENT OR</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4"/>
          <w:szCs w:val="14"/>
          <w:b w:val="1"/>
          <w:bCs w:val="1"/>
          <w:u w:val="single" w:color="auto"/>
          <w:color w:val="auto"/>
        </w:rPr>
        <w:t>ERMINATION OF</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LAN</w:t>
      </w:r>
      <w:r>
        <w:rPr>
          <w:rFonts w:ascii="Times New Roman" w:cs="Times New Roman" w:eastAsia="Times New Roman" w:hAnsi="Times New Roman"/>
          <w:sz w:val="18"/>
          <w:szCs w:val="18"/>
          <w:b w:val="1"/>
          <w:bCs w:val="1"/>
          <w:u w:val="single" w:color="auto"/>
          <w:color w:val="auto"/>
        </w:rPr>
        <w:t>.</w:t>
      </w:r>
    </w:p>
    <w:p>
      <w:pPr>
        <w:spacing w:after="0" w:line="110" w:lineRule="exact"/>
        <w:rPr>
          <w:sz w:val="20"/>
          <w:szCs w:val="20"/>
          <w:color w:val="auto"/>
        </w:rPr>
      </w:pPr>
    </w:p>
    <w:p>
      <w:pPr>
        <w:ind w:firstLine="964"/>
        <w:spacing w:after="0" w:line="280" w:lineRule="auto"/>
        <w:rPr>
          <w:sz w:val="20"/>
          <w:szCs w:val="20"/>
          <w:color w:val="auto"/>
        </w:rPr>
      </w:pPr>
      <w:r>
        <w:rPr>
          <w:rFonts w:ascii="Times New Roman" w:cs="Times New Roman" w:eastAsia="Times New Roman" w:hAnsi="Times New Roman"/>
          <w:sz w:val="16"/>
          <w:szCs w:val="16"/>
          <w:color w:val="auto"/>
        </w:rPr>
        <w:t xml:space="preserve">The Board may amend, suspend or terminate the Plan at any time. However, without the approval of the Company’s stockholders, there shall be (a) no increase in the maximum aggregate number of shares of Stock that may be issued under the Plan (except by operation of the provisions of </w:t>
      </w:r>
      <w:r>
        <w:rPr>
          <w:rFonts w:ascii="Times New Roman" w:cs="Times New Roman" w:eastAsia="Times New Roman" w:hAnsi="Times New Roman"/>
          <w:sz w:val="16"/>
          <w:szCs w:val="16"/>
          <w:u w:val="single" w:color="auto"/>
          <w:color w:val="auto"/>
        </w:rPr>
        <w:t>Sections 4.2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4.3</w:t>
      </w:r>
      <w:r>
        <w:rPr>
          <w:rFonts w:ascii="Times New Roman" w:cs="Times New Roman" w:eastAsia="Times New Roman" w:hAnsi="Times New Roman"/>
          <w:sz w:val="16"/>
          <w:szCs w:val="16"/>
          <w:color w:val="auto"/>
        </w:rPr>
        <w:t>),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Board.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Board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62" w:lineRule="exact"/>
        <w:rPr>
          <w:sz w:val="20"/>
          <w:szCs w:val="20"/>
          <w:color w:val="auto"/>
        </w:rPr>
      </w:pPr>
    </w:p>
    <w:p>
      <w:pPr>
        <w:ind w:left="700" w:hanging="264"/>
        <w:spacing w:after="0"/>
        <w:tabs>
          <w:tab w:leader="none" w:pos="7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4"/>
          <w:szCs w:val="14"/>
          <w:b w:val="1"/>
          <w:bCs w:val="1"/>
          <w:u w:val="single" w:color="auto"/>
          <w:color w:val="auto"/>
        </w:rPr>
        <w:t>ISCELLANEOUS</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Restrictions on Transfer of Shares</w:t>
      </w:r>
      <w:r>
        <w:rPr>
          <w:rFonts w:ascii="Times New Roman" w:cs="Times New Roman" w:eastAsia="Times New Roman" w:hAnsi="Times New Roman"/>
          <w:sz w:val="18"/>
          <w:szCs w:val="18"/>
          <w:i w:val="1"/>
          <w:iCs w:val="1"/>
          <w:color w:val="auto"/>
        </w:rPr>
        <w:t>.</w:t>
      </w:r>
    </w:p>
    <w:p>
      <w:pPr>
        <w:spacing w:after="0" w:line="110" w:lineRule="exact"/>
        <w:rPr>
          <w:sz w:val="20"/>
          <w:szCs w:val="20"/>
          <w:color w:val="auto"/>
        </w:rPr>
      </w:pPr>
    </w:p>
    <w:p>
      <w:pPr>
        <w:ind w:right="40" w:firstLine="1400"/>
        <w:spacing w:after="0" w:line="248" w:lineRule="auto"/>
        <w:tabs>
          <w:tab w:leader="none" w:pos="163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under the Plan may be subject to a right of first refusal, one or more repurchase options, or other conditions and restrictions as determined by the Board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00"/>
          </w:cols>
          <w:pgMar w:left="580" w:top="265" w:right="619" w:bottom="1440" w:gutter="0" w:footer="0" w:header="0"/>
        </w:sectPr>
      </w:pPr>
    </w:p>
    <w:bookmarkStart w:id="459" w:name="page460"/>
    <w:bookmarkEnd w:id="459"/>
    <w:p>
      <w:pPr>
        <w:ind w:firstLine="1400"/>
        <w:spacing w:after="0" w:line="276" w:lineRule="auto"/>
        <w:tabs>
          <w:tab w:leader="none" w:pos="1640" w:val="left"/>
        </w:tabs>
        <w:numPr>
          <w:ilvl w:val="1"/>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Notwithstanding the provisions of any Award Agreement to the contrary, at any time prior to the date on which the Stock is listed on a national securities exchange (as such term is used in the Exchange Act) or is traded on the over-the-counter market and prices therefore are published daily on business days in a recognized financial journal, the Board may prohibit any Participant who acquires shares of Stock pursuant to the Plan or any transferee of such Participant from selling, transferring, assigning, pledging, or otherwise disposing of or encumbering any such shares (each, a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Transfer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without the prior written consent of the Board. The Board may withhold consent to any Transfer for any reason, including without limitation any Transfer (i) to any individual or entity identified by the Company as a potential competitor or considered by the Company to be unfriendly, or (ii) if such Transfer increases the risk of the Company having a class of security held of record by such number of persons as would require the Company to register any class of securities under the Exchange Act; or (iii) if such Transfer would result in the loss of any federal or state securities law exemption relied upon by the Company in connection with the initial issuance of such shares or the issuance of any other securities; or</w:t>
      </w:r>
    </w:p>
    <w:p>
      <w:pPr>
        <w:spacing w:after="0" w:line="4" w:lineRule="exact"/>
        <w:rPr>
          <w:rFonts w:ascii="Times New Roman" w:cs="Times New Roman" w:eastAsia="Times New Roman" w:hAnsi="Times New Roman"/>
          <w:sz w:val="16"/>
          <w:szCs w:val="16"/>
          <w:color w:val="auto"/>
        </w:rPr>
      </w:pPr>
    </w:p>
    <w:p>
      <w:pPr>
        <w:ind w:firstLine="8"/>
        <w:spacing w:after="0" w:line="244" w:lineRule="auto"/>
        <w:tabs>
          <w:tab w:leader="none" w:pos="29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would be of less than all of the shares of Stock then held by the stockholder and its affiliates or is to be made to more than a single transferee.</w:t>
      </w:r>
    </w:p>
    <w:p>
      <w:pPr>
        <w:spacing w:after="0" w:line="84" w:lineRule="exact"/>
        <w:rPr>
          <w:sz w:val="20"/>
          <w:szCs w:val="20"/>
          <w:color w:val="auto"/>
        </w:rPr>
      </w:pPr>
    </w:p>
    <w:p>
      <w:pPr>
        <w:ind w:right="1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 xml:space="preserve"> The Board may determine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82" w:lineRule="exact"/>
        <w:rPr>
          <w:sz w:val="20"/>
          <w:szCs w:val="20"/>
          <w:color w:val="auto"/>
        </w:rPr>
      </w:pPr>
    </w:p>
    <w:p>
      <w:pPr>
        <w:ind w:right="20" w:firstLine="964"/>
        <w:spacing w:after="0" w:line="281" w:lineRule="auto"/>
        <w:rPr>
          <w:sz w:val="20"/>
          <w:szCs w:val="20"/>
          <w:color w:val="auto"/>
        </w:rPr>
      </w:pPr>
      <w:r>
        <w:rPr>
          <w:rFonts w:ascii="Times New Roman" w:cs="Times New Roman" w:eastAsia="Times New Roman" w:hAnsi="Times New Roman"/>
          <w:sz w:val="16"/>
          <w:szCs w:val="16"/>
          <w:color w:val="auto"/>
        </w:rPr>
        <w:t xml:space="preserve">15.3 </w:t>
      </w:r>
      <w:r>
        <w:rPr>
          <w:rFonts w:ascii="Times New Roman" w:cs="Times New Roman" w:eastAsia="Times New Roman" w:hAnsi="Times New Roman"/>
          <w:sz w:val="16"/>
          <w:szCs w:val="16"/>
          <w:b w:val="1"/>
          <w:bCs w:val="1"/>
          <w:color w:val="auto"/>
        </w:rPr>
        <w:t>Provision of Information.</w:t>
      </w:r>
      <w:r>
        <w:rPr>
          <w:rFonts w:ascii="Times New Roman" w:cs="Times New Roman" w:eastAsia="Times New Roman" w:hAnsi="Times New Roman"/>
          <w:sz w:val="16"/>
          <w:szCs w:val="16"/>
          <w:color w:val="auto"/>
        </w:rPr>
        <w:t xml:space="preserve"> At least annually, copies of the Company’s balance sheet and income statement for the just completed fiscal year shall be made available to each Participant and purchaser of shares of Stock upon the exercise of an Award; provided, however, that this requirement shall not apply if all offers and sales of securities pursuant to the Plan comply with all applicable conditions of Rule 701 under the Securities Act. The Company shall not be required to provide such information to key persons whose duties in connection with the Company assure them access to equivalent information. The Company shall deliver to each Participant such disclosures as are required in accordance with Rule 701 under the Securities Act. Notwithstanding the foregoing, at any time the Company is relying on the exemption provided by Rule 12h-1(f) under the Exchange Act, the Company shall provide to the applicable Participants the information described in Securities Act Rules 701(e)(3), (4) and (5) by a method allowed under Rule 12h-1(f)(1)(vi) and in accordance with the requirements of Rule 12h-1(f)(1)(vi), provided that the Participant agrees to keep the information confidential until the Company becomes subject to the reporting requirements of Section 13 or Section 15(d) of the Exchange Act.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00"/>
          </w:cols>
          <w:pgMar w:left="580" w:top="264" w:right="619" w:bottom="1440" w:gutter="0" w:footer="0" w:header="0"/>
        </w:sectPr>
      </w:pPr>
    </w:p>
    <w:bookmarkStart w:id="460" w:name="page461"/>
    <w:bookmarkEnd w:id="460"/>
    <w:p>
      <w:pPr>
        <w:ind w:firstLine="964"/>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15.4 </w:t>
      </w:r>
      <w:r>
        <w:rPr>
          <w:rFonts w:ascii="Times New Roman" w:cs="Times New Roman" w:eastAsia="Times New Roman" w:hAnsi="Times New Roman"/>
          <w:sz w:val="18"/>
          <w:szCs w:val="18"/>
          <w:b w:val="1"/>
          <w:bCs w:val="1"/>
          <w:color w:val="auto"/>
        </w:rPr>
        <w:t>Rights as Employee, Consultant or Director.</w:t>
      </w:r>
      <w:r>
        <w:rPr>
          <w:rFonts w:ascii="Times New Roman" w:cs="Times New Roman" w:eastAsia="Times New Roman" w:hAnsi="Times New Roman"/>
          <w:sz w:val="18"/>
          <w:szCs w:val="18"/>
          <w:color w:val="auto"/>
        </w:rPr>
        <w:t xml:space="preserve"> No person, even though eligible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82" w:lineRule="exact"/>
        <w:rPr>
          <w:sz w:val="20"/>
          <w:szCs w:val="20"/>
          <w:color w:val="auto"/>
        </w:rPr>
      </w:pPr>
    </w:p>
    <w:p>
      <w:pPr>
        <w:ind w:firstLine="1393"/>
        <w:spacing w:after="0" w:line="252"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another provision of the Plan.</w:t>
      </w:r>
    </w:p>
    <w:p>
      <w:pPr>
        <w:spacing w:after="0" w:line="76" w:lineRule="exact"/>
        <w:rPr>
          <w:sz w:val="20"/>
          <w:szCs w:val="20"/>
          <w:color w:val="auto"/>
        </w:rPr>
      </w:pPr>
    </w:p>
    <w:p>
      <w:pPr>
        <w:ind w:right="80" w:firstLine="1393"/>
        <w:spacing w:after="0" w:line="250"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b w:val="1"/>
          <w:bCs w:val="1"/>
          <w:color w:val="auto"/>
        </w:rPr>
        <w:t>Delivery of Title to Shares.</w:t>
      </w:r>
      <w:r>
        <w:rPr>
          <w:rFonts w:ascii="Times New Roman" w:cs="Times New Roman" w:eastAsia="Times New Roman" w:hAnsi="Times New Roman"/>
          <w:sz w:val="18"/>
          <w:szCs w:val="18"/>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7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 xml:space="preserve">15.7 </w:t>
      </w:r>
      <w:r>
        <w:rPr>
          <w:rFonts w:ascii="Times New Roman" w:cs="Times New Roman" w:eastAsia="Times New Roman" w:hAnsi="Times New Roman"/>
          <w:sz w:val="16"/>
          <w:szCs w:val="16"/>
          <w:b w:val="1"/>
          <w:bCs w:val="1"/>
          <w:color w:val="auto"/>
        </w:rPr>
        <w:t>Fractional Shares.</w:t>
      </w:r>
      <w:r>
        <w:rPr>
          <w:rFonts w:ascii="Times New Roman" w:cs="Times New Roman" w:eastAsia="Times New Roman" w:hAnsi="Times New Roman"/>
          <w:sz w:val="16"/>
          <w:szCs w:val="16"/>
          <w:color w:val="auto"/>
        </w:rPr>
        <w:t xml:space="preserve"> The Company shall not be required to issue fractional shares upon the exercise or settlement of any Award.</w:t>
      </w:r>
    </w:p>
    <w:p>
      <w:pPr>
        <w:spacing w:after="0" w:line="131" w:lineRule="exact"/>
        <w:rPr>
          <w:sz w:val="20"/>
          <w:szCs w:val="20"/>
          <w:color w:val="auto"/>
        </w:rPr>
      </w:pPr>
    </w:p>
    <w:p>
      <w:pPr>
        <w:ind w:right="220" w:firstLine="1393"/>
        <w:spacing w:after="0" w:line="252"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b w:val="1"/>
          <w:bCs w:val="1"/>
          <w:color w:val="auto"/>
        </w:rPr>
        <w:t>Retirement and Welfare Plans.</w:t>
      </w:r>
      <w:r>
        <w:rPr>
          <w:rFonts w:ascii="Times New Roman" w:cs="Times New Roman" w:eastAsia="Times New Roman" w:hAnsi="Times New Roman"/>
          <w:sz w:val="18"/>
          <w:szCs w:val="18"/>
          <w:color w:val="auto"/>
        </w:rPr>
        <w:t xml:space="preserve">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benefits.</w:t>
      </w:r>
    </w:p>
    <w:p>
      <w:pPr>
        <w:spacing w:after="0" w:line="76" w:lineRule="exact"/>
        <w:rPr>
          <w:sz w:val="20"/>
          <w:szCs w:val="20"/>
          <w:color w:val="auto"/>
        </w:rPr>
      </w:pPr>
    </w:p>
    <w:p>
      <w:pPr>
        <w:ind w:right="120" w:firstLine="1393"/>
        <w:spacing w:after="0" w:line="256"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73" w:lineRule="exact"/>
        <w:rPr>
          <w:sz w:val="20"/>
          <w:szCs w:val="20"/>
          <w:color w:val="auto"/>
        </w:rPr>
      </w:pPr>
    </w:p>
    <w:p>
      <w:pPr>
        <w:ind w:right="380" w:firstLine="1393"/>
        <w:spacing w:after="0" w:line="270"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b w:val="1"/>
          <w:bCs w:val="1"/>
          <w:color w:val="auto"/>
        </w:rPr>
        <w:t>No Constraint on Corporate Action.</w:t>
      </w:r>
      <w:r>
        <w:rPr>
          <w:rFonts w:ascii="Times New Roman" w:cs="Times New Roman" w:eastAsia="Times New Roman" w:hAnsi="Times New Roman"/>
          <w:sz w:val="18"/>
          <w:szCs w:val="18"/>
          <w:color w:val="auto"/>
        </w:rPr>
        <w:t xml:space="preserve"> Nothing in this Plan shall be construed to: (a) limit, impair, or otherwise affect the Company’s or another Participating Company’s right or power to make adjustments, reclassifications, reorganizations, or changes of</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00"/>
          </w:cols>
          <w:pgMar w:left="580" w:top="263" w:right="619" w:bottom="1440" w:gutter="0" w:footer="0" w:header="0"/>
        </w:sectPr>
      </w:pPr>
    </w:p>
    <w:bookmarkStart w:id="461" w:name="page462"/>
    <w:bookmarkEnd w:id="461"/>
    <w:p>
      <w:pPr>
        <w:ind w:right="12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6"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b w:val="1"/>
          <w:bCs w:val="1"/>
          <w:color w:val="auto"/>
        </w:rPr>
        <w:t>Unfunded Obligation.</w:t>
      </w:r>
      <w:r>
        <w:rPr>
          <w:rFonts w:ascii="Times New Roman" w:cs="Times New Roman" w:eastAsia="Times New Roman" w:hAnsi="Times New Roman"/>
          <w:sz w:val="18"/>
          <w:szCs w:val="18"/>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86" w:lineRule="exact"/>
        <w:rPr>
          <w:sz w:val="20"/>
          <w:szCs w:val="20"/>
          <w:color w:val="auto"/>
        </w:rPr>
      </w:pPr>
    </w:p>
    <w:p>
      <w:pPr>
        <w:ind w:firstLine="964"/>
        <w:spacing w:after="0" w:line="333" w:lineRule="auto"/>
        <w:rPr>
          <w:sz w:val="20"/>
          <w:szCs w:val="20"/>
          <w:color w:val="auto"/>
        </w:rPr>
      </w:pPr>
      <w:r>
        <w:rPr>
          <w:rFonts w:ascii="Times New Roman" w:cs="Times New Roman" w:eastAsia="Times New Roman" w:hAnsi="Times New Roman"/>
          <w:sz w:val="16"/>
          <w:szCs w:val="16"/>
          <w:color w:val="auto"/>
        </w:rPr>
        <w:t xml:space="preserve">15.12 </w:t>
      </w:r>
      <w:r>
        <w:rPr>
          <w:rFonts w:ascii="Times New Roman" w:cs="Times New Roman" w:eastAsia="Times New Roman" w:hAnsi="Times New Roman"/>
          <w:sz w:val="16"/>
          <w:szCs w:val="16"/>
          <w:b w:val="1"/>
          <w:bCs w:val="1"/>
          <w:color w:val="auto"/>
        </w:rPr>
        <w:t>Choice of Law.</w:t>
      </w:r>
      <w:r>
        <w:rPr>
          <w:rFonts w:ascii="Times New Roman" w:cs="Times New Roman" w:eastAsia="Times New Roman" w:hAnsi="Times New Roman"/>
          <w:sz w:val="16"/>
          <w:szCs w:val="16"/>
          <w:color w:val="auto"/>
        </w:rPr>
        <w:t xml:space="preserve"> Except to the extent governed by applicable federal law, the validity, interpretation, construction and performance of the Plan and each Award Agreement shall be governed by the laws of the State of Delaware, without regard to its conflict of law rules.</w:t>
      </w:r>
    </w:p>
    <w:p>
      <w:pPr>
        <w:spacing w:after="0" w:line="15" w:lineRule="exact"/>
        <w:rPr>
          <w:sz w:val="20"/>
          <w:szCs w:val="20"/>
          <w:color w:val="auto"/>
        </w:rPr>
      </w:pPr>
    </w:p>
    <w:p>
      <w:pPr>
        <w:ind w:right="140" w:firstLine="964"/>
        <w:spacing w:after="0" w:line="283" w:lineRule="auto"/>
        <w:rPr>
          <w:sz w:val="20"/>
          <w:szCs w:val="20"/>
          <w:color w:val="auto"/>
        </w:rPr>
      </w:pPr>
      <w:r>
        <w:rPr>
          <w:rFonts w:ascii="Times New Roman" w:cs="Times New Roman" w:eastAsia="Times New Roman" w:hAnsi="Times New Roman"/>
          <w:sz w:val="16"/>
          <w:szCs w:val="16"/>
          <w:color w:val="auto"/>
        </w:rPr>
        <w:t xml:space="preserve">15.13 </w:t>
      </w:r>
      <w:r>
        <w:rPr>
          <w:rFonts w:ascii="Times New Roman" w:cs="Times New Roman" w:eastAsia="Times New Roman" w:hAnsi="Times New Roman"/>
          <w:sz w:val="16"/>
          <w:szCs w:val="16"/>
          <w:b w:val="1"/>
          <w:bCs w:val="1"/>
          <w:color w:val="auto"/>
        </w:rPr>
        <w:t>Stockholder Approval.</w:t>
      </w:r>
      <w:r>
        <w:rPr>
          <w:rFonts w:ascii="Times New Roman" w:cs="Times New Roman" w:eastAsia="Times New Roman" w:hAnsi="Times New Roman"/>
          <w:sz w:val="16"/>
          <w:szCs w:val="16"/>
          <w:color w:val="auto"/>
        </w:rPr>
        <w:t xml:space="preserve"> The Plan or any increase in the maximum aggregate number of shares of Stock issuable thereunder as provided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Authorized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shall be approved by a majority of the outstanding securities of the Company entitled to vote by the later of (a) a period beginning twelve (12) months before and ending twelve (12) months after the date of adoption thereof by the Board or (b) the first issuance of any security pursuant to the Plan in the State of California (within the meaning of Section 25008 of the California Corporations Code). Awards granted prior to security holder approval of the Plan or in excess of the Authorized Shares previously approved by the security holders shall become exercisable no earlier than the date of security holder approval of the Plan or such increase in the Authorized Shares, as the case may be, and such Awards shall be rescinded if such security holder approval is not received in the manner described in the preceding sentence.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20"/>
          </w:cols>
          <w:pgMar w:left="580" w:top="265" w:right="599" w:bottom="1440" w:gutter="0" w:footer="0" w:header="0"/>
        </w:sectPr>
      </w:pPr>
    </w:p>
    <w:bookmarkStart w:id="462" w:name="page463"/>
    <w:bookmarkEnd w:id="462"/>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 HISTORY</w:t>
            </w:r>
          </w:p>
        </w:tc>
      </w:tr>
      <w:tr>
        <w:trPr>
          <w:trHeight w:val="20"/>
        </w:trPr>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65"/>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September 21, 2015</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Board adopts Plan, with an initial reserve of 7,500,000 shares.</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September 21, 2015</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Stockholders of the Company approve Plan.</w:t>
            </w:r>
          </w:p>
        </w:tc>
      </w:tr>
      <w:tr>
        <w:trPr>
          <w:trHeight w:val="297"/>
        </w:trPr>
        <w:tc>
          <w:tcPr>
            <w:tcW w:w="1900" w:type="dxa"/>
            <w:vAlign w:val="bottom"/>
          </w:tcPr>
          <w:p>
            <w:pPr>
              <w:spacing w:after="0"/>
              <w:rPr>
                <w:sz w:val="24"/>
                <w:szCs w:val="24"/>
                <w:color w:val="auto"/>
              </w:rPr>
            </w:pP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6"/>
              </w:rPr>
              <w:t>Board adopts the amended and restated Plan and Stockholders of the Company approve the amendment and</w:t>
            </w: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September 8, 2017</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restatement of Plan for a new reserve of 10,415,750 shares.</w:t>
            </w:r>
          </w:p>
        </w:tc>
      </w:tr>
      <w:tr>
        <w:trPr>
          <w:trHeight w:val="297"/>
        </w:trPr>
        <w:tc>
          <w:tcPr>
            <w:tcW w:w="1900" w:type="dxa"/>
            <w:vAlign w:val="bottom"/>
          </w:tcPr>
          <w:p>
            <w:pPr>
              <w:spacing w:after="0"/>
              <w:rPr>
                <w:sz w:val="24"/>
                <w:szCs w:val="24"/>
                <w:color w:val="auto"/>
              </w:rPr>
            </w:pP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6"/>
              </w:rPr>
              <w:t>Board adopts the amended and restated Plan and Stockholders of the Company approve the amendment and</w:t>
            </w: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March 16, 2018</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restatement of Plan for a new reserve of 12,615,750 shares.</w:t>
            </w:r>
          </w:p>
        </w:tc>
      </w:tr>
      <w:tr>
        <w:trPr>
          <w:trHeight w:val="297"/>
        </w:trPr>
        <w:tc>
          <w:tcPr>
            <w:tcW w:w="1900" w:type="dxa"/>
            <w:vAlign w:val="bottom"/>
          </w:tcPr>
          <w:p>
            <w:pPr>
              <w:spacing w:after="0"/>
              <w:rPr>
                <w:sz w:val="24"/>
                <w:szCs w:val="24"/>
                <w:color w:val="auto"/>
              </w:rPr>
            </w:pP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6"/>
              </w:rPr>
              <w:t>Board adopts the amended and restated Plan and Stockholders of the Company approve the amendment and</w:t>
            </w: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October 16, 2019</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restatement of Plan for a new reserve of 14,115,750 shares.</w:t>
            </w:r>
          </w:p>
        </w:tc>
      </w:tr>
    </w:tbl>
    <w:p>
      <w:pPr>
        <w:ind w:left="480"/>
        <w:spacing w:after="0"/>
        <w:rPr>
          <w:sz w:val="20"/>
          <w:szCs w:val="20"/>
          <w:color w:val="auto"/>
        </w:rPr>
        <w:sectPr>
          <w:pgSz w:w="11900" w:h="16838" w:orient="portrait"/>
          <w:cols w:equalWidth="0" w:num="1">
            <w:col w:w="9920"/>
          </w:cols>
          <w:pgMar w:left="580" w:top="247" w:right="13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463" w:name="page464"/>
    <w:bookmarkEnd w:id="46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APPENDIX A</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THIRD AMENDED AND RESTATED TEMPUS LABS, INC.</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Provisions For California Residents</w:t>
      </w:r>
    </w:p>
    <w:p>
      <w:pPr>
        <w:spacing w:after="0" w:line="215" w:lineRule="exact"/>
        <w:rPr>
          <w:sz w:val="20"/>
          <w:szCs w:val="20"/>
          <w:color w:val="auto"/>
        </w:rPr>
      </w:pPr>
    </w:p>
    <w:p>
      <w:pPr>
        <w:ind w:right="40" w:firstLine="428"/>
        <w:spacing w:after="0" w:line="251" w:lineRule="auto"/>
        <w:rPr>
          <w:sz w:val="20"/>
          <w:szCs w:val="20"/>
          <w:color w:val="auto"/>
        </w:rPr>
      </w:pPr>
      <w:r>
        <w:rPr>
          <w:rFonts w:ascii="Times New Roman" w:cs="Times New Roman" w:eastAsia="Times New Roman" w:hAnsi="Times New Roman"/>
          <w:sz w:val="18"/>
          <w:szCs w:val="18"/>
          <w:color w:val="auto"/>
        </w:rPr>
        <w:t>With respect to Awards granted to California residents prior to a public offering of capital stock of the Company that is effected pursuant to a registration statement filed with, and declared effective by, the Securities and Exchange Commission under the Securities Act of 1933, as amended, and only to the extent required by applicable law, the following provisions shall apply notwithstanding anything in the Plan or an Award Agreement to the contrary:</w:t>
      </w:r>
    </w:p>
    <w:p>
      <w:pPr>
        <w:spacing w:after="0" w:line="184" w:lineRule="exact"/>
        <w:rPr>
          <w:sz w:val="20"/>
          <w:szCs w:val="20"/>
          <w:color w:val="auto"/>
        </w:rPr>
      </w:pPr>
    </w:p>
    <w:p>
      <w:pPr>
        <w:ind w:left="180" w:hanging="172"/>
        <w:spacing w:after="0"/>
        <w:tabs>
          <w:tab w:leader="none" w:pos="1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Award granted in the form of a stock option pursuant to Section 6 of the Plan:</w:t>
      </w:r>
    </w:p>
    <w:p>
      <w:pPr>
        <w:spacing w:after="0" w:line="10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period shall be no more than 120 months from the date the Option is granted.</w:t>
      </w:r>
    </w:p>
    <w:p>
      <w:pPr>
        <w:spacing w:after="0" w:line="108" w:lineRule="exact"/>
        <w:rPr>
          <w:rFonts w:ascii="Times New Roman" w:cs="Times New Roman" w:eastAsia="Times New Roman" w:hAnsi="Times New Roman"/>
          <w:sz w:val="18"/>
          <w:szCs w:val="18"/>
          <w:color w:val="auto"/>
        </w:rPr>
      </w:pPr>
    </w:p>
    <w:p>
      <w:pPr>
        <w:ind w:left="440" w:right="220" w:hanging="4"/>
        <w:spacing w:after="0" w:line="331" w:lineRule="auto"/>
        <w:tabs>
          <w:tab w:leader="none" w:pos="688" w:val="left"/>
        </w:tabs>
        <w:numPr>
          <w:ilvl w:val="1"/>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shall be non-transferable other than by will, by the laws of descent and distribution, or, if and to the extent permitted under the Award Agreement, to a revocable trust or as permitted by Rule 701 of the Securities Act of 1933, as amended (17 C.F.R. 230.701).</w:t>
      </w:r>
    </w:p>
    <w:p>
      <w:pPr>
        <w:spacing w:after="0" w:line="17" w:lineRule="exact"/>
        <w:rPr>
          <w:rFonts w:ascii="Times New Roman" w:cs="Times New Roman" w:eastAsia="Times New Roman" w:hAnsi="Times New Roman"/>
          <w:sz w:val="16"/>
          <w:szCs w:val="16"/>
          <w:color w:val="auto"/>
        </w:rPr>
      </w:pPr>
    </w:p>
    <w:p>
      <w:pPr>
        <w:jc w:val="both"/>
        <w:ind w:left="440" w:hanging="4"/>
        <w:spacing w:after="0" w:line="255" w:lineRule="auto"/>
        <w:tabs>
          <w:tab w:leader="none" w:pos="678"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Service is terminated for “cause” as defined by applicable law, the terms of the Plan or Award Agreement, or a contract of employment or other service, the right to exercise the Option in the event of termination of Service, to the extent that the Award recipient is entitled to exercise on the date employment terminates, will continue until the earlier of the Option expiration date, or:</w:t>
      </w:r>
    </w:p>
    <w:p>
      <w:pPr>
        <w:spacing w:after="0" w:line="75"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 months from the date of termination if termination was caused by death or Disability.</w:t>
      </w:r>
    </w:p>
    <w:p>
      <w:pPr>
        <w:spacing w:after="0" w:line="108"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30 days from the date of termination if termination was caused by other than death or Disability.</w:t>
      </w:r>
    </w:p>
    <w:p>
      <w:pPr>
        <w:spacing w:after="0" w:line="213" w:lineRule="exact"/>
        <w:rPr>
          <w:rFonts w:ascii="Times New Roman" w:cs="Times New Roman" w:eastAsia="Times New Roman" w:hAnsi="Times New Roman"/>
          <w:sz w:val="18"/>
          <w:szCs w:val="18"/>
          <w:color w:val="auto"/>
        </w:rPr>
      </w:pPr>
    </w:p>
    <w:p>
      <w:pPr>
        <w:ind w:firstLine="8"/>
        <w:spacing w:after="0" w:line="255" w:lineRule="auto"/>
        <w:tabs>
          <w:tab w:leader="none" w:pos="17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Award, granted pursuant to of Section 7 the Plan, that provides the Award recipient the right to purchase stock, the Award shall be non-transferable other than by will, by the laws of descent and distribution, or, if and to the extent permitted under the Award Agreement, to a revocable trust or as permitted by Rule 701 of the Securities Act of 1933, as amended (17 C.F.R. 230.701).</w:t>
      </w:r>
    </w:p>
    <w:p>
      <w:pPr>
        <w:spacing w:after="0" w:line="180" w:lineRule="exact"/>
        <w:rPr>
          <w:rFonts w:ascii="Times New Roman" w:cs="Times New Roman" w:eastAsia="Times New Roman" w:hAnsi="Times New Roman"/>
          <w:sz w:val="18"/>
          <w:szCs w:val="18"/>
          <w:color w:val="auto"/>
        </w:rPr>
      </w:pPr>
    </w:p>
    <w:p>
      <w:pPr>
        <w:ind w:right="200" w:firstLine="8"/>
        <w:spacing w:after="0" w:line="267" w:lineRule="auto"/>
        <w:tabs>
          <w:tab w:leader="none" w:pos="17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have a termination date of not more than 10 years from the date the Plan is adopted by the Board or the date the Plan is approved by the security holders, whichever is earlier.</w:t>
      </w:r>
    </w:p>
    <w:p>
      <w:pPr>
        <w:sectPr>
          <w:pgSz w:w="11900" w:h="16838" w:orient="portrait"/>
          <w:cols w:equalWidth="0" w:num="1">
            <w:col w:w="10660"/>
          </w:cols>
          <w:pgMar w:left="580" w:top="263" w:right="659" w:bottom="1440" w:gutter="0" w:footer="0" w:header="0"/>
        </w:sectPr>
      </w:pPr>
    </w:p>
    <w:bookmarkStart w:id="464" w:name="page465"/>
    <w:bookmarkEnd w:id="464"/>
    <w:p>
      <w:pPr>
        <w:ind w:left="-8" w:right="120" w:firstLine="8"/>
        <w:spacing w:after="0" w:line="251" w:lineRule="auto"/>
        <w:tabs>
          <w:tab w:leader="none" w:pos="167"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Security holders representing a majority of the Company’s outstanding securities entitled to vote must approve the Plan by the later of (a) 12 months after the date the Plan is adopted or (b) 12 months after the granting of any Award to a resident of California. Any Option exercised or any securities purchased before security holder approval is obtained must be rescinded if security holder approval is not obtained within the period described in the preceding sentence. Such securities shall not be counted in determining whether such approval is obtained.</w:t>
      </w:r>
    </w:p>
    <w:p>
      <w:pPr>
        <w:spacing w:after="0" w:line="79" w:lineRule="exact"/>
        <w:rPr>
          <w:rFonts w:ascii="Times New Roman" w:cs="Times New Roman" w:eastAsia="Times New Roman" w:hAnsi="Times New Roman"/>
          <w:sz w:val="18"/>
          <w:szCs w:val="18"/>
          <w:color w:val="auto"/>
        </w:rPr>
      </w:pPr>
    </w:p>
    <w:p>
      <w:pPr>
        <w:ind w:left="-8" w:right="60" w:firstLine="8"/>
        <w:spacing w:after="0" w:line="249" w:lineRule="auto"/>
        <w:tabs>
          <w:tab w:leader="none" w:pos="167"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financial statements to each Award recipient annually during the period such individual has Awards outstanding, or as otherwise required under section 260.140.46 of Title 10 of the California Code of Regulations. Notwithstanding the foregoing, the Company will not be required to provide such financial statements to Award recipients when the Plan complies with all conditions of Rule 701 of the Securities Act of 1933, as amended (17 C.F.R. 230.701); provided that for purposes of determining such compliance, any registered domestic partner shall be considered a “family member” as that term is defined in Rule 701.</w:t>
      </w:r>
    </w:p>
    <w:p>
      <w:pPr>
        <w:spacing w:after="0" w:line="186" w:lineRule="exact"/>
        <w:rPr>
          <w:rFonts w:ascii="Times New Roman" w:cs="Times New Roman" w:eastAsia="Times New Roman" w:hAnsi="Times New Roman"/>
          <w:sz w:val="18"/>
          <w:szCs w:val="18"/>
          <w:color w:val="auto"/>
        </w:rPr>
      </w:pPr>
    </w:p>
    <w:p>
      <w:pPr>
        <w:ind w:left="-8" w:firstLine="8"/>
        <w:spacing w:after="0" w:line="285" w:lineRule="auto"/>
        <w:tabs>
          <w:tab w:leader="none" w:pos="167"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intended to comply with section 25102(o) of the California Corporations Code. Any provision of this Plan which is inconsistent with section 25102(o), including without limitation any provision of this Plan that is more restrictive than would be permitted by section 25102(o) as amended from time to time, shall, without further act or amendment by the Board, be reformed to comply with the provisions of section 25102(o). If at any time the Board determines that the delivery of Stock under the Plan is or may be unlawful under the laws of any applicable jurisdiction, or federal or state securities laws, the right to exercise an Award or receive shares of Stock pursuant to an Award shall be suspended until the Board determines that such delivery is lawful. The Company shall have no obligation to effect any registration or qualification of the Stock under federal or state laws.</w:t>
      </w:r>
    </w:p>
    <w:p>
      <w:pPr>
        <w:sectPr>
          <w:pgSz w:w="11900" w:h="16838" w:orient="portrait"/>
          <w:cols w:equalWidth="0" w:num="1">
            <w:col w:w="10692"/>
          </w:cols>
          <w:pgMar w:left="588" w:top="265" w:right="619" w:bottom="1440" w:gutter="0" w:footer="0" w:header="0"/>
        </w:sectPr>
      </w:pPr>
    </w:p>
    <w:bookmarkStart w:id="465" w:name="page466"/>
    <w:bookmarkEnd w:id="465"/>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380" w:type="dxa"/>
            <w:vAlign w:val="bottom"/>
          </w:tcPr>
          <w:p>
            <w:pPr>
              <w:jc w:val="right"/>
              <w:ind w:right="4273"/>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63"/>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1. </w:t>
            </w:r>
          </w:p>
        </w:tc>
        <w:tc>
          <w:tcPr>
            <w:tcW w:w="4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Establishment, Purpose and Term of Plan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Establishment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Purpose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of Plan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2. 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Definitions and Construction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3. 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Administration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Administration by the Board</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of Officers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of the Board</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Administration with Respect to Insiders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4. </w:t>
            </w:r>
          </w:p>
        </w:tc>
        <w:tc>
          <w:tcPr>
            <w:tcW w:w="4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Shares Subject to Plan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Maximum Number of Shares Issuable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Counting</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for Changes in Capital Structure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Assumption or Substitution of Awards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5. </w:t>
            </w:r>
          </w:p>
        </w:tc>
        <w:tc>
          <w:tcPr>
            <w:tcW w:w="4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Eligibility, Participation and Option Limitations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Persons Eligible for Awards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Participation in the Plan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Stock Option Limitations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6. 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Stock Options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Price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Exercisability and Term of Options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Exercise Price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Transferability of Options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5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380" w:type="dxa"/>
            <w:vAlign w:val="bottom"/>
          </w:tcPr>
          <w:p>
            <w:pPr>
              <w:jc w:val="right"/>
              <w:ind w:right="5133"/>
              <w:spacing w:after="0"/>
              <w:rPr>
                <w:sz w:val="20"/>
                <w:szCs w:val="20"/>
                <w:color w:val="auto"/>
              </w:rPr>
            </w:pPr>
            <w:r>
              <w:rPr>
                <w:rFonts w:ascii="Times New Roman" w:cs="Times New Roman" w:eastAsia="Times New Roman" w:hAnsi="Times New Roman"/>
                <w:sz w:val="18"/>
                <w:szCs w:val="18"/>
                <w:color w:val="auto"/>
              </w:rPr>
              <w:t>-i-</w:t>
            </w:r>
          </w:p>
        </w:tc>
      </w:tr>
    </w:tbl>
    <w:p>
      <w:pPr>
        <w:jc w:val="right"/>
        <w:ind w:right="5133"/>
        <w:spacing w:after="0"/>
        <w:rPr>
          <w:sz w:val="20"/>
          <w:szCs w:val="20"/>
          <w:color w:val="auto"/>
        </w:rPr>
        <w:sectPr>
          <w:pgSz w:w="11900" w:h="16838" w:orient="portrait"/>
          <w:cols w:equalWidth="0" w:num="1">
            <w:col w:w="10660"/>
          </w:cols>
          <w:pgMar w:left="580" w:top="263" w:right="65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466" w:name="page467"/>
    <w:bookmarkEnd w:id="466"/>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500" w:type="dxa"/>
            <w:vAlign w:val="bottom"/>
          </w:tcPr>
          <w:p>
            <w:pPr>
              <w:jc w:val="center"/>
              <w:ind w:left="1452"/>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320" w:type="dxa"/>
            <w:vAlign w:val="bottom"/>
          </w:tcPr>
          <w:p>
            <w:pPr>
              <w:spacing w:after="0"/>
              <w:rPr>
                <w:sz w:val="18"/>
                <w:szCs w:val="18"/>
                <w:color w:val="auto"/>
              </w:rPr>
            </w:pPr>
          </w:p>
        </w:tc>
      </w:tr>
      <w:tr>
        <w:trPr>
          <w:trHeight w:val="228"/>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50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6"/>
              </w:rPr>
              <w:t>(continued)</w:t>
            </w:r>
          </w:p>
        </w:tc>
        <w:tc>
          <w:tcPr>
            <w:tcW w:w="2320" w:type="dxa"/>
            <w:vAlign w:val="bottom"/>
          </w:tcPr>
          <w:p>
            <w:pPr>
              <w:spacing w:after="0"/>
              <w:rPr>
                <w:sz w:val="19"/>
                <w:szCs w:val="19"/>
                <w:color w:val="auto"/>
              </w:rPr>
            </w:pPr>
          </w:p>
        </w:tc>
      </w:tr>
      <w:tr>
        <w:trPr>
          <w:trHeight w:val="30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7. 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Restricted Stock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Types of Restricted Stock Awards Authorized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Period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and Restrictions on Transfer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Rights; Dividends and Distributions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Nontransferability of Restricted Stock Award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8. 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Restricted Stock Units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of Restricted Stock Unit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Restricted Stock Unit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Nontransferability of Restricted Stock Unit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9. </w:t>
            </w: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Standard Forms of Award Agreements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 Agreements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to Vary Terms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10.      Change in Control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Change in Control on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Excise Tax Under Section 4999 of the Code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72"/>
              </w:rPr>
              <w:t>11. </w:t>
            </w:r>
          </w:p>
        </w:tc>
        <w:tc>
          <w:tcPr>
            <w:tcW w:w="100" w:type="dxa"/>
            <w:vAlign w:val="bottom"/>
          </w:tcPr>
          <w:p>
            <w:pPr>
              <w:spacing w:after="0"/>
              <w:rPr>
                <w:sz w:val="24"/>
                <w:szCs w:val="24"/>
                <w:color w:val="auto"/>
              </w:rPr>
            </w:pPr>
          </w:p>
        </w:tc>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Tax Withholding</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Withholding in General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in or Directed Sale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12.      Compliance with Section 409A</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General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Limitations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13.      Compliance with Securities Law</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14.      Amendment or Termination of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54"/>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00" w:type="dxa"/>
            <w:vAlign w:val="bottom"/>
          </w:tcPr>
          <w:p>
            <w:pPr>
              <w:jc w:val="center"/>
              <w:ind w:left="1472"/>
              <w:spacing w:after="0"/>
              <w:rPr>
                <w:sz w:val="20"/>
                <w:szCs w:val="20"/>
                <w:color w:val="auto"/>
              </w:rPr>
            </w:pPr>
            <w:r>
              <w:rPr>
                <w:rFonts w:ascii="Times New Roman" w:cs="Times New Roman" w:eastAsia="Times New Roman" w:hAnsi="Times New Roman"/>
                <w:sz w:val="18"/>
                <w:szCs w:val="18"/>
                <w:color w:val="auto"/>
                <w:w w:val="99"/>
              </w:rPr>
              <w:t>-ii-</w:t>
            </w:r>
          </w:p>
        </w:tc>
        <w:tc>
          <w:tcPr>
            <w:tcW w:w="2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60"/>
          </w:cols>
          <w:pgMar w:left="580" w:top="263" w:right="65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467" w:name="page468"/>
    <w:bookmarkEnd w:id="467"/>
    <w:tbl>
      <w:tblPr>
        <w:tblLayout w:type="fixed"/>
        <w:tblInd w:w="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40" w:type="dxa"/>
            <w:vAlign w:val="bottom"/>
          </w:tcPr>
          <w:p>
            <w:pPr>
              <w:jc w:val="right"/>
              <w:ind w:right="4274"/>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28"/>
        </w:trPr>
        <w:tc>
          <w:tcPr>
            <w:tcW w:w="8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40" w:type="dxa"/>
            <w:vAlign w:val="bottom"/>
          </w:tcPr>
          <w:p>
            <w:pPr>
              <w:jc w:val="right"/>
              <w:ind w:right="4814"/>
              <w:spacing w:after="0"/>
              <w:rPr>
                <w:sz w:val="20"/>
                <w:szCs w:val="20"/>
                <w:color w:val="auto"/>
              </w:rPr>
            </w:pPr>
            <w:r>
              <w:rPr>
                <w:rFonts w:ascii="Times New Roman" w:cs="Times New Roman" w:eastAsia="Times New Roman" w:hAnsi="Times New Roman"/>
                <w:sz w:val="18"/>
                <w:szCs w:val="18"/>
                <w:color w:val="auto"/>
              </w:rPr>
              <w:t>(continued)</w:t>
            </w:r>
          </w:p>
        </w:tc>
      </w:tr>
      <w:tr>
        <w:trPr>
          <w:trHeight w:val="271"/>
        </w:trPr>
        <w:tc>
          <w:tcPr>
            <w:tcW w:w="8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Miscellaneous Provisions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Restrictions on Transfer of Shares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 Events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of Information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as Employee, Consultant or Director</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as a Stockholder</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of Title to Shares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Fractional Shares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Retirement and Welfare Plans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15.10</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Constraint on Corporate Action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15.11</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Unfunded Obligation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15.12</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Choice of Law</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15.13</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 Approval</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60"/>
          </w:cols>
          <w:pgMar w:left="580" w:top="263" w:right="659" w:bottom="1440" w:gutter="0" w:footer="0" w:header="0"/>
        </w:sectPr>
      </w:pPr>
    </w:p>
    <w:bookmarkStart w:id="468" w:name="page469"/>
    <w:bookmarkEnd w:id="46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TO</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5" w:lineRule="exact"/>
        <w:rPr>
          <w:sz w:val="20"/>
          <w:szCs w:val="20"/>
          <w:color w:val="auto"/>
        </w:rPr>
      </w:pPr>
    </w:p>
    <w:p>
      <w:pPr>
        <w:jc w:val="both"/>
        <w:ind w:right="140" w:firstLine="964"/>
        <w:spacing w:after="0" w:line="255"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Third Amended and Restated Tempus Labs, Inc. 2015 Stock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Tempus Labs,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June 24, 2020, subject to approval by the Company’s stockholders.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w:t>
      </w:r>
    </w:p>
    <w:p>
      <w:pPr>
        <w:spacing w:after="0" w:line="213" w:lineRule="exact"/>
        <w:rPr>
          <w:sz w:val="20"/>
          <w:szCs w:val="20"/>
          <w:color w:val="auto"/>
        </w:rPr>
      </w:pPr>
    </w:p>
    <w:p>
      <w:pPr>
        <w:ind w:right="5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14 of the Plan, the Board may amend the Plan at any time,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in accordance with Section 15.13 of the Plan;</w:t>
      </w:r>
    </w:p>
    <w:p>
      <w:pPr>
        <w:spacing w:after="0" w:line="164" w:lineRule="exact"/>
        <w:rPr>
          <w:sz w:val="20"/>
          <w:szCs w:val="20"/>
          <w:color w:val="auto"/>
        </w:rPr>
      </w:pPr>
    </w:p>
    <w:p>
      <w:pPr>
        <w:ind w:right="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deems it to be in the best interests of the Company and its stockholders to amend the Plan in order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number of authorized shares that may be issued pursuant to Section 4.1 of the Plan; and</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reviewed, and adopted, this Amendment June 24, 2020, subject to approval by the Company’s stockholders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15.13 of the Plan.</w:t>
      </w:r>
    </w:p>
    <w:p>
      <w:pPr>
        <w:spacing w:after="0" w:line="164" w:lineRule="exact"/>
        <w:rPr>
          <w:sz w:val="20"/>
          <w:szCs w:val="20"/>
          <w:color w:val="auto"/>
        </w:rPr>
      </w:pPr>
    </w:p>
    <w:p>
      <w:pPr>
        <w:ind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following amendments and modifications are hereby made a part of the Plan, subject to, and effective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approval of this Amendment by the Company’s stockholders:</w:t>
      </w:r>
    </w:p>
    <w:p>
      <w:pPr>
        <w:spacing w:after="0" w:line="75" w:lineRule="exact"/>
        <w:rPr>
          <w:sz w:val="20"/>
          <w:szCs w:val="20"/>
          <w:color w:val="auto"/>
        </w:rPr>
      </w:pPr>
    </w:p>
    <w:p>
      <w:pPr>
        <w:ind w:left="960" w:right="400" w:hanging="532"/>
        <w:spacing w:after="0" w:line="267" w:lineRule="auto"/>
        <w:tabs>
          <w:tab w:leader="none" w:pos="9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amended by replacing the reference to “14,115,750” with “20,115,750” in order to reflect an increase in the aggregate number of authorized shares that may be issued pursuant to Section 4.1 of the Plan.</w:t>
      </w:r>
    </w:p>
    <w:p>
      <w:pPr>
        <w:spacing w:after="0" w:line="77" w:lineRule="exact"/>
        <w:rPr>
          <w:rFonts w:ascii="Times New Roman" w:cs="Times New Roman" w:eastAsia="Times New Roman" w:hAnsi="Times New Roman"/>
          <w:sz w:val="18"/>
          <w:szCs w:val="18"/>
          <w:color w:val="auto"/>
        </w:rPr>
      </w:pPr>
    </w:p>
    <w:p>
      <w:pPr>
        <w:ind w:left="960" w:right="500" w:hanging="532"/>
        <w:spacing w:after="0" w:line="267" w:lineRule="auto"/>
        <w:tabs>
          <w:tab w:leader="none" w:pos="9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Plan not otherwise amended or modified by this Amendment, either expressly or by necessary implication, shall remain in full force and effect.</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660"/>
          </w:cols>
          <w:pgMar w:left="580" w:top="263" w:right="659" w:bottom="1440" w:gutter="0" w:footer="0" w:header="0"/>
        </w:sectPr>
      </w:pPr>
    </w:p>
    <w:bookmarkStart w:id="469" w:name="page470"/>
    <w:bookmarkEnd w:id="46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TO</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5" w:lineRule="exact"/>
        <w:rPr>
          <w:sz w:val="20"/>
          <w:szCs w:val="20"/>
          <w:color w:val="auto"/>
        </w:rPr>
      </w:pPr>
    </w:p>
    <w:p>
      <w:pPr>
        <w:ind w:right="140" w:firstLine="964"/>
        <w:spacing w:after="0" w:line="255"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Third Amended and Restated Tempus Labs, Inc. 2015 Stock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Tempus Labs,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November 16, 2020, subject to approval by the Company’s stockholders.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w:t>
      </w:r>
    </w:p>
    <w:p>
      <w:pPr>
        <w:spacing w:after="0" w:line="213" w:lineRule="exact"/>
        <w:rPr>
          <w:sz w:val="20"/>
          <w:szCs w:val="20"/>
          <w:color w:val="auto"/>
        </w:rPr>
      </w:pPr>
    </w:p>
    <w:p>
      <w:pPr>
        <w:ind w:right="5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14 of the Plan, the Board may amend the Plan at any time,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in accordance with Section 15.13 of the Plan;</w:t>
      </w:r>
    </w:p>
    <w:p>
      <w:pPr>
        <w:spacing w:after="0" w:line="164" w:lineRule="exact"/>
        <w:rPr>
          <w:sz w:val="20"/>
          <w:szCs w:val="20"/>
          <w:color w:val="auto"/>
        </w:rPr>
      </w:pPr>
    </w:p>
    <w:p>
      <w:pPr>
        <w:ind w:right="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deems it to be in the best interests of the Company and its stockholders to amend the Plan in order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number of authorized shares that may be issued pursuant to Section 4.1 of the Plan; and</w:t>
      </w:r>
    </w:p>
    <w:p>
      <w:pPr>
        <w:spacing w:after="0" w:line="164" w:lineRule="exact"/>
        <w:rPr>
          <w:sz w:val="20"/>
          <w:szCs w:val="20"/>
          <w:color w:val="auto"/>
        </w:rPr>
      </w:pPr>
    </w:p>
    <w:p>
      <w:pPr>
        <w:ind w:right="7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reviewed, and adopted, this Amendment on November 16, 2020,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in accordance with Section 15.13 of the Plan.</w:t>
      </w:r>
    </w:p>
    <w:p>
      <w:pPr>
        <w:spacing w:after="0" w:line="164" w:lineRule="exact"/>
        <w:rPr>
          <w:sz w:val="20"/>
          <w:szCs w:val="20"/>
          <w:color w:val="auto"/>
        </w:rPr>
      </w:pPr>
    </w:p>
    <w:p>
      <w:pPr>
        <w:ind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following amendments and modifications are hereby made a part of the Plan, subject to, and effective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approval of this Amendment by the Company’s stockholders:</w:t>
      </w:r>
    </w:p>
    <w:p>
      <w:pPr>
        <w:spacing w:after="0" w:line="75" w:lineRule="exact"/>
        <w:rPr>
          <w:sz w:val="20"/>
          <w:szCs w:val="20"/>
          <w:color w:val="auto"/>
        </w:rPr>
      </w:pPr>
    </w:p>
    <w:p>
      <w:pPr>
        <w:ind w:left="960" w:right="400" w:hanging="532"/>
        <w:spacing w:after="0" w:line="267" w:lineRule="auto"/>
        <w:tabs>
          <w:tab w:leader="none" w:pos="9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amended by replacing the reference to “20,115,750” with “22,115,750” in order to reflect an increase in the aggregate number of authorized shares that may be issued pursuant to Section 4.1 of the Plan.</w:t>
      </w:r>
    </w:p>
    <w:p>
      <w:pPr>
        <w:spacing w:after="0" w:line="77" w:lineRule="exact"/>
        <w:rPr>
          <w:rFonts w:ascii="Times New Roman" w:cs="Times New Roman" w:eastAsia="Times New Roman" w:hAnsi="Times New Roman"/>
          <w:sz w:val="18"/>
          <w:szCs w:val="18"/>
          <w:color w:val="auto"/>
        </w:rPr>
      </w:pPr>
    </w:p>
    <w:p>
      <w:pPr>
        <w:ind w:left="960" w:right="500" w:hanging="532"/>
        <w:spacing w:after="0" w:line="267" w:lineRule="auto"/>
        <w:tabs>
          <w:tab w:leader="none" w:pos="9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Plan not otherwise amended or modified by this Amendment, either expressly or by necessary implication, shall remain in full force and effect.</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660"/>
          </w:cols>
          <w:pgMar w:left="580" w:top="263" w:right="659" w:bottom="1440" w:gutter="0" w:footer="0" w:header="0"/>
        </w:sectPr>
      </w:pPr>
    </w:p>
    <w:bookmarkStart w:id="470" w:name="page471"/>
    <w:bookmarkEnd w:id="47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TO</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5" w:lineRule="exact"/>
        <w:rPr>
          <w:sz w:val="20"/>
          <w:szCs w:val="20"/>
          <w:color w:val="auto"/>
        </w:rPr>
      </w:pPr>
    </w:p>
    <w:p>
      <w:pPr>
        <w:jc w:val="both"/>
        <w:ind w:right="180" w:firstLine="964"/>
        <w:spacing w:after="0" w:line="255"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Third Amended and Restated Tempus Labs, Inc. 2015 Stock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Tempus Labs,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April 27, 2021, subject to approval by the Company’s stockholders.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14 of the Plan, the Board may amend the Plan at any time;</w:t>
      </w:r>
    </w:p>
    <w:p>
      <w:pPr>
        <w:spacing w:after="0" w:line="213" w:lineRule="exact"/>
        <w:rPr>
          <w:sz w:val="20"/>
          <w:szCs w:val="20"/>
          <w:color w:val="auto"/>
        </w:rPr>
      </w:pPr>
    </w:p>
    <w:p>
      <w:pPr>
        <w:ind w:right="2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deems it to be in the best interests of the Company and its stockholders to amend the Plan in order to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awards to be made under the Plan to participants outside of the United States; and</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reviewed, and adopted, this Amendment, effective as of April 27, 2021.</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the following amendments and modifications are hereby made a part of the Plan, effective as of April 27, 2021:</w:t>
      </w:r>
    </w:p>
    <w:p>
      <w:pPr>
        <w:spacing w:after="0" w:line="146" w:lineRule="exact"/>
        <w:rPr>
          <w:sz w:val="20"/>
          <w:szCs w:val="20"/>
          <w:color w:val="auto"/>
        </w:rPr>
      </w:pPr>
    </w:p>
    <w:p>
      <w:pPr>
        <w:ind w:left="960" w:hanging="532"/>
        <w:spacing w:after="0"/>
        <w:tabs>
          <w:tab w:leader="none" w:pos="9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paragraph is hereby added to the Plan as a new Section 3.6:</w:t>
      </w:r>
    </w:p>
    <w:p>
      <w:pPr>
        <w:spacing w:after="0" w:line="106" w:lineRule="exact"/>
        <w:rPr>
          <w:rFonts w:ascii="Times New Roman" w:cs="Times New Roman" w:eastAsia="Times New Roman" w:hAnsi="Times New Roman"/>
          <w:sz w:val="18"/>
          <w:szCs w:val="18"/>
          <w:color w:val="auto"/>
        </w:rPr>
      </w:pPr>
    </w:p>
    <w:p>
      <w:pPr>
        <w:ind w:left="980"/>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b w:val="1"/>
          <w:bCs w:val="1"/>
          <w:color w:val="auto"/>
        </w:rPr>
        <w:t>Non-United States Participants</w:t>
      </w:r>
      <w:r>
        <w:rPr>
          <w:rFonts w:ascii="Times New Roman" w:cs="Times New Roman" w:eastAsia="Times New Roman" w:hAnsi="Times New Roman"/>
          <w:sz w:val="16"/>
          <w:szCs w:val="16"/>
          <w:color w:val="auto"/>
        </w:rPr>
        <w:t>. Without amending the Plan, the Board may grant Awards to Employees, Consultants and Directors residing in non-United States jurisdictions on such terms and conditions different from those specified in the Plan, including the terms of any Award Agreement or plan, adopted by the Company or any Subsidiary Corporation to comply with, or take advantage of favorable tax or other treatment available wider, the laws of any non-United States jurisdiction, as may in the judgment of the Board be necessary or desirable to foster and promote achievement of the purposes of the Plan and, in furtherance of such purposes the Board may make such modifications, amendments, procedures, subplans and the like as may be necessary or advisable to comply with provisions of laws in other countries or jurisdictions in which the Company or its Subsidiary Corporations operates or has employees.”</w:t>
      </w:r>
    </w:p>
    <w:p>
      <w:pPr>
        <w:spacing w:after="0" w:line="71" w:lineRule="exact"/>
        <w:rPr>
          <w:rFonts w:ascii="Times New Roman" w:cs="Times New Roman" w:eastAsia="Times New Roman" w:hAnsi="Times New Roman"/>
          <w:sz w:val="18"/>
          <w:szCs w:val="18"/>
          <w:color w:val="auto"/>
        </w:rPr>
      </w:pPr>
    </w:p>
    <w:p>
      <w:pPr>
        <w:ind w:left="960" w:right="540" w:hanging="532"/>
        <w:spacing w:after="0" w:line="267" w:lineRule="auto"/>
        <w:tabs>
          <w:tab w:leader="none" w:pos="9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Plan not otherwise amended or modified by this Amendment, either expressly or by necessary implication, shall remain in full force and effect.</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700"/>
          </w:cols>
          <w:pgMar w:left="580" w:top="263" w:right="619" w:bottom="1440" w:gutter="0" w:footer="0" w:header="0"/>
        </w:sectPr>
      </w:pPr>
    </w:p>
    <w:bookmarkStart w:id="471" w:name="page472"/>
    <w:bookmarkEnd w:id="4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TO</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5"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Third Amended and Restated Tempus Labs, Inc. 2015 Stock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Tempus Labs,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January 27, 2022, subject to approval by the Company’s stockholders.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w:t>
      </w:r>
    </w:p>
    <w:p>
      <w:pPr>
        <w:spacing w:after="0" w:line="213" w:lineRule="exact"/>
        <w:rPr>
          <w:sz w:val="20"/>
          <w:szCs w:val="20"/>
          <w:color w:val="auto"/>
        </w:rPr>
      </w:pPr>
    </w:p>
    <w:p>
      <w:pPr>
        <w:ind w:right="5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14 of the Plan, the Board may amend the Plan at any time,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in accordance with Section 15.13 of the Plan;</w:t>
      </w:r>
    </w:p>
    <w:p>
      <w:pPr>
        <w:spacing w:after="0" w:line="164" w:lineRule="exact"/>
        <w:rPr>
          <w:sz w:val="20"/>
          <w:szCs w:val="20"/>
          <w:color w:val="auto"/>
        </w:rPr>
      </w:pPr>
    </w:p>
    <w:p>
      <w:pPr>
        <w:ind w:right="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deems it to be in the best interests of the Company and its stockholders to amend the Plan in order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number of authorized shares that may be issued pursuant to Section 4.1 of the Plan; and</w:t>
      </w:r>
    </w:p>
    <w:p>
      <w:pPr>
        <w:spacing w:after="0" w:line="164" w:lineRule="exact"/>
        <w:rPr>
          <w:sz w:val="20"/>
          <w:szCs w:val="20"/>
          <w:color w:val="auto"/>
        </w:rPr>
      </w:pPr>
    </w:p>
    <w:p>
      <w:pPr>
        <w:ind w:right="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reviewed, and adopted, this Amendment on January 27, 2022, subject to approval by 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Section 15.13 of the Plan.</w:t>
      </w:r>
    </w:p>
    <w:p>
      <w:pPr>
        <w:spacing w:after="0" w:line="164"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following amendments and modifications are hereby made a part of the Plan, subject to, and effective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approval of this Amendment by the Company’s stockholders:</w:t>
      </w:r>
    </w:p>
    <w:p>
      <w:pPr>
        <w:spacing w:after="0" w:line="75" w:lineRule="exact"/>
        <w:rPr>
          <w:sz w:val="20"/>
          <w:szCs w:val="20"/>
          <w:color w:val="auto"/>
        </w:rPr>
      </w:pPr>
    </w:p>
    <w:p>
      <w:pPr>
        <w:ind w:left="960" w:right="420" w:hanging="532"/>
        <w:spacing w:after="0" w:line="267" w:lineRule="auto"/>
        <w:tabs>
          <w:tab w:leader="none" w:pos="9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amended by replacing the reference to “22,115,750” with “25,115,750” in order to reflect an increase in the aggregate number of authorized shares that may be issued pursuant to Section 4.1 of the Plan.</w:t>
      </w:r>
    </w:p>
    <w:p>
      <w:pPr>
        <w:spacing w:after="0" w:line="77" w:lineRule="exact"/>
        <w:rPr>
          <w:rFonts w:ascii="Times New Roman" w:cs="Times New Roman" w:eastAsia="Times New Roman" w:hAnsi="Times New Roman"/>
          <w:sz w:val="18"/>
          <w:szCs w:val="18"/>
          <w:color w:val="auto"/>
        </w:rPr>
      </w:pPr>
    </w:p>
    <w:p>
      <w:pPr>
        <w:ind w:left="960" w:right="520" w:hanging="532"/>
        <w:spacing w:after="0" w:line="267" w:lineRule="auto"/>
        <w:tabs>
          <w:tab w:leader="none" w:pos="9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Plan not otherwise amended or modified by this Amendment, either expressly or by necessary implication, shall remain in full force and effect.</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680"/>
          </w:cols>
          <w:pgMar w:left="580" w:top="263" w:right="639" w:bottom="1440" w:gutter="0" w:footer="0" w:header="0"/>
        </w:sectPr>
      </w:pPr>
    </w:p>
    <w:bookmarkStart w:id="472" w:name="page473"/>
    <w:bookmarkEnd w:id="47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December 18, 2021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ANUARY</w:t>
      </w:r>
      <w:r>
        <w:rPr>
          <w:rFonts w:ascii="Times New Roman" w:cs="Times New Roman" w:eastAsia="Times New Roman" w:hAnsi="Times New Roman"/>
          <w:sz w:val="18"/>
          <w:szCs w:val="18"/>
          <w:b w:val="1"/>
          <w:bCs w:val="1"/>
          <w:color w:val="auto"/>
        </w:rPr>
        <w:t xml:space="preserve"> 3, 2022</w:t>
      </w:r>
    </w:p>
    <w:p>
      <w:pPr>
        <w:spacing w:after="0" w:line="220" w:lineRule="exact"/>
        <w:rPr>
          <w:sz w:val="20"/>
          <w:szCs w:val="20"/>
          <w:color w:val="auto"/>
        </w:rPr>
      </w:pPr>
    </w:p>
    <w:p>
      <w:pPr>
        <w:ind w:left="420" w:hanging="412"/>
        <w:spacing w:after="0"/>
        <w:tabs>
          <w:tab w:leader="none" w:pos="42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right="20" w:firstLine="436"/>
        <w:spacing w:after="0" w:line="250" w:lineRule="auto"/>
        <w:tabs>
          <w:tab w:leader="none" w:pos="676" w:val="left"/>
        </w:tabs>
        <w:numPr>
          <w:ilvl w:val="1"/>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 to and Continuation of Prior Plan</w:t>
      </w:r>
      <w:r>
        <w:rPr>
          <w:rFonts w:ascii="Times New Roman" w:cs="Times New Roman" w:eastAsia="Times New Roman" w:hAnsi="Times New Roman"/>
          <w:sz w:val="18"/>
          <w:szCs w:val="18"/>
          <w:color w:val="auto"/>
        </w:rPr>
        <w:t>. The Plan is the successor to and continuation of the Prior Plan. As of the Effective Date,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82" w:lineRule="exact"/>
        <w:rPr>
          <w:rFonts w:ascii="Times New Roman" w:cs="Times New Roman" w:eastAsia="Times New Roman" w:hAnsi="Times New Roman"/>
          <w:sz w:val="18"/>
          <w:szCs w:val="18"/>
          <w:b w:val="1"/>
          <w:bCs w:val="1"/>
          <w:color w:val="auto"/>
        </w:rPr>
      </w:pPr>
    </w:p>
    <w:p>
      <w:pPr>
        <w:ind w:right="220" w:firstLine="436"/>
        <w:spacing w:after="0" w:line="256" w:lineRule="auto"/>
        <w:tabs>
          <w:tab w:leader="none" w:pos="686" w:val="left"/>
        </w:tabs>
        <w:numPr>
          <w:ilvl w:val="1"/>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7"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p>
    <w:p>
      <w:pPr>
        <w:spacing w:after="0" w:line="23" w:lineRule="exact"/>
        <w:rPr>
          <w:sz w:val="20"/>
          <w:szCs w:val="20"/>
          <w:color w:val="auto"/>
        </w:rPr>
      </w:pPr>
    </w:p>
    <w:p>
      <w:pPr>
        <w:ind w:left="320" w:hanging="312"/>
        <w:spacing w:after="0"/>
        <w:tabs>
          <w:tab w:leader="none" w:pos="32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(iv) Restricted Stock Awards; (v) RSU Awards; (vi) Performance Awards; and (vii) Other Awards.</w:t>
      </w:r>
    </w:p>
    <w:p>
      <w:pPr>
        <w:spacing w:after="0" w:line="19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3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Adoption Date; Effective Date. </w:t>
      </w:r>
      <w:r>
        <w:rPr>
          <w:rFonts w:ascii="Times New Roman" w:cs="Times New Roman" w:eastAsia="Times New Roman" w:hAnsi="Times New Roman"/>
          <w:sz w:val="16"/>
          <w:szCs w:val="16"/>
          <w:color w:val="auto"/>
        </w:rPr>
        <w:t>The Plan will come into existence on the Adoption Date, but no Award may be granted prior to the Effective</w:t>
      </w:r>
    </w:p>
    <w:p>
      <w:pPr>
        <w:spacing w:after="0" w:line="45"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Date.</w:t>
      </w:r>
    </w:p>
    <w:p>
      <w:pPr>
        <w:spacing w:after="0" w:line="338" w:lineRule="exact"/>
        <w:rPr>
          <w:sz w:val="20"/>
          <w:szCs w:val="20"/>
          <w:color w:val="auto"/>
        </w:rPr>
      </w:pPr>
    </w:p>
    <w:p>
      <w:pPr>
        <w:ind w:left="420" w:hanging="412"/>
        <w:spacing w:after="0"/>
        <w:tabs>
          <w:tab w:leader="none" w:pos="42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right="40" w:firstLine="436"/>
        <w:spacing w:after="0" w:line="248" w:lineRule="auto"/>
        <w:tabs>
          <w:tab w:leader="none" w:pos="676" w:val="left"/>
        </w:tabs>
        <w:numPr>
          <w:ilvl w:val="1"/>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10,000,000 shares, provided that such aggregate number of shares of Common Stock will automatically increase on January 1 of each year for a period of ten years commencing on January 1, 2023 and ending on (and including) January 1, 2032, in an amount equal to three percent (3%) of the total number of shares of Combined Common Stock outstanding on December 31 of the preceding year; provided, however, that the Board may act prior to January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w:t>
      </w:r>
    </w:p>
    <w:p>
      <w:pPr>
        <w:spacing w:after="0" w:line="187" w:lineRule="exact"/>
        <w:rPr>
          <w:rFonts w:ascii="Times New Roman" w:cs="Times New Roman" w:eastAsia="Times New Roman" w:hAnsi="Times New Roman"/>
          <w:sz w:val="18"/>
          <w:szCs w:val="18"/>
          <w:b w:val="1"/>
          <w:bCs w:val="1"/>
          <w:color w:val="auto"/>
        </w:rPr>
      </w:pPr>
    </w:p>
    <w:p>
      <w:pPr>
        <w:ind w:right="40" w:firstLine="436"/>
        <w:spacing w:after="0" w:line="256" w:lineRule="auto"/>
        <w:tabs>
          <w:tab w:leader="none" w:pos="686" w:val="left"/>
        </w:tabs>
        <w:numPr>
          <w:ilvl w:val="1"/>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30,000,000 shares.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8" w:right="599" w:bottom="1440" w:gutter="0" w:footer="0" w:header="0"/>
        </w:sectPr>
      </w:pPr>
    </w:p>
    <w:bookmarkStart w:id="473" w:name="page474"/>
    <w:bookmarkEnd w:id="473"/>
    <w:p>
      <w:pPr>
        <w:ind w:left="672" w:hanging="244"/>
        <w:spacing w:after="0"/>
        <w:tabs>
          <w:tab w:leader="none" w:pos="672" w:val="left"/>
        </w:tabs>
        <w:numPr>
          <w:ilvl w:val="1"/>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Share Reserve Operation.</w:t>
      </w:r>
    </w:p>
    <w:p>
      <w:pPr>
        <w:spacing w:after="0" w:line="213" w:lineRule="exact"/>
        <w:rPr>
          <w:rFonts w:ascii="Times New Roman" w:cs="Times New Roman" w:eastAsia="Times New Roman" w:hAnsi="Times New Roman"/>
          <w:sz w:val="18"/>
          <w:szCs w:val="18"/>
          <w:b w:val="1"/>
          <w:bCs w:val="1"/>
          <w:color w:val="auto"/>
        </w:rPr>
      </w:pPr>
    </w:p>
    <w:p>
      <w:pPr>
        <w:ind w:left="-8" w:right="320" w:firstLine="972"/>
        <w:spacing w:after="0" w:line="248" w:lineRule="auto"/>
        <w:tabs>
          <w:tab w:leader="none" w:pos="1165" w:val="left"/>
        </w:tabs>
        <w:numPr>
          <w:ilvl w:val="2"/>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7" w:lineRule="exact"/>
        <w:rPr>
          <w:rFonts w:ascii="Times New Roman" w:cs="Times New Roman" w:eastAsia="Times New Roman" w:hAnsi="Times New Roman"/>
          <w:sz w:val="18"/>
          <w:szCs w:val="18"/>
          <w:b w:val="1"/>
          <w:bCs w:val="1"/>
          <w:color w:val="auto"/>
        </w:rPr>
      </w:pPr>
    </w:p>
    <w:p>
      <w:pPr>
        <w:ind w:left="-8" w:firstLine="972"/>
        <w:spacing w:after="0" w:line="248" w:lineRule="auto"/>
        <w:tabs>
          <w:tab w:leader="none" w:pos="1214" w:val="left"/>
        </w:tabs>
        <w:numPr>
          <w:ilvl w:val="2"/>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7" w:lineRule="exact"/>
        <w:rPr>
          <w:rFonts w:ascii="Times New Roman" w:cs="Times New Roman" w:eastAsia="Times New Roman" w:hAnsi="Times New Roman"/>
          <w:sz w:val="18"/>
          <w:szCs w:val="18"/>
          <w:b w:val="1"/>
          <w:bCs w:val="1"/>
          <w:color w:val="auto"/>
        </w:rPr>
      </w:pPr>
    </w:p>
    <w:p>
      <w:pPr>
        <w:ind w:left="-8" w:right="20" w:firstLine="972"/>
        <w:spacing w:after="0" w:line="288" w:lineRule="auto"/>
        <w:tabs>
          <w:tab w:leader="none" w:pos="1263" w:val="left"/>
        </w:tabs>
        <w:numPr>
          <w:ilvl w:val="2"/>
          <w:numId w:val="3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Reversion of Previously Issued Shares of Common Stock to Share Reserve. </w:t>
      </w:r>
      <w:r>
        <w:rPr>
          <w:rFonts w:ascii="Times New Roman" w:cs="Times New Roman" w:eastAsia="Times New Roman" w:hAnsi="Times New Roman"/>
          <w:sz w:val="16"/>
          <w:szCs w:val="16"/>
          <w:color w:val="auto"/>
        </w:rPr>
        <w:t>The following shares of Common Stock previously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300" w:lineRule="exact"/>
        <w:rPr>
          <w:rFonts w:ascii="Times New Roman" w:cs="Times New Roman" w:eastAsia="Times New Roman" w:hAnsi="Times New Roman"/>
          <w:sz w:val="16"/>
          <w:szCs w:val="16"/>
          <w:b w:val="1"/>
          <w:bCs w:val="1"/>
          <w:color w:val="auto"/>
        </w:rPr>
      </w:pPr>
    </w:p>
    <w:p>
      <w:pPr>
        <w:ind w:left="412" w:hanging="412"/>
        <w:spacing w:after="0"/>
        <w:tabs>
          <w:tab w:leader="none" w:pos="412"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left="672" w:hanging="244"/>
        <w:spacing w:after="0"/>
        <w:tabs>
          <w:tab w:leader="none" w:pos="672" w:val="left"/>
        </w:tabs>
        <w:numPr>
          <w:ilvl w:val="1"/>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13" w:lineRule="exact"/>
        <w:rPr>
          <w:rFonts w:ascii="Times New Roman" w:cs="Times New Roman" w:eastAsia="Times New Roman" w:hAnsi="Times New Roman"/>
          <w:sz w:val="18"/>
          <w:szCs w:val="18"/>
          <w:b w:val="1"/>
          <w:bCs w:val="1"/>
          <w:color w:val="auto"/>
        </w:rPr>
      </w:pPr>
    </w:p>
    <w:p>
      <w:pPr>
        <w:ind w:left="692" w:hanging="264"/>
        <w:spacing w:after="0"/>
        <w:tabs>
          <w:tab w:leader="none" w:pos="692" w:val="left"/>
        </w:tabs>
        <w:numPr>
          <w:ilvl w:val="1"/>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13" w:lineRule="exact"/>
        <w:rPr>
          <w:rFonts w:ascii="Times New Roman" w:cs="Times New Roman" w:eastAsia="Times New Roman" w:hAnsi="Times New Roman"/>
          <w:sz w:val="18"/>
          <w:szCs w:val="18"/>
          <w:b w:val="1"/>
          <w:bCs w:val="1"/>
          <w:color w:val="auto"/>
        </w:rPr>
      </w:pPr>
    </w:p>
    <w:p>
      <w:pPr>
        <w:ind w:left="-8" w:right="100" w:firstLine="972"/>
        <w:spacing w:after="0" w:line="270" w:lineRule="auto"/>
        <w:tabs>
          <w:tab w:leader="none" w:pos="1165" w:val="left"/>
        </w:tabs>
        <w:numPr>
          <w:ilvl w:val="2"/>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64" w:lineRule="exact"/>
        <w:rPr>
          <w:rFonts w:ascii="Times New Roman" w:cs="Times New Roman" w:eastAsia="Times New Roman" w:hAnsi="Times New Roman"/>
          <w:sz w:val="18"/>
          <w:szCs w:val="18"/>
          <w:b w:val="1"/>
          <w:bCs w:val="1"/>
          <w:color w:val="auto"/>
        </w:rPr>
      </w:pPr>
    </w:p>
    <w:p>
      <w:pPr>
        <w:jc w:val="both"/>
        <w:ind w:left="-8" w:right="60" w:firstLine="972"/>
        <w:spacing w:after="0" w:line="256" w:lineRule="auto"/>
        <w:tabs>
          <w:tab w:leader="none" w:pos="1214" w:val="left"/>
        </w:tabs>
        <w:numPr>
          <w:ilvl w:val="2"/>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w:t>
      </w:r>
    </w:p>
    <w:p>
      <w:pPr>
        <w:spacing w:after="0" w:line="11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92"/>
          </w:cols>
          <w:pgMar w:left="588" w:top="263" w:right="619" w:bottom="1440" w:gutter="0" w:footer="0" w:header="0"/>
        </w:sectPr>
      </w:pPr>
    </w:p>
    <w:bookmarkStart w:id="474" w:name="page475"/>
    <w:bookmarkEnd w:id="474"/>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78" w:lineRule="exact"/>
        <w:rPr>
          <w:sz w:val="20"/>
          <w:szCs w:val="20"/>
          <w:color w:val="auto"/>
        </w:rPr>
      </w:pPr>
    </w:p>
    <w:p>
      <w:pPr>
        <w:ind w:right="60" w:firstLine="972"/>
        <w:spacing w:after="0" w:line="286" w:lineRule="auto"/>
        <w:tabs>
          <w:tab w:leader="none" w:pos="1270" w:val="left"/>
        </w:tabs>
        <w:numPr>
          <w:ilvl w:val="2"/>
          <w:numId w:val="3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Limitations on Incentive Stock Options Granted to Ten Percent Stockholders. </w:t>
      </w:r>
      <w:r>
        <w:rPr>
          <w:rFonts w:ascii="Times New Roman" w:cs="Times New Roman" w:eastAsia="Times New Roman" w:hAnsi="Times New Roman"/>
          <w:sz w:val="16"/>
          <w:szCs w:val="16"/>
          <w:color w:val="auto"/>
        </w:rPr>
        <w:t>A Ten Percent Stockholder may not be granted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Incentive Stock Option unless (1) the exercise price of such Option is at least 110% of the Fair Market Value on the date of grant of such Option and</w:t>
      </w:r>
    </w:p>
    <w:p>
      <w:pPr>
        <w:spacing w:after="0" w:line="1" w:lineRule="exact"/>
        <w:rPr>
          <w:rFonts w:ascii="Times New Roman" w:cs="Times New Roman" w:eastAsia="Times New Roman" w:hAnsi="Times New Roman"/>
          <w:sz w:val="16"/>
          <w:szCs w:val="16"/>
          <w:b w:val="1"/>
          <w:bCs w:val="1"/>
          <w:color w:val="auto"/>
        </w:rPr>
      </w:pPr>
    </w:p>
    <w:p>
      <w:pPr>
        <w:ind w:left="260" w:hanging="252"/>
        <w:spacing w:after="0"/>
        <w:tabs>
          <w:tab w:leader="none" w:pos="2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not exercisable after the expiration of five years from the date of grant of such Option.</w:t>
      </w:r>
    </w:p>
    <w:p>
      <w:pPr>
        <w:spacing w:after="0" w:line="193" w:lineRule="exact"/>
        <w:rPr>
          <w:rFonts w:ascii="Times New Roman" w:cs="Times New Roman" w:eastAsia="Times New Roman" w:hAnsi="Times New Roman"/>
          <w:sz w:val="18"/>
          <w:szCs w:val="18"/>
          <w:color w:val="auto"/>
        </w:rPr>
      </w:pPr>
    </w:p>
    <w:p>
      <w:pPr>
        <w:ind w:right="160" w:firstLine="972"/>
        <w:spacing w:after="0" w:line="256" w:lineRule="auto"/>
        <w:tabs>
          <w:tab w:leader="none" w:pos="1260" w:val="left"/>
        </w:tabs>
        <w:numPr>
          <w:ilvl w:val="2"/>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177" w:lineRule="exact"/>
        <w:rPr>
          <w:rFonts w:ascii="Times New Roman" w:cs="Times New Roman" w:eastAsia="Times New Roman" w:hAnsi="Times New Roman"/>
          <w:sz w:val="18"/>
          <w:szCs w:val="18"/>
          <w:b w:val="1"/>
          <w:bCs w:val="1"/>
          <w:color w:val="auto"/>
        </w:rPr>
      </w:pPr>
    </w:p>
    <w:p>
      <w:pPr>
        <w:ind w:right="160" w:firstLine="436"/>
        <w:spacing w:after="0" w:line="270" w:lineRule="auto"/>
        <w:tabs>
          <w:tab w:leader="none" w:pos="666" w:val="left"/>
        </w:tabs>
        <w:numPr>
          <w:ilvl w:val="1"/>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64" w:lineRule="exact"/>
        <w:rPr>
          <w:rFonts w:ascii="Times New Roman" w:cs="Times New Roman" w:eastAsia="Times New Roman" w:hAnsi="Times New Roman"/>
          <w:sz w:val="18"/>
          <w:szCs w:val="18"/>
          <w:b w:val="1"/>
          <w:bCs w:val="1"/>
          <w:color w:val="auto"/>
        </w:rPr>
      </w:pPr>
    </w:p>
    <w:p>
      <w:pPr>
        <w:ind w:right="20" w:firstLine="436"/>
        <w:spacing w:after="0" w:line="248" w:lineRule="auto"/>
        <w:tabs>
          <w:tab w:leader="none" w:pos="686" w:val="left"/>
        </w:tabs>
        <w:numPr>
          <w:ilvl w:val="1"/>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331" w:lineRule="exact"/>
        <w:rPr>
          <w:sz w:val="20"/>
          <w:szCs w:val="20"/>
          <w:color w:val="auto"/>
        </w:rPr>
      </w:pPr>
    </w:p>
    <w:p>
      <w:pPr>
        <w:ind w:left="420" w:hanging="412"/>
        <w:spacing w:after="0"/>
        <w:tabs>
          <w:tab w:leader="none" w:pos="42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82" w:lineRule="exact"/>
        <w:rPr>
          <w:sz w:val="20"/>
          <w:szCs w:val="20"/>
          <w:color w:val="auto"/>
        </w:rPr>
      </w:pPr>
    </w:p>
    <w:p>
      <w:pPr>
        <w:ind w:firstLine="436"/>
        <w:spacing w:after="0" w:line="270" w:lineRule="auto"/>
        <w:tabs>
          <w:tab w:leader="none" w:pos="676"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580" w:top="265" w:right="659" w:bottom="1440" w:gutter="0" w:footer="0" w:header="0"/>
        </w:sectPr>
      </w:pPr>
    </w:p>
    <w:bookmarkStart w:id="475" w:name="page476"/>
    <w:bookmarkEnd w:id="475"/>
    <w:p>
      <w:pPr>
        <w:ind w:left="-20" w:right="100" w:firstLine="436"/>
        <w:spacing w:after="0" w:line="250" w:lineRule="auto"/>
        <w:tabs>
          <w:tab w:leader="none" w:pos="666"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2" w:lineRule="exact"/>
        <w:rPr>
          <w:rFonts w:ascii="Times New Roman" w:cs="Times New Roman" w:eastAsia="Times New Roman" w:hAnsi="Times New Roman"/>
          <w:sz w:val="18"/>
          <w:szCs w:val="18"/>
          <w:b w:val="1"/>
          <w:bCs w:val="1"/>
          <w:color w:val="auto"/>
        </w:rPr>
      </w:pPr>
    </w:p>
    <w:p>
      <w:pPr>
        <w:ind w:left="-20" w:right="160" w:firstLine="436"/>
        <w:spacing w:after="0" w:line="248" w:lineRule="auto"/>
        <w:tabs>
          <w:tab w:leader="none" w:pos="646"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9" w:lineRule="exact"/>
        <w:rPr>
          <w:rFonts w:ascii="Times New Roman" w:cs="Times New Roman" w:eastAsia="Times New Roman" w:hAnsi="Times New Roman"/>
          <w:sz w:val="18"/>
          <w:szCs w:val="18"/>
          <w:b w:val="1"/>
          <w:bCs w:val="1"/>
          <w:color w:val="auto"/>
        </w:rPr>
      </w:pPr>
    </w:p>
    <w:p>
      <w:pPr>
        <w:ind w:left="1160" w:hanging="208"/>
        <w:spacing w:after="0"/>
        <w:tabs>
          <w:tab w:leader="none" w:pos="1160" w:val="left"/>
        </w:tabs>
        <w:numPr>
          <w:ilvl w:val="1"/>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13" w:lineRule="exact"/>
        <w:rPr>
          <w:rFonts w:ascii="Times New Roman" w:cs="Times New Roman" w:eastAsia="Times New Roman" w:hAnsi="Times New Roman"/>
          <w:sz w:val="18"/>
          <w:szCs w:val="18"/>
          <w:b w:val="1"/>
          <w:bCs w:val="1"/>
          <w:color w:val="auto"/>
        </w:rPr>
      </w:pPr>
    </w:p>
    <w:p>
      <w:pPr>
        <w:ind w:left="-20" w:right="220" w:firstLine="972"/>
        <w:spacing w:after="0" w:line="255" w:lineRule="auto"/>
        <w:tabs>
          <w:tab w:leader="none" w:pos="1202" w:val="left"/>
        </w:tabs>
        <w:numPr>
          <w:ilvl w:val="1"/>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0" w:lineRule="exact"/>
        <w:rPr>
          <w:rFonts w:ascii="Times New Roman" w:cs="Times New Roman" w:eastAsia="Times New Roman" w:hAnsi="Times New Roman"/>
          <w:sz w:val="18"/>
          <w:szCs w:val="18"/>
          <w:b w:val="1"/>
          <w:bCs w:val="1"/>
          <w:color w:val="auto"/>
        </w:rPr>
      </w:pPr>
    </w:p>
    <w:p>
      <w:pPr>
        <w:ind w:left="-20" w:firstLine="972"/>
        <w:spacing w:after="0" w:line="247" w:lineRule="auto"/>
        <w:tabs>
          <w:tab w:leader="none" w:pos="1250" w:val="left"/>
        </w:tabs>
        <w:numPr>
          <w:ilvl w:val="1"/>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9" w:lineRule="exact"/>
        <w:rPr>
          <w:rFonts w:ascii="Times New Roman" w:cs="Times New Roman" w:eastAsia="Times New Roman" w:hAnsi="Times New Roman"/>
          <w:sz w:val="18"/>
          <w:szCs w:val="18"/>
          <w:b w:val="1"/>
          <w:bCs w:val="1"/>
          <w:color w:val="auto"/>
        </w:rPr>
      </w:pPr>
    </w:p>
    <w:p>
      <w:pPr>
        <w:jc w:val="both"/>
        <w:ind w:left="-20" w:right="20" w:firstLine="972"/>
        <w:spacing w:after="0" w:line="251" w:lineRule="auto"/>
        <w:tabs>
          <w:tab w:leader="none" w:pos="1240" w:val="left"/>
        </w:tabs>
        <w:numPr>
          <w:ilvl w:val="1"/>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84" w:lineRule="exact"/>
        <w:rPr>
          <w:rFonts w:ascii="Times New Roman" w:cs="Times New Roman" w:eastAsia="Times New Roman" w:hAnsi="Times New Roman"/>
          <w:sz w:val="18"/>
          <w:szCs w:val="18"/>
          <w:b w:val="1"/>
          <w:bCs w:val="1"/>
          <w:color w:val="auto"/>
        </w:rPr>
      </w:pPr>
    </w:p>
    <w:p>
      <w:pPr>
        <w:ind w:left="1200" w:hanging="248"/>
        <w:spacing w:after="0"/>
        <w:tabs>
          <w:tab w:leader="none" w:pos="1200" w:val="left"/>
        </w:tabs>
        <w:numPr>
          <w:ilvl w:val="1"/>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3" w:right="619" w:bottom="1440" w:gutter="0" w:footer="0" w:header="0"/>
        </w:sectPr>
      </w:pPr>
    </w:p>
    <w:bookmarkStart w:id="476" w:name="page477"/>
    <w:bookmarkEnd w:id="476"/>
    <w:p>
      <w:pPr>
        <w:ind w:left="-20" w:right="60" w:firstLine="436"/>
        <w:spacing w:after="0" w:line="248" w:lineRule="auto"/>
        <w:tabs>
          <w:tab w:leader="none" w:pos="666"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7" w:lineRule="exact"/>
        <w:rPr>
          <w:rFonts w:ascii="Times New Roman" w:cs="Times New Roman" w:eastAsia="Times New Roman" w:hAnsi="Times New Roman"/>
          <w:sz w:val="18"/>
          <w:szCs w:val="18"/>
          <w:b w:val="1"/>
          <w:bCs w:val="1"/>
          <w:color w:val="auto"/>
        </w:rPr>
      </w:pPr>
    </w:p>
    <w:p>
      <w:pPr>
        <w:ind w:left="-20" w:right="140" w:firstLine="436"/>
        <w:spacing w:after="0" w:line="250" w:lineRule="auto"/>
        <w:tabs>
          <w:tab w:leader="none" w:pos="646"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77" w:lineRule="exact"/>
        <w:rPr>
          <w:rFonts w:ascii="Times New Roman" w:cs="Times New Roman" w:eastAsia="Times New Roman" w:hAnsi="Times New Roman"/>
          <w:sz w:val="18"/>
          <w:szCs w:val="18"/>
          <w:b w:val="1"/>
          <w:bCs w:val="1"/>
          <w:color w:val="auto"/>
        </w:rPr>
      </w:pPr>
    </w:p>
    <w:p>
      <w:pPr>
        <w:ind w:left="-20" w:firstLine="972"/>
        <w:spacing w:after="0" w:line="250" w:lineRule="auto"/>
        <w:tabs>
          <w:tab w:leader="none" w:pos="1153" w:val="left"/>
        </w:tabs>
        <w:numPr>
          <w:ilvl w:val="1"/>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82" w:lineRule="exact"/>
        <w:rPr>
          <w:rFonts w:ascii="Times New Roman" w:cs="Times New Roman" w:eastAsia="Times New Roman" w:hAnsi="Times New Roman"/>
          <w:sz w:val="18"/>
          <w:szCs w:val="18"/>
          <w:b w:val="1"/>
          <w:bCs w:val="1"/>
          <w:color w:val="auto"/>
        </w:rPr>
      </w:pPr>
    </w:p>
    <w:p>
      <w:pPr>
        <w:ind w:left="-20" w:right="60" w:firstLine="972"/>
        <w:spacing w:after="0" w:line="256" w:lineRule="auto"/>
        <w:tabs>
          <w:tab w:leader="none" w:pos="1202" w:val="left"/>
        </w:tabs>
        <w:numPr>
          <w:ilvl w:val="1"/>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77" w:lineRule="exact"/>
        <w:rPr>
          <w:rFonts w:ascii="Times New Roman" w:cs="Times New Roman" w:eastAsia="Times New Roman" w:hAnsi="Times New Roman"/>
          <w:sz w:val="18"/>
          <w:szCs w:val="18"/>
          <w:b w:val="1"/>
          <w:bCs w:val="1"/>
          <w:color w:val="auto"/>
        </w:rPr>
      </w:pPr>
    </w:p>
    <w:p>
      <w:pPr>
        <w:ind w:left="-20" w:right="220" w:firstLine="436"/>
        <w:spacing w:after="0" w:line="256" w:lineRule="auto"/>
        <w:tabs>
          <w:tab w:leader="none" w:pos="627"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7" w:lineRule="exact"/>
        <w:rPr>
          <w:rFonts w:ascii="Times New Roman" w:cs="Times New Roman" w:eastAsia="Times New Roman" w:hAnsi="Times New Roman"/>
          <w:sz w:val="18"/>
          <w:szCs w:val="18"/>
          <w:b w:val="1"/>
          <w:bCs w:val="1"/>
          <w:color w:val="auto"/>
        </w:rPr>
      </w:pPr>
    </w:p>
    <w:p>
      <w:pPr>
        <w:ind w:left="-20" w:firstLine="436"/>
        <w:spacing w:after="0" w:line="248" w:lineRule="auto"/>
        <w:tabs>
          <w:tab w:leader="none" w:pos="656"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600" w:top="263" w:right="599" w:bottom="1440" w:gutter="0" w:footer="0" w:header="0"/>
        </w:sectPr>
      </w:pPr>
    </w:p>
    <w:bookmarkStart w:id="477" w:name="page478"/>
    <w:bookmarkEnd w:id="477"/>
    <w:p>
      <w:pPr>
        <w:ind w:firstLine="436"/>
        <w:spacing w:after="0" w:line="250" w:lineRule="auto"/>
        <w:tabs>
          <w:tab w:leader="none" w:pos="686"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9" w:lineRule="exact"/>
        <w:rPr>
          <w:rFonts w:ascii="Times New Roman" w:cs="Times New Roman" w:eastAsia="Times New Roman" w:hAnsi="Times New Roman"/>
          <w:sz w:val="18"/>
          <w:szCs w:val="18"/>
          <w:b w:val="1"/>
          <w:bCs w:val="1"/>
          <w:color w:val="auto"/>
        </w:rPr>
      </w:pPr>
    </w:p>
    <w:p>
      <w:pPr>
        <w:ind w:right="60" w:firstLine="972"/>
        <w:spacing w:after="0" w:line="267" w:lineRule="auto"/>
        <w:tabs>
          <w:tab w:leader="none" w:pos="1173"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9"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13" w:lineRule="exact"/>
        <w:rPr>
          <w:rFonts w:ascii="Times New Roman" w:cs="Times New Roman" w:eastAsia="Times New Roman" w:hAnsi="Times New Roman"/>
          <w:sz w:val="18"/>
          <w:szCs w:val="18"/>
          <w:b w:val="1"/>
          <w:bCs w:val="1"/>
          <w:color w:val="auto"/>
        </w:rPr>
      </w:pPr>
    </w:p>
    <w:p>
      <w:pPr>
        <w:ind w:left="1280" w:hanging="308"/>
        <w:spacing w:after="0"/>
        <w:tabs>
          <w:tab w:leader="none" w:pos="1280"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13" w:lineRule="exact"/>
        <w:rPr>
          <w:rFonts w:ascii="Times New Roman" w:cs="Times New Roman" w:eastAsia="Times New Roman" w:hAnsi="Times New Roman"/>
          <w:sz w:val="18"/>
          <w:szCs w:val="18"/>
          <w:b w:val="1"/>
          <w:bCs w:val="1"/>
          <w:color w:val="auto"/>
        </w:rPr>
      </w:pPr>
    </w:p>
    <w:p>
      <w:pPr>
        <w:ind w:right="360" w:firstLine="972"/>
        <w:spacing w:after="0" w:line="267" w:lineRule="auto"/>
        <w:tabs>
          <w:tab w:leader="none" w:pos="1260"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0"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2" w:lineRule="exact"/>
        <w:rPr>
          <w:sz w:val="20"/>
          <w:szCs w:val="20"/>
          <w:color w:val="auto"/>
        </w:rPr>
      </w:pPr>
    </w:p>
    <w:p>
      <w:pPr>
        <w:ind w:firstLine="436"/>
        <w:spacing w:after="0" w:line="246" w:lineRule="auto"/>
        <w:tabs>
          <w:tab w:leader="none" w:pos="637"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60"/>
          </w:cols>
          <w:pgMar w:left="580" w:top="263" w:right="659" w:bottom="1440" w:gutter="0" w:footer="0" w:header="0"/>
        </w:sectPr>
      </w:pPr>
    </w:p>
    <w:bookmarkStart w:id="478" w:name="page479"/>
    <w:bookmarkEnd w:id="478"/>
    <w:p>
      <w:pPr>
        <w:ind w:left="-8" w:firstLine="436"/>
        <w:spacing w:after="0" w:line="282" w:lineRule="auto"/>
        <w:tabs>
          <w:tab w:leader="none" w:pos="639" w:val="left"/>
        </w:tabs>
        <w:numPr>
          <w:ilvl w:val="1"/>
          <w:numId w:val="3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Non-Exempt Employees. </w:t>
      </w:r>
      <w:r>
        <w:rPr>
          <w:rFonts w:ascii="Times New Roman" w:cs="Times New Roman" w:eastAsia="Times New Roman" w:hAnsi="Times New Roman"/>
          <w:sz w:val="16"/>
          <w:szCs w:val="16"/>
          <w:color w:val="auto"/>
        </w:rPr>
        <w:t>No Option or SAR, whether or not vested, granted to an Employee who is a non-exempt employee for purposes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61" w:lineRule="exact"/>
        <w:rPr>
          <w:rFonts w:ascii="Times New Roman" w:cs="Times New Roman" w:eastAsia="Times New Roman" w:hAnsi="Times New Roman"/>
          <w:sz w:val="16"/>
          <w:szCs w:val="16"/>
          <w:b w:val="1"/>
          <w:bCs w:val="1"/>
          <w:color w:val="auto"/>
        </w:rPr>
      </w:pPr>
    </w:p>
    <w:p>
      <w:pPr>
        <w:ind w:left="692" w:hanging="264"/>
        <w:spacing w:after="0"/>
        <w:tabs>
          <w:tab w:leader="none" w:pos="692" w:val="left"/>
        </w:tabs>
        <w:numPr>
          <w:ilvl w:val="1"/>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357"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jc w:val="both"/>
        <w:ind w:left="-8" w:right="700" w:firstLine="436"/>
        <w:spacing w:after="0" w:line="303" w:lineRule="auto"/>
        <w:tabs>
          <w:tab w:leader="none" w:pos="668" w:val="left"/>
        </w:tabs>
        <w:numPr>
          <w:ilvl w:val="1"/>
          <w:numId w:val="3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Restricted Stock Awards and RSU Awards. </w:t>
      </w:r>
      <w:r>
        <w:rPr>
          <w:rFonts w:ascii="Times New Roman" w:cs="Times New Roman" w:eastAsia="Times New Roman" w:hAnsi="Times New Roman"/>
          <w:sz w:val="16"/>
          <w:szCs w:val="16"/>
          <w:color w:val="auto"/>
        </w:rPr>
        <w:t>Each Restricted Stock Award and RSU Award will have such terms and conditions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38" w:lineRule="exact"/>
        <w:rPr>
          <w:rFonts w:ascii="Times New Roman" w:cs="Times New Roman" w:eastAsia="Times New Roman" w:hAnsi="Times New Roman"/>
          <w:sz w:val="16"/>
          <w:szCs w:val="16"/>
          <w:b w:val="1"/>
          <w:bCs w:val="1"/>
          <w:color w:val="auto"/>
        </w:rPr>
      </w:pPr>
    </w:p>
    <w:p>
      <w:pPr>
        <w:ind w:left="1172" w:hanging="208"/>
        <w:spacing w:after="0"/>
        <w:tabs>
          <w:tab w:leader="none" w:pos="1172" w:val="left"/>
        </w:tabs>
        <w:numPr>
          <w:ilvl w:val="2"/>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15" w:lineRule="exact"/>
        <w:rPr>
          <w:rFonts w:ascii="Times New Roman" w:cs="Times New Roman" w:eastAsia="Times New Roman" w:hAnsi="Times New Roman"/>
          <w:sz w:val="18"/>
          <w:szCs w:val="18"/>
          <w:b w:val="1"/>
          <w:bCs w:val="1"/>
          <w:color w:val="auto"/>
        </w:rPr>
      </w:pPr>
    </w:p>
    <w:p>
      <w:pPr>
        <w:ind w:left="-8" w:right="60" w:firstLine="1400"/>
        <w:spacing w:after="0" w:line="249" w:lineRule="auto"/>
        <w:tabs>
          <w:tab w:leader="none" w:pos="1633" w:val="left"/>
        </w:tabs>
        <w:numPr>
          <w:ilvl w:val="3"/>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6" w:lineRule="exact"/>
        <w:rPr>
          <w:rFonts w:ascii="Times New Roman" w:cs="Times New Roman" w:eastAsia="Times New Roman" w:hAnsi="Times New Roman"/>
          <w:sz w:val="18"/>
          <w:szCs w:val="18"/>
          <w:b w:val="1"/>
          <w:bCs w:val="1"/>
          <w:color w:val="auto"/>
        </w:rPr>
      </w:pPr>
    </w:p>
    <w:p>
      <w:pPr>
        <w:ind w:left="-8" w:firstLine="1400"/>
        <w:spacing w:after="0" w:line="285" w:lineRule="auto"/>
        <w:tabs>
          <w:tab w:leader="none" w:pos="1633" w:val="left"/>
        </w:tabs>
        <w:numPr>
          <w:ilvl w:val="3"/>
          <w:numId w:val="3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12"/>
          </w:cols>
          <w:pgMar w:left="588" w:top="263" w:right="599" w:bottom="1440" w:gutter="0" w:footer="0" w:header="0"/>
        </w:sectPr>
      </w:pPr>
    </w:p>
    <w:bookmarkStart w:id="479" w:name="page480"/>
    <w:bookmarkEnd w:id="479"/>
    <w:p>
      <w:pPr>
        <w:ind w:left="1140" w:hanging="248"/>
        <w:spacing w:after="0"/>
        <w:tabs>
          <w:tab w:leader="none" w:pos="114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Consideration.</w:t>
      </w:r>
    </w:p>
    <w:p>
      <w:pPr>
        <w:spacing w:after="0" w:line="215" w:lineRule="exact"/>
        <w:rPr>
          <w:rFonts w:ascii="Times New Roman" w:cs="Times New Roman" w:eastAsia="Times New Roman" w:hAnsi="Times New Roman"/>
          <w:sz w:val="18"/>
          <w:szCs w:val="18"/>
          <w:b w:val="1"/>
          <w:bCs w:val="1"/>
          <w:color w:val="auto"/>
        </w:rPr>
      </w:pPr>
    </w:p>
    <w:p>
      <w:pPr>
        <w:ind w:left="-80" w:right="40" w:firstLine="1400"/>
        <w:spacing w:after="0" w:line="255" w:lineRule="auto"/>
        <w:tabs>
          <w:tab w:leader="none" w:pos="1560" w:val="left"/>
        </w:tabs>
        <w:numPr>
          <w:ilvl w:val="1"/>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180" w:lineRule="exact"/>
        <w:rPr>
          <w:rFonts w:ascii="Times New Roman" w:cs="Times New Roman" w:eastAsia="Times New Roman" w:hAnsi="Times New Roman"/>
          <w:sz w:val="18"/>
          <w:szCs w:val="18"/>
          <w:b w:val="1"/>
          <w:bCs w:val="1"/>
          <w:color w:val="auto"/>
        </w:rPr>
      </w:pPr>
    </w:p>
    <w:p>
      <w:pPr>
        <w:ind w:left="-80" w:firstLine="1400"/>
        <w:spacing w:after="0" w:line="248" w:lineRule="auto"/>
        <w:tabs>
          <w:tab w:leader="none" w:pos="1560" w:val="left"/>
        </w:tabs>
        <w:numPr>
          <w:ilvl w:val="1"/>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5" w:lineRule="exact"/>
        <w:rPr>
          <w:rFonts w:ascii="Times New Roman" w:cs="Times New Roman" w:eastAsia="Times New Roman" w:hAnsi="Times New Roman"/>
          <w:sz w:val="18"/>
          <w:szCs w:val="18"/>
          <w:b w:val="1"/>
          <w:bCs w:val="1"/>
          <w:color w:val="auto"/>
        </w:rPr>
      </w:pPr>
    </w:p>
    <w:p>
      <w:pPr>
        <w:ind w:left="-80" w:right="80" w:firstLine="972"/>
        <w:spacing w:after="0" w:line="303" w:lineRule="auto"/>
        <w:tabs>
          <w:tab w:leader="none" w:pos="1190" w:val="left"/>
        </w:tabs>
        <w:numPr>
          <w:ilvl w:val="0"/>
          <w:numId w:val="3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Vesting. </w:t>
      </w:r>
      <w:r>
        <w:rPr>
          <w:rFonts w:ascii="Times New Roman" w:cs="Times New Roman" w:eastAsia="Times New Roman" w:hAnsi="Times New Roman"/>
          <w:sz w:val="16"/>
          <w:szCs w:val="16"/>
          <w:color w:val="auto"/>
        </w:rPr>
        <w:t>The Board may impose such restrictions on or conditions to the vesting of a Restricted Stock Award or RSU Award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43" w:lineRule="exact"/>
        <w:rPr>
          <w:rFonts w:ascii="Times New Roman" w:cs="Times New Roman" w:eastAsia="Times New Roman" w:hAnsi="Times New Roman"/>
          <w:sz w:val="16"/>
          <w:szCs w:val="16"/>
          <w:b w:val="1"/>
          <w:bCs w:val="1"/>
          <w:color w:val="auto"/>
        </w:rPr>
      </w:pPr>
    </w:p>
    <w:p>
      <w:pPr>
        <w:ind w:left="-80" w:right="20" w:firstLine="972"/>
        <w:spacing w:after="0" w:line="247" w:lineRule="auto"/>
        <w:tabs>
          <w:tab w:leader="none" w:pos="118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6" w:lineRule="exact"/>
        <w:rPr>
          <w:rFonts w:ascii="Times New Roman" w:cs="Times New Roman" w:eastAsia="Times New Roman" w:hAnsi="Times New Roman"/>
          <w:sz w:val="18"/>
          <w:szCs w:val="18"/>
          <w:b w:val="1"/>
          <w:bCs w:val="1"/>
          <w:color w:val="auto"/>
        </w:rPr>
      </w:pPr>
    </w:p>
    <w:p>
      <w:pPr>
        <w:ind w:left="-80" w:right="120" w:firstLine="972"/>
        <w:spacing w:after="0" w:line="333" w:lineRule="auto"/>
        <w:tabs>
          <w:tab w:leader="none" w:pos="1132" w:val="left"/>
        </w:tabs>
        <w:numPr>
          <w:ilvl w:val="0"/>
          <w:numId w:val="3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Dividends and Dividend Equivalents. </w:t>
      </w:r>
      <w:r>
        <w:rPr>
          <w:rFonts w:ascii="Times New Roman" w:cs="Times New Roman" w:eastAsia="Times New Roman" w:hAnsi="Times New Roman"/>
          <w:sz w:val="16"/>
          <w:szCs w:val="16"/>
          <w:color w:val="auto"/>
        </w:rPr>
        <w:t>Dividends or dividend equivalents may be paid or credited, as applicable, with respect to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of Common Stock subject to a Restricted Stock Award or RSU Award, as determined by the Board and specified in the Award Agreement.</w:t>
      </w:r>
    </w:p>
    <w:p>
      <w:pPr>
        <w:spacing w:after="0" w:line="119" w:lineRule="exact"/>
        <w:rPr>
          <w:rFonts w:ascii="Times New Roman" w:cs="Times New Roman" w:eastAsia="Times New Roman" w:hAnsi="Times New Roman"/>
          <w:sz w:val="16"/>
          <w:szCs w:val="16"/>
          <w:b w:val="1"/>
          <w:bCs w:val="1"/>
          <w:color w:val="auto"/>
        </w:rPr>
      </w:pPr>
    </w:p>
    <w:p>
      <w:pPr>
        <w:jc w:val="both"/>
        <w:ind w:left="-80" w:right="40" w:firstLine="972"/>
        <w:spacing w:after="0" w:line="303" w:lineRule="auto"/>
        <w:tabs>
          <w:tab w:leader="none" w:pos="1180" w:val="left"/>
        </w:tabs>
        <w:numPr>
          <w:ilvl w:val="0"/>
          <w:numId w:val="3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Settlement of RSU Awards</w:t>
      </w:r>
      <w:r>
        <w:rPr>
          <w:rFonts w:ascii="Times New Roman" w:cs="Times New Roman" w:eastAsia="Times New Roman" w:hAnsi="Times New Roman"/>
          <w:sz w:val="16"/>
          <w:szCs w:val="16"/>
          <w:color w:val="auto"/>
        </w:rPr>
        <w:t>. An RSU Award may be settled by the issuance of shares of Common Stock or cash (or any combination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43" w:lineRule="exact"/>
        <w:rPr>
          <w:sz w:val="20"/>
          <w:szCs w:val="20"/>
          <w:color w:val="auto"/>
        </w:rPr>
      </w:pPr>
    </w:p>
    <w:p>
      <w:pPr>
        <w:jc w:val="both"/>
        <w:ind w:left="-80" w:right="40" w:firstLine="436"/>
        <w:spacing w:after="0" w:line="256" w:lineRule="auto"/>
        <w:tabs>
          <w:tab w:leader="none" w:pos="606"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660" w:top="263" w:right="659" w:bottom="1440" w:gutter="0" w:footer="0" w:header="0"/>
        </w:sectPr>
      </w:pPr>
    </w:p>
    <w:bookmarkStart w:id="480" w:name="page481"/>
    <w:bookmarkEnd w:id="480"/>
    <w:p>
      <w:pPr>
        <w:ind w:right="300" w:firstLine="436"/>
        <w:spacing w:after="0" w:line="250" w:lineRule="auto"/>
        <w:tabs>
          <w:tab w:leader="none" w:pos="666" w:val="left"/>
        </w:tabs>
        <w:numPr>
          <w:ilvl w:val="1"/>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326"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right="240" w:firstLine="436"/>
        <w:spacing w:after="0" w:line="247" w:lineRule="auto"/>
        <w:tabs>
          <w:tab w:leader="none" w:pos="676" w:val="left"/>
        </w:tabs>
        <w:numPr>
          <w:ilvl w:val="1"/>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6" w:lineRule="exact"/>
        <w:rPr>
          <w:rFonts w:ascii="Times New Roman" w:cs="Times New Roman" w:eastAsia="Times New Roman" w:hAnsi="Times New Roman"/>
          <w:sz w:val="18"/>
          <w:szCs w:val="18"/>
          <w:b w:val="1"/>
          <w:bCs w:val="1"/>
          <w:color w:val="auto"/>
        </w:rPr>
      </w:pPr>
    </w:p>
    <w:p>
      <w:pPr>
        <w:ind w:firstLine="436"/>
        <w:spacing w:after="0" w:line="247" w:lineRule="auto"/>
        <w:tabs>
          <w:tab w:leader="none" w:pos="686" w:val="left"/>
        </w:tabs>
        <w:numPr>
          <w:ilvl w:val="1"/>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9"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w:t>
      </w:r>
    </w:p>
    <w:p>
      <w:pPr>
        <w:spacing w:after="0" w:line="2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00"/>
          </w:cols>
          <w:pgMar w:left="580" w:top="263" w:right="619" w:bottom="1440" w:gutter="0" w:footer="0" w:header="0"/>
        </w:sectPr>
      </w:pPr>
    </w:p>
    <w:bookmarkStart w:id="481" w:name="page482"/>
    <w:bookmarkEnd w:id="481"/>
    <w:p>
      <w:pPr>
        <w:ind w:left="-20" w:right="200" w:firstLine="972"/>
        <w:spacing w:after="0" w:line="247" w:lineRule="auto"/>
        <w:tabs>
          <w:tab w:leader="none" w:pos="1153"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6" w:lineRule="exact"/>
        <w:rPr>
          <w:rFonts w:ascii="Times New Roman" w:cs="Times New Roman" w:eastAsia="Times New Roman" w:hAnsi="Times New Roman"/>
          <w:sz w:val="18"/>
          <w:szCs w:val="18"/>
          <w:b w:val="1"/>
          <w:bCs w:val="1"/>
          <w:color w:val="auto"/>
        </w:rPr>
      </w:pPr>
    </w:p>
    <w:p>
      <w:pPr>
        <w:ind w:left="-20" w:firstLine="972"/>
        <w:spacing w:after="0" w:line="245" w:lineRule="auto"/>
        <w:tabs>
          <w:tab w:leader="none" w:pos="1202"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91" w:lineRule="exact"/>
        <w:rPr>
          <w:rFonts w:ascii="Times New Roman" w:cs="Times New Roman" w:eastAsia="Times New Roman" w:hAnsi="Times New Roman"/>
          <w:sz w:val="18"/>
          <w:szCs w:val="18"/>
          <w:b w:val="1"/>
          <w:bCs w:val="1"/>
          <w:color w:val="auto"/>
        </w:rPr>
      </w:pPr>
    </w:p>
    <w:p>
      <w:pPr>
        <w:ind w:left="-20" w:firstLine="972"/>
        <w:spacing w:after="0" w:line="248" w:lineRule="auto"/>
        <w:tabs>
          <w:tab w:leader="none" w:pos="125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00"/>
          </w:cols>
          <w:pgMar w:left="600" w:top="263" w:right="599" w:bottom="1440" w:gutter="0" w:footer="0" w:header="0"/>
        </w:sectPr>
      </w:pPr>
    </w:p>
    <w:bookmarkStart w:id="482" w:name="page483"/>
    <w:bookmarkEnd w:id="482"/>
    <w:p>
      <w:pPr>
        <w:ind w:left="-8" w:firstLine="972"/>
        <w:spacing w:after="0" w:line="250" w:lineRule="auto"/>
        <w:tabs>
          <w:tab w:leader="none" w:pos="1253" w:val="left"/>
        </w:tabs>
        <w:numPr>
          <w:ilvl w:val="2"/>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82" w:lineRule="exact"/>
        <w:rPr>
          <w:rFonts w:ascii="Times New Roman" w:cs="Times New Roman" w:eastAsia="Times New Roman" w:hAnsi="Times New Roman"/>
          <w:sz w:val="18"/>
          <w:szCs w:val="18"/>
          <w:b w:val="1"/>
          <w:bCs w:val="1"/>
          <w:color w:val="auto"/>
        </w:rPr>
      </w:pPr>
    </w:p>
    <w:p>
      <w:pPr>
        <w:ind w:left="-8" w:firstLine="436"/>
        <w:spacing w:after="0" w:line="252" w:lineRule="auto"/>
        <w:tabs>
          <w:tab w:leader="none" w:pos="678" w:val="left"/>
        </w:tabs>
        <w:numPr>
          <w:ilvl w:val="1"/>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80" w:lineRule="exact"/>
        <w:rPr>
          <w:rFonts w:ascii="Times New Roman" w:cs="Times New Roman" w:eastAsia="Times New Roman" w:hAnsi="Times New Roman"/>
          <w:sz w:val="18"/>
          <w:szCs w:val="18"/>
          <w:b w:val="1"/>
          <w:bCs w:val="1"/>
          <w:color w:val="auto"/>
        </w:rPr>
      </w:pPr>
    </w:p>
    <w:p>
      <w:pPr>
        <w:ind w:left="-8" w:right="60" w:firstLine="436"/>
        <w:spacing w:after="0" w:line="247" w:lineRule="auto"/>
        <w:tabs>
          <w:tab w:leader="none" w:pos="658" w:val="left"/>
        </w:tabs>
        <w:numPr>
          <w:ilvl w:val="1"/>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333"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left="-8" w:right="20" w:firstLine="436"/>
        <w:spacing w:after="0" w:line="270" w:lineRule="auto"/>
        <w:tabs>
          <w:tab w:leader="none" w:pos="668" w:val="left"/>
        </w:tabs>
        <w:numPr>
          <w:ilvl w:val="1"/>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164" w:lineRule="exact"/>
        <w:rPr>
          <w:rFonts w:ascii="Times New Roman" w:cs="Times New Roman" w:eastAsia="Times New Roman" w:hAnsi="Times New Roman"/>
          <w:sz w:val="18"/>
          <w:szCs w:val="18"/>
          <w:b w:val="1"/>
          <w:bCs w:val="1"/>
          <w:color w:val="auto"/>
        </w:rPr>
      </w:pPr>
    </w:p>
    <w:p>
      <w:pPr>
        <w:ind w:left="692" w:hanging="264"/>
        <w:spacing w:after="0"/>
        <w:tabs>
          <w:tab w:leader="none" w:pos="692" w:val="left"/>
        </w:tabs>
        <w:numPr>
          <w:ilvl w:val="1"/>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10" w:lineRule="exact"/>
        <w:rPr>
          <w:rFonts w:ascii="Times New Roman" w:cs="Times New Roman" w:eastAsia="Times New Roman" w:hAnsi="Times New Roman"/>
          <w:sz w:val="18"/>
          <w:szCs w:val="18"/>
          <w:b w:val="1"/>
          <w:bCs w:val="1"/>
          <w:color w:val="auto"/>
        </w:rPr>
      </w:pPr>
    </w:p>
    <w:p>
      <w:pPr>
        <w:ind w:left="-8" w:right="20" w:firstLine="972"/>
        <w:spacing w:after="0" w:line="248" w:lineRule="auto"/>
        <w:tabs>
          <w:tab w:leader="none" w:pos="1165" w:val="left"/>
        </w:tabs>
        <w:numPr>
          <w:ilvl w:val="2"/>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72"/>
          </w:cols>
          <w:pgMar w:left="588" w:top="263" w:right="639" w:bottom="1440" w:gutter="0" w:footer="0" w:header="0"/>
        </w:sectPr>
      </w:pPr>
    </w:p>
    <w:bookmarkStart w:id="483" w:name="page484"/>
    <w:bookmarkEnd w:id="483"/>
    <w:p>
      <w:pPr>
        <w:ind w:left="-8" w:right="40" w:firstLine="972"/>
        <w:spacing w:after="0" w:line="255" w:lineRule="auto"/>
        <w:tabs>
          <w:tab w:leader="none" w:pos="1214"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0" w:lineRule="exact"/>
        <w:rPr>
          <w:rFonts w:ascii="Times New Roman" w:cs="Times New Roman" w:eastAsia="Times New Roman" w:hAnsi="Times New Roman"/>
          <w:sz w:val="18"/>
          <w:szCs w:val="18"/>
          <w:b w:val="1"/>
          <w:bCs w:val="1"/>
          <w:color w:val="auto"/>
        </w:rPr>
      </w:pPr>
    </w:p>
    <w:p>
      <w:pPr>
        <w:ind w:left="1272" w:hanging="308"/>
        <w:spacing w:after="0"/>
        <w:tabs>
          <w:tab w:leader="none" w:pos="1272"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13" w:lineRule="exact"/>
        <w:rPr>
          <w:rFonts w:ascii="Times New Roman" w:cs="Times New Roman" w:eastAsia="Times New Roman" w:hAnsi="Times New Roman"/>
          <w:sz w:val="18"/>
          <w:szCs w:val="18"/>
          <w:b w:val="1"/>
          <w:bCs w:val="1"/>
          <w:color w:val="auto"/>
        </w:rPr>
      </w:pPr>
    </w:p>
    <w:p>
      <w:pPr>
        <w:ind w:left="-8" w:right="400" w:firstLine="972"/>
        <w:spacing w:after="0" w:line="331" w:lineRule="auto"/>
        <w:tabs>
          <w:tab w:leader="none" w:pos="1253" w:val="left"/>
        </w:tabs>
        <w:numPr>
          <w:ilvl w:val="1"/>
          <w:numId w:val="3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22" w:lineRule="exact"/>
        <w:rPr>
          <w:rFonts w:ascii="Times New Roman" w:cs="Times New Roman" w:eastAsia="Times New Roman" w:hAnsi="Times New Roman"/>
          <w:sz w:val="16"/>
          <w:szCs w:val="16"/>
          <w:b w:val="1"/>
          <w:bCs w:val="1"/>
          <w:color w:val="auto"/>
        </w:rPr>
      </w:pPr>
    </w:p>
    <w:p>
      <w:pPr>
        <w:ind w:left="-8" w:right="40" w:firstLine="972"/>
        <w:spacing w:after="0" w:line="251" w:lineRule="auto"/>
        <w:tabs>
          <w:tab w:leader="none" w:pos="1204"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4" w:lineRule="exact"/>
        <w:rPr>
          <w:rFonts w:ascii="Times New Roman" w:cs="Times New Roman" w:eastAsia="Times New Roman" w:hAnsi="Times New Roman"/>
          <w:sz w:val="18"/>
          <w:szCs w:val="18"/>
          <w:b w:val="1"/>
          <w:bCs w:val="1"/>
          <w:color w:val="auto"/>
        </w:rPr>
      </w:pPr>
    </w:p>
    <w:p>
      <w:pPr>
        <w:ind w:left="-8" w:right="120" w:firstLine="972"/>
        <w:spacing w:after="0" w:line="267" w:lineRule="auto"/>
        <w:tabs>
          <w:tab w:leader="none" w:pos="1253"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67" w:lineRule="exact"/>
        <w:rPr>
          <w:rFonts w:ascii="Times New Roman" w:cs="Times New Roman" w:eastAsia="Times New Roman" w:hAnsi="Times New Roman"/>
          <w:sz w:val="18"/>
          <w:szCs w:val="18"/>
          <w:b w:val="1"/>
          <w:bCs w:val="1"/>
          <w:color w:val="auto"/>
        </w:rPr>
      </w:pPr>
    </w:p>
    <w:p>
      <w:pPr>
        <w:ind w:left="-8" w:right="20" w:firstLine="972"/>
        <w:spacing w:after="0" w:line="282" w:lineRule="auto"/>
        <w:tabs>
          <w:tab w:leader="none" w:pos="1301" w:val="left"/>
        </w:tabs>
        <w:numPr>
          <w:ilvl w:val="1"/>
          <w:numId w:val="3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amend the Plan in any respect the Board deems necessary or advisable; provided, 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1" w:lineRule="exact"/>
        <w:rPr>
          <w:rFonts w:ascii="Times New Roman" w:cs="Times New Roman" w:eastAsia="Times New Roman" w:hAnsi="Times New Roman"/>
          <w:sz w:val="16"/>
          <w:szCs w:val="16"/>
          <w:b w:val="1"/>
          <w:bCs w:val="1"/>
          <w:color w:val="auto"/>
        </w:rPr>
      </w:pPr>
    </w:p>
    <w:p>
      <w:pPr>
        <w:ind w:left="252" w:hanging="252"/>
        <w:spacing w:after="0"/>
        <w:tabs>
          <w:tab w:leader="none" w:pos="25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consents in writing.</w:t>
      </w:r>
    </w:p>
    <w:p>
      <w:pPr>
        <w:spacing w:after="0" w:line="195" w:lineRule="exact"/>
        <w:rPr>
          <w:rFonts w:ascii="Times New Roman" w:cs="Times New Roman" w:eastAsia="Times New Roman" w:hAnsi="Times New Roman"/>
          <w:sz w:val="18"/>
          <w:szCs w:val="18"/>
          <w:color w:val="auto"/>
        </w:rPr>
      </w:pPr>
    </w:p>
    <w:p>
      <w:pPr>
        <w:ind w:left="1352" w:hanging="388"/>
        <w:spacing w:after="0"/>
        <w:tabs>
          <w:tab w:leader="none" w:pos="1352" w:val="left"/>
        </w:tabs>
        <w:numPr>
          <w:ilvl w:val="1"/>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13" w:lineRule="exact"/>
        <w:rPr>
          <w:rFonts w:ascii="Times New Roman" w:cs="Times New Roman" w:eastAsia="Times New Roman" w:hAnsi="Times New Roman"/>
          <w:sz w:val="18"/>
          <w:szCs w:val="18"/>
          <w:b w:val="1"/>
          <w:bCs w:val="1"/>
          <w:color w:val="auto"/>
        </w:rPr>
      </w:pPr>
    </w:p>
    <w:p>
      <w:pPr>
        <w:ind w:left="-8" w:firstLine="972"/>
        <w:spacing w:after="0" w:line="293" w:lineRule="auto"/>
        <w:tabs>
          <w:tab w:leader="none" w:pos="1253" w:val="left"/>
        </w:tabs>
        <w:numPr>
          <w:ilvl w:val="1"/>
          <w:numId w:val="3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151" w:lineRule="exact"/>
        <w:rPr>
          <w:rFonts w:ascii="Times New Roman" w:cs="Times New Roman" w:eastAsia="Times New Roman" w:hAnsi="Times New Roman"/>
          <w:sz w:val="16"/>
          <w:szCs w:val="16"/>
          <w:b w:val="1"/>
          <w:bCs w:val="1"/>
          <w:color w:val="auto"/>
        </w:rPr>
      </w:pPr>
    </w:p>
    <w:p>
      <w:pPr>
        <w:ind w:left="-8" w:firstLine="972"/>
        <w:spacing w:after="0" w:line="267" w:lineRule="auto"/>
        <w:tabs>
          <w:tab w:leader="none" w:pos="1204" w:val="left"/>
        </w:tabs>
        <w:numPr>
          <w:ilvl w:val="1"/>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9" w:lineRule="exact"/>
        <w:rPr>
          <w:rFonts w:ascii="Times New Roman" w:cs="Times New Roman" w:eastAsia="Times New Roman" w:hAnsi="Times New Roman"/>
          <w:sz w:val="18"/>
          <w:szCs w:val="18"/>
          <w:b w:val="1"/>
          <w:bCs w:val="1"/>
          <w:color w:val="auto"/>
        </w:rPr>
      </w:pPr>
    </w:p>
    <w:p>
      <w:pPr>
        <w:ind w:left="-8" w:right="260" w:firstLine="972"/>
        <w:spacing w:after="0" w:line="251" w:lineRule="auto"/>
        <w:tabs>
          <w:tab w:leader="none" w:pos="1253" w:val="left"/>
        </w:tabs>
        <w:numPr>
          <w:ilvl w:val="1"/>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1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52"/>
          </w:cols>
          <w:pgMar w:left="588" w:top="265" w:right="659" w:bottom="1440" w:gutter="0" w:footer="0" w:header="0"/>
        </w:sectPr>
      </w:pPr>
    </w:p>
    <w:bookmarkStart w:id="484" w:name="page485"/>
    <w:bookmarkEnd w:id="484"/>
    <w:p>
      <w:pPr>
        <w:ind w:right="60" w:firstLine="972"/>
        <w:spacing w:after="0" w:line="288" w:lineRule="auto"/>
        <w:tabs>
          <w:tab w:leader="none" w:pos="1309" w:val="left"/>
        </w:tabs>
        <w:numPr>
          <w:ilvl w:val="2"/>
          <w:numId w:val="3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259" w:lineRule="exact"/>
        <w:rPr>
          <w:rFonts w:ascii="Times New Roman" w:cs="Times New Roman" w:eastAsia="Times New Roman" w:hAnsi="Times New Roman"/>
          <w:sz w:val="16"/>
          <w:szCs w:val="16"/>
          <w:b w:val="1"/>
          <w:bCs w:val="1"/>
          <w:color w:val="auto"/>
        </w:rPr>
      </w:pPr>
    </w:p>
    <w:p>
      <w:pPr>
        <w:ind w:left="680" w:hanging="244"/>
        <w:spacing w:after="0"/>
        <w:tabs>
          <w:tab w:leader="none" w:pos="680" w:val="left"/>
        </w:tabs>
        <w:numPr>
          <w:ilvl w:val="1"/>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08" w:lineRule="exact"/>
        <w:rPr>
          <w:rFonts w:ascii="Times New Roman" w:cs="Times New Roman" w:eastAsia="Times New Roman" w:hAnsi="Times New Roman"/>
          <w:sz w:val="18"/>
          <w:szCs w:val="18"/>
          <w:b w:val="1"/>
          <w:bCs w:val="1"/>
          <w:color w:val="auto"/>
        </w:rPr>
      </w:pPr>
    </w:p>
    <w:p>
      <w:pPr>
        <w:ind w:firstLine="972"/>
        <w:spacing w:after="0" w:line="282" w:lineRule="auto"/>
        <w:tabs>
          <w:tab w:leader="none" w:pos="1173" w:val="left"/>
        </w:tabs>
        <w:numPr>
          <w:ilvl w:val="2"/>
          <w:numId w:val="3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The Board may delegate some or all of the administration of the Plan to a Committee or Committees. If administration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56" w:lineRule="exact"/>
        <w:rPr>
          <w:rFonts w:ascii="Times New Roman" w:cs="Times New Roman" w:eastAsia="Times New Roman" w:hAnsi="Times New Roman"/>
          <w:sz w:val="16"/>
          <w:szCs w:val="16"/>
          <w:b w:val="1"/>
          <w:bCs w:val="1"/>
          <w:color w:val="auto"/>
        </w:rPr>
      </w:pPr>
    </w:p>
    <w:p>
      <w:pPr>
        <w:ind w:right="20" w:firstLine="972"/>
        <w:spacing w:after="0" w:line="293" w:lineRule="auto"/>
        <w:tabs>
          <w:tab w:leader="none" w:pos="1222" w:val="left"/>
        </w:tabs>
        <w:numPr>
          <w:ilvl w:val="2"/>
          <w:numId w:val="3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Rule 16b-3 Compliance. </w:t>
      </w:r>
      <w:r>
        <w:rPr>
          <w:rFonts w:ascii="Times New Roman" w:cs="Times New Roman" w:eastAsia="Times New Roman" w:hAnsi="Times New Roman"/>
          <w:sz w:val="16"/>
          <w:szCs w:val="16"/>
          <w:color w:val="auto"/>
        </w:rPr>
        <w:t>To the extent an Award is intended to qualify for the exemption from Section 16(b) of the Exchange Act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1" w:lineRule="exact"/>
        <w:rPr>
          <w:rFonts w:ascii="Times New Roman" w:cs="Times New Roman" w:eastAsia="Times New Roman" w:hAnsi="Times New Roman"/>
          <w:sz w:val="16"/>
          <w:szCs w:val="16"/>
          <w:b w:val="1"/>
          <w:bCs w:val="1"/>
          <w:color w:val="auto"/>
        </w:rPr>
      </w:pPr>
    </w:p>
    <w:p>
      <w:pPr>
        <w:ind w:right="80" w:firstLine="436"/>
        <w:spacing w:after="0" w:line="270" w:lineRule="auto"/>
        <w:tabs>
          <w:tab w:leader="none" w:pos="686" w:val="left"/>
        </w:tabs>
        <w:numPr>
          <w:ilvl w:val="1"/>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164"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3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Delegation to an Officer. </w:t>
      </w:r>
      <w:r>
        <w:rPr>
          <w:rFonts w:ascii="Times New Roman" w:cs="Times New Roman" w:eastAsia="Times New Roman" w:hAnsi="Times New Roman"/>
          <w:sz w:val="16"/>
          <w:szCs w:val="16"/>
          <w:color w:val="auto"/>
        </w:rPr>
        <w:t>The Board or any Committee may delegate to one or more Officers the authority to do one or both of the following</w:t>
      </w:r>
    </w:p>
    <w:p>
      <w:pPr>
        <w:spacing w:after="0" w:line="45" w:lineRule="exact"/>
        <w:rPr>
          <w:rFonts w:ascii="Times New Roman" w:cs="Times New Roman" w:eastAsia="Times New Roman" w:hAnsi="Times New Roman"/>
          <w:sz w:val="16"/>
          <w:szCs w:val="16"/>
          <w:b w:val="1"/>
          <w:bCs w:val="1"/>
          <w:color w:val="auto"/>
        </w:rPr>
      </w:pPr>
    </w:p>
    <w:p>
      <w:pPr>
        <w:ind w:left="220" w:hanging="212"/>
        <w:spacing w:after="0"/>
        <w:tabs>
          <w:tab w:leader="none" w:pos="2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Employees who are not Officers to be recipients of Options and SARs (and, to the extent permitted by Applicable Law, other types of</w:t>
      </w:r>
    </w:p>
    <w:p>
      <w:pPr>
        <w:spacing w:after="0" w:line="3" w:lineRule="exact"/>
        <w:rPr>
          <w:rFonts w:ascii="Times New Roman" w:cs="Times New Roman" w:eastAsia="Times New Roman" w:hAnsi="Times New Roman"/>
          <w:sz w:val="18"/>
          <w:szCs w:val="18"/>
          <w:color w:val="auto"/>
        </w:rPr>
      </w:pPr>
    </w:p>
    <w:p>
      <w:pPr>
        <w:ind w:right="4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80"/>
          </w:cols>
          <w:pgMar w:left="580" w:top="265" w:right="639" w:bottom="1440" w:gutter="0" w:footer="0" w:header="0"/>
        </w:sectPr>
      </w:pPr>
    </w:p>
    <w:bookmarkStart w:id="485" w:name="page486"/>
    <w:bookmarkEnd w:id="485"/>
    <w:p>
      <w:pPr>
        <w:ind w:right="2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23" w:lineRule="exact"/>
        <w:rPr>
          <w:sz w:val="20"/>
          <w:szCs w:val="20"/>
          <w:color w:val="auto"/>
        </w:rPr>
      </w:pPr>
    </w:p>
    <w:p>
      <w:pPr>
        <w:ind w:left="420" w:hanging="412"/>
        <w:spacing w:after="0"/>
        <w:tabs>
          <w:tab w:leader="none" w:pos="42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108" w:lineRule="exact"/>
        <w:rPr>
          <w:rFonts w:ascii="Times New Roman" w:cs="Times New Roman" w:eastAsia="Times New Roman" w:hAnsi="Times New Roman"/>
          <w:sz w:val="18"/>
          <w:szCs w:val="18"/>
          <w:b w:val="1"/>
          <w:bCs w:val="1"/>
          <w:color w:val="auto"/>
        </w:rPr>
      </w:pPr>
    </w:p>
    <w:p>
      <w:pPr>
        <w:ind w:right="20" w:firstLine="436"/>
        <w:spacing w:after="0" w:line="248" w:lineRule="auto"/>
        <w:tabs>
          <w:tab w:leader="none" w:pos="676" w:val="left"/>
        </w:tabs>
        <w:numPr>
          <w:ilvl w:val="1"/>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7"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1"/>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p>
    <w:p>
      <w:pPr>
        <w:spacing w:after="0" w:line="22" w:lineRule="exact"/>
        <w:rPr>
          <w:rFonts w:ascii="Times New Roman" w:cs="Times New Roman" w:eastAsia="Times New Roman" w:hAnsi="Times New Roman"/>
          <w:sz w:val="18"/>
          <w:szCs w:val="18"/>
          <w:b w:val="1"/>
          <w:bCs w:val="1"/>
          <w:color w:val="auto"/>
        </w:rPr>
      </w:pPr>
    </w:p>
    <w:p>
      <w:pPr>
        <w:spacing w:after="0" w:line="2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7" w:lineRule="exact"/>
        <w:rPr>
          <w:rFonts w:ascii="Times New Roman" w:cs="Times New Roman" w:eastAsia="Times New Roman" w:hAnsi="Times New Roman"/>
          <w:sz w:val="18"/>
          <w:szCs w:val="18"/>
          <w:b w:val="1"/>
          <w:bCs w:val="1"/>
          <w:color w:val="auto"/>
        </w:rPr>
      </w:pPr>
    </w:p>
    <w:p>
      <w:pPr>
        <w:ind w:right="40" w:firstLine="436"/>
        <w:spacing w:after="0" w:line="278" w:lineRule="auto"/>
        <w:tabs>
          <w:tab w:leader="none" w:pos="666" w:val="left"/>
        </w:tabs>
        <w:numPr>
          <w:ilvl w:val="1"/>
          <w:numId w:val="3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 Obligation to Notify or Minimize Taxes; No Liability to Claims. </w:t>
      </w:r>
      <w:r>
        <w:rPr>
          <w:rFonts w:ascii="Times New Roman" w:cs="Times New Roman" w:eastAsia="Times New Roman" w:hAnsi="Times New Roman"/>
          <w:sz w:val="16"/>
          <w:szCs w:val="16"/>
          <w:color w:val="auto"/>
        </w:rPr>
        <w:t>Except as required by Applicable Law the Company has no duty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80" w:top="265" w:right="599" w:bottom="1440" w:gutter="0" w:footer="0" w:header="0"/>
        </w:sectPr>
      </w:pPr>
    </w:p>
    <w:bookmarkStart w:id="486" w:name="page487"/>
    <w:bookmarkEnd w:id="486"/>
    <w:p>
      <w:pPr>
        <w:ind w:left="-8" w:firstLine="436"/>
        <w:spacing w:after="0" w:line="252" w:lineRule="auto"/>
        <w:tabs>
          <w:tab w:leader="none" w:pos="678" w:val="left"/>
        </w:tabs>
        <w:numPr>
          <w:ilvl w:val="1"/>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325"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left="-8" w:right="60" w:firstLine="436"/>
        <w:spacing w:after="0" w:line="270" w:lineRule="auto"/>
        <w:tabs>
          <w:tab w:leader="none" w:pos="668" w:val="left"/>
        </w:tabs>
        <w:numPr>
          <w:ilvl w:val="1"/>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64" w:lineRule="exact"/>
        <w:rPr>
          <w:rFonts w:ascii="Times New Roman" w:cs="Times New Roman" w:eastAsia="Times New Roman" w:hAnsi="Times New Roman"/>
          <w:sz w:val="18"/>
          <w:szCs w:val="18"/>
          <w:b w:val="1"/>
          <w:bCs w:val="1"/>
          <w:color w:val="auto"/>
        </w:rPr>
      </w:pPr>
    </w:p>
    <w:p>
      <w:pPr>
        <w:ind w:left="-8" w:right="460" w:firstLine="436"/>
        <w:spacing w:after="0" w:line="270" w:lineRule="auto"/>
        <w:tabs>
          <w:tab w:leader="none" w:pos="678" w:val="left"/>
        </w:tabs>
        <w:numPr>
          <w:ilvl w:val="1"/>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64" w:lineRule="exact"/>
        <w:rPr>
          <w:rFonts w:ascii="Times New Roman" w:cs="Times New Roman" w:eastAsia="Times New Roman" w:hAnsi="Times New Roman"/>
          <w:sz w:val="18"/>
          <w:szCs w:val="18"/>
          <w:b w:val="1"/>
          <w:bCs w:val="1"/>
          <w:color w:val="auto"/>
        </w:rPr>
      </w:pPr>
    </w:p>
    <w:p>
      <w:pPr>
        <w:ind w:left="-8" w:right="40" w:firstLine="436"/>
        <w:spacing w:after="0" w:line="247" w:lineRule="auto"/>
        <w:tabs>
          <w:tab w:leader="none" w:pos="658" w:val="left"/>
        </w:tabs>
        <w:numPr>
          <w:ilvl w:val="1"/>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9" w:lineRule="exact"/>
        <w:rPr>
          <w:rFonts w:ascii="Times New Roman" w:cs="Times New Roman" w:eastAsia="Times New Roman" w:hAnsi="Times New Roman"/>
          <w:sz w:val="18"/>
          <w:szCs w:val="18"/>
          <w:b w:val="1"/>
          <w:bCs w:val="1"/>
          <w:color w:val="auto"/>
        </w:rPr>
      </w:pPr>
    </w:p>
    <w:p>
      <w:pPr>
        <w:ind w:left="-8" w:right="40" w:firstLine="436"/>
        <w:spacing w:after="0" w:line="256" w:lineRule="auto"/>
        <w:tabs>
          <w:tab w:leader="none" w:pos="678" w:val="left"/>
        </w:tabs>
        <w:numPr>
          <w:ilvl w:val="1"/>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7" w:lineRule="exact"/>
        <w:rPr>
          <w:rFonts w:ascii="Times New Roman" w:cs="Times New Roman" w:eastAsia="Times New Roman" w:hAnsi="Times New Roman"/>
          <w:sz w:val="18"/>
          <w:szCs w:val="18"/>
          <w:b w:val="1"/>
          <w:bCs w:val="1"/>
          <w:color w:val="auto"/>
        </w:rPr>
      </w:pPr>
    </w:p>
    <w:p>
      <w:pPr>
        <w:ind w:left="-8" w:firstLine="436"/>
        <w:spacing w:after="0" w:line="247" w:lineRule="auto"/>
        <w:tabs>
          <w:tab w:leader="none" w:pos="658" w:val="left"/>
        </w:tabs>
        <w:numPr>
          <w:ilvl w:val="1"/>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w:t>
      </w:r>
    </w:p>
    <w:p>
      <w:pPr>
        <w:spacing w:after="0" w:line="12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52"/>
          </w:cols>
          <w:pgMar w:left="588" w:top="263" w:right="659" w:bottom="1440" w:gutter="0" w:footer="0" w:header="0"/>
        </w:sectPr>
      </w:pPr>
    </w:p>
    <w:bookmarkStart w:id="487" w:name="page488"/>
    <w:bookmarkEnd w:id="487"/>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2" w:lineRule="exact"/>
        <w:rPr>
          <w:sz w:val="20"/>
          <w:szCs w:val="20"/>
          <w:color w:val="auto"/>
        </w:rPr>
      </w:pPr>
    </w:p>
    <w:p>
      <w:pPr>
        <w:ind w:right="80" w:firstLine="436"/>
        <w:spacing w:after="0" w:line="247" w:lineRule="auto"/>
        <w:tabs>
          <w:tab w:leader="none" w:pos="647"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9" w:lineRule="exact"/>
        <w:rPr>
          <w:rFonts w:ascii="Times New Roman" w:cs="Times New Roman" w:eastAsia="Times New Roman" w:hAnsi="Times New Roman"/>
          <w:sz w:val="18"/>
          <w:szCs w:val="18"/>
          <w:b w:val="1"/>
          <w:bCs w:val="1"/>
          <w:color w:val="auto"/>
        </w:rPr>
      </w:pPr>
    </w:p>
    <w:p>
      <w:pPr>
        <w:ind w:right="200" w:firstLine="436"/>
        <w:spacing w:after="0" w:line="303" w:lineRule="auto"/>
        <w:tabs>
          <w:tab w:leader="none" w:pos="676" w:val="left"/>
        </w:tabs>
        <w:numPr>
          <w:ilvl w:val="0"/>
          <w:numId w:val="3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Execution of Additional Documents. </w:t>
      </w:r>
      <w:r>
        <w:rPr>
          <w:rFonts w:ascii="Times New Roman" w:cs="Times New Roman" w:eastAsia="Times New Roman" w:hAnsi="Times New Roman"/>
          <w:sz w:val="16"/>
          <w:szCs w:val="16"/>
          <w:color w:val="auto"/>
        </w:rPr>
        <w:t>As a condition to accepting an Award under the Plan, the Participant agrees to execute any additional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43" w:lineRule="exact"/>
        <w:rPr>
          <w:rFonts w:ascii="Times New Roman" w:cs="Times New Roman" w:eastAsia="Times New Roman" w:hAnsi="Times New Roman"/>
          <w:sz w:val="16"/>
          <w:szCs w:val="16"/>
          <w:b w:val="1"/>
          <w:bCs w:val="1"/>
          <w:color w:val="auto"/>
        </w:rPr>
      </w:pPr>
    </w:p>
    <w:p>
      <w:pPr>
        <w:ind w:right="80" w:firstLine="436"/>
        <w:spacing w:after="0" w:line="248" w:lineRule="auto"/>
        <w:tabs>
          <w:tab w:leader="none" w:pos="686"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7" w:lineRule="exact"/>
        <w:rPr>
          <w:rFonts w:ascii="Times New Roman" w:cs="Times New Roman" w:eastAsia="Times New Roman" w:hAnsi="Times New Roman"/>
          <w:sz w:val="18"/>
          <w:szCs w:val="18"/>
          <w:b w:val="1"/>
          <w:bCs w:val="1"/>
          <w:color w:val="auto"/>
        </w:rPr>
      </w:pPr>
    </w:p>
    <w:p>
      <w:pPr>
        <w:ind w:firstLine="436"/>
        <w:spacing w:after="0" w:line="282" w:lineRule="auto"/>
        <w:tabs>
          <w:tab w:leader="none" w:pos="637" w:val="left"/>
        </w:tabs>
        <w:numPr>
          <w:ilvl w:val="0"/>
          <w:numId w:val="3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Clawback/Recovery. </w:t>
      </w:r>
      <w:r>
        <w:rPr>
          <w:rFonts w:ascii="Times New Roman" w:cs="Times New Roman" w:eastAsia="Times New Roman" w:hAnsi="Times New Roman"/>
          <w:sz w:val="16"/>
          <w:szCs w:val="16"/>
          <w:color w:val="auto"/>
        </w:rPr>
        <w:t>All Awards granted under the Plan will be subject to recoupment in accordance with any clawback policy that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00"/>
          </w:cols>
          <w:pgMar w:left="580" w:top="266" w:right="619" w:bottom="1440" w:gutter="0" w:footer="0" w:header="0"/>
        </w:sectPr>
      </w:pPr>
    </w:p>
    <w:bookmarkStart w:id="488" w:name="page489"/>
    <w:bookmarkEnd w:id="488"/>
    <w:p>
      <w:pPr>
        <w:ind w:left="-40" w:firstLine="436"/>
        <w:spacing w:after="0" w:line="252" w:lineRule="auto"/>
        <w:tabs>
          <w:tab w:leader="none" w:pos="607"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80" w:lineRule="exact"/>
        <w:rPr>
          <w:rFonts w:ascii="Times New Roman" w:cs="Times New Roman" w:eastAsia="Times New Roman" w:hAnsi="Times New Roman"/>
          <w:sz w:val="18"/>
          <w:szCs w:val="18"/>
          <w:b w:val="1"/>
          <w:bCs w:val="1"/>
          <w:color w:val="auto"/>
        </w:rPr>
      </w:pPr>
    </w:p>
    <w:p>
      <w:pPr>
        <w:ind w:left="-40" w:firstLine="436"/>
        <w:spacing w:after="0" w:line="250" w:lineRule="auto"/>
        <w:tabs>
          <w:tab w:leader="none" w:pos="646"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2" w:lineRule="exact"/>
        <w:rPr>
          <w:rFonts w:ascii="Times New Roman" w:cs="Times New Roman" w:eastAsia="Times New Roman" w:hAnsi="Times New Roman"/>
          <w:sz w:val="18"/>
          <w:szCs w:val="18"/>
          <w:b w:val="1"/>
          <w:bCs w:val="1"/>
          <w:color w:val="auto"/>
        </w:rPr>
      </w:pPr>
    </w:p>
    <w:p>
      <w:pPr>
        <w:jc w:val="both"/>
        <w:ind w:left="-40" w:right="20" w:firstLine="436"/>
        <w:spacing w:after="0" w:line="252" w:lineRule="auto"/>
        <w:tabs>
          <w:tab w:leader="none" w:pos="597"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0" w:lineRule="exact"/>
        <w:rPr>
          <w:rFonts w:ascii="Times New Roman" w:cs="Times New Roman" w:eastAsia="Times New Roman" w:hAnsi="Times New Roman"/>
          <w:sz w:val="18"/>
          <w:szCs w:val="18"/>
          <w:b w:val="1"/>
          <w:bCs w:val="1"/>
          <w:color w:val="auto"/>
        </w:rPr>
      </w:pPr>
    </w:p>
    <w:p>
      <w:pPr>
        <w:ind w:left="-40" w:right="60" w:firstLine="436"/>
        <w:spacing w:after="0" w:line="303" w:lineRule="auto"/>
        <w:tabs>
          <w:tab w:leader="none" w:pos="694" w:val="left"/>
        </w:tabs>
        <w:numPr>
          <w:ilvl w:val="0"/>
          <w:numId w:val="3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Deferrals. </w:t>
      </w:r>
      <w:r>
        <w:rPr>
          <w:rFonts w:ascii="Times New Roman" w:cs="Times New Roman" w:eastAsia="Times New Roman" w:hAnsi="Times New Roman"/>
          <w:sz w:val="16"/>
          <w:szCs w:val="16"/>
          <w:color w:val="auto"/>
        </w:rPr>
        <w:t>To the extent permitted by Applicable Law, the Board, in its sole discretion, may determine that the delivery of Common Stock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43" w:lineRule="exact"/>
        <w:rPr>
          <w:rFonts w:ascii="Times New Roman" w:cs="Times New Roman" w:eastAsia="Times New Roman" w:hAnsi="Times New Roman"/>
          <w:sz w:val="16"/>
          <w:szCs w:val="16"/>
          <w:b w:val="1"/>
          <w:bCs w:val="1"/>
          <w:color w:val="auto"/>
        </w:rPr>
      </w:pPr>
    </w:p>
    <w:p>
      <w:pPr>
        <w:ind w:left="-40" w:right="20" w:firstLine="436"/>
        <w:spacing w:after="0" w:line="245" w:lineRule="auto"/>
        <w:tabs>
          <w:tab w:leader="none" w:pos="646"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40"/>
          </w:cols>
          <w:pgMar w:left="620" w:top="263" w:right="639" w:bottom="1440" w:gutter="0" w:footer="0" w:header="0"/>
        </w:sectPr>
      </w:pPr>
    </w:p>
    <w:bookmarkStart w:id="489" w:name="page490"/>
    <w:bookmarkEnd w:id="489"/>
    <w:p>
      <w:pPr>
        <w:ind w:firstLine="436"/>
        <w:spacing w:after="0" w:line="256" w:lineRule="auto"/>
        <w:tabs>
          <w:tab w:leader="none" w:pos="676" w:val="left"/>
        </w:tabs>
        <w:numPr>
          <w:ilvl w:val="1"/>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322"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329" w:lineRule="exact"/>
        <w:rPr>
          <w:sz w:val="20"/>
          <w:szCs w:val="20"/>
          <w:color w:val="auto"/>
        </w:rPr>
      </w:pPr>
    </w:p>
    <w:p>
      <w:pPr>
        <w:ind w:left="420" w:hanging="412"/>
        <w:spacing w:after="0"/>
        <w:tabs>
          <w:tab w:leader="none" w:pos="42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108" w:lineRule="exact"/>
        <w:rPr>
          <w:rFonts w:ascii="Times New Roman" w:cs="Times New Roman" w:eastAsia="Times New Roman" w:hAnsi="Times New Roman"/>
          <w:sz w:val="18"/>
          <w:szCs w:val="18"/>
          <w:b w:val="1"/>
          <w:bCs w:val="1"/>
          <w:color w:val="auto"/>
        </w:rPr>
      </w:pPr>
    </w:p>
    <w:p>
      <w:pPr>
        <w:ind w:firstLine="436"/>
        <w:spacing w:after="0" w:line="333" w:lineRule="auto"/>
        <w:tabs>
          <w:tab w:leader="none" w:pos="676" w:val="left"/>
        </w:tabs>
        <w:numPr>
          <w:ilvl w:val="1"/>
          <w:numId w:val="3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Application. </w:t>
      </w:r>
      <w:r>
        <w:rPr>
          <w:rFonts w:ascii="Times New Roman" w:cs="Times New Roman" w:eastAsia="Times New Roman" w:hAnsi="Times New Roman"/>
          <w:sz w:val="16"/>
          <w:szCs w:val="16"/>
          <w:color w:val="auto"/>
        </w:rPr>
        <w:t>Unless the provisions of this Section of the Plan are expressly superseded by the provisions in the form of Award Agreement,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provisions of this Section shall apply and shall supersede anything to the contrary set forth in the Award Agreement for a Non-Exempt Award.</w:t>
      </w:r>
    </w:p>
    <w:p>
      <w:pPr>
        <w:spacing w:after="0" w:line="119" w:lineRule="exact"/>
        <w:rPr>
          <w:rFonts w:ascii="Times New Roman" w:cs="Times New Roman" w:eastAsia="Times New Roman" w:hAnsi="Times New Roman"/>
          <w:sz w:val="16"/>
          <w:szCs w:val="16"/>
          <w:b w:val="1"/>
          <w:bCs w:val="1"/>
          <w:color w:val="auto"/>
        </w:rPr>
      </w:pPr>
    </w:p>
    <w:p>
      <w:pPr>
        <w:ind w:right="260" w:firstLine="436"/>
        <w:spacing w:after="0" w:line="270" w:lineRule="auto"/>
        <w:tabs>
          <w:tab w:leader="none" w:pos="686" w:val="left"/>
        </w:tabs>
        <w:numPr>
          <w:ilvl w:val="1"/>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application of a Non-Exempt Severance Arrangement, the following provisions of this subsection (b) apply.</w:t>
      </w:r>
    </w:p>
    <w:p>
      <w:pPr>
        <w:spacing w:after="0" w:line="166" w:lineRule="exact"/>
        <w:rPr>
          <w:rFonts w:ascii="Times New Roman" w:cs="Times New Roman" w:eastAsia="Times New Roman" w:hAnsi="Times New Roman"/>
          <w:sz w:val="18"/>
          <w:szCs w:val="18"/>
          <w:b w:val="1"/>
          <w:bCs w:val="1"/>
          <w:color w:val="auto"/>
        </w:rPr>
      </w:pPr>
    </w:p>
    <w:p>
      <w:pPr>
        <w:ind w:right="40" w:firstLine="972"/>
        <w:spacing w:after="0" w:line="251" w:lineRule="auto"/>
        <w:tabs>
          <w:tab w:leader="none" w:pos="1173" w:val="left"/>
        </w:tabs>
        <w:numPr>
          <w:ilvl w:val="2"/>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that follows the applicable vesting date.</w:t>
      </w:r>
    </w:p>
    <w:p>
      <w:pPr>
        <w:spacing w:after="0" w:line="184" w:lineRule="exact"/>
        <w:rPr>
          <w:rFonts w:ascii="Times New Roman" w:cs="Times New Roman" w:eastAsia="Times New Roman" w:hAnsi="Times New Roman"/>
          <w:sz w:val="18"/>
          <w:szCs w:val="18"/>
          <w:b w:val="1"/>
          <w:bCs w:val="1"/>
          <w:color w:val="auto"/>
        </w:rPr>
      </w:pPr>
    </w:p>
    <w:p>
      <w:pPr>
        <w:jc w:val="both"/>
        <w:ind w:right="340" w:firstLine="972"/>
        <w:spacing w:after="0" w:line="293" w:lineRule="auto"/>
        <w:tabs>
          <w:tab w:leader="none" w:pos="1222" w:val="left"/>
        </w:tabs>
        <w:numPr>
          <w:ilvl w:val="2"/>
          <w:numId w:val="3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80"/>
          </w:cols>
          <w:pgMar w:left="580" w:top="263" w:right="639" w:bottom="1440" w:gutter="0" w:footer="0" w:header="0"/>
        </w:sectPr>
      </w:pPr>
    </w:p>
    <w:bookmarkStart w:id="490" w:name="page491"/>
    <w:bookmarkEnd w:id="490"/>
    <w:p>
      <w:pPr>
        <w:ind w:left="440" w:right="8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Arrangement, but in no event later than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52" w:lineRule="exact"/>
        <w:rPr>
          <w:sz w:val="20"/>
          <w:szCs w:val="20"/>
          <w:color w:val="auto"/>
        </w:rPr>
      </w:pPr>
    </w:p>
    <w:p>
      <w:pPr>
        <w:ind w:right="80" w:firstLine="972"/>
        <w:spacing w:after="0" w:line="247" w:lineRule="auto"/>
        <w:tabs>
          <w:tab w:leader="none" w:pos="1270" w:val="left"/>
        </w:tabs>
        <w:numPr>
          <w:ilvl w:val="2"/>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7"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3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Treatment of Non-Exempt Awards Upon a Corporate Transaction for Employees and Consultants. </w:t>
      </w:r>
      <w:r>
        <w:rPr>
          <w:rFonts w:ascii="Times New Roman" w:cs="Times New Roman" w:eastAsia="Times New Roman" w:hAnsi="Times New Roman"/>
          <w:sz w:val="16"/>
          <w:szCs w:val="16"/>
          <w:color w:val="auto"/>
        </w:rPr>
        <w:t>The provisions of this subsection</w:t>
      </w:r>
    </w:p>
    <w:p>
      <w:pPr>
        <w:spacing w:after="0" w:line="45" w:lineRule="exact"/>
        <w:rPr>
          <w:rFonts w:ascii="Times New Roman" w:cs="Times New Roman" w:eastAsia="Times New Roman" w:hAnsi="Times New Roman"/>
          <w:sz w:val="16"/>
          <w:szCs w:val="16"/>
          <w:b w:val="1"/>
          <w:bCs w:val="1"/>
          <w:color w:val="auto"/>
        </w:rPr>
      </w:pPr>
    </w:p>
    <w:p>
      <w:pPr>
        <w:ind w:right="180" w:firstLine="8"/>
        <w:spacing w:after="0" w:line="245" w:lineRule="auto"/>
        <w:tabs>
          <w:tab w:leader="none" w:pos="23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6" w:lineRule="exact"/>
        <w:rPr>
          <w:rFonts w:ascii="Times New Roman" w:cs="Times New Roman" w:eastAsia="Times New Roman" w:hAnsi="Times New Roman"/>
          <w:sz w:val="18"/>
          <w:szCs w:val="18"/>
          <w:color w:val="auto"/>
        </w:rPr>
      </w:pPr>
    </w:p>
    <w:p>
      <w:pPr>
        <w:ind w:left="1180" w:hanging="208"/>
        <w:spacing w:after="0"/>
        <w:tabs>
          <w:tab w:leader="none" w:pos="1180" w:val="left"/>
        </w:tabs>
        <w:numPr>
          <w:ilvl w:val="2"/>
          <w:numId w:val="3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Vested Non-Exempt Awards. </w:t>
      </w:r>
      <w:r>
        <w:rPr>
          <w:rFonts w:ascii="Times New Roman" w:cs="Times New Roman" w:eastAsia="Times New Roman" w:hAnsi="Times New Roman"/>
          <w:sz w:val="16"/>
          <w:szCs w:val="16"/>
          <w:color w:val="auto"/>
        </w:rPr>
        <w:t>The following provisions shall apply to any Vested Non-Exempt Award in connection with a Corporate</w:t>
      </w:r>
    </w:p>
    <w:p>
      <w:pPr>
        <w:spacing w:after="0" w:line="45"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Transaction:</w:t>
      </w:r>
    </w:p>
    <w:p>
      <w:pPr>
        <w:spacing w:after="0" w:line="195" w:lineRule="exact"/>
        <w:rPr>
          <w:rFonts w:ascii="Times New Roman" w:cs="Times New Roman" w:eastAsia="Times New Roman" w:hAnsi="Times New Roman"/>
          <w:sz w:val="16"/>
          <w:szCs w:val="16"/>
          <w:b w:val="1"/>
          <w:bCs w:val="1"/>
          <w:color w:val="auto"/>
        </w:rPr>
      </w:pPr>
    </w:p>
    <w:p>
      <w:pPr>
        <w:ind w:firstLine="1400"/>
        <w:spacing w:after="0" w:line="249" w:lineRule="auto"/>
        <w:tabs>
          <w:tab w:leader="none" w:pos="1640" w:val="left"/>
        </w:tabs>
        <w:numPr>
          <w:ilvl w:val="3"/>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6" w:lineRule="exact"/>
        <w:rPr>
          <w:rFonts w:ascii="Times New Roman" w:cs="Times New Roman" w:eastAsia="Times New Roman" w:hAnsi="Times New Roman"/>
          <w:sz w:val="18"/>
          <w:szCs w:val="18"/>
          <w:b w:val="1"/>
          <w:bCs w:val="1"/>
          <w:color w:val="auto"/>
        </w:rPr>
      </w:pPr>
    </w:p>
    <w:p>
      <w:pPr>
        <w:ind w:right="140" w:firstLine="1400"/>
        <w:spacing w:after="0" w:line="248" w:lineRule="auto"/>
        <w:tabs>
          <w:tab w:leader="none" w:pos="1640" w:val="left"/>
        </w:tabs>
        <w:numPr>
          <w:ilvl w:val="3"/>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5" w:lineRule="exact"/>
        <w:rPr>
          <w:sz w:val="20"/>
          <w:szCs w:val="20"/>
          <w:color w:val="auto"/>
        </w:rPr>
      </w:pPr>
    </w:p>
    <w:p>
      <w:pPr>
        <w:ind w:left="440" w:right="800" w:firstLine="407"/>
        <w:spacing w:after="0" w:line="270" w:lineRule="auto"/>
        <w:tabs>
          <w:tab w:leader="none" w:pos="1109"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00"/>
          </w:cols>
          <w:pgMar w:left="580" w:top="265" w:right="619" w:bottom="1440" w:gutter="0" w:footer="0" w:header="0"/>
        </w:sectPr>
      </w:pPr>
    </w:p>
    <w:bookmarkStart w:id="491" w:name="page492"/>
    <w:bookmarkEnd w:id="491"/>
    <w:p>
      <w:pPr>
        <w:ind w:left="-20" w:right="80" w:firstLine="1400"/>
        <w:spacing w:after="0" w:line="283" w:lineRule="auto"/>
        <w:tabs>
          <w:tab w:leader="none" w:pos="1620" w:val="left"/>
        </w:tabs>
        <w:numPr>
          <w:ilvl w:val="2"/>
          <w:numId w:val="3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61" w:lineRule="exact"/>
        <w:rPr>
          <w:rFonts w:ascii="Times New Roman" w:cs="Times New Roman" w:eastAsia="Times New Roman" w:hAnsi="Times New Roman"/>
          <w:sz w:val="16"/>
          <w:szCs w:val="16"/>
          <w:b w:val="1"/>
          <w:bCs w:val="1"/>
          <w:color w:val="auto"/>
        </w:rPr>
      </w:pPr>
    </w:p>
    <w:p>
      <w:pPr>
        <w:ind w:left="-20" w:right="20" w:firstLine="1400"/>
        <w:spacing w:after="0" w:line="247" w:lineRule="auto"/>
        <w:tabs>
          <w:tab w:leader="none" w:pos="1620" w:val="left"/>
        </w:tabs>
        <w:numPr>
          <w:ilvl w:val="2"/>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86" w:lineRule="exact"/>
        <w:rPr>
          <w:rFonts w:ascii="Times New Roman" w:cs="Times New Roman" w:eastAsia="Times New Roman" w:hAnsi="Times New Roman"/>
          <w:sz w:val="18"/>
          <w:szCs w:val="18"/>
          <w:b w:val="1"/>
          <w:bCs w:val="1"/>
          <w:color w:val="auto"/>
        </w:rPr>
      </w:pPr>
    </w:p>
    <w:p>
      <w:pPr>
        <w:ind w:left="-20" w:right="400" w:firstLine="1400"/>
        <w:spacing w:after="0" w:line="267" w:lineRule="auto"/>
        <w:tabs>
          <w:tab w:leader="none" w:pos="1620" w:val="left"/>
        </w:tabs>
        <w:numPr>
          <w:ilvl w:val="2"/>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67" w:lineRule="exact"/>
        <w:rPr>
          <w:rFonts w:ascii="Times New Roman" w:cs="Times New Roman" w:eastAsia="Times New Roman" w:hAnsi="Times New Roman"/>
          <w:sz w:val="18"/>
          <w:szCs w:val="18"/>
          <w:b w:val="1"/>
          <w:bCs w:val="1"/>
          <w:color w:val="auto"/>
        </w:rPr>
      </w:pPr>
    </w:p>
    <w:p>
      <w:pPr>
        <w:ind w:left="-20" w:right="440" w:firstLine="436"/>
        <w:spacing w:after="0" w:line="256" w:lineRule="auto"/>
        <w:tabs>
          <w:tab w:leader="none" w:pos="666"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9" w:lineRule="exact"/>
        <w:rPr>
          <w:rFonts w:ascii="Times New Roman" w:cs="Times New Roman" w:eastAsia="Times New Roman" w:hAnsi="Times New Roman"/>
          <w:sz w:val="18"/>
          <w:szCs w:val="18"/>
          <w:b w:val="1"/>
          <w:bCs w:val="1"/>
          <w:color w:val="auto"/>
        </w:rPr>
      </w:pPr>
    </w:p>
    <w:p>
      <w:pPr>
        <w:ind w:left="-20" w:firstLine="972"/>
        <w:spacing w:after="0" w:line="249" w:lineRule="auto"/>
        <w:tabs>
          <w:tab w:leader="none" w:pos="1153" w:val="left"/>
        </w:tabs>
        <w:numPr>
          <w:ilvl w:val="1"/>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80"/>
          </w:cols>
          <w:pgMar w:left="600" w:top="265" w:right="619" w:bottom="1440" w:gutter="0" w:footer="0" w:header="0"/>
        </w:sectPr>
      </w:pPr>
    </w:p>
    <w:bookmarkStart w:id="492" w:name="page493"/>
    <w:bookmarkEnd w:id="492"/>
    <w:p>
      <w:pPr>
        <w:ind w:left="-20" w:right="20" w:firstLine="972"/>
        <w:spacing w:after="0" w:line="283" w:lineRule="auto"/>
        <w:tabs>
          <w:tab w:leader="none" w:pos="1202" w:val="left"/>
        </w:tabs>
        <w:numPr>
          <w:ilvl w:val="1"/>
          <w:numId w:val="3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61" w:lineRule="exact"/>
        <w:rPr>
          <w:rFonts w:ascii="Times New Roman" w:cs="Times New Roman" w:eastAsia="Times New Roman" w:hAnsi="Times New Roman"/>
          <w:sz w:val="16"/>
          <w:szCs w:val="16"/>
          <w:b w:val="1"/>
          <w:bCs w:val="1"/>
          <w:color w:val="auto"/>
        </w:rPr>
      </w:pPr>
    </w:p>
    <w:p>
      <w:pPr>
        <w:ind w:left="-20" w:right="300" w:firstLine="436"/>
        <w:spacing w:after="0" w:line="267" w:lineRule="auto"/>
        <w:tabs>
          <w:tab w:leader="none" w:pos="646"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64" w:lineRule="exact"/>
        <w:rPr>
          <w:rFonts w:ascii="Times New Roman" w:cs="Times New Roman" w:eastAsia="Times New Roman" w:hAnsi="Times New Roman"/>
          <w:sz w:val="18"/>
          <w:szCs w:val="18"/>
          <w:b w:val="1"/>
          <w:bCs w:val="1"/>
          <w:color w:val="auto"/>
        </w:rPr>
      </w:pPr>
    </w:p>
    <w:p>
      <w:pPr>
        <w:ind w:left="-20" w:right="360" w:firstLine="972"/>
        <w:spacing w:after="0" w:line="255" w:lineRule="auto"/>
        <w:tabs>
          <w:tab w:leader="none" w:pos="1153" w:val="left"/>
        </w:tabs>
        <w:numPr>
          <w:ilvl w:val="1"/>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80" w:lineRule="exact"/>
        <w:rPr>
          <w:sz w:val="20"/>
          <w:szCs w:val="20"/>
          <w:color w:val="auto"/>
        </w:rPr>
      </w:pPr>
    </w:p>
    <w:p>
      <w:pPr>
        <w:ind w:left="-20" w:right="140" w:firstLine="972"/>
        <w:spacing w:after="0" w:line="267" w:lineRule="auto"/>
        <w:tabs>
          <w:tab w:leader="none" w:pos="1198"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69" w:lineRule="exact"/>
        <w:rPr>
          <w:rFonts w:ascii="Times New Roman" w:cs="Times New Roman" w:eastAsia="Times New Roman" w:hAnsi="Times New Roman"/>
          <w:sz w:val="18"/>
          <w:szCs w:val="18"/>
          <w:b w:val="1"/>
          <w:bCs w:val="1"/>
          <w:color w:val="auto"/>
        </w:rPr>
      </w:pPr>
    </w:p>
    <w:p>
      <w:pPr>
        <w:ind w:left="-20" w:firstLine="972"/>
        <w:spacing w:after="0" w:line="282" w:lineRule="auto"/>
        <w:tabs>
          <w:tab w:leader="none" w:pos="1250" w:val="left"/>
        </w:tabs>
        <w:numPr>
          <w:ilvl w:val="0"/>
          <w:numId w:val="3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61" w:lineRule="exact"/>
        <w:rPr>
          <w:rFonts w:ascii="Times New Roman" w:cs="Times New Roman" w:eastAsia="Times New Roman" w:hAnsi="Times New Roman"/>
          <w:sz w:val="16"/>
          <w:szCs w:val="16"/>
          <w:b w:val="1"/>
          <w:bCs w:val="1"/>
          <w:color w:val="auto"/>
        </w:rPr>
      </w:pPr>
    </w:p>
    <w:p>
      <w:pPr>
        <w:ind w:left="-20" w:right="60" w:firstLine="972"/>
        <w:spacing w:after="0" w:line="255" w:lineRule="auto"/>
        <w:tabs>
          <w:tab w:leader="none" w:pos="1240"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80"/>
          </w:cols>
          <w:pgMar w:left="600" w:top="265" w:right="619" w:bottom="1440" w:gutter="0" w:footer="0" w:header="0"/>
        </w:sectPr>
      </w:pPr>
    </w:p>
    <w:bookmarkStart w:id="493" w:name="page494"/>
    <w:bookmarkEnd w:id="493"/>
    <w:p>
      <w:pPr>
        <w:ind w:left="420" w:hanging="412"/>
        <w:spacing w:after="0"/>
        <w:tabs>
          <w:tab w:leader="none" w:pos="420" w:val="left"/>
        </w:tabs>
        <w:numPr>
          <w:ilvl w:val="0"/>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firstLine="428"/>
        <w:spacing w:after="0" w:line="25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327" w:lineRule="exact"/>
        <w:rPr>
          <w:sz w:val="20"/>
          <w:szCs w:val="20"/>
          <w:color w:val="auto"/>
        </w:rPr>
      </w:pPr>
    </w:p>
    <w:p>
      <w:pPr>
        <w:ind w:left="420" w:hanging="412"/>
        <w:spacing w:after="0"/>
        <w:tabs>
          <w:tab w:leader="none" w:pos="420"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Board may suspend or terminate the Plan at any time. No Incentive Stock Options may be granted after the tenth anniversary of the earlier of:</w:t>
      </w:r>
    </w:p>
    <w:p>
      <w:pPr>
        <w:spacing w:after="0" w:line="44" w:lineRule="exact"/>
        <w:rPr>
          <w:sz w:val="20"/>
          <w:szCs w:val="20"/>
          <w:color w:val="auto"/>
        </w:rPr>
      </w:pPr>
    </w:p>
    <w:p>
      <w:pPr>
        <w:ind w:right="120" w:firstLine="8"/>
        <w:spacing w:after="0" w:line="247" w:lineRule="auto"/>
        <w:tabs>
          <w:tab w:leader="none" w:pos="20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680"/>
          </w:cols>
          <w:pgMar w:left="580" w:top="263" w:right="639" w:bottom="1440" w:gutter="0" w:footer="0" w:header="0"/>
        </w:sectPr>
      </w:pPr>
    </w:p>
    <w:bookmarkStart w:id="494" w:name="page495"/>
    <w:bookmarkEnd w:id="494"/>
    <w:p>
      <w:pPr>
        <w:ind w:left="412" w:hanging="412"/>
        <w:spacing w:after="0"/>
        <w:tabs>
          <w:tab w:leader="none" w:pos="412"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04" w:lineRule="exact"/>
        <w:rPr>
          <w:sz w:val="20"/>
          <w:szCs w:val="20"/>
          <w:color w:val="auto"/>
        </w:rPr>
      </w:pPr>
    </w:p>
    <w:p>
      <w:pPr>
        <w:ind w:left="672" w:hanging="244"/>
        <w:spacing w:after="0"/>
        <w:tabs>
          <w:tab w:leader="none" w:pos="672"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13" w:lineRule="exact"/>
        <w:rPr>
          <w:rFonts w:ascii="Times New Roman" w:cs="Times New Roman" w:eastAsia="Times New Roman" w:hAnsi="Times New Roman"/>
          <w:sz w:val="18"/>
          <w:szCs w:val="18"/>
          <w:b w:val="1"/>
          <w:bCs w:val="1"/>
          <w:color w:val="auto"/>
        </w:rPr>
      </w:pPr>
    </w:p>
    <w:p>
      <w:pPr>
        <w:ind w:left="692" w:hanging="264"/>
        <w:spacing w:after="0"/>
        <w:tabs>
          <w:tab w:leader="none" w:pos="692"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13" w:lineRule="exact"/>
        <w:rPr>
          <w:rFonts w:ascii="Times New Roman" w:cs="Times New Roman" w:eastAsia="Times New Roman" w:hAnsi="Times New Roman"/>
          <w:sz w:val="18"/>
          <w:szCs w:val="18"/>
          <w:b w:val="1"/>
          <w:bCs w:val="1"/>
          <w:color w:val="auto"/>
        </w:rPr>
      </w:pPr>
    </w:p>
    <w:p>
      <w:pPr>
        <w:ind w:left="-8" w:right="340" w:firstLine="436"/>
        <w:spacing w:after="0" w:line="258" w:lineRule="auto"/>
        <w:tabs>
          <w:tab w:leader="none" w:pos="659"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2" w:lineRule="exact"/>
        <w:rPr>
          <w:rFonts w:ascii="Times New Roman" w:cs="Times New Roman" w:eastAsia="Times New Roman" w:hAnsi="Times New Roman"/>
          <w:sz w:val="18"/>
          <w:szCs w:val="18"/>
          <w:b w:val="1"/>
          <w:bCs w:val="1"/>
          <w:color w:val="auto"/>
        </w:rPr>
      </w:pPr>
    </w:p>
    <w:p>
      <w:pPr>
        <w:ind w:left="-8" w:firstLine="436"/>
        <w:spacing w:after="0" w:line="250" w:lineRule="auto"/>
        <w:tabs>
          <w:tab w:leader="none" w:pos="678"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ind w:left="-8" w:right="300" w:firstLine="436"/>
        <w:spacing w:after="0" w:line="272" w:lineRule="auto"/>
        <w:tabs>
          <w:tab w:leader="none" w:pos="659"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61" w:lineRule="exact"/>
        <w:rPr>
          <w:rFonts w:ascii="Times New Roman" w:cs="Times New Roman" w:eastAsia="Times New Roman" w:hAnsi="Times New Roman"/>
          <w:sz w:val="18"/>
          <w:szCs w:val="18"/>
          <w:b w:val="1"/>
          <w:bCs w:val="1"/>
          <w:color w:val="auto"/>
        </w:rPr>
      </w:pPr>
    </w:p>
    <w:p>
      <w:pPr>
        <w:ind w:left="-8" w:right="140" w:firstLine="436"/>
        <w:spacing w:after="0" w:line="305" w:lineRule="auto"/>
        <w:tabs>
          <w:tab w:leader="none" w:pos="639" w:val="left"/>
        </w:tabs>
        <w:numPr>
          <w:ilvl w:val="0"/>
          <w:numId w:val="3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Award Agreement</w:t>
      </w:r>
      <w:r>
        <w:rPr>
          <w:rFonts w:ascii="Times New Roman" w:cs="Times New Roman" w:eastAsia="Times New Roman" w:hAnsi="Times New Roman"/>
          <w:sz w:val="16"/>
          <w:szCs w:val="16"/>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38" w:lineRule="exact"/>
        <w:rPr>
          <w:rFonts w:ascii="Times New Roman" w:cs="Times New Roman" w:eastAsia="Times New Roman" w:hAnsi="Times New Roman"/>
          <w:sz w:val="16"/>
          <w:szCs w:val="16"/>
          <w:b w:val="1"/>
          <w:bCs w:val="1"/>
          <w:color w:val="auto"/>
        </w:rPr>
      </w:pPr>
    </w:p>
    <w:p>
      <w:pPr>
        <w:ind w:left="-8" w:right="20" w:firstLine="436"/>
        <w:spacing w:after="0" w:line="258" w:lineRule="auto"/>
        <w:tabs>
          <w:tab w:leader="none" w:pos="668"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2" w:lineRule="exact"/>
        <w:rPr>
          <w:rFonts w:ascii="Times New Roman" w:cs="Times New Roman" w:eastAsia="Times New Roman" w:hAnsi="Times New Roman"/>
          <w:sz w:val="18"/>
          <w:szCs w:val="18"/>
          <w:b w:val="1"/>
          <w:bCs w:val="1"/>
          <w:color w:val="auto"/>
        </w:rPr>
      </w:pPr>
    </w:p>
    <w:p>
      <w:pPr>
        <w:ind w:left="-8" w:right="140" w:firstLine="436"/>
        <w:spacing w:after="0" w:line="248" w:lineRule="auto"/>
        <w:tabs>
          <w:tab w:leader="none" w:pos="678"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2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672"/>
          </w:cols>
          <w:pgMar w:left="588" w:top="263" w:right="639" w:bottom="1440" w:gutter="0" w:footer="0" w:header="0"/>
        </w:sectPr>
      </w:pPr>
    </w:p>
    <w:bookmarkStart w:id="495" w:name="page496"/>
    <w:bookmarkEnd w:id="495"/>
    <w:p>
      <w:pPr>
        <w:ind w:left="-20" w:firstLine="436"/>
        <w:spacing w:after="0" w:line="279" w:lineRule="auto"/>
        <w:tabs>
          <w:tab w:leader="none" w:pos="617" w:val="left"/>
        </w:tabs>
        <w:numPr>
          <w:ilvl w:val="0"/>
          <w:numId w:val="3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374" w:lineRule="exact"/>
        <w:rPr>
          <w:rFonts w:ascii="Times New Roman" w:cs="Times New Roman" w:eastAsia="Times New Roman" w:hAnsi="Times New Roman"/>
          <w:sz w:val="16"/>
          <w:szCs w:val="16"/>
          <w:b w:val="1"/>
          <w:bCs w:val="1"/>
          <w:color w:val="auto"/>
        </w:rPr>
      </w:pPr>
    </w:p>
    <w:p>
      <w:pPr>
        <w:ind w:left="-20" w:right="100" w:firstLine="436"/>
        <w:spacing w:after="0" w:line="272" w:lineRule="auto"/>
        <w:tabs>
          <w:tab w:leader="none" w:pos="627"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59" w:lineRule="exact"/>
        <w:rPr>
          <w:rFonts w:ascii="Times New Roman" w:cs="Times New Roman" w:eastAsia="Times New Roman" w:hAnsi="Times New Roman"/>
          <w:sz w:val="18"/>
          <w:szCs w:val="18"/>
          <w:b w:val="1"/>
          <w:bCs w:val="1"/>
          <w:color w:val="auto"/>
        </w:rPr>
      </w:pPr>
    </w:p>
    <w:p>
      <w:pPr>
        <w:ind w:left="-20" w:right="20" w:firstLine="972"/>
        <w:spacing w:after="0" w:line="280" w:lineRule="auto"/>
        <w:tabs>
          <w:tab w:leader="none" w:pos="1153" w:val="left"/>
        </w:tabs>
        <w:numPr>
          <w:ilvl w:val="1"/>
          <w:numId w:val="3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6"/>
          <w:szCs w:val="16"/>
          <w:i w:val="1"/>
          <w:iCs w:val="1"/>
          <w:color w:val="auto"/>
        </w:rPr>
        <w:t>Subject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00"/>
          </w:cols>
          <w:pgMar w:left="600" w:top="261" w:right="599" w:bottom="1440" w:gutter="0" w:footer="0" w:header="0"/>
        </w:sectPr>
      </w:pPr>
    </w:p>
    <w:bookmarkStart w:id="496" w:name="page497"/>
    <w:bookmarkEnd w:id="496"/>
    <w:p>
      <w:pPr>
        <w:ind w:right="140" w:firstLine="972"/>
        <w:spacing w:after="0" w:line="248" w:lineRule="auto"/>
        <w:tabs>
          <w:tab w:leader="none" w:pos="1222"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right="100" w:firstLine="972"/>
        <w:spacing w:after="0" w:line="249" w:lineRule="auto"/>
        <w:tabs>
          <w:tab w:leader="none" w:pos="1270"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2" w:lineRule="exact"/>
        <w:rPr>
          <w:rFonts w:ascii="Times New Roman" w:cs="Times New Roman" w:eastAsia="Times New Roman" w:hAnsi="Times New Roman"/>
          <w:sz w:val="18"/>
          <w:szCs w:val="18"/>
          <w:b w:val="1"/>
          <w:bCs w:val="1"/>
          <w:color w:val="auto"/>
        </w:rPr>
      </w:pPr>
    </w:p>
    <w:p>
      <w:pPr>
        <w:ind w:right="100" w:firstLine="972"/>
        <w:spacing w:after="0" w:line="253" w:lineRule="auto"/>
        <w:tabs>
          <w:tab w:leader="none" w:pos="1260"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1"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700" w:hanging="264"/>
        <w:spacing w:after="0"/>
        <w:tabs>
          <w:tab w:leader="none" w:pos="70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13" w:lineRule="exact"/>
        <w:rPr>
          <w:rFonts w:ascii="Times New Roman" w:cs="Times New Roman" w:eastAsia="Times New Roman" w:hAnsi="Times New Roman"/>
          <w:sz w:val="18"/>
          <w:szCs w:val="18"/>
          <w:b w:val="1"/>
          <w:bCs w:val="1"/>
          <w:color w:val="auto"/>
        </w:rPr>
      </w:pPr>
    </w:p>
    <w:p>
      <w:pPr>
        <w:ind w:left="640" w:hanging="204"/>
        <w:spacing w:after="0"/>
        <w:tabs>
          <w:tab w:leader="none" w:pos="64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Combined Common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the common stock of the Company of all classes.</w:t>
      </w:r>
    </w:p>
    <w:p>
      <w:pPr>
        <w:spacing w:after="0" w:line="213" w:lineRule="exact"/>
        <w:rPr>
          <w:rFonts w:ascii="Times New Roman" w:cs="Times New Roman" w:eastAsia="Times New Roman" w:hAnsi="Times New Roman"/>
          <w:sz w:val="18"/>
          <w:szCs w:val="18"/>
          <w:b w:val="1"/>
          <w:bCs w:val="1"/>
          <w:color w:val="auto"/>
        </w:rPr>
      </w:pPr>
    </w:p>
    <w:p>
      <w:pPr>
        <w:ind w:right="100" w:firstLine="436"/>
        <w:spacing w:after="0" w:line="272" w:lineRule="auto"/>
        <w:tabs>
          <w:tab w:leader="none" w:pos="734"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660"/>
          </w:cols>
          <w:pgMar w:left="580" w:top="265" w:right="659" w:bottom="1440" w:gutter="0" w:footer="0" w:header="0"/>
        </w:sectPr>
      </w:pPr>
    </w:p>
    <w:bookmarkStart w:id="497" w:name="page498"/>
    <w:bookmarkEnd w:id="497"/>
    <w:p>
      <w:pPr>
        <w:ind w:left="700" w:hanging="264"/>
        <w:spacing w:after="0"/>
        <w:tabs>
          <w:tab w:leader="none" w:pos="70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213"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Tempus Labs, Inc., a Delaware corporation.</w:t>
      </w:r>
    </w:p>
    <w:p>
      <w:pPr>
        <w:spacing w:after="0" w:line="213"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13" w:lineRule="exact"/>
        <w:rPr>
          <w:rFonts w:ascii="Times New Roman" w:cs="Times New Roman" w:eastAsia="Times New Roman" w:hAnsi="Times New Roman"/>
          <w:sz w:val="18"/>
          <w:szCs w:val="18"/>
          <w:b w:val="1"/>
          <w:bCs w:val="1"/>
          <w:color w:val="auto"/>
        </w:rPr>
      </w:pPr>
    </w:p>
    <w:p>
      <w:pPr>
        <w:ind w:right="60" w:firstLine="436"/>
        <w:spacing w:after="0" w:line="250" w:lineRule="auto"/>
        <w:tabs>
          <w:tab w:leader="none" w:pos="686"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45" w:lineRule="auto"/>
        <w:tabs>
          <w:tab w:leader="none" w:pos="666"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91" w:lineRule="exact"/>
        <w:rPr>
          <w:rFonts w:ascii="Times New Roman" w:cs="Times New Roman" w:eastAsia="Times New Roman" w:hAnsi="Times New Roman"/>
          <w:sz w:val="18"/>
          <w:szCs w:val="18"/>
          <w:b w:val="1"/>
          <w:bCs w:val="1"/>
          <w:color w:val="auto"/>
        </w:rPr>
      </w:pPr>
    </w:p>
    <w:p>
      <w:pPr>
        <w:ind w:right="440" w:firstLine="436"/>
        <w:spacing w:after="0" w:line="272" w:lineRule="auto"/>
        <w:tabs>
          <w:tab w:leader="none" w:pos="657"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9" w:lineRule="exact"/>
        <w:rPr>
          <w:rFonts w:ascii="Times New Roman" w:cs="Times New Roman" w:eastAsia="Times New Roman" w:hAnsi="Times New Roman"/>
          <w:sz w:val="18"/>
          <w:szCs w:val="18"/>
          <w:b w:val="1"/>
          <w:bCs w:val="1"/>
          <w:color w:val="auto"/>
        </w:rPr>
      </w:pPr>
    </w:p>
    <w:p>
      <w:pPr>
        <w:ind w:left="1180" w:hanging="208"/>
        <w:spacing w:after="0"/>
        <w:tabs>
          <w:tab w:leader="none" w:pos="1180" w:val="left"/>
        </w:tabs>
        <w:numPr>
          <w:ilvl w:val="1"/>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195"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80" w:top="261" w:right="599" w:bottom="1440" w:gutter="0" w:footer="0" w:header="0"/>
        </w:sectPr>
      </w:pPr>
    </w:p>
    <w:bookmarkStart w:id="498" w:name="page499"/>
    <w:bookmarkEnd w:id="498"/>
    <w:p>
      <w:pPr>
        <w:ind w:left="1280" w:hanging="308"/>
        <w:spacing w:after="0"/>
        <w:tabs>
          <w:tab w:leader="none" w:pos="128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merger, consolidation or similar transaction following which the Company is not the surviving corporation; or</w:t>
      </w:r>
    </w:p>
    <w:p>
      <w:pPr>
        <w:spacing w:after="0" w:line="213" w:lineRule="exact"/>
        <w:rPr>
          <w:rFonts w:ascii="Times New Roman" w:cs="Times New Roman" w:eastAsia="Times New Roman" w:hAnsi="Times New Roman"/>
          <w:sz w:val="18"/>
          <w:szCs w:val="18"/>
          <w:b w:val="1"/>
          <w:bCs w:val="1"/>
          <w:color w:val="auto"/>
        </w:rPr>
      </w:pPr>
    </w:p>
    <w:p>
      <w:pPr>
        <w:ind w:right="240" w:firstLine="972"/>
        <w:spacing w:after="0" w:line="255" w:lineRule="auto"/>
        <w:tabs>
          <w:tab w:leader="none" w:pos="126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0"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660" w:hanging="224"/>
        <w:spacing w:after="0"/>
        <w:tabs>
          <w:tab w:leader="none" w:pos="66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13"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13" w:lineRule="exact"/>
        <w:rPr>
          <w:rFonts w:ascii="Times New Roman" w:cs="Times New Roman" w:eastAsia="Times New Roman" w:hAnsi="Times New Roman"/>
          <w:sz w:val="18"/>
          <w:szCs w:val="18"/>
          <w:b w:val="1"/>
          <w:bCs w:val="1"/>
          <w:color w:val="auto"/>
        </w:rPr>
      </w:pPr>
    </w:p>
    <w:p>
      <w:pPr>
        <w:jc w:val="both"/>
        <w:ind w:right="380" w:firstLine="436"/>
        <w:spacing w:after="0" w:line="253" w:lineRule="auto"/>
        <w:tabs>
          <w:tab w:leader="none" w:pos="676"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7" w:lineRule="exact"/>
        <w:rPr>
          <w:rFonts w:ascii="Times New Roman" w:cs="Times New Roman" w:eastAsia="Times New Roman" w:hAnsi="Times New Roman"/>
          <w:sz w:val="18"/>
          <w:szCs w:val="18"/>
          <w:b w:val="1"/>
          <w:bCs w:val="1"/>
          <w:color w:val="auto"/>
        </w:rPr>
      </w:pPr>
    </w:p>
    <w:p>
      <w:pPr>
        <w:ind w:left="720" w:hanging="284"/>
        <w:spacing w:after="0"/>
        <w:tabs>
          <w:tab w:leader="none" w:pos="72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immediately prior to the IPO Date, provided that this Plan is approved by the Company’s stockholders prior to the</w:t>
      </w:r>
    </w:p>
    <w:p>
      <w:pPr>
        <w:spacing w:after="0" w:line="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IPO Date.</w:t>
      </w:r>
    </w:p>
    <w:p>
      <w:pPr>
        <w:spacing w:after="0" w:line="191" w:lineRule="exact"/>
        <w:rPr>
          <w:rFonts w:ascii="Times New Roman" w:cs="Times New Roman" w:eastAsia="Times New Roman" w:hAnsi="Times New Roman"/>
          <w:sz w:val="18"/>
          <w:szCs w:val="18"/>
          <w:b w:val="1"/>
          <w:bCs w:val="1"/>
          <w:color w:val="auto"/>
        </w:rPr>
      </w:pPr>
    </w:p>
    <w:p>
      <w:pPr>
        <w:ind w:right="160" w:firstLine="436"/>
        <w:spacing w:after="0" w:line="272" w:lineRule="auto"/>
        <w:tabs>
          <w:tab w:leader="none" w:pos="676"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61"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13"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13" w:lineRule="exact"/>
        <w:rPr>
          <w:sz w:val="20"/>
          <w:szCs w:val="20"/>
          <w:color w:val="auto"/>
        </w:rPr>
      </w:pPr>
    </w:p>
    <w:p>
      <w:pPr>
        <w:ind w:left="780" w:hanging="344"/>
        <w:spacing w:after="0"/>
        <w:tabs>
          <w:tab w:leader="none" w:pos="78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51" w:lineRule="exact"/>
        <w:rPr>
          <w:rFonts w:ascii="Times New Roman" w:cs="Times New Roman" w:eastAsia="Times New Roman" w:hAnsi="Times New Roman"/>
          <w:sz w:val="18"/>
          <w:szCs w:val="18"/>
          <w:b w:val="1"/>
          <w:bCs w:val="1"/>
          <w:color w:val="auto"/>
        </w:rPr>
      </w:pPr>
    </w:p>
    <w:p>
      <w:pPr>
        <w:ind w:left="5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27</w:t>
      </w:r>
    </w:p>
    <w:p>
      <w:pPr>
        <w:sectPr>
          <w:pgSz w:w="11900" w:h="16838" w:orient="portrait"/>
          <w:cols w:equalWidth="0" w:num="1">
            <w:col w:w="10720"/>
          </w:cols>
          <w:pgMar w:left="580" w:top="265" w:right="599" w:bottom="1440" w:gutter="0" w:footer="0" w:header="0"/>
        </w:sectPr>
      </w:pPr>
    </w:p>
    <w:bookmarkStart w:id="499" w:name="page500"/>
    <w:bookmarkEnd w:id="499"/>
    <w:p>
      <w:pPr>
        <w:ind w:left="-60" w:firstLine="436"/>
        <w:spacing w:after="0" w:line="247" w:lineRule="auto"/>
        <w:tabs>
          <w:tab w:leader="none" w:pos="723"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6" w:lineRule="exact"/>
        <w:rPr>
          <w:rFonts w:ascii="Times New Roman" w:cs="Times New Roman" w:eastAsia="Times New Roman" w:hAnsi="Times New Roman"/>
          <w:sz w:val="18"/>
          <w:szCs w:val="18"/>
          <w:b w:val="1"/>
          <w:bCs w:val="1"/>
          <w:color w:val="auto"/>
        </w:rPr>
      </w:pPr>
    </w:p>
    <w:p>
      <w:pPr>
        <w:ind w:left="-60" w:right="120" w:firstLine="436"/>
        <w:spacing w:after="0" w:line="272" w:lineRule="auto"/>
        <w:tabs>
          <w:tab w:leader="none" w:pos="684"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9" w:lineRule="exact"/>
        <w:rPr>
          <w:rFonts w:ascii="Times New Roman" w:cs="Times New Roman" w:eastAsia="Times New Roman" w:hAnsi="Times New Roman"/>
          <w:sz w:val="18"/>
          <w:szCs w:val="18"/>
          <w:b w:val="1"/>
          <w:bCs w:val="1"/>
          <w:color w:val="auto"/>
        </w:rPr>
      </w:pPr>
    </w:p>
    <w:p>
      <w:pPr>
        <w:ind w:left="-60" w:firstLine="972"/>
        <w:spacing w:after="0" w:line="255" w:lineRule="auto"/>
        <w:tabs>
          <w:tab w:leader="none" w:pos="1113" w:val="left"/>
        </w:tabs>
        <w:numPr>
          <w:ilvl w:val="1"/>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0" w:lineRule="exact"/>
        <w:rPr>
          <w:rFonts w:ascii="Times New Roman" w:cs="Times New Roman" w:eastAsia="Times New Roman" w:hAnsi="Times New Roman"/>
          <w:sz w:val="18"/>
          <w:szCs w:val="18"/>
          <w:b w:val="1"/>
          <w:bCs w:val="1"/>
          <w:color w:val="auto"/>
        </w:rPr>
      </w:pPr>
    </w:p>
    <w:p>
      <w:pPr>
        <w:ind w:left="-60" w:right="260" w:firstLine="972"/>
        <w:spacing w:after="0" w:line="267" w:lineRule="auto"/>
        <w:tabs>
          <w:tab w:leader="none" w:pos="1162" w:val="left"/>
        </w:tabs>
        <w:numPr>
          <w:ilvl w:val="1"/>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9" w:lineRule="exact"/>
        <w:rPr>
          <w:rFonts w:ascii="Times New Roman" w:cs="Times New Roman" w:eastAsia="Times New Roman" w:hAnsi="Times New Roman"/>
          <w:sz w:val="18"/>
          <w:szCs w:val="18"/>
          <w:b w:val="1"/>
          <w:bCs w:val="1"/>
          <w:color w:val="auto"/>
        </w:rPr>
      </w:pPr>
    </w:p>
    <w:p>
      <w:pPr>
        <w:ind w:left="-60" w:right="560" w:firstLine="972"/>
        <w:spacing w:after="0" w:line="267" w:lineRule="auto"/>
        <w:tabs>
          <w:tab w:leader="none" w:pos="1210" w:val="left"/>
        </w:tabs>
        <w:numPr>
          <w:ilvl w:val="1"/>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65" w:lineRule="exact"/>
        <w:rPr>
          <w:rFonts w:ascii="Times New Roman" w:cs="Times New Roman" w:eastAsia="Times New Roman" w:hAnsi="Times New Roman"/>
          <w:sz w:val="18"/>
          <w:szCs w:val="18"/>
          <w:b w:val="1"/>
          <w:bCs w:val="1"/>
          <w:color w:val="auto"/>
        </w:rPr>
      </w:pPr>
    </w:p>
    <w:p>
      <w:pPr>
        <w:ind w:left="-60" w:right="120" w:firstLine="436"/>
        <w:spacing w:after="0" w:line="249" w:lineRule="auto"/>
        <w:tabs>
          <w:tab w:leader="none" w:pos="723"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81" w:lineRule="exact"/>
        <w:rPr>
          <w:rFonts w:ascii="Times New Roman" w:cs="Times New Roman" w:eastAsia="Times New Roman" w:hAnsi="Times New Roman"/>
          <w:sz w:val="18"/>
          <w:szCs w:val="18"/>
          <w:b w:val="1"/>
          <w:bCs w:val="1"/>
          <w:color w:val="auto"/>
        </w:rPr>
      </w:pPr>
    </w:p>
    <w:p>
      <w:pPr>
        <w:jc w:val="both"/>
        <w:ind w:left="-60" w:right="200" w:firstLine="436"/>
        <w:spacing w:after="0" w:line="258" w:lineRule="auto"/>
        <w:tabs>
          <w:tab w:leader="none" w:pos="684"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600"/>
          </w:cols>
          <w:pgMar w:left="640" w:top="261" w:right="659" w:bottom="1440" w:gutter="0" w:footer="0" w:header="0"/>
        </w:sectPr>
      </w:pPr>
    </w:p>
    <w:bookmarkStart w:id="500" w:name="page501"/>
    <w:bookmarkEnd w:id="500"/>
    <w:p>
      <w:pPr>
        <w:ind w:left="-8" w:firstLine="436"/>
        <w:spacing w:after="0" w:line="272" w:lineRule="auto"/>
        <w:tabs>
          <w:tab w:leader="none" w:pos="697"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61" w:lineRule="exact"/>
        <w:rPr>
          <w:rFonts w:ascii="Times New Roman" w:cs="Times New Roman" w:eastAsia="Times New Roman" w:hAnsi="Times New Roman"/>
          <w:sz w:val="18"/>
          <w:szCs w:val="18"/>
          <w:b w:val="1"/>
          <w:bCs w:val="1"/>
          <w:color w:val="auto"/>
        </w:rPr>
      </w:pPr>
    </w:p>
    <w:p>
      <w:pPr>
        <w:ind w:left="-8" w:right="120" w:firstLine="436"/>
        <w:spacing w:after="0" w:line="272" w:lineRule="auto"/>
        <w:tabs>
          <w:tab w:leader="none" w:pos="756"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61" w:lineRule="exact"/>
        <w:rPr>
          <w:rFonts w:ascii="Times New Roman" w:cs="Times New Roman" w:eastAsia="Times New Roman" w:hAnsi="Times New Roman"/>
          <w:sz w:val="18"/>
          <w:szCs w:val="18"/>
          <w:b w:val="1"/>
          <w:bCs w:val="1"/>
          <w:color w:val="auto"/>
        </w:rPr>
      </w:pPr>
    </w:p>
    <w:p>
      <w:pPr>
        <w:ind w:left="-8" w:right="140" w:firstLine="436"/>
        <w:spacing w:after="0" w:line="282" w:lineRule="auto"/>
        <w:tabs>
          <w:tab w:leader="none" w:pos="775" w:val="left"/>
        </w:tabs>
        <w:numPr>
          <w:ilvl w:val="1"/>
          <w:numId w:val="3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Materially Impair</w:t>
      </w:r>
      <w:r>
        <w:rPr>
          <w:rFonts w:ascii="Times New Roman" w:cs="Times New Roman" w:eastAsia="Times New Roman" w:hAnsi="Times New Roman"/>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61" w:lineRule="exact"/>
        <w:rPr>
          <w:rFonts w:ascii="Times New Roman" w:cs="Times New Roman" w:eastAsia="Times New Roman" w:hAnsi="Times New Roman"/>
          <w:sz w:val="16"/>
          <w:szCs w:val="16"/>
          <w:b w:val="1"/>
          <w:bCs w:val="1"/>
          <w:color w:val="auto"/>
        </w:rPr>
      </w:pPr>
    </w:p>
    <w:p>
      <w:pPr>
        <w:ind w:left="-8" w:right="160" w:firstLine="436"/>
        <w:spacing w:after="0" w:line="279" w:lineRule="auto"/>
        <w:tabs>
          <w:tab w:leader="none" w:pos="678" w:val="left"/>
        </w:tabs>
        <w:numPr>
          <w:ilvl w:val="1"/>
          <w:numId w:val="3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Non-Employee Director</w:t>
      </w:r>
      <w:r>
        <w:rPr>
          <w:rFonts w:ascii="Times New Roman" w:cs="Times New Roman" w:eastAsia="Times New Roman" w:hAnsi="Times New Roman"/>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6"/>
          <w:szCs w:val="16"/>
          <w:b w:val="1"/>
          <w:bCs w:val="1"/>
          <w:i w:val="1"/>
          <w:iCs w:val="1"/>
          <w:color w:val="auto"/>
        </w:rPr>
        <w:t>Regulation S-K</w:t>
      </w:r>
      <w:r>
        <w:rPr>
          <w:rFonts w:ascii="Times New Roman" w:cs="Times New Roman" w:eastAsia="Times New Roman" w:hAnsi="Times New Roman"/>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6"/>
          <w:szCs w:val="16"/>
          <w:b w:val="1"/>
          <w:bCs w:val="1"/>
          <w:color w:val="auto"/>
        </w:rPr>
      </w:pPr>
    </w:p>
    <w:p>
      <w:pPr>
        <w:ind w:left="252" w:hanging="252"/>
        <w:spacing w:after="0"/>
        <w:tabs>
          <w:tab w:leader="none" w:pos="25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191" w:lineRule="exact"/>
        <w:rPr>
          <w:rFonts w:ascii="Times New Roman" w:cs="Times New Roman" w:eastAsia="Times New Roman" w:hAnsi="Times New Roman"/>
          <w:sz w:val="18"/>
          <w:szCs w:val="18"/>
          <w:color w:val="auto"/>
        </w:rPr>
      </w:pPr>
    </w:p>
    <w:p>
      <w:pPr>
        <w:ind w:left="-8" w:right="160" w:firstLine="436"/>
        <w:spacing w:after="0" w:line="258" w:lineRule="auto"/>
        <w:tabs>
          <w:tab w:leader="none" w:pos="697" w:val="left"/>
        </w:tabs>
        <w:numPr>
          <w:ilvl w:val="1"/>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72" w:lineRule="exact"/>
        <w:rPr>
          <w:rFonts w:ascii="Times New Roman" w:cs="Times New Roman" w:eastAsia="Times New Roman" w:hAnsi="Times New Roman"/>
          <w:sz w:val="18"/>
          <w:szCs w:val="18"/>
          <w:b w:val="1"/>
          <w:bCs w:val="1"/>
          <w:color w:val="auto"/>
        </w:rPr>
      </w:pPr>
    </w:p>
    <w:p>
      <w:pPr>
        <w:ind w:left="-8" w:right="580" w:firstLine="436"/>
        <w:spacing w:after="0" w:line="272" w:lineRule="auto"/>
        <w:tabs>
          <w:tab w:leader="none" w:pos="775" w:val="left"/>
        </w:tabs>
        <w:numPr>
          <w:ilvl w:val="1"/>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161" w:lineRule="exact"/>
        <w:rPr>
          <w:rFonts w:ascii="Times New Roman" w:cs="Times New Roman" w:eastAsia="Times New Roman" w:hAnsi="Times New Roman"/>
          <w:sz w:val="18"/>
          <w:szCs w:val="18"/>
          <w:b w:val="1"/>
          <w:bCs w:val="1"/>
          <w:color w:val="auto"/>
        </w:rPr>
      </w:pPr>
    </w:p>
    <w:p>
      <w:pPr>
        <w:ind w:left="-8" w:right="80" w:firstLine="436"/>
        <w:spacing w:after="0" w:line="250" w:lineRule="auto"/>
        <w:tabs>
          <w:tab w:leader="none" w:pos="678" w:val="left"/>
        </w:tabs>
        <w:numPr>
          <w:ilvl w:val="1"/>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12"/>
          </w:cols>
          <w:pgMar w:left="588" w:top="261" w:right="599" w:bottom="1440" w:gutter="0" w:footer="0" w:header="0"/>
        </w:sectPr>
      </w:pPr>
    </w:p>
    <w:bookmarkStart w:id="501" w:name="page502"/>
    <w:bookmarkEnd w:id="501"/>
    <w:p>
      <w:pPr>
        <w:ind w:left="880" w:hanging="444"/>
        <w:spacing w:after="0"/>
        <w:tabs>
          <w:tab w:leader="none" w:pos="88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w:t>
      </w:r>
    </w:p>
    <w:p>
      <w:pPr>
        <w:spacing w:after="0" w:line="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191"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13"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191" w:lineRule="exact"/>
        <w:rPr>
          <w:rFonts w:ascii="Times New Roman" w:cs="Times New Roman" w:eastAsia="Times New Roman" w:hAnsi="Times New Roman"/>
          <w:sz w:val="18"/>
          <w:szCs w:val="18"/>
          <w:b w:val="1"/>
          <w:bCs w:val="1"/>
          <w:color w:val="auto"/>
        </w:rPr>
      </w:pPr>
    </w:p>
    <w:p>
      <w:pPr>
        <w:ind w:right="240" w:firstLine="436"/>
        <w:spacing w:after="0" w:line="253" w:lineRule="auto"/>
        <w:tabs>
          <w:tab w:leader="none" w:pos="783"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77" w:lineRule="exact"/>
        <w:rPr>
          <w:rFonts w:ascii="Times New Roman" w:cs="Times New Roman" w:eastAsia="Times New Roman" w:hAnsi="Times New Roman"/>
          <w:sz w:val="18"/>
          <w:szCs w:val="18"/>
          <w:b w:val="1"/>
          <w:bCs w:val="1"/>
          <w:color w:val="auto"/>
        </w:rPr>
      </w:pPr>
    </w:p>
    <w:p>
      <w:pPr>
        <w:ind w:right="680" w:firstLine="436"/>
        <w:spacing w:after="0" w:line="272" w:lineRule="auto"/>
        <w:tabs>
          <w:tab w:leader="none" w:pos="783"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61" w:lineRule="exact"/>
        <w:rPr>
          <w:rFonts w:ascii="Times New Roman" w:cs="Times New Roman" w:eastAsia="Times New Roman" w:hAnsi="Times New Roman"/>
          <w:sz w:val="18"/>
          <w:szCs w:val="18"/>
          <w:b w:val="1"/>
          <w:bCs w:val="1"/>
          <w:color w:val="auto"/>
        </w:rPr>
      </w:pPr>
    </w:p>
    <w:p>
      <w:pPr>
        <w:ind w:right="60" w:firstLine="436"/>
        <w:spacing w:after="0" w:line="258" w:lineRule="auto"/>
        <w:tabs>
          <w:tab w:leader="none" w:pos="74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72" w:lineRule="exact"/>
        <w:rPr>
          <w:rFonts w:ascii="Times New Roman" w:cs="Times New Roman" w:eastAsia="Times New Roman" w:hAnsi="Times New Roman"/>
          <w:sz w:val="18"/>
          <w:szCs w:val="18"/>
          <w:b w:val="1"/>
          <w:bCs w:val="1"/>
          <w:color w:val="auto"/>
        </w:rPr>
      </w:pPr>
    </w:p>
    <w:p>
      <w:pPr>
        <w:ind w:right="300" w:firstLine="436"/>
        <w:spacing w:after="0" w:line="336" w:lineRule="auto"/>
        <w:tabs>
          <w:tab w:leader="none" w:pos="725" w:val="left"/>
        </w:tabs>
        <w:numPr>
          <w:ilvl w:val="0"/>
          <w:numId w:val="3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Other Award Agreement</w:t>
      </w:r>
      <w:r>
        <w:rPr>
          <w:rFonts w:ascii="Times New Roman" w:cs="Times New Roman" w:eastAsia="Times New Roman" w:hAnsi="Times New Roman"/>
          <w:sz w:val="16"/>
          <w:szCs w:val="16"/>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15" w:lineRule="exact"/>
        <w:rPr>
          <w:rFonts w:ascii="Times New Roman" w:cs="Times New Roman" w:eastAsia="Times New Roman" w:hAnsi="Times New Roman"/>
          <w:sz w:val="16"/>
          <w:szCs w:val="16"/>
          <w:b w:val="1"/>
          <w:bCs w:val="1"/>
          <w:color w:val="auto"/>
        </w:rPr>
      </w:pPr>
    </w:p>
    <w:p>
      <w:pPr>
        <w:jc w:val="both"/>
        <w:ind w:firstLine="436"/>
        <w:spacing w:after="0" w:line="258" w:lineRule="auto"/>
        <w:tabs>
          <w:tab w:leader="none" w:pos="705"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2" w:lineRule="exact"/>
        <w:rPr>
          <w:rFonts w:ascii="Times New Roman" w:cs="Times New Roman" w:eastAsia="Times New Roman" w:hAnsi="Times New Roman"/>
          <w:sz w:val="18"/>
          <w:szCs w:val="18"/>
          <w:b w:val="1"/>
          <w:bCs w:val="1"/>
          <w:color w:val="auto"/>
        </w:rPr>
      </w:pPr>
    </w:p>
    <w:p>
      <w:pPr>
        <w:ind w:right="360" w:firstLine="436"/>
        <w:spacing w:after="0" w:line="272" w:lineRule="auto"/>
        <w:tabs>
          <w:tab w:leader="none" w:pos="783"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61" w:lineRule="exact"/>
        <w:rPr>
          <w:rFonts w:ascii="Times New Roman" w:cs="Times New Roman" w:eastAsia="Times New Roman" w:hAnsi="Times New Roman"/>
          <w:sz w:val="18"/>
          <w:szCs w:val="18"/>
          <w:b w:val="1"/>
          <w:bCs w:val="1"/>
          <w:color w:val="auto"/>
        </w:rPr>
      </w:pPr>
    </w:p>
    <w:p>
      <w:pPr>
        <w:ind w:right="120" w:firstLine="436"/>
        <w:spacing w:after="0" w:line="289" w:lineRule="auto"/>
        <w:tabs>
          <w:tab w:leader="none" w:pos="764" w:val="left"/>
        </w:tabs>
        <w:numPr>
          <w:ilvl w:val="0"/>
          <w:numId w:val="3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Performance Award</w:t>
      </w:r>
      <w:r>
        <w:rPr>
          <w:rFonts w:ascii="Times New Roman" w:cs="Times New Roman" w:eastAsia="Times New Roman" w:hAnsi="Times New Roman"/>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580" w:top="261" w:right="599" w:bottom="1440" w:gutter="0" w:footer="0" w:header="0"/>
        </w:sectPr>
      </w:pPr>
    </w:p>
    <w:bookmarkStart w:id="502" w:name="page503"/>
    <w:bookmarkEnd w:id="502"/>
    <w:p>
      <w:pPr>
        <w:ind w:left="-8" w:firstLine="436"/>
        <w:spacing w:after="0" w:line="245" w:lineRule="auto"/>
        <w:tabs>
          <w:tab w:leader="none" w:pos="834" w:val="left"/>
        </w:tabs>
        <w:numPr>
          <w:ilvl w:val="1"/>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90" w:lineRule="exact"/>
        <w:rPr>
          <w:rFonts w:ascii="Times New Roman" w:cs="Times New Roman" w:eastAsia="Times New Roman" w:hAnsi="Times New Roman"/>
          <w:sz w:val="18"/>
          <w:szCs w:val="18"/>
          <w:b w:val="1"/>
          <w:bCs w:val="1"/>
          <w:color w:val="auto"/>
        </w:rPr>
      </w:pPr>
    </w:p>
    <w:p>
      <w:pPr>
        <w:ind w:left="-8" w:right="60" w:firstLine="436"/>
        <w:spacing w:after="0" w:line="276" w:lineRule="auto"/>
        <w:tabs>
          <w:tab w:leader="none" w:pos="756" w:val="left"/>
        </w:tabs>
        <w:numPr>
          <w:ilvl w:val="1"/>
          <w:numId w:val="3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Performance Goals</w:t>
      </w:r>
      <w:r>
        <w:rPr>
          <w:rFonts w:ascii="Times New Roman" w:cs="Times New Roman" w:eastAsia="Times New Roman" w:hAnsi="Times New Roman"/>
          <w:sz w:val="16"/>
          <w:szCs w:val="16"/>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6" w:lineRule="exact"/>
        <w:rPr>
          <w:rFonts w:ascii="Times New Roman" w:cs="Times New Roman" w:eastAsia="Times New Roman" w:hAnsi="Times New Roman"/>
          <w:sz w:val="16"/>
          <w:szCs w:val="16"/>
          <w:b w:val="1"/>
          <w:bCs w:val="1"/>
          <w:color w:val="auto"/>
        </w:rPr>
      </w:pPr>
    </w:p>
    <w:p>
      <w:pPr>
        <w:ind w:left="-8" w:right="520" w:firstLine="8"/>
        <w:spacing w:after="0" w:line="247" w:lineRule="auto"/>
        <w:tabs>
          <w:tab w:leader="none" w:pos="2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 of any change in the outstanding shares of common stock of the Company by reason of any stock dividend or split, stock repurchase, reorganization, recapitalization, merger, consolidation, spin-off,</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92"/>
          </w:cols>
          <w:pgMar w:left="588" w:top="261" w:right="61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combination or exchange of shares or other similar corporate change, or any distributions to common stockholders other than regular cash dividends;</w:t>
      </w:r>
    </w:p>
    <w:p>
      <w:pPr>
        <w:spacing w:after="0" w:line="44" w:lineRule="exact"/>
        <w:rPr>
          <w:sz w:val="20"/>
          <w:szCs w:val="20"/>
          <w:color w:val="auto"/>
        </w:rPr>
      </w:pPr>
    </w:p>
    <w:p>
      <w:pPr>
        <w:ind w:right="20" w:firstLine="8"/>
        <w:spacing w:after="0" w:line="244" w:lineRule="auto"/>
        <w:tabs>
          <w:tab w:leader="none" w:pos="248"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5" w:lineRule="exact"/>
        <w:rPr>
          <w:rFonts w:ascii="Times New Roman" w:cs="Times New Roman" w:eastAsia="Times New Roman" w:hAnsi="Times New Roman"/>
          <w:sz w:val="18"/>
          <w:szCs w:val="18"/>
          <w:color w:val="auto"/>
        </w:rPr>
      </w:pPr>
    </w:p>
    <w:p>
      <w:pPr>
        <w:ind w:right="100" w:firstLine="436"/>
        <w:spacing w:after="0" w:line="258" w:lineRule="auto"/>
        <w:tabs>
          <w:tab w:leader="none" w:pos="764" w:val="left"/>
        </w:tabs>
        <w:numPr>
          <w:ilvl w:val="1"/>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2"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1"/>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Tempus Labs, Inc. 2022 Equity Incentive Plan, as amended from time to time.</w:t>
      </w:r>
    </w:p>
    <w:p>
      <w:pPr>
        <w:spacing w:after="0" w:line="213" w:lineRule="exact"/>
        <w:rPr>
          <w:sz w:val="20"/>
          <w:szCs w:val="20"/>
          <w:color w:val="auto"/>
        </w:rPr>
      </w:pPr>
    </w:p>
    <w:p>
      <w:pPr>
        <w:ind w:right="100" w:firstLine="436"/>
        <w:spacing w:after="0" w:line="272" w:lineRule="auto"/>
        <w:tabs>
          <w:tab w:leader="none" w:pos="851"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61" w:lineRule="exact"/>
        <w:rPr>
          <w:rFonts w:ascii="Times New Roman" w:cs="Times New Roman" w:eastAsia="Times New Roman" w:hAnsi="Times New Roman"/>
          <w:sz w:val="18"/>
          <w:szCs w:val="18"/>
          <w:b w:val="1"/>
          <w:bCs w:val="1"/>
          <w:color w:val="auto"/>
        </w:rPr>
      </w:pPr>
    </w:p>
    <w:p>
      <w:pPr>
        <w:ind w:right="40" w:firstLine="436"/>
        <w:spacing w:after="0" w:line="272" w:lineRule="auto"/>
        <w:tabs>
          <w:tab w:leader="none" w:pos="88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61" w:lineRule="exact"/>
        <w:rPr>
          <w:rFonts w:ascii="Times New Roman" w:cs="Times New Roman" w:eastAsia="Times New Roman" w:hAnsi="Times New Roman"/>
          <w:sz w:val="18"/>
          <w:szCs w:val="18"/>
          <w:b w:val="1"/>
          <w:bCs w:val="1"/>
          <w:color w:val="auto"/>
        </w:rPr>
      </w:pPr>
    </w:p>
    <w:p>
      <w:pPr>
        <w:ind w:left="820" w:hanging="384"/>
        <w:spacing w:after="0"/>
        <w:tabs>
          <w:tab w:leader="none" w:pos="82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Third Amended and Restated Tempus Labs, Inc. 2015 Stock Plan.</w:t>
      </w:r>
    </w:p>
    <w:p>
      <w:pPr>
        <w:spacing w:after="0" w:line="213" w:lineRule="exact"/>
        <w:rPr>
          <w:rFonts w:ascii="Times New Roman" w:cs="Times New Roman" w:eastAsia="Times New Roman" w:hAnsi="Times New Roman"/>
          <w:sz w:val="18"/>
          <w:szCs w:val="18"/>
          <w:b w:val="1"/>
          <w:bCs w:val="1"/>
          <w:color w:val="auto"/>
        </w:rPr>
      </w:pPr>
    </w:p>
    <w:p>
      <w:pPr>
        <w:ind w:right="80" w:firstLine="436"/>
        <w:spacing w:after="0" w:line="272" w:lineRule="auto"/>
        <w:tabs>
          <w:tab w:leader="none" w:pos="88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161" w:lineRule="exact"/>
        <w:rPr>
          <w:rFonts w:ascii="Times New Roman" w:cs="Times New Roman" w:eastAsia="Times New Roman" w:hAnsi="Times New Roman"/>
          <w:sz w:val="18"/>
          <w:szCs w:val="18"/>
          <w:b w:val="1"/>
          <w:bCs w:val="1"/>
          <w:color w:val="auto"/>
        </w:rPr>
      </w:pPr>
    </w:p>
    <w:p>
      <w:pPr>
        <w:ind w:firstLine="436"/>
        <w:spacing w:after="0" w:line="250" w:lineRule="auto"/>
        <w:tabs>
          <w:tab w:leader="none" w:pos="821"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680"/>
          </w:cols>
          <w:pgMar w:left="580" w:top="265" w:right="639" w:bottom="1440" w:gutter="0" w:footer="0" w:header="0"/>
        </w:sectPr>
      </w:pPr>
    </w:p>
    <w:bookmarkStart w:id="504" w:name="page505"/>
    <w:bookmarkEnd w:id="504"/>
    <w:p>
      <w:pPr>
        <w:ind w:left="780" w:hanging="344"/>
        <w:spacing w:after="0"/>
        <w:tabs>
          <w:tab w:leader="none" w:pos="78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w:t>
      </w:r>
    </w:p>
    <w:p>
      <w:pPr>
        <w:spacing w:after="0" w:line="2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87" w:lineRule="exact"/>
        <w:rPr>
          <w:sz w:val="20"/>
          <w:szCs w:val="20"/>
          <w:color w:val="auto"/>
        </w:rPr>
      </w:pPr>
    </w:p>
    <w:p>
      <w:pPr>
        <w:ind w:right="120" w:firstLine="436"/>
        <w:spacing w:after="0" w:line="272" w:lineRule="auto"/>
        <w:tabs>
          <w:tab w:leader="none" w:pos="851"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61" w:lineRule="exact"/>
        <w:rPr>
          <w:rFonts w:ascii="Times New Roman" w:cs="Times New Roman" w:eastAsia="Times New Roman" w:hAnsi="Times New Roman"/>
          <w:sz w:val="18"/>
          <w:szCs w:val="18"/>
          <w:b w:val="1"/>
          <w:bCs w:val="1"/>
          <w:color w:val="auto"/>
        </w:rPr>
      </w:pPr>
    </w:p>
    <w:p>
      <w:pPr>
        <w:ind w:right="140" w:firstLine="436"/>
        <w:spacing w:after="0" w:line="253" w:lineRule="auto"/>
        <w:tabs>
          <w:tab w:leader="none" w:pos="88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77" w:lineRule="exact"/>
        <w:rPr>
          <w:rFonts w:ascii="Times New Roman" w:cs="Times New Roman" w:eastAsia="Times New Roman" w:hAnsi="Times New Roman"/>
          <w:sz w:val="18"/>
          <w:szCs w:val="18"/>
          <w:b w:val="1"/>
          <w:bCs w:val="1"/>
          <w:color w:val="auto"/>
        </w:rPr>
      </w:pPr>
    </w:p>
    <w:p>
      <w:pPr>
        <w:ind w:left="740" w:hanging="304"/>
        <w:spacing w:after="0"/>
        <w:tabs>
          <w:tab w:leader="none" w:pos="74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13"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13" w:lineRule="exact"/>
        <w:rPr>
          <w:rFonts w:ascii="Times New Roman" w:cs="Times New Roman" w:eastAsia="Times New Roman" w:hAnsi="Times New Roman"/>
          <w:sz w:val="18"/>
          <w:szCs w:val="18"/>
          <w:b w:val="1"/>
          <w:bCs w:val="1"/>
          <w:color w:val="auto"/>
        </w:rPr>
      </w:pPr>
    </w:p>
    <w:p>
      <w:pPr>
        <w:ind w:left="880" w:hanging="444"/>
        <w:spacing w:after="0"/>
        <w:tabs>
          <w:tab w:leader="none" w:pos="88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13" w:lineRule="exact"/>
        <w:rPr>
          <w:rFonts w:ascii="Times New Roman" w:cs="Times New Roman" w:eastAsia="Times New Roman" w:hAnsi="Times New Roman"/>
          <w:sz w:val="18"/>
          <w:szCs w:val="18"/>
          <w:b w:val="1"/>
          <w:bCs w:val="1"/>
          <w:color w:val="auto"/>
        </w:rPr>
      </w:pPr>
    </w:p>
    <w:p>
      <w:pPr>
        <w:jc w:val="both"/>
        <w:ind w:firstLine="436"/>
        <w:spacing w:after="0" w:line="258" w:lineRule="auto"/>
        <w:tabs>
          <w:tab w:leader="none" w:pos="734"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2" w:lineRule="exact"/>
        <w:rPr>
          <w:rFonts w:ascii="Times New Roman" w:cs="Times New Roman" w:eastAsia="Times New Roman" w:hAnsi="Times New Roman"/>
          <w:sz w:val="18"/>
          <w:szCs w:val="18"/>
          <w:b w:val="1"/>
          <w:bCs w:val="1"/>
          <w:color w:val="auto"/>
        </w:rPr>
      </w:pPr>
    </w:p>
    <w:p>
      <w:pPr>
        <w:ind w:left="1040" w:hanging="604"/>
        <w:spacing w:after="0"/>
        <w:tabs>
          <w:tab w:leader="none" w:pos="104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13" w:lineRule="exact"/>
        <w:rPr>
          <w:rFonts w:ascii="Times New Roman" w:cs="Times New Roman" w:eastAsia="Times New Roman" w:hAnsi="Times New Roman"/>
          <w:sz w:val="18"/>
          <w:szCs w:val="18"/>
          <w:b w:val="1"/>
          <w:bCs w:val="1"/>
          <w:color w:val="auto"/>
        </w:rPr>
      </w:pPr>
    </w:p>
    <w:p>
      <w:pPr>
        <w:ind w:left="880" w:hanging="444"/>
        <w:spacing w:after="0"/>
        <w:tabs>
          <w:tab w:leader="none" w:pos="88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13" w:lineRule="exact"/>
        <w:rPr>
          <w:rFonts w:ascii="Times New Roman" w:cs="Times New Roman" w:eastAsia="Times New Roman" w:hAnsi="Times New Roman"/>
          <w:sz w:val="18"/>
          <w:szCs w:val="18"/>
          <w:b w:val="1"/>
          <w:bCs w:val="1"/>
          <w:color w:val="auto"/>
        </w:rPr>
      </w:pPr>
    </w:p>
    <w:p>
      <w:pPr>
        <w:ind w:right="60" w:firstLine="436"/>
        <w:spacing w:after="0" w:line="272" w:lineRule="auto"/>
        <w:tabs>
          <w:tab w:leader="none" w:pos="851"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61" w:lineRule="exact"/>
        <w:rPr>
          <w:rFonts w:ascii="Times New Roman" w:cs="Times New Roman" w:eastAsia="Times New Roman" w:hAnsi="Times New Roman"/>
          <w:sz w:val="18"/>
          <w:szCs w:val="18"/>
          <w:b w:val="1"/>
          <w:bCs w:val="1"/>
          <w:color w:val="auto"/>
        </w:rPr>
      </w:pPr>
    </w:p>
    <w:p>
      <w:pPr>
        <w:ind w:right="120" w:firstLine="436"/>
        <w:spacing w:after="0" w:line="253" w:lineRule="auto"/>
        <w:tabs>
          <w:tab w:leader="none" w:pos="88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00"/>
          </w:cols>
          <w:pgMar w:left="580" w:top="261" w:right="619" w:bottom="1440" w:gutter="0" w:footer="0" w:header="0"/>
        </w:sectPr>
      </w:pPr>
    </w:p>
    <w:bookmarkStart w:id="505" w:name="page506"/>
    <w:bookmarkEnd w:id="505"/>
    <w:p>
      <w:pPr>
        <w:ind w:left="-20" w:right="240" w:firstLine="436"/>
        <w:spacing w:after="0" w:line="250" w:lineRule="auto"/>
        <w:tabs>
          <w:tab w:leader="none" w:pos="86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2" w:lineRule="exact"/>
        <w:rPr>
          <w:rFonts w:ascii="Times New Roman" w:cs="Times New Roman" w:eastAsia="Times New Roman" w:hAnsi="Times New Roman"/>
          <w:sz w:val="18"/>
          <w:szCs w:val="18"/>
          <w:b w:val="1"/>
          <w:bCs w:val="1"/>
          <w:color w:val="auto"/>
        </w:rPr>
      </w:pPr>
    </w:p>
    <w:p>
      <w:pPr>
        <w:ind w:left="-20" w:right="60" w:firstLine="436"/>
        <w:spacing w:after="0" w:line="272" w:lineRule="auto"/>
        <w:tabs>
          <w:tab w:leader="none" w:pos="801"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61" w:lineRule="exact"/>
        <w:rPr>
          <w:rFonts w:ascii="Times New Roman" w:cs="Times New Roman" w:eastAsia="Times New Roman" w:hAnsi="Times New Roman"/>
          <w:sz w:val="18"/>
          <w:szCs w:val="18"/>
          <w:b w:val="1"/>
          <w:bCs w:val="1"/>
          <w:color w:val="auto"/>
        </w:rPr>
      </w:pPr>
    </w:p>
    <w:p>
      <w:pPr>
        <w:ind w:left="-20" w:right="140" w:firstLine="436"/>
        <w:spacing w:after="0" w:line="272" w:lineRule="auto"/>
        <w:tabs>
          <w:tab w:leader="none" w:pos="773"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61" w:lineRule="exact"/>
        <w:rPr>
          <w:rFonts w:ascii="Times New Roman" w:cs="Times New Roman" w:eastAsia="Times New Roman" w:hAnsi="Times New Roman"/>
          <w:sz w:val="18"/>
          <w:szCs w:val="18"/>
          <w:b w:val="1"/>
          <w:bCs w:val="1"/>
          <w:color w:val="auto"/>
        </w:rPr>
      </w:pPr>
    </w:p>
    <w:p>
      <w:pPr>
        <w:ind w:left="-20" w:right="80" w:firstLine="436"/>
        <w:spacing w:after="0" w:line="272" w:lineRule="auto"/>
        <w:tabs>
          <w:tab w:leader="none" w:pos="743"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61" w:lineRule="exact"/>
        <w:rPr>
          <w:rFonts w:ascii="Times New Roman" w:cs="Times New Roman" w:eastAsia="Times New Roman" w:hAnsi="Times New Roman"/>
          <w:sz w:val="18"/>
          <w:szCs w:val="18"/>
          <w:b w:val="1"/>
          <w:bCs w:val="1"/>
          <w:color w:val="auto"/>
        </w:rPr>
      </w:pPr>
    </w:p>
    <w:p>
      <w:pPr>
        <w:ind w:left="-20" w:firstLine="436"/>
        <w:spacing w:after="0" w:line="272" w:lineRule="auto"/>
        <w:tabs>
          <w:tab w:leader="none" w:pos="86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00"/>
          </w:cols>
          <w:pgMar w:left="600" w:top="261" w:right="599" w:bottom="1440" w:gutter="0" w:footer="0" w:header="0"/>
        </w:sectPr>
      </w:pPr>
    </w:p>
    <w:bookmarkStart w:id="506" w:name="page507"/>
    <w:bookmarkEnd w:id="50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Tempus Labs, Inc.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pursuant to its 2022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has granted to you (“</w:t>
      </w:r>
      <w:r>
        <w:rPr>
          <w:rFonts w:ascii="Times New Roman" w:cs="Times New Roman" w:eastAsia="Times New Roman" w:hAnsi="Times New Roman"/>
          <w:sz w:val="16"/>
          <w:szCs w:val="16"/>
          <w:b w:val="1"/>
          <w:bCs w:val="1"/>
          <w:i w:val="1"/>
          <w:iCs w:val="1"/>
          <w:color w:val="auto"/>
        </w:rPr>
        <w:t>Optionholder”)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option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purchase the number of shares of the Common Stock on the terms set forth below (the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Your Option is subject to all of the terms and conditions as set forth herein and in the Plan, and the Stock Option Agreement and the Notice of Exercise, all of which are available by logging into</w:t>
      </w:r>
    </w:p>
    <w:p>
      <w:pPr>
        <w:spacing w:after="0" w:line="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your [ ] brokerage account and which are incorporated herein in their entirety. Capitalized terms not explicitly defined herein but defined in the Plan or the Stock Option Agreement shall have the meanings set forth in the Plan or the Stock Option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-161290</wp:posOffset>
            </wp:positionV>
            <wp:extent cx="4445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1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Optionholder:</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-130175</wp:posOffset>
            </wp:positionV>
            <wp:extent cx="245110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19050</wp:posOffset>
            </wp:positionV>
            <wp:extent cx="245110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51100" cy="825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50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Incentive Stock Option</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OR [Nonstatutory Stock Option]</w:t>
            </w:r>
          </w:p>
        </w:tc>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and</w:t>
            </w:r>
          </w:p>
        </w:tc>
        <w:tc>
          <w:tcPr>
            <w:tcW w:w="87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6"/>
              </w:rPr>
              <w:t>Subject to the Optionholder’s Continuous Service through each applicable vesting date, the Option will vest as follows:</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878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87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electronic acceptance of the Option via your [</w:t>
            </w:r>
          </w:p>
        </w:tc>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brokerage account, you understand and agree</w:t>
            </w: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that:</w:t>
            </w:r>
          </w:p>
        </w:tc>
        <w:tc>
          <w:tcPr>
            <w:tcW w:w="4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960" w:right="100" w:hanging="427"/>
        <w:spacing w:after="0" w:line="251" w:lineRule="auto"/>
        <w:tabs>
          <w:tab w:leader="none" w:pos="96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90" w:lineRule="exact"/>
        <w:rPr>
          <w:rFonts w:ascii="Times New Roman" w:cs="Times New Roman" w:eastAsia="Times New Roman" w:hAnsi="Times New Roman"/>
          <w:sz w:val="18"/>
          <w:szCs w:val="18"/>
          <w:color w:val="auto"/>
        </w:rPr>
      </w:pPr>
    </w:p>
    <w:p>
      <w:pPr>
        <w:ind w:left="960" w:right="200" w:hanging="427"/>
        <w:spacing w:after="0" w:line="256" w:lineRule="auto"/>
        <w:tabs>
          <w:tab w:leader="none" w:pos="96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for more than $100,000 in value (measured by exercise price) in any calendar year. Any excess over $100,000 is a Nonstatutory Stock Option.]</w:t>
      </w:r>
    </w:p>
    <w:p>
      <w:pPr>
        <w:spacing w:after="0" w:line="88" w:lineRule="exact"/>
        <w:rPr>
          <w:sz w:val="20"/>
          <w:szCs w:val="20"/>
          <w:color w:val="auto"/>
        </w:rPr>
      </w:pPr>
    </w:p>
    <w:p>
      <w:pPr>
        <w:ind w:left="540"/>
        <w:spacing w:after="0"/>
        <w:tabs>
          <w:tab w:leader="none" w:pos="940" w:val="left"/>
          <w:tab w:leader="none" w:pos="8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Copies of the Plan, the Stock Option Agreement and Prospectus for the Plan are available via your [</w:t>
      </w:r>
      <w:r>
        <w:rPr>
          <w:sz w:val="20"/>
          <w:szCs w:val="20"/>
          <w:color w:val="auto"/>
        </w:rPr>
        <w:tab/>
      </w:r>
      <w:r>
        <w:rPr>
          <w:rFonts w:ascii="Times New Roman" w:cs="Times New Roman" w:eastAsia="Times New Roman" w:hAnsi="Times New Roman"/>
          <w:sz w:val="16"/>
          <w:szCs w:val="16"/>
          <w:color w:val="auto"/>
        </w:rPr>
        <w:t>] brokerage account and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-10795</wp:posOffset>
            </wp:positionV>
            <wp:extent cx="4445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1" w:lineRule="exact"/>
        <w:rPr>
          <w:sz w:val="20"/>
          <w:szCs w:val="20"/>
          <w:color w:val="auto"/>
        </w:rPr>
      </w:pPr>
    </w:p>
    <w:p>
      <w:pPr>
        <w:ind w:left="960" w:right="200"/>
        <w:spacing w:after="0" w:line="245" w:lineRule="auto"/>
        <w:rPr>
          <w:sz w:val="20"/>
          <w:szCs w:val="20"/>
          <w:color w:val="auto"/>
        </w:rPr>
      </w:pPr>
      <w:r>
        <w:rPr>
          <w:rFonts w:ascii="Times New Roman" w:cs="Times New Roman" w:eastAsia="Times New Roman" w:hAnsi="Times New Roman"/>
          <w:sz w:val="18"/>
          <w:szCs w:val="18"/>
          <w:color w:val="auto"/>
        </w:rPr>
        <w:t>be viewed and printed by you. You consent to receive this Grant Notice, the Plan, the Stock Option Agreement,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5057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379" w:lineRule="exact"/>
        <w:rPr>
          <w:sz w:val="20"/>
          <w:szCs w:val="20"/>
          <w:color w:val="auto"/>
        </w:rPr>
      </w:pPr>
    </w:p>
    <w:p>
      <w:pPr>
        <w:ind w:left="420" w:right="40" w:hanging="412"/>
        <w:spacing w:after="0" w:line="267" w:lineRule="auto"/>
        <w:tabs>
          <w:tab w:leader="none" w:pos="420" w:val="left"/>
        </w:tabs>
        <w:numPr>
          <w:ilvl w:val="0"/>
          <w:numId w:val="3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If this is an Incentive Stock Option, it (plus other outstanding Incentive Stock Options) cannot be first exercisable for more than $100,000 in value (measured by exercise price) in any calendar year. Any excess over $100,000 is a Nonstatutory Stock Option.</w:t>
      </w:r>
    </w:p>
    <w:p>
      <w:pPr>
        <w:sectPr>
          <w:pgSz w:w="11900" w:h="16838" w:orient="portrait"/>
          <w:cols w:equalWidth="0" w:num="1">
            <w:col w:w="10720"/>
          </w:cols>
          <w:pgMar w:left="580" w:top="118" w:right="599" w:bottom="1440" w:gutter="0" w:footer="0" w:header="0"/>
        </w:sectPr>
      </w:pPr>
    </w:p>
    <w:bookmarkStart w:id="507" w:name="page508"/>
    <w:bookmarkEnd w:id="507"/>
    <w:p>
      <w:pPr>
        <w:jc w:val="both"/>
        <w:ind w:left="427" w:right="20" w:hanging="427"/>
        <w:spacing w:after="0" w:line="255" w:lineRule="auto"/>
        <w:tabs>
          <w:tab w:leader="none" w:pos="427"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88" w:lineRule="exact"/>
        <w:rPr>
          <w:rFonts w:ascii="Times New Roman" w:cs="Times New Roman" w:eastAsia="Times New Roman" w:hAnsi="Times New Roman"/>
          <w:sz w:val="18"/>
          <w:szCs w:val="18"/>
          <w:color w:val="auto"/>
        </w:rPr>
      </w:pPr>
    </w:p>
    <w:p>
      <w:pPr>
        <w:ind w:left="427" w:hanging="427"/>
        <w:spacing w:after="0" w:line="293" w:lineRule="auto"/>
        <w:tabs>
          <w:tab w:leader="none" w:pos="427"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ectPr>
          <w:pgSz w:w="11900" w:h="16838" w:orient="portrait"/>
          <w:cols w:equalWidth="0" w:num="1">
            <w:col w:w="10107"/>
          </w:cols>
          <w:pgMar w:left="1113" w:top="265" w:right="679" w:bottom="1440" w:gutter="0" w:footer="0" w:header="0"/>
        </w:sectPr>
      </w:pPr>
    </w:p>
    <w:bookmarkStart w:id="508" w:name="page509"/>
    <w:bookmarkEnd w:id="50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3" w:right="1440" w:bottom="1440" w:gutter="0" w:footer="0" w:header="0"/>
        </w:sectPr>
      </w:pPr>
    </w:p>
    <w:bookmarkStart w:id="509" w:name="page510"/>
    <w:bookmarkEnd w:id="509"/>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11"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211" w:lineRule="exact"/>
        <w:rPr>
          <w:sz w:val="20"/>
          <w:szCs w:val="20"/>
          <w:color w:val="auto"/>
        </w:rPr>
      </w:pPr>
    </w:p>
    <w:p>
      <w:pPr>
        <w:ind w:left="620" w:hanging="184"/>
        <w:spacing w:after="0"/>
        <w:tabs>
          <w:tab w:leader="none" w:pos="620"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including but not limited to the provisions in:</w:t>
      </w:r>
    </w:p>
    <w:p>
      <w:pPr>
        <w:spacing w:after="0" w:line="215"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213"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3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 9(e) regarding the Company’s retained rights to terminate your Continuous Service notwithstanding the grant of the Option;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95" w:lineRule="exact"/>
        <w:rPr>
          <w:sz w:val="20"/>
          <w:szCs w:val="20"/>
          <w:color w:val="auto"/>
        </w:rPr>
      </w:pPr>
    </w:p>
    <w:p>
      <w:pPr>
        <w:ind w:left="1200" w:hanging="228"/>
        <w:spacing w:after="0"/>
        <w:tabs>
          <w:tab w:leader="none" w:pos="1200"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13"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6"/>
          <w:szCs w:val="16"/>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21" w:lineRule="exact"/>
        <w:rPr>
          <w:sz w:val="20"/>
          <w:szCs w:val="20"/>
          <w:color w:val="auto"/>
        </w:rPr>
      </w:pPr>
    </w:p>
    <w:p>
      <w:pPr>
        <w:ind w:right="80" w:firstLine="436"/>
        <w:spacing w:after="0" w:line="270" w:lineRule="auto"/>
        <w:tabs>
          <w:tab w:leader="none" w:pos="603"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will vest as provided in your Grant Notice, subject to the provisions contained herein and the terms of the Plan.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cease upon the termination of your Continuous Service.</w:t>
      </w:r>
    </w:p>
    <w:p>
      <w:pPr>
        <w:spacing w:after="0" w:line="164"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right="220" w:firstLine="972"/>
        <w:spacing w:after="0" w:line="251" w:lineRule="auto"/>
        <w:tabs>
          <w:tab w:leader="none" w:pos="1212" w:val="left"/>
        </w:tabs>
        <w:numPr>
          <w:ilvl w:val="1"/>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ectPr>
          <w:pgSz w:w="11900" w:h="16838" w:orient="portrait"/>
          <w:cols w:equalWidth="0" w:num="1">
            <w:col w:w="10720"/>
          </w:cols>
          <w:pgMar w:left="580" w:top="263" w:right="599" w:bottom="1440" w:gutter="0" w:footer="0" w:header="0"/>
        </w:sectPr>
      </w:pPr>
    </w:p>
    <w:bookmarkStart w:id="510" w:name="page511"/>
    <w:bookmarkEnd w:id="510"/>
    <w:p>
      <w:pPr>
        <w:ind w:left="1220" w:hanging="248"/>
        <w:spacing w:after="0"/>
        <w:tabs>
          <w:tab w:leader="none" w:pos="1220" w:val="left"/>
        </w:tabs>
        <w:numPr>
          <w:ilvl w:val="1"/>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the extent permitted by Applicable Law, you may pay your Option exercise price as follows:</w:t>
      </w:r>
    </w:p>
    <w:p>
      <w:pPr>
        <w:spacing w:after="0" w:line="213" w:lineRule="exact"/>
        <w:rPr>
          <w:rFonts w:ascii="Times New Roman" w:cs="Times New Roman" w:eastAsia="Times New Roman" w:hAnsi="Times New Roman"/>
          <w:sz w:val="18"/>
          <w:szCs w:val="18"/>
          <w:b w:val="1"/>
          <w:bCs w:val="1"/>
          <w:color w:val="auto"/>
        </w:rPr>
      </w:pPr>
    </w:p>
    <w:p>
      <w:pPr>
        <w:ind w:left="1600" w:hanging="200"/>
        <w:spacing w:after="0"/>
        <w:tabs>
          <w:tab w:leader="none" w:pos="1600"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213" w:lineRule="exact"/>
        <w:rPr>
          <w:rFonts w:ascii="Times New Roman" w:cs="Times New Roman" w:eastAsia="Times New Roman" w:hAnsi="Times New Roman"/>
          <w:sz w:val="18"/>
          <w:szCs w:val="18"/>
          <w:b w:val="1"/>
          <w:bCs w:val="1"/>
          <w:color w:val="auto"/>
        </w:rPr>
      </w:pPr>
    </w:p>
    <w:p>
      <w:pPr>
        <w:ind w:right="580" w:firstLine="1400"/>
        <w:spacing w:after="0" w:line="267" w:lineRule="auto"/>
        <w:tabs>
          <w:tab w:leader="none" w:pos="1650"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as further described in Section 4(c)(ii) of the Plan if at the time of exercise the Common Stock is publicly traded;</w:t>
      </w:r>
    </w:p>
    <w:p>
      <w:pPr>
        <w:spacing w:after="0" w:line="169" w:lineRule="exact"/>
        <w:rPr>
          <w:rFonts w:ascii="Times New Roman" w:cs="Times New Roman" w:eastAsia="Times New Roman" w:hAnsi="Times New Roman"/>
          <w:sz w:val="18"/>
          <w:szCs w:val="18"/>
          <w:b w:val="1"/>
          <w:bCs w:val="1"/>
          <w:color w:val="auto"/>
        </w:rPr>
      </w:pPr>
    </w:p>
    <w:p>
      <w:pPr>
        <w:ind w:right="360" w:firstLine="1400"/>
        <w:spacing w:after="0" w:line="267" w:lineRule="auto"/>
        <w:tabs>
          <w:tab w:leader="none" w:pos="1699"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169" w:lineRule="exact"/>
        <w:rPr>
          <w:rFonts w:ascii="Times New Roman" w:cs="Times New Roman" w:eastAsia="Times New Roman" w:hAnsi="Times New Roman"/>
          <w:sz w:val="18"/>
          <w:szCs w:val="18"/>
          <w:b w:val="1"/>
          <w:bCs w:val="1"/>
          <w:color w:val="auto"/>
        </w:rPr>
      </w:pPr>
    </w:p>
    <w:p>
      <w:pPr>
        <w:ind w:right="200" w:firstLine="1400"/>
        <w:spacing w:after="0" w:line="267" w:lineRule="auto"/>
        <w:tabs>
          <w:tab w:leader="none" w:pos="1689"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169" w:lineRule="exact"/>
        <w:rPr>
          <w:rFonts w:ascii="Times New Roman" w:cs="Times New Roman" w:eastAsia="Times New Roman" w:hAnsi="Times New Roman"/>
          <w:sz w:val="18"/>
          <w:szCs w:val="18"/>
          <w:b w:val="1"/>
          <w:bCs w:val="1"/>
          <w:color w:val="auto"/>
        </w:rPr>
      </w:pPr>
    </w:p>
    <w:p>
      <w:pPr>
        <w:ind w:firstLine="972"/>
        <w:spacing w:after="0" w:line="245" w:lineRule="auto"/>
        <w:tabs>
          <w:tab w:leader="none" w:pos="1202" w:val="left"/>
        </w:tabs>
        <w:numPr>
          <w:ilvl w:val="1"/>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provided, however, that nothing contained in this Section 3(c)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w:t>
      </w:r>
    </w:p>
    <w:p>
      <w:pPr>
        <w:spacing w:after="0" w:line="194" w:lineRule="exact"/>
        <w:rPr>
          <w:rFonts w:ascii="Times New Roman" w:cs="Times New Roman" w:eastAsia="Times New Roman" w:hAnsi="Times New Roman"/>
          <w:sz w:val="18"/>
          <w:szCs w:val="18"/>
          <w:b w:val="1"/>
          <w:bCs w:val="1"/>
          <w:color w:val="auto"/>
        </w:rPr>
      </w:pPr>
    </w:p>
    <w:p>
      <w:pPr>
        <w:ind w:right="100" w:firstLine="436"/>
        <w:spacing w:after="0" w:line="270" w:lineRule="auto"/>
        <w:tabs>
          <w:tab w:leader="none" w:pos="603"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of its term or after its term expires. The term of your Option commences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of Grant and expires upon the earliest of the following:</w:t>
      </w:r>
    </w:p>
    <w:p>
      <w:pPr>
        <w:spacing w:after="0" w:line="166"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13"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after the termination of your Continuous Service for any reason other than Cause, Disability or death;</w:t>
      </w:r>
    </w:p>
    <w:p>
      <w:pPr>
        <w:spacing w:after="0" w:line="213" w:lineRule="exact"/>
        <w:rPr>
          <w:rFonts w:ascii="Times New Roman" w:cs="Times New Roman" w:eastAsia="Times New Roman" w:hAnsi="Times New Roman"/>
          <w:sz w:val="18"/>
          <w:szCs w:val="18"/>
          <w:b w:val="1"/>
          <w:bCs w:val="1"/>
          <w:color w:val="auto"/>
        </w:rPr>
      </w:pPr>
    </w:p>
    <w:p>
      <w:pPr>
        <w:ind w:left="1200" w:hanging="228"/>
        <w:spacing w:after="0"/>
        <w:tabs>
          <w:tab w:leader="none" w:pos="1200" w:val="left"/>
        </w:tabs>
        <w:numPr>
          <w:ilvl w:val="1"/>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w:t>
      </w:r>
    </w:p>
    <w:p>
      <w:pPr>
        <w:spacing w:after="0" w:line="213"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during your Continuous Service;</w:t>
      </w:r>
    </w:p>
    <w:p>
      <w:pPr>
        <w:spacing w:after="0" w:line="213" w:lineRule="exact"/>
        <w:rPr>
          <w:rFonts w:ascii="Times New Roman" w:cs="Times New Roman" w:eastAsia="Times New Roman" w:hAnsi="Times New Roman"/>
          <w:sz w:val="18"/>
          <w:szCs w:val="18"/>
          <w:b w:val="1"/>
          <w:bCs w:val="1"/>
          <w:color w:val="auto"/>
        </w:rPr>
      </w:pPr>
    </w:p>
    <w:p>
      <w:pPr>
        <w:ind w:left="1200" w:hanging="228"/>
        <w:spacing w:after="0"/>
        <w:tabs>
          <w:tab w:leader="none" w:pos="1200" w:val="left"/>
        </w:tabs>
        <w:numPr>
          <w:ilvl w:val="1"/>
          <w:numId w:val="4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immediately upon a Corporate Transaction if the Board has determined that the Option will terminate in connection with a Corporate</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Transaction,</w:t>
      </w:r>
    </w:p>
    <w:p>
      <w:pPr>
        <w:sectPr>
          <w:pgSz w:w="11900" w:h="16838" w:orient="portrait"/>
          <w:cols w:equalWidth="0" w:num="1">
            <w:col w:w="10680"/>
          </w:cols>
          <w:pgMar w:left="580" w:top="265" w:right="639" w:bottom="1440" w:gutter="0" w:footer="0" w:header="0"/>
        </w:sectPr>
      </w:pPr>
    </w:p>
    <w:bookmarkStart w:id="511" w:name="page512"/>
    <w:bookmarkEnd w:id="511"/>
    <w:p>
      <w:pPr>
        <w:ind w:left="1200" w:hanging="228"/>
        <w:spacing w:after="0"/>
        <w:tabs>
          <w:tab w:leader="none" w:pos="1200"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the Expiration Date indicated in your Grant Notice; or</w:t>
      </w:r>
    </w:p>
    <w:p>
      <w:pPr>
        <w:spacing w:after="0" w:line="213"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13" w:lineRule="exact"/>
        <w:rPr>
          <w:sz w:val="20"/>
          <w:szCs w:val="20"/>
          <w:color w:val="auto"/>
        </w:rPr>
      </w:pPr>
    </w:p>
    <w:p>
      <w:pPr>
        <w:ind w:right="20" w:firstLine="428"/>
        <w:spacing w:after="0" w:line="251"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4(b) or 4(c)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84" w:lineRule="exact"/>
        <w:rPr>
          <w:sz w:val="20"/>
          <w:szCs w:val="20"/>
          <w:color w:val="auto"/>
        </w:rPr>
      </w:pPr>
    </w:p>
    <w:p>
      <w:pPr>
        <w:ind w:right="20" w:firstLine="428"/>
        <w:spacing w:after="0" w:line="249" w:lineRule="auto"/>
        <w:rPr>
          <w:sz w:val="20"/>
          <w:szCs w:val="20"/>
          <w:color w:val="auto"/>
        </w:rPr>
      </w:pPr>
      <w:r>
        <w:rPr>
          <w:rFonts w:ascii="Times New Roman" w:cs="Times New Roman" w:eastAsia="Times New Roman" w:hAnsi="Times New Roman"/>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85" w:lineRule="exact"/>
        <w:rPr>
          <w:sz w:val="20"/>
          <w:szCs w:val="20"/>
          <w:color w:val="auto"/>
        </w:rPr>
      </w:pPr>
    </w:p>
    <w:p>
      <w:pPr>
        <w:ind w:right="160" w:firstLine="436"/>
        <w:spacing w:after="0" w:line="246" w:lineRule="auto"/>
        <w:tabs>
          <w:tab w:leader="none" w:pos="603"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9" w:lineRule="exact"/>
        <w:rPr>
          <w:rFonts w:ascii="Times New Roman" w:cs="Times New Roman" w:eastAsia="Times New Roman" w:hAnsi="Times New Roman"/>
          <w:sz w:val="18"/>
          <w:szCs w:val="18"/>
          <w:b w:val="1"/>
          <w:bCs w:val="1"/>
          <w:color w:val="auto"/>
        </w:rPr>
      </w:pPr>
    </w:p>
    <w:p>
      <w:pPr>
        <w:ind w:firstLine="436"/>
        <w:spacing w:after="0" w:line="303" w:lineRule="auto"/>
        <w:tabs>
          <w:tab w:leader="none" w:pos="603" w:val="left"/>
        </w:tabs>
        <w:numPr>
          <w:ilvl w:val="0"/>
          <w:numId w:val="4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3"/>
          <w:szCs w:val="13"/>
          <w:b w:val="1"/>
          <w:bCs w:val="1"/>
          <w:color w:val="auto"/>
        </w:rPr>
        <w:t>ISPOSITION</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3"/>
          <w:szCs w:val="13"/>
          <w:b w:val="1"/>
          <w:bCs w:val="1"/>
          <w:color w:val="auto"/>
        </w:rPr>
        <w:t>EQUIREMENT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your Option is an Incentive Stock Option, you must notify the Company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143" w:lineRule="exact"/>
        <w:rPr>
          <w:rFonts w:ascii="Times New Roman" w:cs="Times New Roman" w:eastAsia="Times New Roman" w:hAnsi="Times New Roman"/>
          <w:sz w:val="16"/>
          <w:szCs w:val="16"/>
          <w:b w:val="1"/>
          <w:bCs w:val="1"/>
          <w:color w:val="auto"/>
        </w:rPr>
      </w:pPr>
    </w:p>
    <w:p>
      <w:pPr>
        <w:ind w:right="680" w:firstLine="436"/>
        <w:spacing w:after="0" w:line="270" w:lineRule="auto"/>
        <w:tabs>
          <w:tab w:leader="none" w:pos="603"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ectPr>
          <w:pgSz w:w="11900" w:h="16838" w:orient="portrait"/>
          <w:cols w:equalWidth="0" w:num="1">
            <w:col w:w="10720"/>
          </w:cols>
          <w:pgMar w:left="580" w:top="264" w:right="599" w:bottom="1440" w:gutter="0" w:footer="0" w:header="0"/>
        </w:sectPr>
      </w:pPr>
    </w:p>
    <w:bookmarkStart w:id="512" w:name="page513"/>
    <w:bookmarkEnd w:id="512"/>
    <w:p>
      <w:pPr>
        <w:ind w:left="-436" w:right="20" w:firstLine="436"/>
        <w:spacing w:after="0" w:line="256" w:lineRule="auto"/>
        <w:tabs>
          <w:tab w:leader="none" w:pos="167"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77" w:lineRule="exact"/>
        <w:rPr>
          <w:rFonts w:ascii="Times New Roman" w:cs="Times New Roman" w:eastAsia="Times New Roman" w:hAnsi="Times New Roman"/>
          <w:sz w:val="18"/>
          <w:szCs w:val="18"/>
          <w:b w:val="1"/>
          <w:bCs w:val="1"/>
          <w:color w:val="auto"/>
        </w:rPr>
      </w:pPr>
    </w:p>
    <w:p>
      <w:pPr>
        <w:ind w:left="-436" w:firstLine="436"/>
        <w:spacing w:after="0" w:line="282" w:lineRule="auto"/>
        <w:tabs>
          <w:tab w:leader="none" w:pos="167" w:val="left"/>
        </w:tabs>
        <w:numPr>
          <w:ilvl w:val="0"/>
          <w:numId w:val="4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6"/>
          <w:szCs w:val="16"/>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6"/>
          <w:szCs w:val="16"/>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6"/>
          <w:szCs w:val="16"/>
          <w:color w:val="auto"/>
        </w:rPr>
        <w:t>. As a condition to accepting the Option, you hereby (a) agree to not make any claim against the Company,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61" w:lineRule="exact"/>
        <w:rPr>
          <w:rFonts w:ascii="Times New Roman" w:cs="Times New Roman" w:eastAsia="Times New Roman" w:hAnsi="Times New Roman"/>
          <w:sz w:val="16"/>
          <w:szCs w:val="16"/>
          <w:b w:val="1"/>
          <w:bCs w:val="1"/>
          <w:color w:val="auto"/>
        </w:rPr>
      </w:pPr>
    </w:p>
    <w:p>
      <w:pPr>
        <w:jc w:val="both"/>
        <w:ind w:left="-436" w:right="40" w:firstLine="436"/>
        <w:spacing w:after="0" w:line="252" w:lineRule="auto"/>
        <w:tabs>
          <w:tab w:leader="none" w:pos="255"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any part of this Option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0" w:lineRule="exact"/>
        <w:rPr>
          <w:rFonts w:ascii="Times New Roman" w:cs="Times New Roman" w:eastAsia="Times New Roman" w:hAnsi="Times New Roman"/>
          <w:sz w:val="18"/>
          <w:szCs w:val="18"/>
          <w:b w:val="1"/>
          <w:bCs w:val="1"/>
          <w:color w:val="auto"/>
        </w:rPr>
      </w:pPr>
    </w:p>
    <w:p>
      <w:pPr>
        <w:ind w:left="-436" w:right="100" w:firstLine="436"/>
        <w:spacing w:after="0" w:line="333" w:lineRule="auto"/>
        <w:tabs>
          <w:tab w:leader="none" w:pos="245" w:val="left"/>
        </w:tabs>
        <w:numPr>
          <w:ilvl w:val="0"/>
          <w:numId w:val="4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hereby acknowledge receipt of or the right to receive a document providing the information required by Rule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428(b)(1) promulgated under the Securities Act, which includes the Prospectus. In addition, you acknowledge receipt of the Company’s Trading Policy.</w:t>
      </w:r>
    </w:p>
    <w:p>
      <w:pPr>
        <w:spacing w:after="0" w:line="119" w:lineRule="exact"/>
        <w:rPr>
          <w:rFonts w:ascii="Times New Roman" w:cs="Times New Roman" w:eastAsia="Times New Roman" w:hAnsi="Times New Roman"/>
          <w:sz w:val="16"/>
          <w:szCs w:val="16"/>
          <w:b w:val="1"/>
          <w:bCs w:val="1"/>
          <w:color w:val="auto"/>
        </w:rPr>
      </w:pPr>
    </w:p>
    <w:p>
      <w:pPr>
        <w:ind w:left="-436" w:right="200" w:firstLine="436"/>
        <w:spacing w:after="0" w:line="270" w:lineRule="auto"/>
        <w:tabs>
          <w:tab w:leader="none" w:pos="255"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164" w:lineRule="exact"/>
        <w:rPr>
          <w:rFonts w:ascii="Times New Roman" w:cs="Times New Roman" w:eastAsia="Times New Roman" w:hAnsi="Times New Roman"/>
          <w:sz w:val="18"/>
          <w:szCs w:val="18"/>
          <w:b w:val="1"/>
          <w:bCs w:val="1"/>
          <w:color w:val="auto"/>
        </w:rPr>
      </w:pPr>
    </w:p>
    <w:p>
      <w:pPr>
        <w:ind w:left="4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p>
    <w:p>
      <w:pPr>
        <w:sectPr>
          <w:pgSz w:w="11900" w:h="16838" w:orient="portrait"/>
          <w:cols w:equalWidth="0" w:num="1">
            <w:col w:w="10284"/>
          </w:cols>
          <w:pgMar w:left="1016" w:top="263" w:right="599" w:bottom="1440" w:gutter="0" w:footer="0" w:header="0"/>
        </w:sectPr>
      </w:pPr>
    </w:p>
    <w:bookmarkStart w:id="513" w:name="page514"/>
    <w:bookmarkEnd w:id="5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ectPr>
          <w:pgSz w:w="11900" w:h="16838" w:orient="portrait"/>
          <w:cols w:equalWidth="0" w:num="1">
            <w:col w:w="9019"/>
          </w:cols>
          <w:pgMar w:left="1440" w:top="263" w:right="1440" w:bottom="1440" w:gutter="0" w:footer="0" w:header="0"/>
        </w:sectPr>
      </w:pPr>
    </w:p>
    <w:bookmarkStart w:id="514" w:name="page515"/>
    <w:bookmarkEnd w:id="5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p>
    <w:p>
      <w:pPr>
        <w:sectPr>
          <w:pgSz w:w="11900" w:h="16838" w:orient="portrait"/>
          <w:cols w:equalWidth="0" w:num="1">
            <w:col w:w="9019"/>
          </w:cols>
          <w:pgMar w:left="1440" w:top="263" w:right="1440" w:bottom="1440" w:gutter="0" w:footer="0" w:header="0"/>
        </w:sectPr>
      </w:pPr>
    </w:p>
    <w:bookmarkStart w:id="515" w:name="page516"/>
    <w:bookmarkEnd w:id="515"/>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Labs,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0"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-10795</wp:posOffset>
            </wp:positionV>
            <wp:extent cx="66675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189"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This constitutes notice to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Grant Notice, Option Agreement or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Grant Notice, Option Agreement or Plan, as applicable. Use of certain payment methods is subject to Company and/or Committee consent and certain additional requirements set forth in the Option Agreement and the Plan.</w:t>
      </w:r>
    </w:p>
    <w:p>
      <w:pPr>
        <w:sectPr>
          <w:pgSz w:w="11900" w:h="16838" w:orient="portrait"/>
          <w:cols w:equalWidth="0" w:num="1">
            <w:col w:w="10680"/>
          </w:cols>
          <w:pgMar w:left="580" w:top="263" w:right="63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Type of option (check one):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Incentive </w:t>
      </w:r>
      <w:r>
        <w:rPr>
          <w:rFonts w:ascii="MS PGothic" w:cs="MS PGothic" w:eastAsia="MS PGothic" w:hAnsi="MS PGothic"/>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Nonstatutory </w:t>
      </w:r>
      <w:r>
        <w:rPr>
          <w:rFonts w:ascii="MS PGothic" w:cs="MS PGothic" w:eastAsia="MS PGothic" w:hAnsi="MS PGothic"/>
          <w:sz w:val="16"/>
          <w:szCs w:val="16"/>
          <w:color w:val="auto"/>
        </w:rPr>
        <w:t>☐</w:t>
      </w:r>
    </w:p>
    <w:p>
      <w:pPr>
        <w:spacing w:after="0" w:line="484" w:lineRule="exact"/>
        <w:rPr>
          <w:sz w:val="20"/>
          <w:szCs w:val="20"/>
          <w:color w:val="auto"/>
        </w:rPr>
      </w:pPr>
    </w:p>
    <w:p>
      <w:pPr>
        <w:sectPr>
          <w:pgSz w:w="11900" w:h="16838" w:orient="portrait"/>
          <w:cols w:equalWidth="0" w:num="3">
            <w:col w:w="6140" w:space="720"/>
            <w:col w:w="1980" w:space="720"/>
            <w:col w:w="1120"/>
          </w:cols>
          <w:pgMar w:left="580" w:top="263"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Number of Shares as</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 which Option is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exercised:</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0" w:lineRule="exact"/>
        <w:rPr>
          <w:sz w:val="20"/>
          <w:szCs w:val="20"/>
          <w:color w:val="auto"/>
        </w:rPr>
      </w:pPr>
    </w:p>
    <w:p>
      <w:pPr>
        <w:sectPr>
          <w:pgSz w:w="11900" w:h="16838" w:orient="portrait"/>
          <w:cols w:equalWidth="0" w:num="2">
            <w:col w:w="6140" w:space="720"/>
            <w:col w:w="3820"/>
          </w:cols>
          <w:pgMar w:left="580" w:top="263"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Certificates to be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issued in name of:</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Cash, check, bank draft or money order delivered herewith:</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Value of ________ Shares delivered herewith:</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Regulation T Program (cashless exercise)</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Value of _______ Shares pursuant to net exercise: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ectPr>
          <w:pgSz w:w="11900" w:h="16838" w:orient="portrait"/>
          <w:cols w:equalWidth="0" w:num="2">
            <w:col w:w="6140" w:space="720"/>
            <w:col w:w="3820"/>
          </w:cols>
          <w:pgMar w:left="580" w:top="263" w:right="639" w:bottom="1440" w:gutter="0" w:footer="0" w:header="0"/>
          <w:type w:val="continuous"/>
        </w:sectPr>
      </w:pPr>
    </w:p>
    <w:bookmarkStart w:id="516" w:name="page517"/>
    <w:bookmarkEnd w:id="516"/>
    <w:p>
      <w:pPr>
        <w:ind w:right="100" w:firstLine="428"/>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By this exercise, I agree (i) to provide such additional documents as you may require pursuant to the terms of the Plan, (ii) to satisfy the tax withholding obligations, if any, relating to the exercise of this Option as set forth in the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 further agree that I will not sell, dispose of, transfer, make any short sale of, grant any option for the purchase of, or enter into any hedging 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similar transaction with the same economic effect as a sale with respect to any shares of Common Stock or other securities of the Company that I hold,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 period of 180 days following the effective date of a registration statement of the Company filed under the Securities Act or such longer period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or the Company will request to facilitate compliance with FINRA Rule 2241 or any successor or similar rules or regulation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Lock-Up Period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nothing contained in this paragraph will prevent the exercise of a repurchase option, if any, in favor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during the Lock-Up Period. I further agree to execute and deliver such other agreements as may be reasonably requested by the Company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that are consistent with the foregoing or that are necessary to give further effect thereto. I further agree that in order to enforce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covenant, the Company may impose stop-transfer instructions with respect to shares of Common Stock that I hold until the end of such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 also agree that any transferee of any shares of Common Stock (or other securities) of the Company that I hold will be bound by this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paragraph. The underwriters of the Company’s stock are intended third party beneficiaries of this paragraph and will have the right, power and authority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enforce the provisions hereof as though they were a party hereto.</w:t>
      </w:r>
    </w:p>
    <w:p>
      <w:pPr>
        <w:spacing w:after="0" w:line="22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280670</wp:posOffset>
            </wp:positionV>
            <wp:extent cx="271780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10660"/>
          </w:cols>
          <w:pgMar w:left="580" w:top="265" w:right="659" w:bottom="1440" w:gutter="0" w:footer="0" w:header="0"/>
        </w:sectPr>
      </w:pPr>
    </w:p>
    <w:bookmarkStart w:id="517" w:name="page518"/>
    <w:bookmarkEnd w:id="517"/>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restricted stock units specified and on the terms set forth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in consideration of your services (the “</w:t>
      </w:r>
      <w:r>
        <w:rPr>
          <w:rFonts w:ascii="Times New Roman" w:cs="Times New Roman" w:eastAsia="Times New Roman" w:hAnsi="Times New Roman"/>
          <w:sz w:val="16"/>
          <w:szCs w:val="16"/>
          <w:b w:val="1"/>
          <w:bCs w:val="1"/>
          <w:i w:val="1"/>
          <w:iCs w:val="1"/>
          <w:color w:val="auto"/>
        </w:rPr>
        <w:t>RSU Award</w:t>
      </w:r>
      <w:r>
        <w:rPr>
          <w:rFonts w:ascii="Times New Roman" w:cs="Times New Roman" w:eastAsia="Times New Roman" w:hAnsi="Times New Roman"/>
          <w:sz w:val="16"/>
          <w:szCs w:val="16"/>
          <w:color w:val="auto"/>
        </w:rPr>
        <w:t>”). Your RSU Award is subject to all of the terms and conditions as set forth herein and in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are available by logging into your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brokerage account and which are incorporated herein in their entirety. Capitalized terms not explicitly defined herein but defined in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or the Agreement shall have the meanings set forth in the Plan or the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-10795</wp:posOffset>
            </wp:positionV>
            <wp:extent cx="15830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-22225</wp:posOffset>
            </wp:positionV>
            <wp:extent cx="15830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-22225</wp:posOffset>
            </wp:positionV>
            <wp:extent cx="15830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-22225</wp:posOffset>
            </wp:positionV>
            <wp:extent cx="15830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spacing w:after="0" w:line="200"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6"/>
          <w:szCs w:val="16"/>
          <w:color w:val="auto"/>
        </w:rPr>
        <w:t>Subject to the Participant’s Continuous Service through each applicable</w:t>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vesting date, the RSU Award will vest as follows:</w:t>
      </w:r>
    </w:p>
    <w:p>
      <w:pPr>
        <w:spacing w:after="0" w:line="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88" w:lineRule="exact"/>
        <w:rPr>
          <w:sz w:val="20"/>
          <w:szCs w:val="20"/>
          <w:color w:val="auto"/>
        </w:rPr>
      </w:pPr>
    </w:p>
    <w:p>
      <w:pPr>
        <w:ind w:left="1660" w:right="3980" w:hanging="1653"/>
        <w:spacing w:after="0" w:line="267" w:lineRule="auto"/>
        <w:tabs>
          <w:tab w:leader="none" w:pos="164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Common Stock will be issued for each restricted stock unit which vests at the time set forth in Section 6 of the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Participant Acknowledgements: </w:t>
      </w:r>
      <w:r>
        <w:rPr>
          <w:rFonts w:ascii="Times New Roman" w:cs="Times New Roman" w:eastAsia="Times New Roman" w:hAnsi="Times New Roman"/>
          <w:sz w:val="16"/>
          <w:szCs w:val="16"/>
          <w:color w:val="auto"/>
        </w:rPr>
        <w:t>By your electronic acceptance of the RSU Award via your [_________] brokerage account, you understand and agree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960" w:right="40" w:hanging="427"/>
        <w:spacing w:after="0" w:line="253" w:lineRule="auto"/>
        <w:tabs>
          <w:tab w:leader="none" w:pos="96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9" w:lineRule="exact"/>
        <w:rPr>
          <w:rFonts w:ascii="Times New Roman" w:cs="Times New Roman" w:eastAsia="Times New Roman" w:hAnsi="Times New Roman"/>
          <w:sz w:val="18"/>
          <w:szCs w:val="18"/>
          <w:color w:val="auto"/>
        </w:rPr>
      </w:pPr>
    </w:p>
    <w:p>
      <w:pPr>
        <w:ind w:left="960" w:right="180" w:hanging="427"/>
        <w:spacing w:after="0" w:line="251" w:lineRule="auto"/>
        <w:tabs>
          <w:tab w:leader="none" w:pos="96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Plan, the Agreement and Prospectus for the Plan are available via your [________] brokerage account and may be viewed and printed by you. You consent to receive this Grant Notice, the Plan, the Agreement, the Prospectus and any other Plan-related documents by electronic delivery and to participate in the Plan through an on-line or electronic system established and maintained by the Company or another third party designated by the Company.</w:t>
      </w:r>
    </w:p>
    <w:p>
      <w:pPr>
        <w:spacing w:after="0" w:line="92" w:lineRule="exact"/>
        <w:rPr>
          <w:rFonts w:ascii="Times New Roman" w:cs="Times New Roman" w:eastAsia="Times New Roman" w:hAnsi="Times New Roman"/>
          <w:sz w:val="18"/>
          <w:szCs w:val="18"/>
          <w:color w:val="auto"/>
        </w:rPr>
      </w:pPr>
    </w:p>
    <w:p>
      <w:pPr>
        <w:ind w:left="960" w:right="80" w:hanging="427"/>
        <w:spacing w:after="0" w:line="331" w:lineRule="auto"/>
        <w:tabs>
          <w:tab w:leader="none" w:pos="960"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30" w:lineRule="exact"/>
        <w:rPr>
          <w:rFonts w:ascii="Times New Roman" w:cs="Times New Roman" w:eastAsia="Times New Roman" w:hAnsi="Times New Roman"/>
          <w:sz w:val="16"/>
          <w:szCs w:val="16"/>
          <w:color w:val="auto"/>
        </w:rPr>
      </w:pPr>
    </w:p>
    <w:p>
      <w:pPr>
        <w:jc w:val="both"/>
        <w:ind w:left="960" w:right="40" w:hanging="427"/>
        <w:spacing w:after="0" w:line="293" w:lineRule="auto"/>
        <w:tabs>
          <w:tab w:leader="none" w:pos="960"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0720"/>
          </w:cols>
          <w:pgMar w:left="580" w:top="118" w:right="599" w:bottom="1440" w:gutter="0" w:footer="0" w:header="0"/>
        </w:sectPr>
      </w:pPr>
    </w:p>
    <w:bookmarkStart w:id="518" w:name="page519"/>
    <w:bookmarkEnd w:id="518"/>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w:t>
      </w:r>
    </w:p>
    <w:p>
      <w:pPr>
        <w:spacing w:after="0" w:line="211"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As reflected by your Restricted Stock Unit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its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Grant Notice or Plan, as applicable.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106" w:lineRule="exact"/>
        <w:rPr>
          <w:sz w:val="20"/>
          <w:szCs w:val="20"/>
          <w:color w:val="auto"/>
        </w:rPr>
      </w:pPr>
    </w:p>
    <w:p>
      <w:pPr>
        <w:ind w:left="620" w:hanging="184"/>
        <w:spacing w:after="0"/>
        <w:tabs>
          <w:tab w:leader="none" w:pos="620"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the Plan, including but not limited to the provisions in:</w:t>
      </w:r>
    </w:p>
    <w:p>
      <w:pPr>
        <w:spacing w:after="0" w:line="110"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 6 of the Plan regarding the impact of a Capitalization Adjustment, dissolution, liquidation, or Corporate Transaction on your</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RSU Award;</w:t>
      </w:r>
    </w:p>
    <w:p>
      <w:pPr>
        <w:spacing w:after="0" w:line="195" w:lineRule="exact"/>
        <w:rPr>
          <w:rFonts w:ascii="Times New Roman" w:cs="Times New Roman" w:eastAsia="Times New Roman" w:hAnsi="Times New Roman"/>
          <w:sz w:val="16"/>
          <w:szCs w:val="16"/>
          <w:b w:val="1"/>
          <w:bCs w:val="1"/>
          <w:color w:val="auto"/>
        </w:rPr>
      </w:pPr>
    </w:p>
    <w:p>
      <w:pPr>
        <w:ind w:left="1220" w:hanging="248"/>
        <w:spacing w:after="0"/>
        <w:tabs>
          <w:tab w:leader="none" w:pos="1220" w:val="left"/>
        </w:tabs>
        <w:numPr>
          <w:ilvl w:val="1"/>
          <w:numId w:val="4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 9(e) of the Plan regarding the Company’s retained rights to terminate your Continuous Service notwithstanding the grant of the</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RSU Award; and</w:t>
      </w:r>
    </w:p>
    <w:p>
      <w:pPr>
        <w:spacing w:after="0" w:line="195" w:lineRule="exact"/>
        <w:rPr>
          <w:rFonts w:ascii="Times New Roman" w:cs="Times New Roman" w:eastAsia="Times New Roman" w:hAnsi="Times New Roman"/>
          <w:sz w:val="16"/>
          <w:szCs w:val="16"/>
          <w:b w:val="1"/>
          <w:bCs w:val="1"/>
          <w:color w:val="auto"/>
        </w:rPr>
      </w:pPr>
    </w:p>
    <w:p>
      <w:pPr>
        <w:ind w:left="1200" w:hanging="228"/>
        <w:spacing w:after="0"/>
        <w:tabs>
          <w:tab w:leader="none" w:pos="1200" w:val="left"/>
        </w:tabs>
        <w:numPr>
          <w:ilvl w:val="1"/>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the tax consequences of your RSU Award.</w:t>
      </w:r>
    </w:p>
    <w:p>
      <w:pPr>
        <w:spacing w:after="0" w:line="2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8" w:lineRule="exact"/>
        <w:rPr>
          <w:sz w:val="20"/>
          <w:szCs w:val="20"/>
          <w:color w:val="auto"/>
        </w:rPr>
      </w:pPr>
    </w:p>
    <w:p>
      <w:pPr>
        <w:ind w:right="140" w:firstLine="436"/>
        <w:spacing w:after="0" w:line="248" w:lineRule="auto"/>
        <w:tabs>
          <w:tab w:leader="none" w:pos="603"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7" w:lineRule="exact"/>
        <w:rPr>
          <w:rFonts w:ascii="Times New Roman" w:cs="Times New Roman" w:eastAsia="Times New Roman" w:hAnsi="Times New Roman"/>
          <w:sz w:val="18"/>
          <w:szCs w:val="18"/>
          <w:b w:val="1"/>
          <w:bCs w:val="1"/>
          <w:color w:val="auto"/>
        </w:rPr>
      </w:pPr>
    </w:p>
    <w:p>
      <w:pPr>
        <w:ind w:right="220" w:firstLine="436"/>
        <w:spacing w:after="0" w:line="270" w:lineRule="auto"/>
        <w:tabs>
          <w:tab w:leader="none" w:pos="603"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Restricted Stock Units will vest, if at all, in accordance with the vesting schedule provided in the Grant Notice,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contained herein and the terms of the Plan. Vesting will cease upon the termination of your Continuous Service.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3" w:right="599" w:bottom="1440" w:gutter="0" w:footer="0" w:header="0"/>
        </w:sectPr>
      </w:pPr>
    </w:p>
    <w:bookmarkStart w:id="519" w:name="page520"/>
    <w:bookmarkEnd w:id="519"/>
    <w:p>
      <w:pPr>
        <w:ind w:firstLine="436"/>
        <w:spacing w:after="0" w:line="247" w:lineRule="auto"/>
        <w:tabs>
          <w:tab w:leader="none" w:pos="603"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become entitled to receive payments equal to any cash dividends and other distributions paid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Times New Roman" w:cs="Times New Roman" w:eastAsia="Times New Roman" w:hAnsi="Times New Roman"/>
          <w:sz w:val="18"/>
          <w:szCs w:val="18"/>
          <w:b w:val="1"/>
          <w:bCs w:val="1"/>
          <w:i w:val="1"/>
          <w:iCs w:val="1"/>
          <w:color w:val="auto"/>
        </w:rPr>
        <w:t>Dividend Units</w:t>
      </w:r>
      <w:r>
        <w:rPr>
          <w:rFonts w:ascii="Times New Roman" w:cs="Times New Roman" w:eastAsia="Times New Roman" w:hAnsi="Times New Roman"/>
          <w:sz w:val="18"/>
          <w:szCs w:val="18"/>
          <w:color w:val="auto"/>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spacing w:after="0" w:line="186" w:lineRule="exact"/>
        <w:rPr>
          <w:rFonts w:ascii="Times New Roman" w:cs="Times New Roman" w:eastAsia="Times New Roman" w:hAnsi="Times New Roman"/>
          <w:sz w:val="18"/>
          <w:szCs w:val="18"/>
          <w:b w:val="1"/>
          <w:bCs w:val="1"/>
          <w:color w:val="auto"/>
        </w:rPr>
      </w:pPr>
    </w:p>
    <w:p>
      <w:pPr>
        <w:ind w:right="260" w:firstLine="436"/>
        <w:spacing w:after="0" w:line="283" w:lineRule="auto"/>
        <w:tabs>
          <w:tab w:leader="none" w:pos="603" w:val="left"/>
        </w:tabs>
        <w:numPr>
          <w:ilvl w:val="0"/>
          <w:numId w:val="4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further provided in Section 8 of the Plan, you hereby authorize withholding from payroll and any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6"/>
          <w:szCs w:val="16"/>
          <w:b w:val="1"/>
          <w:bCs w:val="1"/>
          <w:i w:val="1"/>
          <w:iCs w:val="1"/>
          <w:color w:val="auto"/>
        </w:rPr>
        <w:t>Withholding Obligation</w:t>
      </w:r>
      <w:r>
        <w:rPr>
          <w:rFonts w:ascii="Times New Roman" w:cs="Times New Roman" w:eastAsia="Times New Roman" w:hAnsi="Times New Roman"/>
          <w:sz w:val="16"/>
          <w:szCs w:val="16"/>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61" w:lineRule="exact"/>
        <w:rPr>
          <w:rFonts w:ascii="Times New Roman" w:cs="Times New Roman" w:eastAsia="Times New Roman" w:hAnsi="Times New Roman"/>
          <w:sz w:val="16"/>
          <w:szCs w:val="16"/>
          <w:b w:val="1"/>
          <w:bCs w:val="1"/>
          <w:color w:val="auto"/>
        </w:rPr>
      </w:pPr>
    </w:p>
    <w:p>
      <w:pPr>
        <w:ind w:left="620" w:hanging="184"/>
        <w:spacing w:after="0"/>
        <w:tabs>
          <w:tab w:leader="none" w:pos="620"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firstLine="972"/>
        <w:spacing w:after="0" w:line="249" w:lineRule="auto"/>
        <w:tabs>
          <w:tab w:leader="none" w:pos="1212" w:val="left"/>
        </w:tabs>
        <w:numPr>
          <w:ilvl w:val="1"/>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(subject to any adjustment under Section 4 above, and subject to any different provisions in the Grant Notice) that vests on the applicable vesting date(s) or on a later date as determined by the Company but in no event later than the Issuance Deadline (as defined below).</w:t>
      </w:r>
    </w:p>
    <w:p>
      <w:pPr>
        <w:spacing w:after="0" w:line="186" w:lineRule="exact"/>
        <w:rPr>
          <w:rFonts w:ascii="Times New Roman" w:cs="Times New Roman" w:eastAsia="Times New Roman" w:hAnsi="Times New Roman"/>
          <w:sz w:val="18"/>
          <w:szCs w:val="18"/>
          <w:b w:val="1"/>
          <w:bCs w:val="1"/>
          <w:color w:val="auto"/>
        </w:rPr>
      </w:pPr>
    </w:p>
    <w:p>
      <w:pPr>
        <w:ind w:right="60" w:firstLine="972"/>
        <w:spacing w:after="0" w:line="267" w:lineRule="auto"/>
        <w:tabs>
          <w:tab w:leader="none" w:pos="1222" w:val="left"/>
        </w:tabs>
        <w:numPr>
          <w:ilvl w:val="1"/>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the following provisions shall apply to the extent applicable at a vesting date when shares of Common Stock are registered under the Securities Act, unless otherwise determined by the Company. If:</w:t>
      </w:r>
    </w:p>
    <w:p>
      <w:pPr>
        <w:spacing w:after="0" w:line="64" w:lineRule="exact"/>
        <w:rPr>
          <w:rFonts w:ascii="Times New Roman" w:cs="Times New Roman" w:eastAsia="Times New Roman" w:hAnsi="Times New Roman"/>
          <w:sz w:val="18"/>
          <w:szCs w:val="18"/>
          <w:b w:val="1"/>
          <w:bCs w:val="1"/>
          <w:color w:val="auto"/>
        </w:rPr>
      </w:pPr>
    </w:p>
    <w:p>
      <w:pPr>
        <w:ind w:right="20" w:firstLine="1400"/>
        <w:spacing w:after="0" w:line="249" w:lineRule="auto"/>
        <w:tabs>
          <w:tab w:leader="none" w:pos="1602" w:val="left"/>
        </w:tabs>
        <w:numPr>
          <w:ilvl w:val="2"/>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 or under such other policy expressly approved 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3" w:right="599" w:bottom="1440" w:gutter="0" w:footer="0" w:header="0"/>
        </w:sectPr>
      </w:pPr>
    </w:p>
    <w:bookmarkStart w:id="520" w:name="page521"/>
    <w:bookmarkEnd w:id="520"/>
    <w:p>
      <w:pPr>
        <w:jc w:val="both"/>
        <w:ind w:right="160" w:firstLine="1400"/>
        <w:spacing w:after="0" w:line="251" w:lineRule="auto"/>
        <w:tabs>
          <w:tab w:leader="none" w:pos="1650"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either (1) a Withholding Obligation does not apply, or (2) the Company decides, prior to the applicable vest date, (A) not to satisfy the Withholding Obligation by withholding shares of Common Stock from the shares otherwise due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84"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applicable vest date will not be delivered on such applicable vest date and will instead be delivered on the first business day when you are not prohibited from selling shares of the Company’s Common Stock in the open public market or on such other date determined by the Company, but in no event later than the Issuance Deadline.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Issuance Deadline</w:t>
      </w:r>
      <w:r>
        <w:rPr>
          <w:rFonts w:ascii="Times New Roman" w:cs="Times New Roman" w:eastAsia="Times New Roman" w:hAnsi="Times New Roman"/>
          <w:sz w:val="18"/>
          <w:szCs w:val="18"/>
          <w:color w:val="auto"/>
        </w:rPr>
        <w:t>” means (a) December 31 of the calendar year in which the applicable vest date occurs (that is, the last day of your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taxable year in which the applicable vest date occurs), or (b)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1.409A-1(b)(4), no later than the date that is the 15th day of the third calendar month of the applicable year following the year in which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issuable as a result of the applicable vest date under this Award are no longer subject to a “substantial risk of forfeiture” within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 of Treasury Regulations Section 1.409A-1(d).</w:t>
      </w:r>
    </w:p>
    <w:p>
      <w:pPr>
        <w:spacing w:after="0" w:line="195" w:lineRule="exact"/>
        <w:rPr>
          <w:sz w:val="20"/>
          <w:szCs w:val="20"/>
          <w:color w:val="auto"/>
        </w:rPr>
      </w:pPr>
    </w:p>
    <w:p>
      <w:pPr>
        <w:ind w:left="1200" w:hanging="228"/>
        <w:spacing w:after="0"/>
        <w:tabs>
          <w:tab w:leader="none" w:pos="1200" w:val="left"/>
        </w:tabs>
        <w:numPr>
          <w:ilvl w:val="1"/>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RSU Award is a Non-Exempt RSU Award, the provisions of Section 11 of the Plan shall apply.</w:t>
      </w:r>
    </w:p>
    <w:p>
      <w:pPr>
        <w:spacing w:after="0" w:line="211" w:lineRule="exact"/>
        <w:rPr>
          <w:rFonts w:ascii="Times New Roman" w:cs="Times New Roman" w:eastAsia="Times New Roman" w:hAnsi="Times New Roman"/>
          <w:sz w:val="18"/>
          <w:szCs w:val="18"/>
          <w:b w:val="1"/>
          <w:bCs w:val="1"/>
          <w:color w:val="auto"/>
        </w:rPr>
      </w:pPr>
    </w:p>
    <w:p>
      <w:pPr>
        <w:ind w:firstLine="436"/>
        <w:spacing w:after="0" w:line="280" w:lineRule="auto"/>
        <w:tabs>
          <w:tab w:leader="none" w:pos="603" w:val="left"/>
        </w:tabs>
        <w:numPr>
          <w:ilvl w:val="0"/>
          <w:numId w:val="4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w:t>
      </w:r>
      <w:r>
        <w:rPr>
          <w:rFonts w:ascii="Times New Roman" w:cs="Times New Roman" w:eastAsia="Times New Roman" w:hAnsi="Times New Roman"/>
          <w:sz w:val="13"/>
          <w:szCs w:val="13"/>
          <w:b w:val="1"/>
          <w:bCs w:val="1"/>
          <w:color w:val="auto"/>
        </w:rPr>
        <w:t>OCK</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3"/>
          <w:szCs w:val="13"/>
          <w:b w:val="1"/>
          <w:bCs w:val="1"/>
          <w:color w:val="auto"/>
        </w:rPr>
        <w:t>P</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3"/>
          <w:szCs w:val="13"/>
          <w:b w:val="1"/>
          <w:bCs w:val="1"/>
          <w:color w:val="auto"/>
        </w:rPr>
        <w:t>ERIOD</w:t>
      </w:r>
      <w:r>
        <w:rPr>
          <w:rFonts w:ascii="Times New Roman" w:cs="Times New Roman" w:eastAsia="Times New Roman" w:hAnsi="Times New Roman"/>
          <w:sz w:val="16"/>
          <w:szCs w:val="16"/>
          <w:color w:val="auto"/>
        </w:rPr>
        <w:t>. By accepting your RSU Award, you agree that you will not sell, dispose of, transfer, make any short sale of, grant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6"/>
          <w:szCs w:val="16"/>
          <w:b w:val="1"/>
          <w:bCs w:val="1"/>
          <w:i w:val="1"/>
          <w:iCs w:val="1"/>
          <w:color w:val="auto"/>
        </w:rPr>
        <w:t>Lock-Up Period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580" w:top="265" w:right="619" w:bottom="1440" w:gutter="0" w:footer="0" w:header="0"/>
        </w:sectPr>
      </w:pPr>
    </w:p>
    <w:bookmarkStart w:id="521" w:name="page522"/>
    <w:bookmarkEnd w:id="521"/>
    <w:p>
      <w:pPr>
        <w:ind w:left="-8" w:right="60" w:firstLine="436"/>
        <w:spacing w:after="0" w:line="270" w:lineRule="auto"/>
        <w:tabs>
          <w:tab w:leader="none" w:pos="595" w:val="left"/>
        </w:tabs>
        <w:numPr>
          <w:ilvl w:val="1"/>
          <w:numId w:val="4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64" w:lineRule="exact"/>
        <w:rPr>
          <w:rFonts w:ascii="Times New Roman" w:cs="Times New Roman" w:eastAsia="Times New Roman" w:hAnsi="Times New Roman"/>
          <w:sz w:val="18"/>
          <w:szCs w:val="18"/>
          <w:b w:val="1"/>
          <w:bCs w:val="1"/>
          <w:color w:val="auto"/>
        </w:rPr>
      </w:pPr>
    </w:p>
    <w:p>
      <w:pPr>
        <w:ind w:left="-8" w:right="340" w:firstLine="436"/>
        <w:spacing w:after="0" w:line="256" w:lineRule="auto"/>
        <w:tabs>
          <w:tab w:leader="none" w:pos="595" w:val="left"/>
        </w:tabs>
        <w:numPr>
          <w:ilvl w:val="1"/>
          <w:numId w:val="4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7" w:lineRule="exact"/>
        <w:rPr>
          <w:rFonts w:ascii="Times New Roman" w:cs="Times New Roman" w:eastAsia="Times New Roman" w:hAnsi="Times New Roman"/>
          <w:sz w:val="18"/>
          <w:szCs w:val="18"/>
          <w:b w:val="1"/>
          <w:bCs w:val="1"/>
          <w:color w:val="auto"/>
        </w:rPr>
      </w:pPr>
    </w:p>
    <w:p>
      <w:pPr>
        <w:ind w:left="-8" w:firstLine="436"/>
        <w:spacing w:after="0" w:line="255" w:lineRule="auto"/>
        <w:tabs>
          <w:tab w:leader="none" w:pos="683" w:val="left"/>
        </w:tabs>
        <w:numPr>
          <w:ilvl w:val="1"/>
          <w:numId w:val="4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Officers, Directors, Employees or Affiliates related to tax liabilities arising from the RSU Award or other Company compensation and</w:t>
      </w:r>
    </w:p>
    <w:p>
      <w:pPr>
        <w:ind w:left="-8" w:right="160" w:firstLine="8"/>
        <w:spacing w:after="0" w:line="247" w:lineRule="auto"/>
        <w:tabs>
          <w:tab w:leader="none" w:pos="2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84" w:lineRule="exact"/>
        <w:rPr>
          <w:rFonts w:ascii="Times New Roman" w:cs="Times New Roman" w:eastAsia="Times New Roman" w:hAnsi="Times New Roman"/>
          <w:sz w:val="18"/>
          <w:szCs w:val="18"/>
          <w:color w:val="auto"/>
        </w:rPr>
      </w:pPr>
    </w:p>
    <w:p>
      <w:pPr>
        <w:ind w:left="-8" w:right="20" w:firstLine="436"/>
        <w:spacing w:after="0" w:line="252" w:lineRule="auto"/>
        <w:tabs>
          <w:tab w:leader="none" w:pos="673" w:val="left"/>
        </w:tabs>
        <w:numPr>
          <w:ilvl w:val="1"/>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0" w:lineRule="exact"/>
        <w:rPr>
          <w:rFonts w:ascii="Times New Roman" w:cs="Times New Roman" w:eastAsia="Times New Roman" w:hAnsi="Times New Roman"/>
          <w:sz w:val="18"/>
          <w:szCs w:val="18"/>
          <w:b w:val="1"/>
          <w:bCs w:val="1"/>
          <w:color w:val="auto"/>
        </w:rPr>
      </w:pPr>
    </w:p>
    <w:p>
      <w:pPr>
        <w:ind w:left="-8" w:right="80" w:firstLine="436"/>
        <w:spacing w:after="0" w:line="333" w:lineRule="auto"/>
        <w:tabs>
          <w:tab w:leader="none" w:pos="683" w:val="left"/>
        </w:tabs>
        <w:numPr>
          <w:ilvl w:val="1"/>
          <w:numId w:val="4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hereby acknowledge receipt of or the right to receive a document providing the information required by Rule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428(b)(1) promulgated under the Securities Act, which includes the Prospectus. In addition, you acknowledge receipt of the Company’s Trading Policy.</w:t>
      </w:r>
    </w:p>
    <w:p>
      <w:pPr>
        <w:spacing w:after="0" w:line="119" w:lineRule="exact"/>
        <w:rPr>
          <w:rFonts w:ascii="Times New Roman" w:cs="Times New Roman" w:eastAsia="Times New Roman" w:hAnsi="Times New Roman"/>
          <w:sz w:val="16"/>
          <w:szCs w:val="16"/>
          <w:b w:val="1"/>
          <w:bCs w:val="1"/>
          <w:color w:val="auto"/>
        </w:rPr>
      </w:pPr>
    </w:p>
    <w:p>
      <w:pPr>
        <w:ind w:left="-8" w:right="100" w:firstLine="436"/>
        <w:spacing w:after="0" w:line="270" w:lineRule="auto"/>
        <w:tabs>
          <w:tab w:leader="none" w:pos="683" w:val="left"/>
        </w:tabs>
        <w:numPr>
          <w:ilvl w:val="1"/>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RSU Award, including a summary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federal income tax consequences please see the Prospectus.</w:t>
      </w:r>
    </w:p>
    <w:p>
      <w:pPr>
        <w:spacing w:after="0" w:line="10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92"/>
          </w:cols>
          <w:pgMar w:left="588" w:top="263" w:right="619" w:bottom="1440" w:gutter="0" w:footer="0" w:header="0"/>
        </w:sectPr>
      </w:pPr>
    </w:p>
    <w:bookmarkStart w:id="522" w:name="page523"/>
    <w:bookmarkEnd w:id="52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_________________, 20__ and is between Tempus Labs, Inc., a Delaware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______________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ECITALS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Indemnitee’s service to the Company substantially benefits the Company.</w:t>
      </w:r>
    </w:p>
    <w:p>
      <w:pPr>
        <w:spacing w:after="0" w:line="108" w:lineRule="exact"/>
        <w:rPr>
          <w:sz w:val="20"/>
          <w:szCs w:val="20"/>
          <w:color w:val="auto"/>
        </w:rPr>
      </w:pPr>
    </w:p>
    <w:p>
      <w:pPr>
        <w:ind w:right="2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Individuals are reluctant to serve as directors or officers of corporations or in certain other capacities unless they are provided with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through insurance or indemnification against the risks of claims and actions against them arising out of such service.</w:t>
      </w:r>
    </w:p>
    <w:p>
      <w:pPr>
        <w:spacing w:after="0" w:line="59" w:lineRule="exact"/>
        <w:rPr>
          <w:sz w:val="20"/>
          <w:szCs w:val="20"/>
          <w:color w:val="auto"/>
        </w:rPr>
      </w:pPr>
    </w:p>
    <w:p>
      <w:pPr>
        <w:ind w:right="340" w:firstLine="428"/>
        <w:spacing w:after="0" w:line="333" w:lineRule="auto"/>
        <w:rPr>
          <w:sz w:val="20"/>
          <w:szCs w:val="20"/>
          <w:color w:val="auto"/>
        </w:rPr>
      </w:pPr>
      <w:r>
        <w:rPr>
          <w:rFonts w:ascii="Times New Roman" w:cs="Times New Roman" w:eastAsia="Times New Roman" w:hAnsi="Times New Roman"/>
          <w:sz w:val="16"/>
          <w:szCs w:val="16"/>
          <w:b w:val="1"/>
          <w:bCs w:val="1"/>
          <w:color w:val="auto"/>
        </w:rPr>
        <w:t xml:space="preserve">C. </w:t>
      </w:r>
      <w:r>
        <w:rPr>
          <w:rFonts w:ascii="Times New Roman" w:cs="Times New Roman" w:eastAsia="Times New Roman" w:hAnsi="Times New Roman"/>
          <w:sz w:val="16"/>
          <w:szCs w:val="16"/>
          <w:color w:val="auto"/>
        </w:rPr>
        <w:t>Indemnitee does not regard the protection currently provided by applicable law, the Company’s governing documents and any insurance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adequate under the present circumstances, and Indemnitee may not be willing to serve as a director or officer without additional protection.</w:t>
      </w:r>
    </w:p>
    <w:p>
      <w:pPr>
        <w:spacing w:after="0" w:line="15" w:lineRule="exact"/>
        <w:rPr>
          <w:sz w:val="20"/>
          <w:szCs w:val="20"/>
          <w:color w:val="auto"/>
        </w:rPr>
      </w:pPr>
    </w:p>
    <w:p>
      <w:pPr>
        <w:ind w:right="4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In order to induce Indemnitee to continue to provide services to the Company, it is reasonable, prudent and necessary for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contractually obligate itself to indemnify, and to advance expenses on behalf of, Indemnitee as permitted by applicable law.</w:t>
      </w:r>
    </w:p>
    <w:p>
      <w:pPr>
        <w:spacing w:after="0" w:line="59" w:lineRule="exact"/>
        <w:rPr>
          <w:sz w:val="20"/>
          <w:szCs w:val="20"/>
          <w:color w:val="auto"/>
        </w:rPr>
      </w:pPr>
    </w:p>
    <w:p>
      <w:pPr>
        <w:ind w:right="6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This Agreement is a supplement to and in furtherance of the indemnification provided in the Company’s certificate of incorporation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and any resolutions adopted pursuant thereto, and this Agreement shall not be deemed a substitute therefor, nor shall this Agreement be deemed to limit, diminish or abrogate any rights of Indemnitee thereunder.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106" w:lineRule="exact"/>
        <w:rPr>
          <w:sz w:val="20"/>
          <w:szCs w:val="20"/>
          <w:color w:val="auto"/>
        </w:rPr>
      </w:pPr>
    </w:p>
    <w:p>
      <w:pPr>
        <w:ind w:left="620" w:hanging="184"/>
        <w:spacing w:after="0"/>
        <w:tabs>
          <w:tab w:leader="none" w:pos="620"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b w:val="1"/>
          <w:bCs w:val="1"/>
          <w:color w:val="auto"/>
        </w:rPr>
      </w:pPr>
    </w:p>
    <w:p>
      <w:pPr>
        <w:ind w:right="40" w:firstLine="972"/>
        <w:spacing w:after="0" w:line="250" w:lineRule="auto"/>
        <w:tabs>
          <w:tab w:leader="none" w:pos="1212" w:val="left"/>
        </w:tabs>
        <w:numPr>
          <w:ilvl w:val="1"/>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have the meaning given to such term in Rule 13d-3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provided, however, that “Beneficial Owner” shall exclude any Person otherwise becoming a Beneficial Owner solely by reason of (i) the stockholders of the Company approving a merger of the Company with another Person, or entering into tender or support agreements relating thereto, provided such merger was approved by the Company’s board of directors, or (ii) the Company’s board of directors approving a sale of securities by the Company to such Person.</w:t>
      </w:r>
    </w:p>
    <w:p>
      <w:pPr>
        <w:spacing w:after="0" w:line="77"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w:t>
      </w:r>
    </w:p>
    <w:p>
      <w:pPr>
        <w:spacing w:after="0" w:line="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events:</w:t>
      </w:r>
    </w:p>
    <w:p>
      <w:pPr>
        <w:spacing w:after="0" w:line="88" w:lineRule="exact"/>
        <w:rPr>
          <w:rFonts w:ascii="Times New Roman" w:cs="Times New Roman" w:eastAsia="Times New Roman" w:hAnsi="Times New Roman"/>
          <w:sz w:val="18"/>
          <w:szCs w:val="18"/>
          <w:b w:val="1"/>
          <w:bCs w:val="1"/>
          <w:color w:val="auto"/>
        </w:rPr>
      </w:pPr>
    </w:p>
    <w:p>
      <w:pPr>
        <w:ind w:right="460" w:firstLine="1400"/>
        <w:spacing w:after="0" w:line="333" w:lineRule="auto"/>
        <w:tabs>
          <w:tab w:leader="none" w:pos="1601" w:val="left"/>
        </w:tabs>
        <w:numPr>
          <w:ilvl w:val="2"/>
          <w:numId w:val="4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Acquisition of Stock by Third Party. </w:t>
      </w:r>
      <w:r>
        <w:rPr>
          <w:rFonts w:ascii="Times New Roman" w:cs="Times New Roman" w:eastAsia="Times New Roman" w:hAnsi="Times New Roman"/>
          <w:sz w:val="16"/>
          <w:szCs w:val="16"/>
          <w:color w:val="auto"/>
        </w:rPr>
        <w:t>Any Person (as defined below) becomes the Beneficial Owner, directly or indirectly,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of the Company representing 50% or more of the combined voting power of the Company’s then outstanding securities;</w:t>
      </w:r>
    </w:p>
    <w:p>
      <w:pPr>
        <w:sectPr>
          <w:pgSz w:w="11900" w:h="16838" w:orient="portrait"/>
          <w:cols w:equalWidth="0" w:num="1">
            <w:col w:w="10720"/>
          </w:cols>
          <w:pgMar w:left="580" w:top="118" w:right="599" w:bottom="1440" w:gutter="0" w:footer="0" w:header="0"/>
        </w:sectPr>
      </w:pPr>
    </w:p>
    <w:bookmarkStart w:id="523" w:name="page524"/>
    <w:bookmarkEnd w:id="523"/>
    <w:p>
      <w:pPr>
        <w:ind w:left="-20" w:right="120" w:firstLine="1400"/>
        <w:spacing w:after="0" w:line="247" w:lineRule="auto"/>
        <w:tabs>
          <w:tab w:leader="none" w:pos="1630" w:val="left"/>
        </w:tabs>
        <w:numPr>
          <w:ilvl w:val="1"/>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Change in Board Composition. </w:t>
      </w:r>
      <w:r>
        <w:rPr>
          <w:rFonts w:ascii="Times New Roman" w:cs="Times New Roman" w:eastAsia="Times New Roman" w:hAnsi="Times New Roman"/>
          <w:sz w:val="18"/>
          <w:szCs w:val="18"/>
          <w:color w:val="auto"/>
        </w:rPr>
        <w:t>During any period of two consecutive years (not including any period prior to the execution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individuals who at the beginning of such period constituted the Company’s board of directors and any Approved Directors cease for any reason to constitute at least a majority of the members of the Company’s board of directors. “</w:t>
      </w:r>
      <w:r>
        <w:rPr>
          <w:rFonts w:ascii="Times New Roman" w:cs="Times New Roman" w:eastAsia="Times New Roman" w:hAnsi="Times New Roman"/>
          <w:sz w:val="18"/>
          <w:szCs w:val="18"/>
          <w:b w:val="1"/>
          <w:bCs w:val="1"/>
          <w:i w:val="1"/>
          <w:iCs w:val="1"/>
          <w:color w:val="auto"/>
        </w:rPr>
        <w:t>Approved Directors</w:t>
      </w:r>
      <w:r>
        <w:rPr>
          <w:rFonts w:ascii="Times New Roman" w:cs="Times New Roman" w:eastAsia="Times New Roman" w:hAnsi="Times New Roman"/>
          <w:sz w:val="18"/>
          <w:szCs w:val="18"/>
          <w:color w:val="auto"/>
        </w:rPr>
        <w:t>” means new directors (other than a director designated by a person who has entered into an agreement with the Company to effect a transaction described in Sections 1(b)(i), 1(b)(iii) or 1(b)(iv)) whose election or nomination by the board of directors (or, if applicable, by the Company’s stockholders) was approved by a vote of at least two thirds of the directors then still in office who either were directors at the beginning of such two-year period or whose election or nomination for election was previously so approved;</w:t>
      </w:r>
    </w:p>
    <w:p>
      <w:pPr>
        <w:spacing w:after="0" w:line="84" w:lineRule="exact"/>
        <w:rPr>
          <w:rFonts w:ascii="Times New Roman" w:cs="Times New Roman" w:eastAsia="Times New Roman" w:hAnsi="Times New Roman"/>
          <w:sz w:val="18"/>
          <w:szCs w:val="18"/>
          <w:b w:val="1"/>
          <w:bCs w:val="1"/>
          <w:color w:val="auto"/>
        </w:rPr>
      </w:pPr>
    </w:p>
    <w:p>
      <w:pPr>
        <w:ind w:left="-20" w:right="20" w:firstLine="1400"/>
        <w:spacing w:after="0" w:line="250" w:lineRule="auto"/>
        <w:tabs>
          <w:tab w:leader="none" w:pos="1679" w:val="left"/>
        </w:tabs>
        <w:numPr>
          <w:ilvl w:val="1"/>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The effective date of a merger or consolidation of the Company with any other entity,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or consolidation that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 majority of the board of directors or other governing body of such surviving entity; or</w:t>
      </w:r>
    </w:p>
    <w:p>
      <w:pPr>
        <w:spacing w:after="0" w:line="77" w:lineRule="exact"/>
        <w:rPr>
          <w:rFonts w:ascii="Times New Roman" w:cs="Times New Roman" w:eastAsia="Times New Roman" w:hAnsi="Times New Roman"/>
          <w:sz w:val="18"/>
          <w:szCs w:val="18"/>
          <w:b w:val="1"/>
          <w:bCs w:val="1"/>
          <w:color w:val="auto"/>
        </w:rPr>
      </w:pPr>
    </w:p>
    <w:p>
      <w:pPr>
        <w:ind w:left="-20" w:right="160" w:firstLine="1400"/>
        <w:spacing w:after="0" w:line="270" w:lineRule="auto"/>
        <w:tabs>
          <w:tab w:leader="none" w:pos="1669" w:val="left"/>
        </w:tabs>
        <w:numPr>
          <w:ilvl w:val="1"/>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The approval by the Company’s board of directors of a complete liquidation or the dissolution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agreement for the sale, lease or disposition by the Company of all or substantially all of the Company’s assets; or</w:t>
      </w:r>
    </w:p>
    <w:p>
      <w:pPr>
        <w:spacing w:after="0" w:line="59" w:lineRule="exact"/>
        <w:rPr>
          <w:rFonts w:ascii="Times New Roman" w:cs="Times New Roman" w:eastAsia="Times New Roman" w:hAnsi="Times New Roman"/>
          <w:sz w:val="18"/>
          <w:szCs w:val="18"/>
          <w:b w:val="1"/>
          <w:bCs w:val="1"/>
          <w:color w:val="auto"/>
        </w:rPr>
      </w:pPr>
    </w:p>
    <w:p>
      <w:pPr>
        <w:ind w:left="-20" w:right="80" w:firstLine="1400"/>
        <w:spacing w:after="0" w:line="252" w:lineRule="auto"/>
        <w:tabs>
          <w:tab w:leader="none" w:pos="1620" w:val="left"/>
        </w:tabs>
        <w:numPr>
          <w:ilvl w:val="1"/>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Other Events. </w:t>
      </w:r>
      <w:r>
        <w:rPr>
          <w:rFonts w:ascii="Times New Roman" w:cs="Times New Roman" w:eastAsia="Times New Roman" w:hAnsi="Times New Roman"/>
          <w:sz w:val="18"/>
          <w:szCs w:val="18"/>
          <w:color w:val="auto"/>
        </w:rPr>
        <w:t>Any other event of a nature that would be required to be reported in response to Item 6(e) of Schedule 14A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Regulation 14A (or in response to any similar item on any similar schedule or form) promulgated under the Exchange Act, whether or not the Company is then subject to such reporting requirement,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the completion of the Company’s initial public offering shall not be considered a Change in Control.</w:t>
      </w:r>
    </w:p>
    <w:p>
      <w:pPr>
        <w:spacing w:after="0" w:line="73" w:lineRule="exact"/>
        <w:rPr>
          <w:rFonts w:ascii="Times New Roman" w:cs="Times New Roman" w:eastAsia="Times New Roman" w:hAnsi="Times New Roman"/>
          <w:sz w:val="18"/>
          <w:szCs w:val="18"/>
          <w:b w:val="1"/>
          <w:bCs w:val="1"/>
          <w:color w:val="auto"/>
        </w:rPr>
      </w:pPr>
    </w:p>
    <w:p>
      <w:pPr>
        <w:ind w:left="-20" w:right="540" w:firstLine="972"/>
        <w:spacing w:after="0" w:line="272" w:lineRule="auto"/>
        <w:tabs>
          <w:tab w:leader="none" w:pos="1182"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trustee, general partner, managing member, officer, employee, agent or fiduciary of the Company or any other Enterprise.</w:t>
      </w:r>
    </w:p>
    <w:p>
      <w:pPr>
        <w:spacing w:after="0" w:line="55" w:lineRule="exact"/>
        <w:rPr>
          <w:rFonts w:ascii="Times New Roman" w:cs="Times New Roman" w:eastAsia="Times New Roman" w:hAnsi="Times New Roman"/>
          <w:sz w:val="18"/>
          <w:szCs w:val="18"/>
          <w:b w:val="1"/>
          <w:bCs w:val="1"/>
          <w:color w:val="auto"/>
        </w:rPr>
      </w:pPr>
    </w:p>
    <w:p>
      <w:pPr>
        <w:ind w:left="1200" w:hanging="248"/>
        <w:spacing w:after="0"/>
        <w:tabs>
          <w:tab w:leader="none" w:pos="1200"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08" w:lineRule="exact"/>
        <w:rPr>
          <w:rFonts w:ascii="Times New Roman" w:cs="Times New Roman" w:eastAsia="Times New Roman" w:hAnsi="Times New Roman"/>
          <w:sz w:val="18"/>
          <w:szCs w:val="18"/>
          <w:b w:val="1"/>
          <w:bCs w:val="1"/>
          <w:color w:val="auto"/>
        </w:rPr>
      </w:pPr>
    </w:p>
    <w:p>
      <w:pPr>
        <w:ind w:left="-20" w:right="560" w:firstLine="972"/>
        <w:spacing w:after="0" w:line="272" w:lineRule="auto"/>
        <w:tabs>
          <w:tab w:leader="none" w:pos="1182"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55" w:lineRule="exact"/>
        <w:rPr>
          <w:rFonts w:ascii="Times New Roman" w:cs="Times New Roman" w:eastAsia="Times New Roman" w:hAnsi="Times New Roman"/>
          <w:sz w:val="18"/>
          <w:szCs w:val="18"/>
          <w:b w:val="1"/>
          <w:bCs w:val="1"/>
          <w:color w:val="auto"/>
        </w:rPr>
      </w:pPr>
    </w:p>
    <w:p>
      <w:pPr>
        <w:ind w:left="-20" w:right="340" w:firstLine="972"/>
        <w:spacing w:after="0" w:line="258" w:lineRule="auto"/>
        <w:tabs>
          <w:tab w:leader="none" w:pos="1163"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67" w:lineRule="exact"/>
        <w:rPr>
          <w:rFonts w:ascii="Times New Roman" w:cs="Times New Roman" w:eastAsia="Times New Roman" w:hAnsi="Times New Roman"/>
          <w:sz w:val="18"/>
          <w:szCs w:val="18"/>
          <w:b w:val="1"/>
          <w:bCs w:val="1"/>
          <w:color w:val="auto"/>
        </w:rPr>
      </w:pPr>
    </w:p>
    <w:p>
      <w:pPr>
        <w:ind w:left="-20" w:firstLine="972"/>
        <w:spacing w:after="0" w:line="247" w:lineRule="auto"/>
        <w:tabs>
          <w:tab w:leader="none" w:pos="1192"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 as bond or other appeal bond or their equivalent, and (ii) for purposes of Section 10(d),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600" w:top="263" w:right="599" w:bottom="1440" w:gutter="0" w:footer="0" w:header="0"/>
        </w:sectPr>
      </w:pPr>
    </w:p>
    <w:bookmarkStart w:id="524" w:name="page525"/>
    <w:bookmarkEnd w:id="524"/>
    <w:p>
      <w:pPr>
        <w:ind w:left="-40" w:right="20" w:firstLine="972"/>
        <w:spacing w:after="0" w:line="286" w:lineRule="auto"/>
        <w:tabs>
          <w:tab w:leader="none" w:pos="1182" w:val="left"/>
        </w:tabs>
        <w:numPr>
          <w:ilvl w:val="0"/>
          <w:numId w:val="4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i w:val="1"/>
          <w:iCs w:val="1"/>
          <w:color w:val="auto"/>
        </w:rPr>
        <w:t>Independent Counsel</w:t>
      </w:r>
      <w:r>
        <w:rPr>
          <w:rFonts w:ascii="Times New Roman" w:cs="Times New Roman" w:eastAsia="Times New Roman" w:hAnsi="Times New Roman"/>
          <w:sz w:val="16"/>
          <w:szCs w:val="16"/>
          <w:color w:val="auto"/>
        </w:rPr>
        <w:t>” means a law firm, or a partner or member of a law firm, that is experienced in matters of corporation law and neither presently is, nor in the past five years has been, retained to represent (i) the Company, any Enterprise or Indemnitee in any matter material to any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49" w:lineRule="exact"/>
        <w:rPr>
          <w:rFonts w:ascii="Times New Roman" w:cs="Times New Roman" w:eastAsia="Times New Roman" w:hAnsi="Times New Roman"/>
          <w:sz w:val="16"/>
          <w:szCs w:val="16"/>
          <w:b w:val="1"/>
          <w:bCs w:val="1"/>
          <w:color w:val="auto"/>
        </w:rPr>
      </w:pPr>
    </w:p>
    <w:p>
      <w:pPr>
        <w:ind w:left="-40" w:right="100" w:firstLine="972"/>
        <w:spacing w:after="0" w:line="305" w:lineRule="auto"/>
        <w:tabs>
          <w:tab w:leader="none" w:pos="1133" w:val="left"/>
        </w:tabs>
        <w:numPr>
          <w:ilvl w:val="0"/>
          <w:numId w:val="4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xml:space="preserve">” shall have the meaning set forth in Sections 13(d) and 14(d) of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33" w:lineRule="exact"/>
        <w:rPr>
          <w:rFonts w:ascii="Times New Roman" w:cs="Times New Roman" w:eastAsia="Times New Roman" w:hAnsi="Times New Roman"/>
          <w:sz w:val="16"/>
          <w:szCs w:val="16"/>
          <w:b w:val="1"/>
          <w:bCs w:val="1"/>
          <w:color w:val="auto"/>
        </w:rPr>
      </w:pPr>
    </w:p>
    <w:p>
      <w:pPr>
        <w:ind w:left="-40" w:right="20" w:firstLine="972"/>
        <w:spacing w:after="0" w:line="247" w:lineRule="auto"/>
        <w:tabs>
          <w:tab w:leader="none" w:pos="1143"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whether formal or informal,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78" w:lineRule="exact"/>
        <w:rPr>
          <w:rFonts w:ascii="Times New Roman" w:cs="Times New Roman" w:eastAsia="Times New Roman" w:hAnsi="Times New Roman"/>
          <w:sz w:val="18"/>
          <w:szCs w:val="18"/>
          <w:b w:val="1"/>
          <w:bCs w:val="1"/>
          <w:color w:val="auto"/>
        </w:rPr>
      </w:pPr>
    </w:p>
    <w:p>
      <w:pPr>
        <w:ind w:left="-40" w:right="60" w:firstLine="972"/>
        <w:spacing w:after="0" w:line="253" w:lineRule="auto"/>
        <w:tabs>
          <w:tab w:leader="none" w:pos="1182"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 the fullest extent permitted by applicable law</w:t>
      </w:r>
      <w:r>
        <w:rPr>
          <w:rFonts w:ascii="Times New Roman" w:cs="Times New Roman" w:eastAsia="Times New Roman" w:hAnsi="Times New Roman"/>
          <w:sz w:val="18"/>
          <w:szCs w:val="18"/>
          <w:color w:val="auto"/>
        </w:rPr>
        <w:t>” means to the fullest extent permitted by all applicable laws, including without limitation: (i) the fullest extent permitted by DGCL as of the date of this Agreement and (ii) the fullest extent authorized or permitted by any amendments to or replacements of the DGCL adopted after the date of this Agreement that increase the extent to which a corporation may indemnify its officers and directors.</w:t>
      </w:r>
    </w:p>
    <w:p>
      <w:pPr>
        <w:spacing w:after="0" w:line="72" w:lineRule="exact"/>
        <w:rPr>
          <w:rFonts w:ascii="Times New Roman" w:cs="Times New Roman" w:eastAsia="Times New Roman" w:hAnsi="Times New Roman"/>
          <w:sz w:val="18"/>
          <w:szCs w:val="18"/>
          <w:b w:val="1"/>
          <w:bCs w:val="1"/>
          <w:color w:val="auto"/>
        </w:rPr>
      </w:pPr>
    </w:p>
    <w:p>
      <w:pPr>
        <w:ind w:left="-40" w:firstLine="972"/>
        <w:spacing w:after="0" w:line="249" w:lineRule="auto"/>
        <w:tabs>
          <w:tab w:leader="none" w:pos="1133"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any Proceeding relating to an employee benefit plan: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any employee benefit plan; references to “</w:t>
      </w:r>
      <w:r>
        <w:rPr>
          <w:rFonts w:ascii="Times New Roman" w:cs="Times New Roman" w:eastAsia="Times New Roman" w:hAnsi="Times New Roman"/>
          <w:sz w:val="18"/>
          <w:szCs w:val="18"/>
          <w:b w:val="1"/>
          <w:bCs w:val="1"/>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18"/>
          <w:szCs w:val="18"/>
          <w:b w:val="1"/>
          <w:bCs w:val="1"/>
          <w:i w:val="1"/>
          <w:i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 of the Company</w:t>
      </w:r>
      <w:r>
        <w:rPr>
          <w:rFonts w:ascii="Times New Roman" w:cs="Times New Roman" w:eastAsia="Times New Roman" w:hAnsi="Times New Roman"/>
          <w:sz w:val="18"/>
          <w:szCs w:val="18"/>
          <w:color w:val="auto"/>
        </w:rPr>
        <w:t>” as referred to in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620" w:top="261" w:right="619" w:bottom="1440" w:gutter="0" w:footer="0" w:header="0"/>
        </w:sectPr>
      </w:pPr>
    </w:p>
    <w:bookmarkStart w:id="525" w:name="page526"/>
    <w:bookmarkEnd w:id="525"/>
    <w:p>
      <w:pPr>
        <w:ind w:left="-20" w:right="40" w:firstLine="436"/>
        <w:spacing w:after="0" w:line="247" w:lineRule="auto"/>
        <w:tabs>
          <w:tab w:leader="none" w:pos="583"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Indemnity in Third-Party Proceedings</w:t>
      </w:r>
      <w:r>
        <w:rPr>
          <w:rFonts w:ascii="Times New Roman" w:cs="Times New Roman" w:eastAsia="Times New Roman" w:hAnsi="Times New Roman"/>
          <w:sz w:val="18"/>
          <w:szCs w:val="18"/>
          <w:color w:val="auto"/>
        </w:rPr>
        <w:t>. The Company shall indemnify Indemnitee in accordance with the provisions of this Section 2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is, or is threatened to be made, a party to or witness or other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84" w:lineRule="exact"/>
        <w:rPr>
          <w:rFonts w:ascii="Times New Roman" w:cs="Times New Roman" w:eastAsia="Times New Roman" w:hAnsi="Times New Roman"/>
          <w:sz w:val="18"/>
          <w:szCs w:val="18"/>
          <w:b w:val="1"/>
          <w:bCs w:val="1"/>
          <w:color w:val="auto"/>
        </w:rPr>
      </w:pPr>
    </w:p>
    <w:p>
      <w:pPr>
        <w:ind w:left="-20" w:firstLine="436"/>
        <w:spacing w:after="0" w:line="246" w:lineRule="auto"/>
        <w:tabs>
          <w:tab w:leader="none" w:pos="583"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The Company shall indemnify Indemnitee in accordance with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Section 3 if Indemnitee is, or is threatened to be made, a party to or a witness or other participant in any Proceeding by or in the right of the Company to procure a judgment in its favor. Pursuant to this Section 3, Indemnitee shall be indemnified to the fullest extent permitted by applicable law against all Expenses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83" w:lineRule="exact"/>
        <w:rPr>
          <w:rFonts w:ascii="Times New Roman" w:cs="Times New Roman" w:eastAsia="Times New Roman" w:hAnsi="Times New Roman"/>
          <w:sz w:val="18"/>
          <w:szCs w:val="18"/>
          <w:b w:val="1"/>
          <w:bCs w:val="1"/>
          <w:color w:val="auto"/>
        </w:rPr>
      </w:pPr>
    </w:p>
    <w:p>
      <w:pPr>
        <w:ind w:left="-20" w:right="180" w:firstLine="436"/>
        <w:spacing w:after="0" w:line="248" w:lineRule="auto"/>
        <w:tabs>
          <w:tab w:leader="none" w:pos="583"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where indemnification is not available under Section 2 or 3, as the case may be, to the fullest extent permitted by law and to the extent that Indemnitee is a party to, and is successful (on the merits or otherwise) in defense of, any Proceeding or any claim, issue or matter therein, the Company shall indemnify Indemnitee against all Expenses incurred by Indemnitee or on Indemnitee’s behalf in connection therewith. For purposes of this Section 4, the termination of any claim, issue or matter in such a Proceeding by dismissal, with or without prejudice, shall be deemed to be a successful result as to such claim, issue or matter.</w:t>
      </w:r>
    </w:p>
    <w:p>
      <w:pPr>
        <w:spacing w:after="0" w:line="82" w:lineRule="exact"/>
        <w:rPr>
          <w:rFonts w:ascii="Times New Roman" w:cs="Times New Roman" w:eastAsia="Times New Roman" w:hAnsi="Times New Roman"/>
          <w:sz w:val="18"/>
          <w:szCs w:val="18"/>
          <w:b w:val="1"/>
          <w:bCs w:val="1"/>
          <w:color w:val="auto"/>
        </w:rPr>
      </w:pPr>
    </w:p>
    <w:p>
      <w:pPr>
        <w:ind w:left="-20" w:right="700" w:firstLine="436"/>
        <w:spacing w:after="0" w:line="270" w:lineRule="auto"/>
        <w:tabs>
          <w:tab w:leader="none" w:pos="583"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the Company shall not be obligated under this Agreement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in connection with any Proceeding (or any part of any Proceeding):</w:t>
      </w:r>
    </w:p>
    <w:p>
      <w:pPr>
        <w:spacing w:after="0" w:line="61" w:lineRule="exact"/>
        <w:rPr>
          <w:rFonts w:ascii="Times New Roman" w:cs="Times New Roman" w:eastAsia="Times New Roman" w:hAnsi="Times New Roman"/>
          <w:sz w:val="18"/>
          <w:szCs w:val="18"/>
          <w:b w:val="1"/>
          <w:bCs w:val="1"/>
          <w:color w:val="auto"/>
        </w:rPr>
      </w:pPr>
    </w:p>
    <w:p>
      <w:pPr>
        <w:ind w:left="-20" w:right="40" w:firstLine="972"/>
        <w:spacing w:after="0" w:line="267" w:lineRule="auto"/>
        <w:tabs>
          <w:tab w:leader="none" w:pos="1192" w:val="left"/>
        </w:tabs>
        <w:numPr>
          <w:ilvl w:val="1"/>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which payment has actually been made to or on behalf of Indemnitee under any statute, insurance policy, indemnity provision, vote or otherwise, except with respect to any excess beyond the amount paid;</w:t>
      </w:r>
    </w:p>
    <w:p>
      <w:pPr>
        <w:spacing w:after="0" w:line="64" w:lineRule="exact"/>
        <w:rPr>
          <w:rFonts w:ascii="Times New Roman" w:cs="Times New Roman" w:eastAsia="Times New Roman" w:hAnsi="Times New Roman"/>
          <w:sz w:val="18"/>
          <w:szCs w:val="18"/>
          <w:b w:val="1"/>
          <w:bCs w:val="1"/>
          <w:color w:val="auto"/>
        </w:rPr>
      </w:pPr>
    </w:p>
    <w:p>
      <w:pPr>
        <w:ind w:left="-20" w:right="220" w:firstLine="972"/>
        <w:spacing w:after="0" w:line="267" w:lineRule="auto"/>
        <w:tabs>
          <w:tab w:leader="none" w:pos="1202" w:val="left"/>
        </w:tabs>
        <w:numPr>
          <w:ilvl w:val="1"/>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an accounting or disgorgement of profits pursuant to Section 16(b) of the Exchange Act, or similar provisions of federal, state or local statutory law or common law, if Indemnitee is held liable therefor (including pursuant to any settlement arrangements);</w:t>
      </w:r>
    </w:p>
    <w:p>
      <w:pPr>
        <w:spacing w:after="0" w:line="64" w:lineRule="exact"/>
        <w:rPr>
          <w:rFonts w:ascii="Times New Roman" w:cs="Times New Roman" w:eastAsia="Times New Roman" w:hAnsi="Times New Roman"/>
          <w:sz w:val="18"/>
          <w:szCs w:val="18"/>
          <w:b w:val="1"/>
          <w:bCs w:val="1"/>
          <w:color w:val="auto"/>
        </w:rPr>
      </w:pPr>
    </w:p>
    <w:p>
      <w:pPr>
        <w:ind w:left="-20" w:right="120" w:firstLine="972"/>
        <w:spacing w:after="0" w:line="249" w:lineRule="auto"/>
        <w:tabs>
          <w:tab w:leader="none" w:pos="1182" w:val="left"/>
        </w:tabs>
        <w:numPr>
          <w:ilvl w:val="1"/>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Sarbanes-Oxley Act), if Indemnitee is held liable therefor (including pursuant to any settlement arrangements);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3" w:right="619" w:bottom="1440" w:gutter="0" w:footer="0" w:header="0"/>
        </w:sectPr>
      </w:pPr>
    </w:p>
    <w:bookmarkStart w:id="526" w:name="page527"/>
    <w:bookmarkEnd w:id="526"/>
    <w:p>
      <w:pPr>
        <w:ind w:left="-20" w:firstLine="972"/>
        <w:spacing w:after="0" w:line="247" w:lineRule="auto"/>
        <w:tabs>
          <w:tab w:leader="none" w:pos="1202" w:val="left"/>
        </w:tabs>
        <w:numPr>
          <w:ilvl w:val="1"/>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10(d) or (iv) otherwise required by applicable law; provided, for the avoidance of doubt, Indemnitee shall not be deemed for purposes of this paragraph, to have initiated any Proceeding (or any part of a Proceeding) by reason of (i) having asserted any affirmative defenses in connection with a claim not initiated by Indemnitee or (ii) having made any counterclaim (whether permissive or mandatory) in connection with any claim not initiated by Indemnitee; or</w:t>
      </w:r>
    </w:p>
    <w:p>
      <w:pPr>
        <w:spacing w:after="0" w:line="84" w:lineRule="exact"/>
        <w:rPr>
          <w:rFonts w:ascii="Times New Roman" w:cs="Times New Roman" w:eastAsia="Times New Roman" w:hAnsi="Times New Roman"/>
          <w:sz w:val="18"/>
          <w:szCs w:val="18"/>
          <w:b w:val="1"/>
          <w:bCs w:val="1"/>
          <w:color w:val="auto"/>
        </w:rPr>
      </w:pPr>
    </w:p>
    <w:p>
      <w:pPr>
        <w:ind w:left="1180" w:hanging="228"/>
        <w:spacing w:after="0"/>
        <w:tabs>
          <w:tab w:leader="none" w:pos="1180" w:val="left"/>
        </w:tabs>
        <w:numPr>
          <w:ilvl w:val="1"/>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prohibited by the DGCL or other applicable law.</w:t>
      </w:r>
    </w:p>
    <w:p>
      <w:pPr>
        <w:spacing w:after="0" w:line="106" w:lineRule="exact"/>
        <w:rPr>
          <w:rFonts w:ascii="Times New Roman" w:cs="Times New Roman" w:eastAsia="Times New Roman" w:hAnsi="Times New Roman"/>
          <w:sz w:val="18"/>
          <w:szCs w:val="18"/>
          <w:b w:val="1"/>
          <w:bCs w:val="1"/>
          <w:color w:val="auto"/>
        </w:rPr>
      </w:pPr>
    </w:p>
    <w:p>
      <w:pPr>
        <w:ind w:left="-20" w:right="40" w:firstLine="436"/>
        <w:spacing w:after="0" w:line="246" w:lineRule="auto"/>
        <w:tabs>
          <w:tab w:leader="none" w:pos="583"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Advances of Expenses</w:t>
      </w:r>
      <w:r>
        <w:rPr>
          <w:rFonts w:ascii="Times New Roman" w:cs="Times New Roman" w:eastAsia="Times New Roman" w:hAnsi="Times New Roman"/>
          <w:sz w:val="18"/>
          <w:szCs w:val="18"/>
          <w:color w:val="auto"/>
        </w:rPr>
        <w:t>. The Company shall advance the Expenses incurred by Indemnitee in connection with any Proceeding prior to its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disposition, and such 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with respect to advances of expenses made pursuant to Section 10(c), in which case Indemnitee makes the undertaking provided in Section 10(c). This Section 6 shall not apply to the extent advancement is prohibited by law and shall not apply to any Proceeding (or any part of any Proceeding) for which indemnity is not permitted under this Agreement, but shall apply to any Proceeding (or any part of any Proceeding) referenced in Section 5(b) or 5(c) prior to a determination that Indemnitee is not entitled to be indemnified by the Company.</w:t>
      </w:r>
    </w:p>
    <w:p>
      <w:pPr>
        <w:spacing w:after="0" w:line="81" w:lineRule="exact"/>
        <w:rPr>
          <w:rFonts w:ascii="Times New Roman" w:cs="Times New Roman" w:eastAsia="Times New Roman" w:hAnsi="Times New Roman"/>
          <w:sz w:val="18"/>
          <w:szCs w:val="18"/>
          <w:b w:val="1"/>
          <w:bCs w:val="1"/>
          <w:color w:val="auto"/>
        </w:rPr>
      </w:pPr>
    </w:p>
    <w:p>
      <w:pPr>
        <w:ind w:left="600" w:hanging="184"/>
        <w:spacing w:after="0"/>
        <w:tabs>
          <w:tab w:leader="none" w:pos="60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Notification and Defense of Claim</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left="-20" w:right="40" w:firstLine="972"/>
        <w:spacing w:after="0" w:line="248" w:lineRule="auto"/>
        <w:tabs>
          <w:tab w:leader="none" w:pos="1192" w:val="left"/>
        </w:tabs>
        <w:numPr>
          <w:ilvl w:val="1"/>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that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82" w:lineRule="exact"/>
        <w:rPr>
          <w:rFonts w:ascii="Times New Roman" w:cs="Times New Roman" w:eastAsia="Times New Roman" w:hAnsi="Times New Roman"/>
          <w:sz w:val="18"/>
          <w:szCs w:val="18"/>
          <w:b w:val="1"/>
          <w:bCs w:val="1"/>
          <w:color w:val="auto"/>
        </w:rPr>
      </w:pPr>
    </w:p>
    <w:p>
      <w:pPr>
        <w:ind w:left="-20" w:right="120" w:firstLine="972"/>
        <w:spacing w:after="0" w:line="293" w:lineRule="auto"/>
        <w:tabs>
          <w:tab w:leader="none" w:pos="1202" w:val="left"/>
        </w:tabs>
        <w:numPr>
          <w:ilvl w:val="1"/>
          <w:numId w:val="4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 reasonable action to cause such insurers to pay, on behalf of Indemnitee, all amounts payable as a result of such Proceeding in accordance with the terms of such policies.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600" w:top="265" w:right="599" w:bottom="1440" w:gutter="0" w:footer="0" w:header="0"/>
        </w:sectPr>
      </w:pPr>
    </w:p>
    <w:bookmarkStart w:id="527" w:name="page528"/>
    <w:bookmarkEnd w:id="527"/>
    <w:p>
      <w:pPr>
        <w:ind w:right="40" w:firstLine="972"/>
        <w:spacing w:after="0" w:line="245" w:lineRule="auto"/>
        <w:tabs>
          <w:tab w:leader="none" w:pos="1202" w:val="left"/>
        </w:tabs>
        <w:numPr>
          <w:ilvl w:val="1"/>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90"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Indemnitee shall give the Company such information and cooperation in connection with the Proceeding as may be reasonably</w:t>
      </w:r>
    </w:p>
    <w:p>
      <w:pPr>
        <w:spacing w:after="0" w:line="2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appropriate.</w:t>
      </w:r>
    </w:p>
    <w:p>
      <w:pPr>
        <w:spacing w:after="0" w:line="90" w:lineRule="exact"/>
        <w:rPr>
          <w:rFonts w:ascii="Times New Roman" w:cs="Times New Roman" w:eastAsia="Times New Roman" w:hAnsi="Times New Roman"/>
          <w:sz w:val="18"/>
          <w:szCs w:val="18"/>
          <w:b w:val="1"/>
          <w:bCs w:val="1"/>
          <w:color w:val="auto"/>
        </w:rPr>
      </w:pPr>
    </w:p>
    <w:p>
      <w:pPr>
        <w:ind w:right="80" w:firstLine="972"/>
        <w:spacing w:after="0" w:line="249" w:lineRule="auto"/>
        <w:tabs>
          <w:tab w:leader="none" w:pos="1202" w:val="left"/>
        </w:tabs>
        <w:numPr>
          <w:ilvl w:val="1"/>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liable to indemnify Indemnitee for any settlement of any Proceeding (or any part thereof) effected without the Company’s prior written consent, which shall not be unreasonably withheld, conditioned or delayed.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 settlement to which the Company has given its prior written consent, such settlement shall be treated as a success on the merits in the settled action, suit or proceeding.</w:t>
      </w:r>
    </w:p>
    <w:p>
      <w:pPr>
        <w:spacing w:after="0" w:line="81" w:lineRule="exact"/>
        <w:rPr>
          <w:rFonts w:ascii="Times New Roman" w:cs="Times New Roman" w:eastAsia="Times New Roman" w:hAnsi="Times New Roman"/>
          <w:sz w:val="18"/>
          <w:szCs w:val="18"/>
          <w:b w:val="1"/>
          <w:bCs w:val="1"/>
          <w:color w:val="auto"/>
        </w:rPr>
      </w:pPr>
    </w:p>
    <w:p>
      <w:pPr>
        <w:ind w:right="140" w:firstLine="972"/>
        <w:spacing w:after="0" w:line="267" w:lineRule="auto"/>
        <w:tabs>
          <w:tab w:leader="none" w:pos="1183" w:val="left"/>
        </w:tabs>
        <w:numPr>
          <w:ilvl w:val="1"/>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settle any Proceeding (or any part thereof) in a manner that imposes any penalty or liability on Indemnitee not paid by the Company without Indemnitee’s prior written consent, which shall not be unreasonably withheld, conditioned or delayed.</w:t>
      </w:r>
    </w:p>
    <w:p>
      <w:pPr>
        <w:spacing w:after="0" w:line="6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upon Application for Indemnification</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right="520" w:firstLine="972"/>
        <w:spacing w:after="0" w:line="251" w:lineRule="auto"/>
        <w:tabs>
          <w:tab w:leader="none" w:pos="1212" w:val="left"/>
        </w:tabs>
        <w:numPr>
          <w:ilvl w:val="1"/>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79" w:lineRule="exact"/>
        <w:rPr>
          <w:rFonts w:ascii="Times New Roman" w:cs="Times New Roman" w:eastAsia="Times New Roman" w:hAnsi="Times New Roman"/>
          <w:sz w:val="18"/>
          <w:szCs w:val="18"/>
          <w:b w:val="1"/>
          <w:bCs w:val="1"/>
          <w:color w:val="auto"/>
        </w:rPr>
      </w:pPr>
    </w:p>
    <w:p>
      <w:pPr>
        <w:ind w:firstLine="972"/>
        <w:spacing w:after="0" w:line="246" w:lineRule="auto"/>
        <w:tabs>
          <w:tab w:leader="none" w:pos="1222" w:val="left"/>
        </w:tabs>
        <w:numPr>
          <w:ilvl w:val="1"/>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written request by Indemnitee for indemnification pursuant to Section 8(a), a determination with respect to Indemnitee’s entitlement thereto shall be made as follows, provided that a Change in Control shall not have occurred: (i) by a majority vote of the Disinterested Directors, even though less than a quorum of the Company’s board of directors; (ii) by a committee of Disinterested Directors designated by a majority vote of the Disinterested Directors, even though less than a quorum of the Company’s board of directors; (iii) if there are no such Disinterested Directors or, if a majority of Disinterested Directors so direct, by Independent Counsel in a written opinion to the Company’s board of directors, a copy of which shall be delivered to Indemnitee; or (iv) if so directed by the Company’s board of directors, by the stockholders of the Company. If a Change in Control shall have occurred, a determination with respect to Indemnitee’s entitlement to indemnification shall be made by Independent Counsel in a written opinion to the Company’s board of directors, a copy of which shall be delivered to Indemnitee.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5" w:right="619" w:bottom="1440" w:gutter="0" w:footer="0" w:header="0"/>
        </w:sectPr>
      </w:pPr>
    </w:p>
    <w:bookmarkStart w:id="528" w:name="page529"/>
    <w:bookmarkEnd w:id="528"/>
    <w:p>
      <w:pPr>
        <w:ind w:right="5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79" w:lineRule="exact"/>
        <w:rPr>
          <w:sz w:val="20"/>
          <w:szCs w:val="20"/>
          <w:color w:val="auto"/>
        </w:rPr>
      </w:pPr>
    </w:p>
    <w:p>
      <w:pPr>
        <w:ind w:firstLine="972"/>
        <w:spacing w:after="0" w:line="244" w:lineRule="auto"/>
        <w:tabs>
          <w:tab w:leader="none" w:pos="1202" w:val="left"/>
        </w:tabs>
        <w:numPr>
          <w:ilvl w:val="1"/>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8(b), the Independent Counsel shall be selected as provided in this Section 8(c).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1,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8(a) and (ii) the final disposition of the Proceeding, the parties have not agreed upon an Independent Counsel, either the Company or Indemnitee may petition a court of competent jurisdiction for resolution of any objection that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8(b). Upon the due commencement of any judicial proceeding or arbitration pursuant to Section 10(a), the Independent Counsel shall be discharged and relieved of any further responsibility in such capacity (subject to the applicable standards of professional conduct then prevailing).</w:t>
      </w:r>
    </w:p>
    <w:p>
      <w:pPr>
        <w:spacing w:after="0" w:line="97" w:lineRule="exact"/>
        <w:rPr>
          <w:rFonts w:ascii="Times New Roman" w:cs="Times New Roman" w:eastAsia="Times New Roman" w:hAnsi="Times New Roman"/>
          <w:sz w:val="18"/>
          <w:szCs w:val="18"/>
          <w:b w:val="1"/>
          <w:bCs w:val="1"/>
          <w:color w:val="auto"/>
        </w:rPr>
      </w:pPr>
    </w:p>
    <w:p>
      <w:pPr>
        <w:ind w:right="80" w:firstLine="972"/>
        <w:spacing w:after="0" w:line="267" w:lineRule="auto"/>
        <w:tabs>
          <w:tab w:leader="none" w:pos="1222" w:val="left"/>
        </w:tabs>
        <w:numPr>
          <w:ilvl w:val="1"/>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the reasonable fees and expenses of any Independent Counsel and to fully indemnify such counsel against any and all Expenses, claims, liabilities and damages arising out of or relating to this Agreement or its engagement pursuant hereto.</w:t>
      </w:r>
    </w:p>
    <w:p>
      <w:pPr>
        <w:spacing w:after="0" w:line="6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right="300" w:firstLine="972"/>
        <w:spacing w:after="0" w:line="302" w:lineRule="auto"/>
        <w:tabs>
          <w:tab w:leader="none" w:pos="1212" w:val="left"/>
        </w:tabs>
        <w:numPr>
          <w:ilvl w:val="1"/>
          <w:numId w:val="4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 by clear and convincing evidence.</w:t>
      </w:r>
    </w:p>
    <w:p>
      <w:pPr>
        <w:spacing w:after="0" w:line="40" w:lineRule="exact"/>
        <w:rPr>
          <w:rFonts w:ascii="Times New Roman" w:cs="Times New Roman" w:eastAsia="Times New Roman" w:hAnsi="Times New Roman"/>
          <w:sz w:val="16"/>
          <w:szCs w:val="16"/>
          <w:b w:val="1"/>
          <w:bCs w:val="1"/>
          <w:color w:val="auto"/>
        </w:rPr>
      </w:pPr>
    </w:p>
    <w:p>
      <w:pPr>
        <w:ind w:right="20" w:firstLine="972"/>
        <w:spacing w:after="0" w:line="249" w:lineRule="auto"/>
        <w:tabs>
          <w:tab w:leader="none" w:pos="1222" w:val="left"/>
        </w:tabs>
        <w:numPr>
          <w:ilvl w:val="1"/>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that he or she reasonably believed to be in or not opposed to the best interests of the Company or, with respect to any criminal Proceeding, that Indemnitee had reasonable cause to believe that his or her conduct was unlawful.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29" w:name="page530"/>
    <w:bookmarkEnd w:id="529"/>
    <w:p>
      <w:pPr>
        <w:ind w:right="20" w:firstLine="972"/>
        <w:spacing w:after="0" w:line="247" w:lineRule="auto"/>
        <w:tabs>
          <w:tab w:leader="none" w:pos="1202" w:val="left"/>
        </w:tabs>
        <w:numPr>
          <w:ilvl w:val="1"/>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9(c) shall not be deemed to be exclusive or to limit in any way the other circumstances in which Indemnitee may be deemed to have met the applicable standard of conduct set forth in this Agreement.</w:t>
      </w:r>
    </w:p>
    <w:p>
      <w:pPr>
        <w:spacing w:after="0" w:line="84" w:lineRule="exact"/>
        <w:rPr>
          <w:rFonts w:ascii="Times New Roman" w:cs="Times New Roman" w:eastAsia="Times New Roman" w:hAnsi="Times New Roman"/>
          <w:sz w:val="18"/>
          <w:szCs w:val="18"/>
          <w:b w:val="1"/>
          <w:bCs w:val="1"/>
          <w:color w:val="auto"/>
        </w:rPr>
      </w:pPr>
    </w:p>
    <w:p>
      <w:pPr>
        <w:ind w:right="120" w:firstLine="972"/>
        <w:spacing w:after="0" w:line="267" w:lineRule="auto"/>
        <w:tabs>
          <w:tab w:leader="none" w:pos="1222" w:val="left"/>
        </w:tabs>
        <w:numPr>
          <w:ilvl w:val="1"/>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62"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firstLine="972"/>
        <w:spacing w:after="0" w:line="245" w:lineRule="auto"/>
        <w:tabs>
          <w:tab w:leader="none" w:pos="1212" w:val="left"/>
        </w:tabs>
        <w:numPr>
          <w:ilvl w:val="1"/>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Section 10(e), in the event that (i) a determination is made pursuant to Section 9 that Indemnitee is not entitled to indemnification under this Agreement, (ii) advancement of Expenses is not timely made pursuant to Section 6 or 10(d), (iii) no determination of entitlement to indemnification shall have been made pursuant to Section 8 within 30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10(d),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12 months following the date on which Indemnitee first has the right to commence such proceeding pursuant to this Section 10(a);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clause shall not apply in respect of a proceeding brought by Indemnitee to enforce his or her rights under Section 4. The Company shall not oppose Indemnitee’s right to seek any such adjudication or award in arbitration in accordance with this Agreement.</w:t>
      </w:r>
    </w:p>
    <w:p>
      <w:pPr>
        <w:spacing w:after="0" w:line="86" w:lineRule="exact"/>
        <w:rPr>
          <w:rFonts w:ascii="Times New Roman" w:cs="Times New Roman" w:eastAsia="Times New Roman" w:hAnsi="Times New Roman"/>
          <w:sz w:val="18"/>
          <w:szCs w:val="18"/>
          <w:b w:val="1"/>
          <w:bCs w:val="1"/>
          <w:color w:val="auto"/>
        </w:rPr>
      </w:pPr>
    </w:p>
    <w:p>
      <w:pPr>
        <w:ind w:right="20" w:firstLine="972"/>
        <w:spacing w:after="0" w:line="246" w:lineRule="auto"/>
        <w:tabs>
          <w:tab w:leader="none" w:pos="1222" w:val="left"/>
        </w:tabs>
        <w:numPr>
          <w:ilvl w:val="1"/>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8 that Indemnitee is not entitled to indemnification, any judicial proceeding or arbitration commenced pursuant to this Section 10 shall be conducted in all respects as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trial, or arbitration, on the merits, and Indemnitee shall not be prejudiced by reason of that adverse determination. In any judicial proceeding or arbitration commenced pursuant to this Section 10, the Company shall, to the fullest extent not prohibited by law, have the burden of proving Indemnitee is not entitled to indemnification or advancement of Expenses, as the case may be, and the burden of proof shall be by clear and convincing evidence.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5" w:right="599" w:bottom="1440" w:gutter="0" w:footer="0" w:header="0"/>
        </w:sectPr>
      </w:pPr>
    </w:p>
    <w:bookmarkStart w:id="530" w:name="page531"/>
    <w:bookmarkEnd w:id="530"/>
    <w:p>
      <w:pPr>
        <w:ind w:left="-20" w:firstLine="972"/>
        <w:spacing w:after="0" w:line="247" w:lineRule="auto"/>
        <w:tabs>
          <w:tab w:leader="none" w:pos="1182" w:val="left"/>
        </w:tabs>
        <w:numPr>
          <w:ilvl w:val="1"/>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To the fullest extent not prohibited by law, 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that Indemnitee is entitled to indemnification, the Company shall be bound by such determination in any judicial proceeding or arbitration commenced pursuant to this Section 10,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84" w:lineRule="exact"/>
        <w:rPr>
          <w:rFonts w:ascii="Times New Roman" w:cs="Times New Roman" w:eastAsia="Times New Roman" w:hAnsi="Times New Roman"/>
          <w:sz w:val="18"/>
          <w:szCs w:val="18"/>
          <w:b w:val="1"/>
          <w:bCs w:val="1"/>
          <w:color w:val="auto"/>
        </w:rPr>
      </w:pPr>
    </w:p>
    <w:p>
      <w:pPr>
        <w:ind w:left="-20" w:firstLine="972"/>
        <w:spacing w:after="0" w:line="248" w:lineRule="auto"/>
        <w:tabs>
          <w:tab w:leader="none" w:pos="1202" w:val="left"/>
        </w:tabs>
        <w:numPr>
          <w:ilvl w:val="1"/>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not prohibited by law, the Company shall indemnify Indemnitee against all Expenses incurred by Indemnitee in connection with any action for indemnification or advancement of Expenses from the Company under this Agreement, any other agreement, the Company’s certificate of incorporation or bylaws or under any directors’ and officers’ liability insurance policies maintained by the Company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6. Indemnitee hereby undertakes to repay such advances to the extent the Indemnitee is ultimately unsuccessful in such action or arbitration.</w:t>
      </w:r>
    </w:p>
    <w:p>
      <w:pPr>
        <w:spacing w:after="0" w:line="82" w:lineRule="exact"/>
        <w:rPr>
          <w:rFonts w:ascii="Times New Roman" w:cs="Times New Roman" w:eastAsia="Times New Roman" w:hAnsi="Times New Roman"/>
          <w:sz w:val="18"/>
          <w:szCs w:val="18"/>
          <w:b w:val="1"/>
          <w:bCs w:val="1"/>
          <w:color w:val="auto"/>
        </w:rPr>
      </w:pPr>
    </w:p>
    <w:p>
      <w:pPr>
        <w:ind w:left="-20" w:right="120" w:firstLine="972"/>
        <w:spacing w:after="0" w:line="267" w:lineRule="auto"/>
        <w:tabs>
          <w:tab w:leader="none" w:pos="1182" w:val="left"/>
        </w:tabs>
        <w:numPr>
          <w:ilvl w:val="1"/>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shall be required to be made prior to the final disposition of the Proceeding.</w:t>
      </w:r>
    </w:p>
    <w:p>
      <w:pPr>
        <w:spacing w:after="0" w:line="62" w:lineRule="exact"/>
        <w:rPr>
          <w:rFonts w:ascii="Times New Roman" w:cs="Times New Roman" w:eastAsia="Times New Roman" w:hAnsi="Times New Roman"/>
          <w:sz w:val="18"/>
          <w:szCs w:val="18"/>
          <w:b w:val="1"/>
          <w:bCs w:val="1"/>
          <w:color w:val="auto"/>
        </w:rPr>
      </w:pPr>
    </w:p>
    <w:p>
      <w:pPr>
        <w:ind w:left="-20" w:right="200" w:firstLine="436"/>
        <w:spacing w:after="0" w:line="285" w:lineRule="auto"/>
        <w:tabs>
          <w:tab w:leader="none" w:pos="661" w:val="left"/>
        </w:tabs>
        <w:numPr>
          <w:ilvl w:val="0"/>
          <w:numId w:val="4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Contribution</w:t>
      </w:r>
      <w:r>
        <w:rPr>
          <w:rFonts w:ascii="Times New Roman" w:cs="Times New Roman" w:eastAsia="Times New Roman" w:hAnsi="Times New Roman"/>
          <w:sz w:val="16"/>
          <w:szCs w:val="16"/>
          <w:color w:val="auto"/>
        </w:rPr>
        <w:t>. To the fullest extent permissible under applicable law, if the indemnification provided for in this Agreement is unavailable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54" w:lineRule="exact"/>
        <w:rPr>
          <w:rFonts w:ascii="Times New Roman" w:cs="Times New Roman" w:eastAsia="Times New Roman" w:hAnsi="Times New Roman"/>
          <w:sz w:val="16"/>
          <w:szCs w:val="16"/>
          <w:b w:val="1"/>
          <w:bCs w:val="1"/>
          <w:color w:val="auto"/>
        </w:rPr>
      </w:pPr>
    </w:p>
    <w:p>
      <w:pPr>
        <w:ind w:left="-20" w:right="80" w:firstLine="436"/>
        <w:spacing w:after="0" w:line="281" w:lineRule="auto"/>
        <w:tabs>
          <w:tab w:leader="none" w:pos="671" w:val="left"/>
        </w:tabs>
        <w:numPr>
          <w:ilvl w:val="0"/>
          <w:numId w:val="4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Non-exclusivity</w:t>
      </w:r>
      <w:r>
        <w:rPr>
          <w:rFonts w:ascii="Times New Roman" w:cs="Times New Roman" w:eastAsia="Times New Roman" w:hAnsi="Times New Roman"/>
          <w:sz w:val="16"/>
          <w:szCs w:val="16"/>
          <w:color w:val="auto"/>
        </w:rPr>
        <w:t>. The rights of indemnification and to receive advancement of Expenses as provided by this Agreement shall not be deemed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80"/>
          </w:cols>
          <w:pgMar w:left="600" w:top="264" w:right="619" w:bottom="1440" w:gutter="0" w:footer="0" w:header="0"/>
        </w:sectPr>
      </w:pPr>
    </w:p>
    <w:bookmarkStart w:id="531" w:name="page532"/>
    <w:bookmarkEnd w:id="531"/>
    <w:p>
      <w:pPr>
        <w:ind w:left="-20" w:firstLine="436"/>
        <w:spacing w:after="0" w:line="278" w:lineRule="auto"/>
        <w:tabs>
          <w:tab w:leader="none" w:pos="671" w:val="left"/>
        </w:tabs>
        <w:numPr>
          <w:ilvl w:val="0"/>
          <w:numId w:val="4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Primary Responsibility</w:t>
      </w:r>
      <w:r>
        <w:rPr>
          <w:rFonts w:ascii="Times New Roman" w:cs="Times New Roman" w:eastAsia="Times New Roman" w:hAnsi="Times New Roman"/>
          <w:sz w:val="16"/>
          <w:szCs w:val="16"/>
          <w:color w:val="auto"/>
        </w:rPr>
        <w:t>. The Company acknowledges that to the extent Indemnitee is serving as a director on the Company’s board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directors at the request or direction of a private equity or venture capital fund or other entity and/or certain of its affiliates (collectively, the “</w:t>
      </w:r>
      <w:r>
        <w:rPr>
          <w:rFonts w:ascii="Times New Roman" w:cs="Times New Roman" w:eastAsia="Times New Roman" w:hAnsi="Times New Roman"/>
          <w:sz w:val="16"/>
          <w:szCs w:val="16"/>
          <w:b w:val="1"/>
          <w:bCs w:val="1"/>
          <w:i w:val="1"/>
          <w:iCs w:val="1"/>
          <w:color w:val="auto"/>
        </w:rPr>
        <w:t>Secondary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Indemnitors</w:t>
      </w:r>
      <w:r>
        <w:rPr>
          <w:rFonts w:ascii="Times New Roman" w:cs="Times New Roman" w:eastAsia="Times New Roman" w:hAnsi="Times New Roman"/>
          <w:sz w:val="16"/>
          <w:szCs w:val="16"/>
          <w:color w:val="auto"/>
        </w:rPr>
        <w:t>”), Indemnitee may have certain rights to indemnification and advancement of expenses provided by such Secondary Indemnitors.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13.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13.</w:t>
      </w:r>
    </w:p>
    <w:p>
      <w:pPr>
        <w:spacing w:after="0" w:line="275" w:lineRule="exact"/>
        <w:rPr>
          <w:rFonts w:ascii="Times New Roman" w:cs="Times New Roman" w:eastAsia="Times New Roman" w:hAnsi="Times New Roman"/>
          <w:sz w:val="16"/>
          <w:szCs w:val="16"/>
          <w:b w:val="1"/>
          <w:bCs w:val="1"/>
          <w:color w:val="auto"/>
        </w:rPr>
      </w:pPr>
    </w:p>
    <w:p>
      <w:pPr>
        <w:ind w:left="-20" w:right="80" w:firstLine="436"/>
        <w:spacing w:after="0" w:line="256" w:lineRule="auto"/>
        <w:tabs>
          <w:tab w:leader="none" w:pos="671"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Duplication of Payments</w:t>
      </w:r>
      <w:r>
        <w:rPr>
          <w:rFonts w:ascii="Times New Roman" w:cs="Times New Roman" w:eastAsia="Times New Roman" w:hAnsi="Times New Roman"/>
          <w:sz w:val="18"/>
          <w:szCs w:val="18"/>
          <w:color w:val="auto"/>
        </w:rPr>
        <w:t>. Subject to Section 13, the Company shall not be liable under this Agreement to make any payment of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indemnifiable hereunder (or for which advancement is provided hereunder) if and to the extent that Indemnitee has otherwise actually received payment for such amounts under any insurance policy, contract, agreement or otherwise.</w:t>
      </w:r>
    </w:p>
    <w:p>
      <w:pPr>
        <w:spacing w:after="0" w:line="72" w:lineRule="exact"/>
        <w:rPr>
          <w:rFonts w:ascii="Times New Roman" w:cs="Times New Roman" w:eastAsia="Times New Roman" w:hAnsi="Times New Roman"/>
          <w:sz w:val="18"/>
          <w:szCs w:val="18"/>
          <w:b w:val="1"/>
          <w:bCs w:val="1"/>
          <w:color w:val="auto"/>
        </w:rPr>
      </w:pPr>
    </w:p>
    <w:p>
      <w:pPr>
        <w:ind w:left="-20" w:right="40" w:firstLine="436"/>
        <w:spacing w:after="0" w:line="256" w:lineRule="auto"/>
        <w:tabs>
          <w:tab w:leader="none" w:pos="671"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To the extent that the Company maintains an insurance policy or policies providing liability insurance for directors, trustees,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72" w:lineRule="exact"/>
        <w:rPr>
          <w:rFonts w:ascii="Times New Roman" w:cs="Times New Roman" w:eastAsia="Times New Roman" w:hAnsi="Times New Roman"/>
          <w:sz w:val="18"/>
          <w:szCs w:val="18"/>
          <w:b w:val="1"/>
          <w:bCs w:val="1"/>
          <w:color w:val="auto"/>
        </w:rPr>
      </w:pPr>
    </w:p>
    <w:p>
      <w:pPr>
        <w:ind w:left="-20" w:right="20" w:firstLine="436"/>
        <w:spacing w:after="0" w:line="256" w:lineRule="auto"/>
        <w:tabs>
          <w:tab w:leader="none" w:pos="671"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r>
        <w:rPr>
          <w:rFonts w:ascii="Times New Roman" w:cs="Times New Roman" w:eastAsia="Times New Roman" w:hAnsi="Times New Roman"/>
          <w:sz w:val="18"/>
          <w:szCs w:val="18"/>
          <w:color w:val="auto"/>
        </w:rPr>
        <w:t>. Subject to Section 13, in the event of any payment under this Agreement, the Company shall be subrogated to the extent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72" w:lineRule="exact"/>
        <w:rPr>
          <w:rFonts w:ascii="Times New Roman" w:cs="Times New Roman" w:eastAsia="Times New Roman" w:hAnsi="Times New Roman"/>
          <w:sz w:val="18"/>
          <w:szCs w:val="18"/>
          <w:b w:val="1"/>
          <w:bCs w:val="1"/>
          <w:color w:val="auto"/>
        </w:rPr>
      </w:pPr>
    </w:p>
    <w:p>
      <w:pPr>
        <w:ind w:left="-20" w:right="60" w:firstLine="436"/>
        <w:spacing w:after="0" w:line="246" w:lineRule="auto"/>
        <w:tabs>
          <w:tab w:leader="none" w:pos="671"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agrees to serve as a director or officer of the Company or, at the request of the Company, as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80"/>
          </w:cols>
          <w:pgMar w:left="600" w:top="263" w:right="619" w:bottom="1440" w:gutter="0" w:footer="0" w:header="0"/>
        </w:sectPr>
      </w:pPr>
    </w:p>
    <w:bookmarkStart w:id="532" w:name="page533"/>
    <w:bookmarkEnd w:id="532"/>
    <w:p>
      <w:pPr>
        <w:ind w:left="-60" w:right="60" w:firstLine="436"/>
        <w:spacing w:after="0" w:line="250" w:lineRule="auto"/>
        <w:tabs>
          <w:tab w:leader="none" w:pos="63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Duration</w:t>
      </w:r>
      <w:r>
        <w:rPr>
          <w:rFonts w:ascii="Times New Roman" w:cs="Times New Roman" w:eastAsia="Times New Roman" w:hAnsi="Times New Roman"/>
          <w:sz w:val="18"/>
          <w:szCs w:val="18"/>
          <w:color w:val="auto"/>
        </w:rPr>
        <w:t>. This Agreement shall continue until and terminate upon the later of (a) ten years after the date that Indemnitee shall have ceased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10 relating thereto.</w:t>
      </w:r>
    </w:p>
    <w:p>
      <w:pPr>
        <w:spacing w:after="0" w:line="77" w:lineRule="exact"/>
        <w:rPr>
          <w:rFonts w:ascii="Times New Roman" w:cs="Times New Roman" w:eastAsia="Times New Roman" w:hAnsi="Times New Roman"/>
          <w:sz w:val="18"/>
          <w:szCs w:val="18"/>
          <w:b w:val="1"/>
          <w:bCs w:val="1"/>
          <w:color w:val="auto"/>
        </w:rPr>
      </w:pPr>
    </w:p>
    <w:p>
      <w:pPr>
        <w:ind w:left="-60" w:firstLine="436"/>
        <w:spacing w:after="0" w:line="248" w:lineRule="auto"/>
        <w:tabs>
          <w:tab w:leader="none" w:pos="63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Agreement shall be binding upon the Company and its successors and assigns, including any direct or indirect successor,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merger, consolidation or otherwise, to all or substantially all of the business or assets of the Company, and shall inure to the benefit of Indemnitee and Indemnitee’s heirs, executors and administrators. Further,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82" w:lineRule="exact"/>
        <w:rPr>
          <w:rFonts w:ascii="Times New Roman" w:cs="Times New Roman" w:eastAsia="Times New Roman" w:hAnsi="Times New Roman"/>
          <w:sz w:val="18"/>
          <w:szCs w:val="18"/>
          <w:b w:val="1"/>
          <w:bCs w:val="1"/>
          <w:color w:val="auto"/>
        </w:rPr>
      </w:pPr>
    </w:p>
    <w:p>
      <w:pPr>
        <w:ind w:left="-60" w:right="100" w:firstLine="436"/>
        <w:spacing w:after="0" w:line="246" w:lineRule="auto"/>
        <w:tabs>
          <w:tab w:leader="none" w:pos="63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Nothing in this Agreement is intended to require or shall be construed as requiring the Company to do or fail to do any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83" w:lineRule="exact"/>
        <w:rPr>
          <w:rFonts w:ascii="Times New Roman" w:cs="Times New Roman" w:eastAsia="Times New Roman" w:hAnsi="Times New Roman"/>
          <w:sz w:val="18"/>
          <w:szCs w:val="18"/>
          <w:b w:val="1"/>
          <w:bCs w:val="1"/>
          <w:color w:val="auto"/>
        </w:rPr>
      </w:pPr>
    </w:p>
    <w:p>
      <w:pPr>
        <w:ind w:left="-60" w:right="40" w:firstLine="436"/>
        <w:spacing w:after="0" w:line="256" w:lineRule="auto"/>
        <w:tabs>
          <w:tab w:leader="none" w:pos="63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r>
        <w:rPr>
          <w:rFonts w:ascii="Times New Roman" w:cs="Times New Roman" w:eastAsia="Times New Roman" w:hAnsi="Times New Roman"/>
          <w:sz w:val="18"/>
          <w:szCs w:val="18"/>
          <w:color w:val="auto"/>
        </w:rPr>
        <w:t>. The Company expressly confirms and agrees that it has entered into this Agreement and assumed the obligations imposed on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72" w:lineRule="exact"/>
        <w:rPr>
          <w:rFonts w:ascii="Times New Roman" w:cs="Times New Roman" w:eastAsia="Times New Roman" w:hAnsi="Times New Roman"/>
          <w:sz w:val="18"/>
          <w:szCs w:val="18"/>
          <w:b w:val="1"/>
          <w:bCs w:val="1"/>
          <w:color w:val="auto"/>
        </w:rPr>
      </w:pPr>
    </w:p>
    <w:p>
      <w:pPr>
        <w:ind w:left="-60" w:right="140" w:firstLine="436"/>
        <w:spacing w:after="0" w:line="252" w:lineRule="auto"/>
        <w:tabs>
          <w:tab w:leader="none" w:pos="63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Agreement is a supplement to and in furtherance of the Company’s certificate of incorporation and bylaws and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w:t>
      </w:r>
    </w:p>
    <w:p>
      <w:pPr>
        <w:spacing w:after="0" w:line="75" w:lineRule="exact"/>
        <w:rPr>
          <w:rFonts w:ascii="Times New Roman" w:cs="Times New Roman" w:eastAsia="Times New Roman" w:hAnsi="Times New Roman"/>
          <w:sz w:val="18"/>
          <w:szCs w:val="18"/>
          <w:b w:val="1"/>
          <w:bCs w:val="1"/>
          <w:color w:val="auto"/>
        </w:rPr>
      </w:pPr>
    </w:p>
    <w:p>
      <w:pPr>
        <w:ind w:left="-60" w:right="120" w:firstLine="436"/>
        <w:spacing w:after="0" w:line="250" w:lineRule="auto"/>
        <w:tabs>
          <w:tab w:leader="none" w:pos="63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to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20"/>
          </w:cols>
          <w:pgMar w:left="640" w:top="263" w:right="639" w:bottom="1440" w:gutter="0" w:footer="0" w:header="0"/>
        </w:sectPr>
      </w:pPr>
    </w:p>
    <w:bookmarkStart w:id="533" w:name="page534"/>
    <w:bookmarkEnd w:id="533"/>
    <w:p>
      <w:pPr>
        <w:ind w:right="600" w:firstLine="436"/>
        <w:spacing w:after="0" w:line="333" w:lineRule="auto"/>
        <w:tabs>
          <w:tab w:leader="none" w:pos="691" w:val="left"/>
        </w:tabs>
        <w:numPr>
          <w:ilvl w:val="0"/>
          <w:numId w:val="4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Notices</w:t>
      </w:r>
      <w:r>
        <w:rPr>
          <w:rFonts w:ascii="Times New Roman" w:cs="Times New Roman" w:eastAsia="Times New Roman" w:hAnsi="Times New Roman"/>
          <w:sz w:val="16"/>
          <w:szCs w:val="16"/>
          <w:color w:val="auto"/>
        </w:rPr>
        <w:t>. All notices and other communications required or permitted hereunder shall be in writing and shall be mailed by registered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certified mail, postage prepaid, sent by facsimile or electronic mail or otherwise delivered by hand, messenger or courier service addressed:</w:t>
      </w:r>
    </w:p>
    <w:p>
      <w:pPr>
        <w:spacing w:after="0" w:line="16" w:lineRule="exact"/>
        <w:rPr>
          <w:rFonts w:ascii="Times New Roman" w:cs="Times New Roman" w:eastAsia="Times New Roman" w:hAnsi="Times New Roman"/>
          <w:sz w:val="16"/>
          <w:szCs w:val="16"/>
          <w:b w:val="1"/>
          <w:bCs w:val="1"/>
          <w:color w:val="auto"/>
        </w:rPr>
      </w:pPr>
    </w:p>
    <w:p>
      <w:pPr>
        <w:ind w:right="780" w:firstLine="972"/>
        <w:spacing w:after="0" w:line="267" w:lineRule="auto"/>
        <w:tabs>
          <w:tab w:leader="none" w:pos="1212" w:val="left"/>
        </w:tabs>
        <w:numPr>
          <w:ilvl w:val="1"/>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64" w:lineRule="exact"/>
        <w:rPr>
          <w:rFonts w:ascii="Times New Roman" w:cs="Times New Roman" w:eastAsia="Times New Roman" w:hAnsi="Times New Roman"/>
          <w:sz w:val="18"/>
          <w:szCs w:val="18"/>
          <w:b w:val="1"/>
          <w:bCs w:val="1"/>
          <w:color w:val="auto"/>
        </w:rPr>
      </w:pPr>
    </w:p>
    <w:p>
      <w:pPr>
        <w:ind w:firstLine="972"/>
        <w:spacing w:after="0" w:line="267" w:lineRule="auto"/>
        <w:tabs>
          <w:tab w:leader="none" w:pos="1222" w:val="left"/>
        </w:tabs>
        <w:numPr>
          <w:ilvl w:val="1"/>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the Company, to Tempus Labs, Inc., 600 West Chicago Avenue, Suite 510, Chicago, Illinois 60654, Attention: General Counsel, or at such other current address as the Company shall have furnished to Indemnitee.</w:t>
      </w:r>
    </w:p>
    <w:p>
      <w:pPr>
        <w:spacing w:after="0" w:line="170" w:lineRule="exact"/>
        <w:rPr>
          <w:sz w:val="20"/>
          <w:szCs w:val="20"/>
          <w:color w:val="auto"/>
        </w:rPr>
      </w:pPr>
    </w:p>
    <w:p>
      <w:pPr>
        <w:ind w:right="100" w:firstLine="428"/>
        <w:spacing w:after="0" w:line="247" w:lineRule="auto"/>
        <w:rPr>
          <w:sz w:val="20"/>
          <w:szCs w:val="20"/>
          <w:color w:val="auto"/>
        </w:rPr>
      </w:pPr>
      <w:r>
        <w:rPr>
          <w:rFonts w:ascii="Times New Roman" w:cs="Times New Roman" w:eastAsia="Times New Roman" w:hAnsi="Times New Roman"/>
          <w:sz w:val="18"/>
          <w:szCs w:val="18"/>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82" w:lineRule="exact"/>
        <w:rPr>
          <w:sz w:val="20"/>
          <w:szCs w:val="20"/>
          <w:color w:val="auto"/>
        </w:rPr>
      </w:pPr>
    </w:p>
    <w:p>
      <w:pPr>
        <w:ind w:right="60" w:firstLine="436"/>
        <w:spacing w:after="0" w:line="246" w:lineRule="auto"/>
        <w:tabs>
          <w:tab w:leader="none" w:pos="691"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shall be governed by, and construed and enforced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Delaware, without regard to its conflict of laws rules. Except with respect to any arbitration commenced by Indemnitee pursuant to Section 10(a),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81" w:lineRule="exact"/>
        <w:rPr>
          <w:rFonts w:ascii="Times New Roman" w:cs="Times New Roman" w:eastAsia="Times New Roman" w:hAnsi="Times New Roman"/>
          <w:sz w:val="18"/>
          <w:szCs w:val="18"/>
          <w:b w:val="1"/>
          <w:bCs w:val="1"/>
          <w:color w:val="auto"/>
        </w:rPr>
      </w:pPr>
    </w:p>
    <w:p>
      <w:pPr>
        <w:ind w:right="40" w:firstLine="436"/>
        <w:spacing w:after="0" w:line="293" w:lineRule="auto"/>
        <w:tabs>
          <w:tab w:leader="none" w:pos="691" w:val="left"/>
        </w:tabs>
        <w:numPr>
          <w:ilvl w:val="0"/>
          <w:numId w:val="4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This Agreement may be executed in two or more counterparts, each of which shall for all purposes be deemed to be an original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3" w:right="599" w:bottom="1440" w:gutter="0" w:footer="0" w:header="0"/>
        </w:sectPr>
      </w:pPr>
    </w:p>
    <w:bookmarkStart w:id="534" w:name="page535"/>
    <w:bookmarkEnd w:id="534"/>
    <w:p>
      <w:pPr>
        <w:ind w:left="-240" w:firstLine="436"/>
        <w:spacing w:after="0" w:line="270" w:lineRule="auto"/>
        <w:tabs>
          <w:tab w:leader="none" w:pos="451"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Captions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to affect the construction thereof.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40"/>
          </w:cols>
          <w:pgMar w:left="820" w:top="263" w:right="83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parties are signing this Indemnification Agreement as of the date stated in the introductory sentence.</w:t>
      </w:r>
    </w:p>
    <w:p>
      <w:pPr>
        <w:spacing w:after="0" w:line="23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13335</wp:posOffset>
            </wp:positionV>
            <wp:extent cx="225107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13335</wp:posOffset>
            </wp:positionV>
            <wp:extent cx="225107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13335</wp:posOffset>
            </wp:positionV>
            <wp:extent cx="225107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251075"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297180</wp:posOffset>
            </wp:positionV>
            <wp:extent cx="271780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INDEMNITEE NAME</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13335</wp:posOffset>
            </wp:positionV>
            <wp:extent cx="225107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25107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163830</wp:posOffset>
            </wp:positionV>
            <wp:extent cx="225107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3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439"/>
          </w:cols>
          <w:pgMar w:left="1020" w:top="265" w:right="1440" w:bottom="1440" w:gutter="0" w:footer="0" w:header="0"/>
        </w:sectPr>
      </w:pPr>
    </w:p>
    <w:bookmarkStart w:id="536" w:name="page537"/>
    <w:bookmarkEnd w:id="536"/>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10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2022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RIC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EFKOFSKY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Executive Officer and provide Executive with certain compensation and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60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1.1 Position</w:t>
      </w:r>
      <w:r>
        <w:rPr>
          <w:rFonts w:ascii="Times New Roman" w:cs="Times New Roman" w:eastAsia="Times New Roman" w:hAnsi="Times New Roman"/>
          <w:sz w:val="18"/>
          <w:szCs w:val="18"/>
          <w:color w:val="auto"/>
        </w:rPr>
        <w:t>. Subject to the terms set forth herein, the Company agrees to employ Executive in the position of Chairman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Executive hereby accepts such continued employment on the terms and conditions set forth in this Agreement.</w:t>
      </w:r>
    </w:p>
    <w:p>
      <w:pPr>
        <w:spacing w:after="0" w:line="162" w:lineRule="exact"/>
        <w:rPr>
          <w:sz w:val="20"/>
          <w:szCs w:val="20"/>
          <w:color w:val="auto"/>
        </w:rPr>
      </w:pPr>
    </w:p>
    <w:p>
      <w:pPr>
        <w:ind w:right="60" w:firstLine="964"/>
        <w:spacing w:after="0" w:line="250" w:lineRule="auto"/>
        <w:rPr>
          <w:sz w:val="20"/>
          <w:szCs w:val="20"/>
          <w:color w:val="auto"/>
        </w:rPr>
      </w:pPr>
      <w:r>
        <w:rPr>
          <w:rFonts w:ascii="Times New Roman" w:cs="Times New Roman" w:eastAsia="Times New Roman" w:hAnsi="Times New Roman"/>
          <w:sz w:val="18"/>
          <w:szCs w:val="18"/>
          <w:b w:val="1"/>
          <w:bCs w:val="1"/>
          <w:color w:val="auto"/>
        </w:rPr>
        <w:t>1.2 Duties</w:t>
      </w:r>
      <w:r>
        <w:rPr>
          <w:rFonts w:ascii="Times New Roman" w:cs="Times New Roman" w:eastAsia="Times New Roman" w:hAnsi="Times New Roman"/>
          <w:sz w:val="18"/>
          <w:szCs w:val="18"/>
          <w:color w:val="auto"/>
        </w:rPr>
        <w:t>. As Chief Executive Officer, Executive will report to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as assigned, performing such duties as are normally associated with Executive’s position and such duties as are assigned to Executive from time to time, subject to the oversight and direction of the Board. During the term of Executive’s employment with the Company, and except as noted in Section 4, Executive will work on a full-time basis for the Company and will devote Executive’s best efforts and substantially all of Executive’s business time and attention to the business of the Company.</w:t>
      </w:r>
    </w:p>
    <w:p>
      <w:pPr>
        <w:spacing w:after="0" w:line="184"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66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537" w:name="page538"/>
    <w:bookmarkEnd w:id="537"/>
    <w:p>
      <w:pPr>
        <w:ind w:right="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subject to the terms of the associated plan documents and as determined by the Board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b w:val="1"/>
          <w:bCs w:val="1"/>
          <w:color w:val="auto"/>
        </w:rPr>
        <w:t>2.3 Expense Reimbursement</w:t>
      </w:r>
      <w:r>
        <w:rPr>
          <w:rFonts w:ascii="Times New Roman" w:cs="Times New Roman" w:eastAsia="Times New Roman" w:hAnsi="Times New Roman"/>
          <w:sz w:val="16"/>
          <w:szCs w:val="16"/>
          <w:color w:val="auto"/>
        </w:rPr>
        <w:t>. The Company will reimburse Executive for reasonable business expenses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standard expense reimbursement policy, as the same may be modified by the Company from time to time. The Company shall reimburse Executive for all customary and appropriate business-related expenses actually incurred and documented in accordance with Company policy, as in effect from time to time. For so long as Executive holds the title of Chairman and/or Chief Executive Officer, Executive shall be entitled, at the Company’s expense (a) to employ an Administrative Assistant and a personal security officer, and (b) to be appropriately reimbursed for any private aviation expenses that are incurred for legitimate business travel.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62" w:lineRule="exact"/>
        <w:rPr>
          <w:sz w:val="20"/>
          <w:szCs w:val="20"/>
          <w:color w:val="auto"/>
        </w:rPr>
      </w:pPr>
    </w:p>
    <w:p>
      <w:pPr>
        <w:jc w:val="both"/>
        <w:ind w:right="40" w:firstLine="436"/>
        <w:spacing w:after="0" w:line="293" w:lineRule="auto"/>
        <w:tabs>
          <w:tab w:leader="none" w:pos="603" w:val="left"/>
        </w:tabs>
        <w:numPr>
          <w:ilvl w:val="0"/>
          <w:numId w:val="4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right="460" w:firstLine="436"/>
        <w:spacing w:after="0" w:line="252" w:lineRule="auto"/>
        <w:tabs>
          <w:tab w:leader="none" w:pos="603"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The parties acknowledge and agree that Executive is also a co-founder and serves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of Pathos AI, Inc., an AI-enabled drug development company that has entered into an agreement with the Company, is the managing partner and co-founder of Lightbank LLC, a private venture capital firm specializing in investments in technology companies that has invested in the Company, and is a member of the board of directors of Groupon, Inc., which Executive co-founded.</w:t>
      </w:r>
    </w:p>
    <w:p>
      <w:pPr>
        <w:spacing w:after="0" w:line="180" w:lineRule="exact"/>
        <w:rPr>
          <w:rFonts w:ascii="Times New Roman" w:cs="Times New Roman" w:eastAsia="Times New Roman" w:hAnsi="Times New Roman"/>
          <w:sz w:val="18"/>
          <w:szCs w:val="18"/>
          <w:b w:val="1"/>
          <w:bCs w:val="1"/>
          <w:color w:val="auto"/>
        </w:rPr>
      </w:pPr>
    </w:p>
    <w:p>
      <w:pPr>
        <w:ind w:right="20" w:firstLine="436"/>
        <w:spacing w:after="0" w:line="252" w:lineRule="auto"/>
        <w:tabs>
          <w:tab w:leader="none" w:pos="603"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3" w:right="619" w:bottom="1440" w:gutter="0" w:footer="0" w:header="0"/>
        </w:sectPr>
      </w:pPr>
    </w:p>
    <w:bookmarkStart w:id="538" w:name="page539"/>
    <w:bookmarkEnd w:id="538"/>
    <w:p>
      <w:pPr>
        <w:ind w:left="-8" w:firstLine="436"/>
        <w:spacing w:after="0" w:line="303" w:lineRule="auto"/>
        <w:tabs>
          <w:tab w:leader="none" w:pos="595" w:val="left"/>
        </w:tabs>
        <w:numPr>
          <w:ilvl w:val="0"/>
          <w:numId w:val="4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00" w:firstLine="1400"/>
        <w:spacing w:after="0" w:line="252" w:lineRule="auto"/>
        <w:tabs>
          <w:tab w:leader="none" w:pos="1623"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8" w:firstLine="1400"/>
        <w:spacing w:after="0" w:line="251" w:lineRule="auto"/>
        <w:tabs>
          <w:tab w:leader="none" w:pos="1633"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then Executive shall be entitled to receive the Accrued Obligations (defined below).</w:t>
      </w:r>
    </w:p>
    <w:p>
      <w:pPr>
        <w:spacing w:after="0" w:line="180" w:lineRule="exact"/>
        <w:rPr>
          <w:rFonts w:ascii="Times New Roman" w:cs="Times New Roman" w:eastAsia="Times New Roman" w:hAnsi="Times New Roman"/>
          <w:sz w:val="18"/>
          <w:szCs w:val="18"/>
          <w:color w:val="auto"/>
        </w:rPr>
      </w:pPr>
    </w:p>
    <w:p>
      <w:pPr>
        <w:ind w:left="-8" w:right="20" w:firstLine="1400"/>
        <w:spacing w:after="0" w:line="305" w:lineRule="auto"/>
        <w:tabs>
          <w:tab w:leader="none" w:pos="1623"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b w:val="1"/>
          <w:bCs w:val="1"/>
          <w:i w:val="1"/>
          <w:iCs w:val="1"/>
          <w:color w:val="auto"/>
        </w:rPr>
        <w:t>Accrued Obligations</w:t>
      </w:r>
      <w:r>
        <w:rPr>
          <w:rFonts w:ascii="Times New Roman" w:cs="Times New Roman" w:eastAsia="Times New Roman" w:hAnsi="Times New Roman"/>
          <w:sz w:val="16"/>
          <w:szCs w:val="16"/>
          <w:color w:val="auto"/>
        </w:rPr>
        <w:t>” are (i) any unreimbursed business expenses incurred by Executive payable in accordance with the Company’s standard expense reimbursement policies, and (ii) benefits owed to Executive under any qualified retirement plan or health and welfare benefit plan in which Executive was a participant in accordance with applicable law and the provisions of such plan.</w:t>
      </w:r>
    </w:p>
    <w:p>
      <w:pPr>
        <w:spacing w:after="0" w:line="140" w:lineRule="exact"/>
        <w:rPr>
          <w:rFonts w:ascii="Times New Roman" w:cs="Times New Roman" w:eastAsia="Times New Roman" w:hAnsi="Times New Roman"/>
          <w:sz w:val="16"/>
          <w:szCs w:val="16"/>
          <w:color w:val="auto"/>
        </w:rPr>
      </w:pPr>
    </w:p>
    <w:p>
      <w:pPr>
        <w:ind w:left="-8" w:right="160" w:firstLine="1400"/>
        <w:spacing w:after="0" w:line="270" w:lineRule="auto"/>
        <w:tabs>
          <w:tab w:leader="none" w:pos="1633"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66" w:lineRule="exact"/>
        <w:rPr>
          <w:rFonts w:ascii="Times New Roman" w:cs="Times New Roman" w:eastAsia="Times New Roman" w:hAnsi="Times New Roman"/>
          <w:sz w:val="18"/>
          <w:szCs w:val="18"/>
          <w:color w:val="auto"/>
        </w:rPr>
      </w:pPr>
    </w:p>
    <w:p>
      <w:pPr>
        <w:jc w:val="both"/>
        <w:ind w:left="-8" w:right="20" w:firstLine="1400"/>
        <w:spacing w:after="0" w:line="255" w:lineRule="auto"/>
        <w:tabs>
          <w:tab w:leader="none" w:pos="1623"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76" w:lineRule="exact"/>
        <w:rPr>
          <w:rFonts w:ascii="Times New Roman" w:cs="Times New Roman" w:eastAsia="Times New Roman" w:hAnsi="Times New Roman"/>
          <w:sz w:val="18"/>
          <w:szCs w:val="18"/>
          <w:color w:val="auto"/>
        </w:rPr>
      </w:pPr>
    </w:p>
    <w:p>
      <w:pPr>
        <w:ind w:left="-8" w:right="20" w:firstLine="1400"/>
        <w:spacing w:after="0" w:line="281" w:lineRule="auto"/>
        <w:tabs>
          <w:tab w:leader="none" w:pos="1604"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or (iii) a material reduction in the Executive’s duties, authority and responsibilities relative to the Executive’s duties, authority, and responsibilities in effect immediately prior to such reduction;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ind w:left="-8" w:right="120" w:firstLine="8"/>
        <w:spacing w:after="0" w:line="244" w:lineRule="auto"/>
        <w:tabs>
          <w:tab w:leader="none" w:pos="2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2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52"/>
          </w:cols>
          <w:pgMar w:left="588" w:top="263" w:right="659" w:bottom="1440" w:gutter="0" w:footer="0" w:header="0"/>
        </w:sectPr>
      </w:pPr>
    </w:p>
    <w:bookmarkStart w:id="539" w:name="page540"/>
    <w:bookmarkEnd w:id="539"/>
    <w:p>
      <w:pPr>
        <w:ind w:lef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6.2 Effect upon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20" w:right="120" w:firstLine="1400"/>
        <w:spacing w:after="0" w:line="267" w:lineRule="auto"/>
        <w:tabs>
          <w:tab w:leader="none" w:pos="1611"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effects a Change of Control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 Plan</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20" w:firstLine="1936"/>
        <w:spacing w:after="0" w:line="249" w:lineRule="auto"/>
        <w:tabs>
          <w:tab w:leader="none" w:pos="2117"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6.3 Termination by the Company for Cause.</w:t>
      </w:r>
    </w:p>
    <w:p>
      <w:pPr>
        <w:spacing w:after="0" w:line="215" w:lineRule="exact"/>
        <w:rPr>
          <w:sz w:val="20"/>
          <w:szCs w:val="20"/>
          <w:color w:val="auto"/>
        </w:rPr>
      </w:pPr>
    </w:p>
    <w:p>
      <w:pPr>
        <w:ind w:left="-20" w:firstLine="1400"/>
        <w:spacing w:after="0" w:line="251" w:lineRule="auto"/>
        <w:tabs>
          <w:tab w:leader="none" w:pos="1611"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20" w:right="100" w:firstLine="1400"/>
        <w:spacing w:after="0" w:line="289" w:lineRule="auto"/>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“Cause” </w:t>
      </w:r>
      <w:r>
        <w:rPr>
          <w:rFonts w:ascii="Times New Roman" w:cs="Times New Roman" w:eastAsia="Times New Roman" w:hAnsi="Times New Roman"/>
          <w:sz w:val="16"/>
          <w:szCs w:val="16"/>
          <w:color w:val="auto"/>
        </w:rPr>
        <w:t>for termination shall mean that the Company has determined in its sole discretion that Executive has engaged in any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following: (i)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breach of fiduciary duty.</w:t>
      </w:r>
    </w:p>
    <w:p>
      <w:pPr>
        <w:spacing w:after="0" w:line="15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0" w:right="240" w:firstLine="1400"/>
        <w:spacing w:after="0" w:line="270" w:lineRule="auto"/>
        <w:tabs>
          <w:tab w:leader="none" w:pos="1611"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20" w:right="60" w:firstLine="1400"/>
        <w:spacing w:after="0" w:line="251" w:lineRule="auto"/>
        <w:tabs>
          <w:tab w:leader="none" w:pos="162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(as both Chairman and Chief Executive Officer)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600" w:top="263" w:right="599" w:bottom="1440" w:gutter="0" w:footer="0" w:header="0"/>
        </w:sectPr>
      </w:pPr>
    </w:p>
    <w:bookmarkStart w:id="540" w:name="page541"/>
    <w:bookmarkEnd w:id="540"/>
    <w:p>
      <w:pPr>
        <w:ind w:lef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20" w:right="60" w:firstLine="1400"/>
        <w:spacing w:after="0" w:line="255" w:lineRule="auto"/>
        <w:tabs>
          <w:tab w:leader="none" w:pos="161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 and all unvested equity shall immediately vest upon such event.</w:t>
      </w:r>
    </w:p>
    <w:p>
      <w:pPr>
        <w:spacing w:after="0" w:line="180" w:lineRule="exact"/>
        <w:rPr>
          <w:rFonts w:ascii="Times New Roman" w:cs="Times New Roman" w:eastAsia="Times New Roman" w:hAnsi="Times New Roman"/>
          <w:sz w:val="18"/>
          <w:szCs w:val="18"/>
          <w:color w:val="auto"/>
        </w:rPr>
      </w:pPr>
    </w:p>
    <w:p>
      <w:pPr>
        <w:ind w:left="-20" w:firstLine="1400"/>
        <w:spacing w:after="0" w:line="246" w:lineRule="auto"/>
        <w:tabs>
          <w:tab w:leader="none" w:pos="162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 unable due to a physical or mental condition to perform the essential functions of his position with 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20" w:hanging="240"/>
        <w:spacing w:after="0"/>
        <w:tabs>
          <w:tab w:leader="none" w:pos="16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108" w:lineRule="exact"/>
        <w:rPr>
          <w:rFonts w:ascii="Times New Roman" w:cs="Times New Roman" w:eastAsia="Times New Roman" w:hAnsi="Times New Roman"/>
          <w:sz w:val="18"/>
          <w:szCs w:val="18"/>
          <w:color w:val="auto"/>
        </w:rPr>
      </w:pPr>
    </w:p>
    <w:p>
      <w:pPr>
        <w:ind w:left="-20" w:right="460" w:firstLine="1936"/>
        <w:spacing w:after="0" w:line="255" w:lineRule="auto"/>
        <w:tabs>
          <w:tab w:leader="none" w:pos="2117"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180" w:hanging="264"/>
        <w:spacing w:after="0"/>
        <w:tabs>
          <w:tab w:leader="none" w:pos="2180"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left="-20" w:right="140" w:firstLine="1936"/>
        <w:spacing w:after="0" w:line="255" w:lineRule="auto"/>
        <w:tabs>
          <w:tab w:leader="none" w:pos="2214"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 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left="-20" w:right="160" w:firstLine="1936"/>
        <w:spacing w:after="0" w:line="256" w:lineRule="auto"/>
        <w:tabs>
          <w:tab w:leader="none" w:pos="2205"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80"/>
          </w:cols>
          <w:pgMar w:left="600" w:top="263" w:right="619" w:bottom="1440" w:gutter="0" w:footer="0" w:header="0"/>
        </w:sectPr>
      </w:pPr>
    </w:p>
    <w:bookmarkStart w:id="541" w:name="page542"/>
    <w:bookmarkEnd w:id="541"/>
    <w:p>
      <w:pPr>
        <w:ind w:left="2180" w:hanging="244"/>
        <w:spacing w:after="0"/>
        <w:tabs>
          <w:tab w:leader="none" w:pos="2180" w:val="left"/>
        </w:tabs>
        <w:numPr>
          <w:ilvl w:val="1"/>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60" w:firstLine="1400"/>
        <w:spacing w:after="0" w:line="251" w:lineRule="auto"/>
        <w:tabs>
          <w:tab w:leader="none" w:pos="16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6.7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w:t>
      </w:r>
    </w:p>
    <w:p>
      <w:pPr>
        <w:spacing w:after="0" w:line="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 (i) 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156" w:lineRule="exact"/>
        <w:rPr>
          <w:sz w:val="20"/>
          <w:szCs w:val="20"/>
          <w:color w:val="auto"/>
        </w:rPr>
      </w:pPr>
    </w:p>
    <w:p>
      <w:pPr>
        <w:ind w:right="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6.8 Section 280G. </w:t>
      </w:r>
      <w:r>
        <w:rPr>
          <w:rFonts w:ascii="Times New Roman" w:cs="Times New Roman" w:eastAsia="Times New Roman" w:hAnsi="Times New Roman"/>
          <w:sz w:val="18"/>
          <w:szCs w:val="18"/>
          <w:color w:val="auto"/>
        </w:rPr>
        <w:t>Notwithstanding any other provision of this Agreement to the contrary, if payments made or benefits provided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or otherwise from the Company or any person or entity are considered “parachute payments” under Section 280G of the Code, then such parachute payments will be limited to the greatest amount that may be paid to</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3" w:right="619" w:bottom="1440" w:gutter="0" w:footer="0" w:header="0"/>
        </w:sectPr>
      </w:pPr>
    </w:p>
    <w:bookmarkStart w:id="542" w:name="page543"/>
    <w:bookmarkEnd w:id="542"/>
    <w:p>
      <w:pPr>
        <w:ind w:right="80"/>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 (iv) 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 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 underpayment or overpayment will forthwith be paid to Executive or refunded to the Company, as the case may be, with interest at one hundred twenty (120%) of the applicable Federal rate provided for in Section 7872(f)</w:t>
      </w:r>
    </w:p>
    <w:p>
      <w:pPr>
        <w:spacing w:after="0" w:line="186" w:lineRule="exact"/>
        <w:rPr>
          <w:sz w:val="20"/>
          <w:szCs w:val="20"/>
          <w:color w:val="auto"/>
        </w:rPr>
      </w:pPr>
    </w:p>
    <w:p>
      <w:pPr>
        <w:jc w:val="center"/>
        <w:ind w:right="60" w:firstLine="8"/>
        <w:spacing w:after="0" w:line="274" w:lineRule="auto"/>
        <w:tabs>
          <w:tab w:leader="none" w:pos="248"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w:t>
      </w:r>
    </w:p>
    <w:p>
      <w:pPr>
        <w:ind w:right="20" w:firstLine="8"/>
        <w:spacing w:after="0" w:line="244" w:lineRule="auto"/>
        <w:tabs>
          <w:tab w:leader="none" w:pos="24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 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89" w:lineRule="exact"/>
        <w:rPr>
          <w:sz w:val="20"/>
          <w:szCs w:val="20"/>
          <w:color w:val="auto"/>
        </w:rPr>
      </w:pPr>
    </w:p>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43" w:name="page544"/>
    <w:bookmarkEnd w:id="543"/>
    <w:p>
      <w:pPr>
        <w:ind w:right="10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8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2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8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87"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3" w:right="619" w:bottom="1440" w:gutter="0" w:footer="0" w:header="0"/>
        </w:sectPr>
      </w:pPr>
    </w:p>
    <w:bookmarkStart w:id="544" w:name="page545"/>
    <w:bookmarkEnd w:id="544"/>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00"/>
          </w:cols>
          <w:pgMar w:left="580" w:top="263" w:right="61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13335</wp:posOffset>
            </wp:positionV>
            <wp:extent cx="249237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13335</wp:posOffset>
            </wp:positionV>
            <wp:extent cx="271780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Eric Lefkofsky</w:t>
      </w:r>
    </w:p>
    <w:p>
      <w:pPr>
        <w:sectPr>
          <w:pgSz w:w="11900" w:h="16838" w:orient="portrait"/>
          <w:cols w:equalWidth="0" w:num="1">
            <w:col w:w="9439"/>
          </w:cols>
          <w:pgMar w:left="1020" w:top="263" w:right="1440" w:bottom="1440" w:gutter="0" w:footer="0" w:header="0"/>
        </w:sectPr>
      </w:pPr>
    </w:p>
    <w:bookmarkStart w:id="546" w:name="page547"/>
    <w:bookmarkEnd w:id="546"/>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14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2022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RIK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HELPS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Legal and Administrative Officer and provide Executive with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benefits in 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880" w:firstLine="964"/>
        <w:spacing w:after="0" w:line="333" w:lineRule="auto"/>
        <w:rPr>
          <w:sz w:val="20"/>
          <w:szCs w:val="20"/>
          <w:color w:val="auto"/>
        </w:rPr>
      </w:pPr>
      <w:r>
        <w:rPr>
          <w:rFonts w:ascii="Times New Roman" w:cs="Times New Roman" w:eastAsia="Times New Roman" w:hAnsi="Times New Roman"/>
          <w:sz w:val="16"/>
          <w:szCs w:val="16"/>
          <w:b w:val="1"/>
          <w:bCs w:val="1"/>
          <w:color w:val="auto"/>
        </w:rPr>
        <w:t>1.1 Position</w:t>
      </w:r>
      <w:r>
        <w:rPr>
          <w:rFonts w:ascii="Times New Roman" w:cs="Times New Roman" w:eastAsia="Times New Roman" w:hAnsi="Times New Roman"/>
          <w:sz w:val="16"/>
          <w:szCs w:val="16"/>
          <w:color w:val="auto"/>
        </w:rPr>
        <w:t>. Subject to the terms set forth herein, the Company agrees to employ Executive in the position of Chief Legal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Administrative Officer, and Executive hereby accepts such continued employment on the terms and conditions set forth in this Agreement.</w:t>
      </w:r>
    </w:p>
    <w:p>
      <w:pPr>
        <w:spacing w:after="0" w:line="118"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1.2 Duties</w:t>
      </w:r>
      <w:r>
        <w:rPr>
          <w:rFonts w:ascii="Times New Roman" w:cs="Times New Roman" w:eastAsia="Times New Roman" w:hAnsi="Times New Roman"/>
          <w:sz w:val="18"/>
          <w:szCs w:val="18"/>
          <w:color w:val="auto"/>
        </w:rPr>
        <w:t>. As Chief Legal and Administrative Officer, Executive will report to the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and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as assigned, performing such duties as are 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facility in Chicago or in Madison, Wisconsin. In addition, Executive shall make such business trips to such places as may be necessary or advisable for the efficient operations of the Company.</w:t>
      </w:r>
    </w:p>
    <w:p>
      <w:pPr>
        <w:spacing w:after="0" w:line="185"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547" w:name="page548"/>
    <w:bookmarkEnd w:id="54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6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$575,000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right="20" w:firstLine="964"/>
        <w:spacing w:after="0" w:line="283" w:lineRule="auto"/>
        <w:rPr>
          <w:sz w:val="20"/>
          <w:szCs w:val="20"/>
          <w:color w:val="auto"/>
        </w:rPr>
      </w:pPr>
      <w:r>
        <w:rPr>
          <w:rFonts w:ascii="Times New Roman" w:cs="Times New Roman" w:eastAsia="Times New Roman" w:hAnsi="Times New Roman"/>
          <w:sz w:val="16"/>
          <w:szCs w:val="16"/>
          <w:b w:val="1"/>
          <w:bCs w:val="1"/>
          <w:color w:val="auto"/>
        </w:rPr>
        <w:t>2.3 Expense Reimbursement</w:t>
      </w:r>
      <w:r>
        <w:rPr>
          <w:rFonts w:ascii="Times New Roman" w:cs="Times New Roman" w:eastAsia="Times New Roman" w:hAnsi="Times New Roman"/>
          <w:sz w:val="16"/>
          <w:szCs w:val="16"/>
          <w:color w:val="auto"/>
        </w:rPr>
        <w:t>. The Company will reimburse Executive for reasonable business expenses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standard expense reimbursement policy, as the same may be modified by the Company from time to time. The Company shall reimburse Executive for all customary and appropriate business-related expenses, including an agreed housing allowance,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62" w:lineRule="exact"/>
        <w:rPr>
          <w:sz w:val="20"/>
          <w:szCs w:val="20"/>
          <w:color w:val="auto"/>
        </w:rPr>
      </w:pPr>
    </w:p>
    <w:p>
      <w:pPr>
        <w:jc w:val="both"/>
        <w:ind w:right="40" w:firstLine="436"/>
        <w:spacing w:after="0" w:line="293" w:lineRule="auto"/>
        <w:tabs>
          <w:tab w:leader="none" w:pos="603" w:val="left"/>
        </w:tabs>
        <w:numPr>
          <w:ilvl w:val="0"/>
          <w:numId w:val="4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firstLine="436"/>
        <w:spacing w:after="0" w:line="247" w:lineRule="auto"/>
        <w:tabs>
          <w:tab w:leader="none" w:pos="603" w:val="left"/>
        </w:tabs>
        <w:numPr>
          <w:ilvl w:val="0"/>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Except with the prior written consent of the Board, including consent given to Executive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of this Agreement,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3" w:right="619" w:bottom="1440" w:gutter="0" w:footer="0" w:header="0"/>
        </w:sectPr>
      </w:pPr>
    </w:p>
    <w:bookmarkStart w:id="548" w:name="page549"/>
    <w:bookmarkEnd w:id="548"/>
    <w:p>
      <w:pPr>
        <w:ind w:left="-20" w:right="20" w:firstLine="436"/>
        <w:spacing w:after="0" w:line="252" w:lineRule="auto"/>
        <w:tabs>
          <w:tab w:leader="none" w:pos="583" w:val="left"/>
        </w:tabs>
        <w:numPr>
          <w:ilvl w:val="0"/>
          <w:numId w:val="4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0" w:lineRule="exact"/>
        <w:rPr>
          <w:rFonts w:ascii="Times New Roman" w:cs="Times New Roman" w:eastAsia="Times New Roman" w:hAnsi="Times New Roman"/>
          <w:sz w:val="18"/>
          <w:szCs w:val="18"/>
          <w:b w:val="1"/>
          <w:bCs w:val="1"/>
          <w:color w:val="auto"/>
        </w:rPr>
      </w:pPr>
    </w:p>
    <w:p>
      <w:pPr>
        <w:ind w:left="-20" w:right="60" w:firstLine="436"/>
        <w:spacing w:after="0" w:line="303" w:lineRule="auto"/>
        <w:tabs>
          <w:tab w:leader="none" w:pos="583" w:val="left"/>
        </w:tabs>
        <w:numPr>
          <w:ilvl w:val="0"/>
          <w:numId w:val="4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0" w:right="260" w:firstLine="1400"/>
        <w:spacing w:after="0" w:line="252" w:lineRule="auto"/>
        <w:tabs>
          <w:tab w:leader="none" w:pos="1611"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1400"/>
        <w:spacing w:after="0" w:line="249" w:lineRule="auto"/>
        <w:tabs>
          <w:tab w:leader="none" w:pos="16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Executive shall also be eligible to receive the following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0" w:firstLine="1936"/>
        <w:spacing w:after="0" w:line="247" w:lineRule="auto"/>
        <w:tabs>
          <w:tab w:leader="none" w:pos="2117"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during the six (6) month period following Executive’s Separation from Service, Executive’s equity will continue to satisfy any applicable time-based vesting condition, as though Executive remained employed by Company.</w:t>
      </w:r>
    </w:p>
    <w:p>
      <w:pPr>
        <w:spacing w:after="0" w:line="186" w:lineRule="exact"/>
        <w:rPr>
          <w:rFonts w:ascii="Times New Roman" w:cs="Times New Roman" w:eastAsia="Times New Roman" w:hAnsi="Times New Roman"/>
          <w:sz w:val="18"/>
          <w:szCs w:val="18"/>
          <w:color w:val="auto"/>
        </w:rPr>
      </w:pPr>
    </w:p>
    <w:p>
      <w:pPr>
        <w:ind w:left="-20" w:right="240" w:firstLine="1400"/>
        <w:spacing w:after="0" w:line="255" w:lineRule="auto"/>
        <w:tabs>
          <w:tab w:leader="none" w:pos="1611"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600" w:top="263" w:right="599" w:bottom="1440" w:gutter="0" w:footer="0" w:header="0"/>
        </w:sectPr>
      </w:pPr>
    </w:p>
    <w:bookmarkStart w:id="549" w:name="page550"/>
    <w:bookmarkEnd w:id="549"/>
    <w:p>
      <w:pPr>
        <w:ind w:right="20"/>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Executive (and Executive’s covered dependents) on the termination date until the earliest of: (i) twelve (12) months following the termination date (the “</w:t>
      </w:r>
      <w:r>
        <w:rPr>
          <w:rFonts w:ascii="Times New Roman" w:cs="Times New Roman" w:eastAsia="Times New Roman" w:hAnsi="Times New Roman"/>
          <w:sz w:val="16"/>
          <w:szCs w:val="16"/>
          <w:b w:val="1"/>
          <w:bCs w:val="1"/>
          <w:i w:val="1"/>
          <w:iCs w:val="1"/>
          <w:color w:val="auto"/>
        </w:rPr>
        <w:t>COBRA Severance Period</w:t>
      </w:r>
      <w:r>
        <w:rPr>
          <w:rFonts w:ascii="Times New Roman" w:cs="Times New Roman" w:eastAsia="Times New Roman" w:hAnsi="Times New Roman"/>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6"/>
          <w:szCs w:val="16"/>
          <w:b w:val="1"/>
          <w:bCs w:val="1"/>
          <w:i w:val="1"/>
          <w:iCs w:val="1"/>
          <w:color w:val="auto"/>
        </w:rPr>
        <w:t>COBRA Payment Period</w:t>
      </w:r>
      <w:r>
        <w:rPr>
          <w:rFonts w:ascii="Times New Roman" w:cs="Times New Roman" w:eastAsia="Times New Roman" w:hAnsi="Times New Roman"/>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6"/>
          <w:szCs w:val="16"/>
          <w:b w:val="1"/>
          <w:bCs w:val="1"/>
          <w:i w:val="1"/>
          <w:iCs w:val="1"/>
          <w:color w:val="auto"/>
        </w:rPr>
        <w:t>Special Severance Payment</w:t>
      </w:r>
      <w:r>
        <w:rPr>
          <w:rFonts w:ascii="Times New Roman" w:cs="Times New Roman" w:eastAsia="Times New Roman" w:hAnsi="Times New Roman"/>
          <w:sz w:val="16"/>
          <w:szCs w:val="16"/>
          <w:color w:val="auto"/>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Change in Control Severance Benefits (defined below) pursuant to</w:t>
      </w:r>
    </w:p>
    <w:p>
      <w:pPr>
        <w:spacing w:after="0" w:line="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6.2(a) </w:t>
      </w:r>
      <w:r>
        <w:rPr>
          <w:rFonts w:ascii="Times New Roman" w:cs="Times New Roman" w:eastAsia="Times New Roman" w:hAnsi="Times New Roman"/>
          <w:sz w:val="16"/>
          <w:szCs w:val="16"/>
          <w:color w:val="auto"/>
        </w:rPr>
        <w:t>of this Agreement, as applicable, if: (i) Executive executes and does not revoke a separation agreement containing an effective, general release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claims in favor of the Company and its affiliates and representatives, in a form acceptable to the Company (the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the Release is enforceable and effective as provided in the Release on or before the date that is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day following the effective date of termination (such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the “</w:t>
      </w:r>
      <w:r>
        <w:rPr>
          <w:rFonts w:ascii="Times New Roman" w:cs="Times New Roman" w:eastAsia="Times New Roman" w:hAnsi="Times New Roman"/>
          <w:sz w:val="16"/>
          <w:szCs w:val="16"/>
          <w:b w:val="1"/>
          <w:bCs w:val="1"/>
          <w:i w:val="1"/>
          <w:iCs w:val="1"/>
          <w:color w:val="auto"/>
        </w:rPr>
        <w:t>Severance Pay Commencement Date</w:t>
      </w:r>
      <w:r>
        <w:rPr>
          <w:rFonts w:ascii="Times New Roman" w:cs="Times New Roman" w:eastAsia="Times New Roman" w:hAnsi="Times New Roman"/>
          <w:sz w:val="16"/>
          <w:szCs w:val="16"/>
          <w:color w:val="auto"/>
        </w:rPr>
        <w:t>”);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w:t>
      </w:r>
    </w:p>
    <w:p>
      <w:pPr>
        <w:ind w:right="220" w:firstLine="8"/>
        <w:spacing w:after="0" w:line="247" w:lineRule="auto"/>
        <w:tabs>
          <w:tab w:leader="none" w:pos="248"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complies with the terms of the Release, including without limitation any non-disparagement and confidentiality provisions contained in Release.</w:t>
      </w:r>
    </w:p>
    <w:p>
      <w:pPr>
        <w:spacing w:after="0" w:line="182" w:lineRule="exact"/>
        <w:rPr>
          <w:rFonts w:ascii="Times New Roman" w:cs="Times New Roman" w:eastAsia="Times New Roman" w:hAnsi="Times New Roman"/>
          <w:sz w:val="18"/>
          <w:szCs w:val="18"/>
          <w:color w:val="auto"/>
        </w:rPr>
      </w:pPr>
    </w:p>
    <w:p>
      <w:pPr>
        <w:ind w:firstLine="1400"/>
        <w:spacing w:after="0" w:line="253" w:lineRule="auto"/>
        <w:tabs>
          <w:tab w:leader="none" w:pos="1640"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rFonts w:ascii="Times New Roman" w:cs="Times New Roman" w:eastAsia="Times New Roman" w:hAnsi="Times New Roman"/>
          <w:sz w:val="18"/>
          <w:szCs w:val="18"/>
          <w:color w:val="auto"/>
        </w:rPr>
      </w:pPr>
    </w:p>
    <w:p>
      <w:pPr>
        <w:ind w:right="200" w:firstLine="1400"/>
        <w:spacing w:after="0" w:line="270" w:lineRule="auto"/>
        <w:tabs>
          <w:tab w:leader="none" w:pos="1631"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66" w:lineRule="exact"/>
        <w:rPr>
          <w:rFonts w:ascii="Times New Roman" w:cs="Times New Roman" w:eastAsia="Times New Roman" w:hAnsi="Times New Roman"/>
          <w:sz w:val="18"/>
          <w:szCs w:val="18"/>
          <w:color w:val="auto"/>
        </w:rPr>
      </w:pPr>
    </w:p>
    <w:p>
      <w:pPr>
        <w:jc w:val="both"/>
        <w:ind w:right="60" w:firstLine="1400"/>
        <w:spacing w:after="0" w:line="255" w:lineRule="auto"/>
        <w:tabs>
          <w:tab w:leader="none" w:pos="1611"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5" w:right="619" w:bottom="1440" w:gutter="0" w:footer="0" w:header="0"/>
        </w:sectPr>
      </w:pPr>
    </w:p>
    <w:bookmarkStart w:id="550" w:name="page551"/>
    <w:bookmarkEnd w:id="550"/>
    <w:p>
      <w:pPr>
        <w:ind w:left="-8" w:right="40" w:firstLine="1400"/>
        <w:spacing w:after="0" w:line="277" w:lineRule="auto"/>
        <w:tabs>
          <w:tab w:leader="none" w:pos="1633" w:val="left"/>
        </w:tabs>
        <w:numPr>
          <w:ilvl w:val="1"/>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3" w:lineRule="exact"/>
        <w:rPr>
          <w:rFonts w:ascii="Times New Roman" w:cs="Times New Roman" w:eastAsia="Times New Roman" w:hAnsi="Times New Roman"/>
          <w:sz w:val="16"/>
          <w:szCs w:val="16"/>
          <w:color w:val="auto"/>
        </w:rPr>
      </w:pPr>
    </w:p>
    <w:p>
      <w:pPr>
        <w:ind w:left="-8" w:right="180" w:firstLine="8"/>
        <w:spacing w:after="0" w:line="244" w:lineRule="auto"/>
        <w:tabs>
          <w:tab w:leader="none" w:pos="24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6.2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20" w:firstLine="1400"/>
        <w:spacing w:after="0" w:line="248" w:lineRule="auto"/>
        <w:tabs>
          <w:tab w:leader="none" w:pos="1623"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provided that such termination constitutes a Separation from Service, without regard to any alternative definition thereunder, then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8" w:firstLine="1936"/>
        <w:spacing w:after="0" w:line="249" w:lineRule="auto"/>
        <w:tabs>
          <w:tab w:leader="none" w:pos="213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12"/>
          </w:cols>
          <w:pgMar w:left="588" w:top="260" w:right="599" w:bottom="1440" w:gutter="0" w:footer="0" w:header="0"/>
        </w:sectPr>
      </w:pPr>
    </w:p>
    <w:bookmarkStart w:id="551" w:name="page552"/>
    <w:bookmarkEnd w:id="551"/>
    <w:p>
      <w:pPr>
        <w:ind w:left="9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6.3 Termination by the Company for Cause.</w:t>
      </w:r>
    </w:p>
    <w:p>
      <w:pPr>
        <w:spacing w:after="0" w:line="215" w:lineRule="exact"/>
        <w:rPr>
          <w:sz w:val="20"/>
          <w:szCs w:val="20"/>
          <w:color w:val="auto"/>
        </w:rPr>
      </w:pPr>
    </w:p>
    <w:p>
      <w:pPr>
        <w:ind w:left="-8" w:firstLine="1400"/>
        <w:spacing w:after="0" w:line="251" w:lineRule="auto"/>
        <w:tabs>
          <w:tab w:leader="none" w:pos="1623"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8" w:firstLine="1400"/>
        <w:spacing w:after="0" w:line="246" w:lineRule="auto"/>
        <w:tabs>
          <w:tab w:leader="none" w:pos="1633"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for termination shall mean that the Company has determined in its sole discretion that Executive has engaged in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w:t>
      </w:r>
    </w:p>
    <w:p>
      <w:pPr>
        <w:spacing w:after="0" w:line="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misappropriation, destruction, or diversion of any tangible or intangible asset or corporate opportunity of the Company.</w:t>
      </w:r>
    </w:p>
    <w:p>
      <w:pPr>
        <w:spacing w:after="0" w:line="19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40" w:firstLine="1400"/>
        <w:spacing w:after="0" w:line="270" w:lineRule="auto"/>
        <w:tabs>
          <w:tab w:leader="none" w:pos="1623"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8" w:right="440" w:firstLine="1400"/>
        <w:spacing w:after="0" w:line="251" w:lineRule="auto"/>
        <w:tabs>
          <w:tab w:leader="none" w:pos="1633"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80" w:firstLine="1400"/>
        <w:spacing w:after="0" w:line="255" w:lineRule="auto"/>
        <w:tabs>
          <w:tab w:leader="none" w:pos="1623"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rFonts w:ascii="Times New Roman" w:cs="Times New Roman" w:eastAsia="Times New Roman" w:hAnsi="Times New Roman"/>
          <w:sz w:val="18"/>
          <w:szCs w:val="18"/>
          <w:color w:val="auto"/>
        </w:rPr>
      </w:pPr>
    </w:p>
    <w:p>
      <w:pPr>
        <w:ind w:left="-8" w:right="20" w:firstLine="1400"/>
        <w:spacing w:after="0" w:line="251" w:lineRule="auto"/>
        <w:tabs>
          <w:tab w:leader="none" w:pos="1633"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 unable due to a physical or mental condition to perform the essential functions of his position with</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12"/>
          </w:cols>
          <w:pgMar w:left="588" w:top="263" w:right="599" w:bottom="1440" w:gutter="0" w:footer="0" w:header="0"/>
        </w:sectPr>
      </w:pPr>
    </w:p>
    <w:bookmarkStart w:id="552" w:name="page553"/>
    <w:bookmarkEnd w:id="552"/>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40" w:hanging="240"/>
        <w:spacing w:after="0"/>
        <w:tabs>
          <w:tab w:leader="none" w:pos="164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108" w:lineRule="exact"/>
        <w:rPr>
          <w:rFonts w:ascii="Times New Roman" w:cs="Times New Roman" w:eastAsia="Times New Roman" w:hAnsi="Times New Roman"/>
          <w:sz w:val="18"/>
          <w:szCs w:val="18"/>
          <w:color w:val="auto"/>
        </w:rPr>
      </w:pPr>
    </w:p>
    <w:p>
      <w:pPr>
        <w:ind w:right="480" w:firstLine="1936"/>
        <w:spacing w:after="0" w:line="255" w:lineRule="auto"/>
        <w:tabs>
          <w:tab w:leader="none" w:pos="2137"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right="160" w:firstLine="1936"/>
        <w:spacing w:after="0" w:line="255" w:lineRule="auto"/>
        <w:tabs>
          <w:tab w:leader="none" w:pos="2234"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right="180" w:firstLine="1936"/>
        <w:spacing w:after="0" w:line="256" w:lineRule="auto"/>
        <w:tabs>
          <w:tab w:leader="none" w:pos="2225"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77"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4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80" w:firstLine="1400"/>
        <w:spacing w:after="0" w:line="251" w:lineRule="auto"/>
        <w:tabs>
          <w:tab w:leader="none" w:pos="164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6.7 Cooperation with Company after Termination of Employment</w:t>
      </w:r>
      <w:r>
        <w:rPr>
          <w:rFonts w:ascii="Times New Roman" w:cs="Times New Roman" w:eastAsia="Times New Roman" w:hAnsi="Times New Roman"/>
          <w:sz w:val="18"/>
          <w:szCs w:val="18"/>
          <w:color w:val="auto"/>
        </w:rPr>
        <w:t>. Following termination of Executive’s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to cooperate 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 Company. Such cooperation includes, without limitation, making Executive available to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53" w:name="page554"/>
    <w:bookmarkEnd w:id="553"/>
    <w:p>
      <w:pPr>
        <w:ind w:right="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 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84"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w:t>
      </w:r>
    </w:p>
    <w:p>
      <w:pPr>
        <w:spacing w:after="0" w:line="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w:t>
      </w:r>
    </w:p>
    <w:p>
      <w:pPr>
        <w:ind w:right="160" w:firstLine="8"/>
        <w:spacing w:after="0" w:line="274" w:lineRule="auto"/>
        <w:tabs>
          <w:tab w:leader="none" w:pos="209" w:val="left"/>
        </w:tabs>
        <w:numPr>
          <w:ilvl w:val="0"/>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554" w:name="page555"/>
    <w:bookmarkEnd w:id="554"/>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Section 280G. </w:t>
      </w:r>
      <w:r>
        <w:rPr>
          <w:rFonts w:ascii="Times New Roman" w:cs="Times New Roman" w:eastAsia="Times New Roman" w:hAnsi="Times New Roman"/>
          <w:sz w:val="16"/>
          <w:szCs w:val="16"/>
          <w:color w:val="auto"/>
        </w:rPr>
        <w:t>Notwithstanding any other provision of this Agreement to the contrary, if payments made or benefits provided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w:t>
      </w:r>
    </w:p>
    <w:p>
      <w:pPr>
        <w:spacing w:after="0" w:line="6" w:lineRule="exact"/>
        <w:rPr>
          <w:sz w:val="20"/>
          <w:szCs w:val="20"/>
          <w:color w:val="auto"/>
        </w:rPr>
      </w:pPr>
    </w:p>
    <w:p>
      <w:pPr>
        <w:ind w:right="40" w:firstLine="8"/>
        <w:spacing w:after="0" w:line="277" w:lineRule="auto"/>
        <w:tabs>
          <w:tab w:leader="none" w:pos="296"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377"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1"/>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3" w:right="599" w:bottom="1440" w:gutter="0" w:footer="0" w:header="0"/>
        </w:sectPr>
      </w:pPr>
    </w:p>
    <w:bookmarkStart w:id="555" w:name="page556"/>
    <w:bookmarkEnd w:id="555"/>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3" w:right="599" w:bottom="1440" w:gutter="0" w:footer="0" w:header="0"/>
        </w:sectPr>
      </w:pPr>
    </w:p>
    <w:bookmarkStart w:id="556" w:name="page557"/>
    <w:bookmarkEnd w:id="556"/>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64"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3" w:right="61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3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-130175</wp:posOffset>
            </wp:positionV>
            <wp:extent cx="252603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Erik Phelps</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Erik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-130175</wp:posOffset>
            </wp:positionV>
            <wp:extent cx="271780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9439"/>
          </w:cols>
          <w:pgMar w:left="1020" w:top="263" w:right="1440" w:bottom="1440" w:gutter="0" w:footer="0" w:header="0"/>
        </w:sectPr>
      </w:pPr>
    </w:p>
    <w:bookmarkStart w:id="558" w:name="page559"/>
    <w:bookmarkEnd w:id="558"/>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6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2022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YAN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UKUSHIMA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Operating Officer and provide Executive with certain compensation and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p>
    <w:p>
      <w:pPr>
        <w:spacing w:after="0" w:line="213" w:lineRule="exact"/>
        <w:rPr>
          <w:sz w:val="20"/>
          <w:szCs w:val="20"/>
          <w:color w:val="auto"/>
        </w:rPr>
      </w:pPr>
    </w:p>
    <w:p>
      <w:pPr>
        <w:ind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1.1 Position</w:t>
      </w:r>
      <w:r>
        <w:rPr>
          <w:rFonts w:ascii="Times New Roman" w:cs="Times New Roman" w:eastAsia="Times New Roman" w:hAnsi="Times New Roman"/>
          <w:sz w:val="18"/>
          <w:szCs w:val="18"/>
          <w:color w:val="auto"/>
        </w:rPr>
        <w:t>. Subject to the terms set forth herein, the Company agrees to employ Executive in the position of Chief Operating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hereby accepts such continued employment on the terms and conditions set forth in this Agreement.</w:t>
      </w:r>
    </w:p>
    <w:p>
      <w:pPr>
        <w:spacing w:after="0" w:line="162" w:lineRule="exact"/>
        <w:rPr>
          <w:sz w:val="20"/>
          <w:szCs w:val="20"/>
          <w:color w:val="auto"/>
        </w:rPr>
      </w:pPr>
    </w:p>
    <w:p>
      <w:pPr>
        <w:ind w:right="60" w:firstLine="964"/>
        <w:spacing w:after="0" w:line="249" w:lineRule="auto"/>
        <w:rPr>
          <w:sz w:val="20"/>
          <w:szCs w:val="20"/>
          <w:color w:val="auto"/>
        </w:rPr>
      </w:pPr>
      <w:r>
        <w:rPr>
          <w:rFonts w:ascii="Times New Roman" w:cs="Times New Roman" w:eastAsia="Times New Roman" w:hAnsi="Times New Roman"/>
          <w:sz w:val="18"/>
          <w:szCs w:val="18"/>
          <w:b w:val="1"/>
          <w:bCs w:val="1"/>
          <w:color w:val="auto"/>
        </w:rPr>
        <w:t>1.2 Duties</w:t>
      </w:r>
      <w:r>
        <w:rPr>
          <w:rFonts w:ascii="Times New Roman" w:cs="Times New Roman" w:eastAsia="Times New Roman" w:hAnsi="Times New Roman"/>
          <w:sz w:val="18"/>
          <w:szCs w:val="18"/>
          <w:color w:val="auto"/>
        </w:rPr>
        <w:t>. As Chief Operating Officer, Executive will report to the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and such other individual(s)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performing such duties as are 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facility in Chicago. In addition, Executive shall make such business trips to such places as may be necessary or advisable for the efficient operations of the Company.</w:t>
      </w:r>
    </w:p>
    <w:p>
      <w:pPr>
        <w:spacing w:after="0" w:line="184"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8" w:right="599" w:bottom="1440" w:gutter="0" w:footer="0" w:header="0"/>
        </w:sectPr>
      </w:pPr>
    </w:p>
    <w:bookmarkStart w:id="559" w:name="page560"/>
    <w:bookmarkEnd w:id="55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$500,000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firstLine="964"/>
        <w:spacing w:after="0" w:line="283" w:lineRule="auto"/>
        <w:rPr>
          <w:sz w:val="20"/>
          <w:szCs w:val="20"/>
          <w:color w:val="auto"/>
        </w:rPr>
      </w:pPr>
      <w:r>
        <w:rPr>
          <w:rFonts w:ascii="Times New Roman" w:cs="Times New Roman" w:eastAsia="Times New Roman" w:hAnsi="Times New Roman"/>
          <w:sz w:val="16"/>
          <w:szCs w:val="16"/>
          <w:b w:val="1"/>
          <w:bCs w:val="1"/>
          <w:color w:val="auto"/>
        </w:rPr>
        <w:t>2.3 Expense Reimbursement</w:t>
      </w:r>
      <w:r>
        <w:rPr>
          <w:rFonts w:ascii="Times New Roman" w:cs="Times New Roman" w:eastAsia="Times New Roman" w:hAnsi="Times New Roman"/>
          <w:sz w:val="16"/>
          <w:szCs w:val="16"/>
          <w:color w:val="auto"/>
        </w:rPr>
        <w:t>. The Company will reimburse Executive for reasonable business expenses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standard expense reimbursement policy, including an agreed housing allowance, as the same may be modified by the Company from time to time. The Company shall reimburse Executive for all customary and appropriate business-related expenses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62" w:lineRule="exact"/>
        <w:rPr>
          <w:sz w:val="20"/>
          <w:szCs w:val="20"/>
          <w:color w:val="auto"/>
        </w:rPr>
      </w:pPr>
    </w:p>
    <w:p>
      <w:pPr>
        <w:jc w:val="both"/>
        <w:ind w:right="20" w:firstLine="436"/>
        <w:spacing w:after="0" w:line="293" w:lineRule="auto"/>
        <w:tabs>
          <w:tab w:leader="none" w:pos="603" w:val="left"/>
        </w:tabs>
        <w:numPr>
          <w:ilvl w:val="0"/>
          <w:numId w:val="4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left="620" w:hanging="184"/>
        <w:spacing w:after="0"/>
        <w:tabs>
          <w:tab w:leader="none" w:pos="620"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The parties acknowledge and agree that Executive is also a co-founder of Pathos, AI, Inc., an</w:t>
      </w:r>
    </w:p>
    <w:p>
      <w:pPr>
        <w:spacing w:after="0" w:line="2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 xml:space="preserve">AI-enabled drug development company that has entered into an agreement with the Company, and Executive may devote </w:t>
      </w:r>
      <w:r>
        <w:rPr>
          <w:rFonts w:ascii="Times New Roman" w:cs="Times New Roman" w:eastAsia="Times New Roman" w:hAnsi="Times New Roman"/>
          <w:sz w:val="16"/>
          <w:szCs w:val="16"/>
          <w:i w:val="1"/>
          <w:iCs w:val="1"/>
          <w:color w:val="auto"/>
        </w:rPr>
        <w:t>de minimus</w:t>
      </w:r>
      <w:r>
        <w:rPr>
          <w:rFonts w:ascii="Times New Roman" w:cs="Times New Roman" w:eastAsia="Times New Roman" w:hAnsi="Times New Roman"/>
          <w:sz w:val="16"/>
          <w:szCs w:val="16"/>
          <w:color w:val="auto"/>
        </w:rPr>
        <w:t xml:space="preserve"> working time to Pathos. Except as otherwise stated herein, Executive will not, while employed by the Company, undertake or engage in any other employment, occupation or business enterprise that would interfere with Executive’s responsibilities and the performance of Executive’s duties hereunder except for</w:t>
      </w:r>
    </w:p>
    <w:p>
      <w:pPr>
        <w:ind w:right="20" w:firstLine="8"/>
        <w:spacing w:after="0" w:line="244" w:lineRule="auto"/>
        <w:tabs>
          <w:tab w:leader="none" w:pos="209"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80"/>
          </w:cols>
          <w:pgMar w:left="580" w:top="263" w:right="639" w:bottom="1440" w:gutter="0" w:footer="0" w:header="0"/>
        </w:sectPr>
      </w:pPr>
    </w:p>
    <w:bookmarkStart w:id="560" w:name="page561"/>
    <w:bookmarkEnd w:id="560"/>
    <w:p>
      <w:pPr>
        <w:ind w:left="-20" w:right="20" w:firstLine="436"/>
        <w:spacing w:after="0" w:line="252" w:lineRule="auto"/>
        <w:tabs>
          <w:tab w:leader="none" w:pos="583" w:val="left"/>
        </w:tabs>
        <w:numPr>
          <w:ilvl w:val="0"/>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0" w:lineRule="exact"/>
        <w:rPr>
          <w:rFonts w:ascii="Times New Roman" w:cs="Times New Roman" w:eastAsia="Times New Roman" w:hAnsi="Times New Roman"/>
          <w:sz w:val="18"/>
          <w:szCs w:val="18"/>
          <w:b w:val="1"/>
          <w:bCs w:val="1"/>
          <w:color w:val="auto"/>
        </w:rPr>
      </w:pPr>
    </w:p>
    <w:p>
      <w:pPr>
        <w:ind w:left="-20" w:right="60" w:firstLine="436"/>
        <w:spacing w:after="0" w:line="303" w:lineRule="auto"/>
        <w:tabs>
          <w:tab w:leader="none" w:pos="583" w:val="left"/>
        </w:tabs>
        <w:numPr>
          <w:ilvl w:val="0"/>
          <w:numId w:val="4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p>
    <w:p>
      <w:pPr>
        <w:spacing w:after="0" w:line="213" w:lineRule="exact"/>
        <w:rPr>
          <w:sz w:val="20"/>
          <w:szCs w:val="20"/>
          <w:color w:val="auto"/>
        </w:rPr>
      </w:pPr>
    </w:p>
    <w:p>
      <w:pPr>
        <w:ind w:left="-20" w:right="260" w:firstLine="1400"/>
        <w:spacing w:after="0" w:line="252" w:lineRule="auto"/>
        <w:tabs>
          <w:tab w:leader="none" w:pos="1611"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1400"/>
        <w:spacing w:after="0" w:line="249" w:lineRule="auto"/>
        <w:tabs>
          <w:tab w:leader="none" w:pos="162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Executive shall also be eligible to receive the following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20" w:firstLine="1936"/>
        <w:spacing w:after="0" w:line="247" w:lineRule="auto"/>
        <w:tabs>
          <w:tab w:leader="none" w:pos="2117"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during the six (6) month period following Executive’s Separation from Service, Executive’s equity will continue to satisfy any applicable time-based vesting condition, as though Executive remained employed by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600" w:top="263" w:right="599" w:bottom="1440" w:gutter="0" w:footer="0" w:header="0"/>
        </w:sectPr>
      </w:pPr>
    </w:p>
    <w:bookmarkStart w:id="561" w:name="page562"/>
    <w:bookmarkEnd w:id="561"/>
    <w:p>
      <w:pPr>
        <w:ind w:left="-20" w:firstLine="1400"/>
        <w:spacing w:after="0" w:line="276" w:lineRule="auto"/>
        <w:tabs>
          <w:tab w:leader="none" w:pos="1611" w:val="left"/>
        </w:tabs>
        <w:numPr>
          <w:ilvl w:val="0"/>
          <w:numId w:val="4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8040" cy="36830"/>
                    </a:xfrm>
                    <a:prstGeom prst="rect">
                      <a:avLst/>
                    </a:prstGeom>
                    <a:noFill/>
                  </pic:spPr>
                </pic:pic>
              </a:graphicData>
            </a:graphic>
          </wp:anchor>
        </w:drawing>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 Executive (and Executive’s covered dependents) on the termination date until the earliest of: (i) twelve (12) months following the termination date (the “</w:t>
      </w:r>
      <w:r>
        <w:rPr>
          <w:rFonts w:ascii="Times New Roman" w:cs="Times New Roman" w:eastAsia="Times New Roman" w:hAnsi="Times New Roman"/>
          <w:sz w:val="16"/>
          <w:szCs w:val="16"/>
          <w:b w:val="1"/>
          <w:bCs w:val="1"/>
          <w:i w:val="1"/>
          <w:iCs w:val="1"/>
          <w:color w:val="auto"/>
        </w:rPr>
        <w:t>COBRA Severance Period</w:t>
      </w:r>
      <w:r>
        <w:rPr>
          <w:rFonts w:ascii="Times New Roman" w:cs="Times New Roman" w:eastAsia="Times New Roman" w:hAnsi="Times New Roman"/>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6"/>
          <w:szCs w:val="16"/>
          <w:b w:val="1"/>
          <w:bCs w:val="1"/>
          <w:i w:val="1"/>
          <w:iCs w:val="1"/>
          <w:color w:val="auto"/>
        </w:rPr>
        <w:t>COBRA Payment Period</w:t>
      </w:r>
      <w:r>
        <w:rPr>
          <w:rFonts w:ascii="Times New Roman" w:cs="Times New Roman" w:eastAsia="Times New Roman" w:hAnsi="Times New Roman"/>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6"/>
          <w:szCs w:val="16"/>
          <w:b w:val="1"/>
          <w:bCs w:val="1"/>
          <w:i w:val="1"/>
          <w:iCs w:val="1"/>
          <w:color w:val="auto"/>
        </w:rPr>
        <w:t>Special Severance Payment</w:t>
      </w:r>
      <w:r>
        <w:rPr>
          <w:rFonts w:ascii="Times New Roman" w:cs="Times New Roman" w:eastAsia="Times New Roman" w:hAnsi="Times New Roman"/>
          <w:sz w:val="16"/>
          <w:szCs w:val="16"/>
          <w:color w:val="auto"/>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Change in Control Severance Benefits (defined below) pursuant to </w:t>
      </w:r>
      <w:r>
        <w:rPr>
          <w:rFonts w:ascii="Times New Roman" w:cs="Times New Roman" w:eastAsia="Times New Roman" w:hAnsi="Times New Roman"/>
          <w:sz w:val="16"/>
          <w:szCs w:val="16"/>
          <w:b w:val="1"/>
          <w:bCs w:val="1"/>
          <w:color w:val="auto"/>
        </w:rPr>
        <w:t>6.2(a)</w:t>
      </w:r>
      <w:r>
        <w:rPr>
          <w:rFonts w:ascii="Times New Roman" w:cs="Times New Roman" w:eastAsia="Times New Roman" w:hAnsi="Times New Roman"/>
          <w:sz w:val="16"/>
          <w:szCs w:val="16"/>
          <w:color w:val="auto"/>
        </w:rPr>
        <w:t xml:space="preserve"> of this Agreement, as applicable, if: (i) Executive executes and does not revoke a separation agreement containing an effective, general release of claims in favor of the Company and its affiliates and representatives, in a form acceptable to the Company (the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the Release is enforceable and effective as provided in the Release on or before the date that is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day following the effective date of termination (such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the “</w:t>
      </w:r>
      <w:r>
        <w:rPr>
          <w:rFonts w:ascii="Times New Roman" w:cs="Times New Roman" w:eastAsia="Times New Roman" w:hAnsi="Times New Roman"/>
          <w:sz w:val="16"/>
          <w:szCs w:val="16"/>
          <w:b w:val="1"/>
          <w:bCs w:val="1"/>
          <w:i w:val="1"/>
          <w:iCs w:val="1"/>
          <w:color w:val="auto"/>
        </w:rPr>
        <w:t>Severance Pay Commencement Date</w:t>
      </w:r>
      <w:r>
        <w:rPr>
          <w:rFonts w:ascii="Times New Roman" w:cs="Times New Roman" w:eastAsia="Times New Roman" w:hAnsi="Times New Roman"/>
          <w:sz w:val="16"/>
          <w:szCs w:val="16"/>
          <w:color w:val="auto"/>
        </w:rPr>
        <w:t>”);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 (v) Executive complies with the terms of the Release, including without limitation any non-disparagement and confidentiality provisions contained in Release.</w:t>
      </w:r>
    </w:p>
    <w:p>
      <w:pPr>
        <w:spacing w:after="0" w:line="200" w:lineRule="exact"/>
        <w:rPr>
          <w:rFonts w:ascii="Times New Roman" w:cs="Times New Roman" w:eastAsia="Times New Roman" w:hAnsi="Times New Roman"/>
          <w:sz w:val="16"/>
          <w:szCs w:val="16"/>
          <w:color w:val="auto"/>
        </w:rPr>
      </w:pPr>
    </w:p>
    <w:p>
      <w:pPr>
        <w:spacing w:after="0" w:line="395" w:lineRule="exact"/>
        <w:rPr>
          <w:rFonts w:ascii="Times New Roman" w:cs="Times New Roman" w:eastAsia="Times New Roman" w:hAnsi="Times New Roman"/>
          <w:sz w:val="16"/>
          <w:szCs w:val="16"/>
          <w:color w:val="auto"/>
        </w:rPr>
      </w:pPr>
    </w:p>
    <w:p>
      <w:pPr>
        <w:ind w:left="-20" w:firstLine="1400"/>
        <w:spacing w:after="0" w:line="253" w:lineRule="auto"/>
        <w:tabs>
          <w:tab w:leader="none" w:pos="162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rFonts w:ascii="Times New Roman" w:cs="Times New Roman" w:eastAsia="Times New Roman" w:hAnsi="Times New Roman"/>
          <w:sz w:val="18"/>
          <w:szCs w:val="18"/>
          <w:color w:val="auto"/>
        </w:rPr>
      </w:pPr>
    </w:p>
    <w:p>
      <w:pPr>
        <w:ind w:left="-20" w:right="200" w:firstLine="1400"/>
        <w:spacing w:after="0" w:line="270" w:lineRule="auto"/>
        <w:tabs>
          <w:tab w:leader="none" w:pos="1611"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66" w:lineRule="exact"/>
        <w:rPr>
          <w:rFonts w:ascii="Times New Roman" w:cs="Times New Roman" w:eastAsia="Times New Roman" w:hAnsi="Times New Roman"/>
          <w:sz w:val="18"/>
          <w:szCs w:val="18"/>
          <w:color w:val="auto"/>
        </w:rPr>
      </w:pPr>
    </w:p>
    <w:p>
      <w:pPr>
        <w:jc w:val="both"/>
        <w:ind w:left="-20" w:right="60" w:firstLine="1400"/>
        <w:spacing w:after="0" w:line="255" w:lineRule="auto"/>
        <w:tabs>
          <w:tab w:leader="none" w:pos="1591"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5" w:right="619" w:bottom="1440" w:gutter="0" w:footer="0" w:header="0"/>
        </w:sectPr>
      </w:pPr>
    </w:p>
    <w:bookmarkStart w:id="562" w:name="page563"/>
    <w:bookmarkEnd w:id="562"/>
    <w:p>
      <w:pPr>
        <w:ind w:left="-8" w:right="40" w:firstLine="1400"/>
        <w:spacing w:after="0" w:line="277" w:lineRule="auto"/>
        <w:tabs>
          <w:tab w:leader="none" w:pos="1633" w:val="left"/>
        </w:tabs>
        <w:numPr>
          <w:ilvl w:val="1"/>
          <w:numId w:val="4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3" w:lineRule="exact"/>
        <w:rPr>
          <w:rFonts w:ascii="Times New Roman" w:cs="Times New Roman" w:eastAsia="Times New Roman" w:hAnsi="Times New Roman"/>
          <w:sz w:val="16"/>
          <w:szCs w:val="16"/>
          <w:color w:val="auto"/>
        </w:rPr>
      </w:pPr>
    </w:p>
    <w:p>
      <w:pPr>
        <w:ind w:left="-8" w:right="180" w:firstLine="8"/>
        <w:spacing w:after="0" w:line="244" w:lineRule="auto"/>
        <w:tabs>
          <w:tab w:leader="none" w:pos="24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6.2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20" w:firstLine="1400"/>
        <w:spacing w:after="0" w:line="248" w:lineRule="auto"/>
        <w:tabs>
          <w:tab w:leader="none" w:pos="1623"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provided that such termination constitutes a Separation from Service, without regard to any alternative definition thereunder, then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8" w:firstLine="1936"/>
        <w:spacing w:after="0" w:line="249" w:lineRule="auto"/>
        <w:tabs>
          <w:tab w:leader="none" w:pos="213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12"/>
          </w:cols>
          <w:pgMar w:left="588" w:top="261" w:right="599" w:bottom="1440" w:gutter="0" w:footer="0" w:header="0"/>
        </w:sectPr>
      </w:pPr>
    </w:p>
    <w:bookmarkStart w:id="563" w:name="page564"/>
    <w:bookmarkEnd w:id="563"/>
    <w:p>
      <w:pPr>
        <w:ind w:left="9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6.3 Termination by the Company for Cause.</w:t>
      </w:r>
    </w:p>
    <w:p>
      <w:pPr>
        <w:spacing w:after="0" w:line="215" w:lineRule="exact"/>
        <w:rPr>
          <w:sz w:val="20"/>
          <w:szCs w:val="20"/>
          <w:color w:val="auto"/>
        </w:rPr>
      </w:pPr>
    </w:p>
    <w:p>
      <w:pPr>
        <w:ind w:left="-8" w:firstLine="1400"/>
        <w:spacing w:after="0" w:line="251" w:lineRule="auto"/>
        <w:tabs>
          <w:tab w:leader="none" w:pos="1623"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8" w:firstLine="1400"/>
        <w:spacing w:after="0" w:line="246" w:lineRule="auto"/>
        <w:tabs>
          <w:tab w:leader="none" w:pos="1633"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for termination shall mean that the Company has determined in its sole discretion that Executive has engaged in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w:t>
      </w:r>
    </w:p>
    <w:p>
      <w:pPr>
        <w:spacing w:after="0" w:line="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misappropriation, destruction, or diversion of any tangible or intangible asset or corporate opportunity of the Company.</w:t>
      </w:r>
    </w:p>
    <w:p>
      <w:pPr>
        <w:spacing w:after="0" w:line="19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40" w:firstLine="1400"/>
        <w:spacing w:after="0" w:line="270" w:lineRule="auto"/>
        <w:tabs>
          <w:tab w:leader="none" w:pos="1623"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8" w:right="440" w:firstLine="1400"/>
        <w:spacing w:after="0" w:line="251" w:lineRule="auto"/>
        <w:tabs>
          <w:tab w:leader="none" w:pos="1633"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80" w:firstLine="1400"/>
        <w:spacing w:after="0" w:line="255" w:lineRule="auto"/>
        <w:tabs>
          <w:tab w:leader="none" w:pos="1623"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rFonts w:ascii="Times New Roman" w:cs="Times New Roman" w:eastAsia="Times New Roman" w:hAnsi="Times New Roman"/>
          <w:sz w:val="18"/>
          <w:szCs w:val="18"/>
          <w:color w:val="auto"/>
        </w:rPr>
      </w:pPr>
    </w:p>
    <w:p>
      <w:pPr>
        <w:ind w:left="-8" w:right="20" w:firstLine="1400"/>
        <w:spacing w:after="0" w:line="251" w:lineRule="auto"/>
        <w:tabs>
          <w:tab w:leader="none" w:pos="1633"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 unable due to a physical or mental condition to perform the essential functions of his position with</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12"/>
          </w:cols>
          <w:pgMar w:left="588" w:top="262" w:right="599" w:bottom="1440" w:gutter="0" w:footer="0" w:header="0"/>
        </w:sectPr>
      </w:pPr>
    </w:p>
    <w:bookmarkStart w:id="564" w:name="page565"/>
    <w:bookmarkEnd w:id="564"/>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40" w:hanging="240"/>
        <w:spacing w:after="0"/>
        <w:tabs>
          <w:tab w:leader="none" w:pos="164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213" w:lineRule="exact"/>
        <w:rPr>
          <w:rFonts w:ascii="Times New Roman" w:cs="Times New Roman" w:eastAsia="Times New Roman" w:hAnsi="Times New Roman"/>
          <w:sz w:val="18"/>
          <w:szCs w:val="18"/>
          <w:color w:val="auto"/>
        </w:rPr>
      </w:pPr>
    </w:p>
    <w:p>
      <w:pPr>
        <w:ind w:right="480" w:firstLine="1936"/>
        <w:spacing w:after="0" w:line="255" w:lineRule="auto"/>
        <w:tabs>
          <w:tab w:leader="none" w:pos="2137"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right="160" w:firstLine="1936"/>
        <w:spacing w:after="0" w:line="255" w:lineRule="auto"/>
        <w:tabs>
          <w:tab w:leader="none" w:pos="2234"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right="180" w:firstLine="1936"/>
        <w:spacing w:after="0" w:line="256" w:lineRule="auto"/>
        <w:tabs>
          <w:tab w:leader="none" w:pos="2225"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77"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80" w:firstLine="1400"/>
        <w:spacing w:after="0" w:line="251" w:lineRule="auto"/>
        <w:tabs>
          <w:tab w:leader="none" w:pos="164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6.7 Cooperation with Company after Termination of Employment</w:t>
      </w:r>
      <w:r>
        <w:rPr>
          <w:rFonts w:ascii="Times New Roman" w:cs="Times New Roman" w:eastAsia="Times New Roman" w:hAnsi="Times New Roman"/>
          <w:sz w:val="18"/>
          <w:szCs w:val="18"/>
          <w:color w:val="auto"/>
        </w:rPr>
        <w:t>. Following termination of Executive’s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to cooperate 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 Company. Such cooperation includes, without limitation, making Executive available to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65" w:name="page566"/>
    <w:bookmarkEnd w:id="565"/>
    <w:p>
      <w:pPr>
        <w:ind w:right="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 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84"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w:t>
      </w:r>
    </w:p>
    <w:p>
      <w:pPr>
        <w:spacing w:after="0" w:line="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w:t>
      </w:r>
    </w:p>
    <w:p>
      <w:pPr>
        <w:ind w:right="160" w:firstLine="8"/>
        <w:spacing w:after="0" w:line="274" w:lineRule="auto"/>
        <w:tabs>
          <w:tab w:leader="none" w:pos="209"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566" w:name="page567"/>
    <w:bookmarkEnd w:id="566"/>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Section 280G. </w:t>
      </w:r>
      <w:r>
        <w:rPr>
          <w:rFonts w:ascii="Times New Roman" w:cs="Times New Roman" w:eastAsia="Times New Roman" w:hAnsi="Times New Roman"/>
          <w:sz w:val="16"/>
          <w:szCs w:val="16"/>
          <w:color w:val="auto"/>
        </w:rPr>
        <w:t>Notwithstanding any other provision of this Agreement to the contrary, if payments made or benefits provided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w:t>
      </w:r>
    </w:p>
    <w:p>
      <w:pPr>
        <w:spacing w:after="0" w:line="6" w:lineRule="exact"/>
        <w:rPr>
          <w:sz w:val="20"/>
          <w:szCs w:val="20"/>
          <w:color w:val="auto"/>
        </w:rPr>
      </w:pPr>
    </w:p>
    <w:p>
      <w:pPr>
        <w:ind w:right="40" w:firstLine="8"/>
        <w:spacing w:after="0" w:line="277" w:lineRule="auto"/>
        <w:tabs>
          <w:tab w:leader="none" w:pos="296"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3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 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3" w:right="599" w:bottom="1440" w:gutter="0" w:footer="0" w:header="0"/>
        </w:sectPr>
      </w:pPr>
    </w:p>
    <w:bookmarkStart w:id="567" w:name="page568"/>
    <w:bookmarkEnd w:id="567"/>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3" w:right="599" w:bottom="1440" w:gutter="0" w:footer="0" w:header="0"/>
        </w:sectPr>
      </w:pPr>
    </w:p>
    <w:bookmarkStart w:id="568" w:name="page569"/>
    <w:bookmarkEnd w:id="568"/>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64"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4" w:right="61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13335</wp:posOffset>
            </wp:positionV>
            <wp:extent cx="249237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13335</wp:posOffset>
            </wp:positionV>
            <wp:extent cx="271780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Ryan Fukushima</w:t>
      </w:r>
    </w:p>
    <w:p>
      <w:pPr>
        <w:sectPr>
          <w:pgSz w:w="11900" w:h="16838" w:orient="portrait"/>
          <w:cols w:equalWidth="0" w:num="1">
            <w:col w:w="9439"/>
          </w:cols>
          <w:pgMar w:left="1020" w:top="263" w:right="1440" w:bottom="1440" w:gutter="0" w:footer="0" w:header="0"/>
        </w:sectPr>
      </w:pPr>
    </w:p>
    <w:bookmarkStart w:id="570" w:name="page571"/>
    <w:bookmarkEnd w:id="570"/>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20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2022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4"/>
          <w:szCs w:val="14"/>
          <w:b w:val="1"/>
          <w:bCs w:val="1"/>
          <w:color w:val="auto"/>
        </w:rPr>
        <w:t>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Financial Officer and provide Executive with certain compensation and benefits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1.1 Position</w:t>
      </w:r>
      <w:r>
        <w:rPr>
          <w:rFonts w:ascii="Times New Roman" w:cs="Times New Roman" w:eastAsia="Times New Roman" w:hAnsi="Times New Roman"/>
          <w:sz w:val="18"/>
          <w:szCs w:val="18"/>
          <w:color w:val="auto"/>
        </w:rPr>
        <w:t>. Subject to the terms set forth herein, the Company agrees to employ Executive in the position of Chief Financial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hereby accepts such continued employment on the terms and conditions set forth in this Agreement.</w:t>
      </w:r>
    </w:p>
    <w:p>
      <w:pPr>
        <w:spacing w:after="0" w:line="162" w:lineRule="exact"/>
        <w:rPr>
          <w:sz w:val="20"/>
          <w:szCs w:val="20"/>
          <w:color w:val="auto"/>
        </w:rPr>
      </w:pPr>
    </w:p>
    <w:p>
      <w:pPr>
        <w:ind w:right="200" w:firstLine="964"/>
        <w:spacing w:after="0" w:line="249" w:lineRule="auto"/>
        <w:rPr>
          <w:sz w:val="20"/>
          <w:szCs w:val="20"/>
          <w:color w:val="auto"/>
        </w:rPr>
      </w:pPr>
      <w:r>
        <w:rPr>
          <w:rFonts w:ascii="Times New Roman" w:cs="Times New Roman" w:eastAsia="Times New Roman" w:hAnsi="Times New Roman"/>
          <w:sz w:val="18"/>
          <w:szCs w:val="18"/>
          <w:b w:val="1"/>
          <w:bCs w:val="1"/>
          <w:color w:val="auto"/>
        </w:rPr>
        <w:t>1.2 Duties</w:t>
      </w:r>
      <w:r>
        <w:rPr>
          <w:rFonts w:ascii="Times New Roman" w:cs="Times New Roman" w:eastAsia="Times New Roman" w:hAnsi="Times New Roman"/>
          <w:sz w:val="18"/>
          <w:szCs w:val="18"/>
          <w:color w:val="auto"/>
        </w:rPr>
        <w:t>. As Chief Financial Officer, Executive will report to the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performing such duties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facility in Chicago. In addition, Executive shall make such business trips to such places as may be necessary or advisable for the efficient operations of the Company.</w:t>
      </w:r>
    </w:p>
    <w:p>
      <w:pPr>
        <w:spacing w:after="0" w:line="184"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571" w:name="page572"/>
    <w:bookmarkEnd w:id="57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6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$450,000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right="4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2.3 Expense Reimbursement</w:t>
      </w:r>
      <w:r>
        <w:rPr>
          <w:rFonts w:ascii="Times New Roman" w:cs="Times New Roman" w:eastAsia="Times New Roman" w:hAnsi="Times New Roman"/>
          <w:sz w:val="18"/>
          <w:szCs w:val="18"/>
          <w:color w:val="auto"/>
        </w:rPr>
        <w:t>. The Company will reimburse Executive for reasonable business expenses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expense reimbursement policy, as the same may be modified by the Company from time to time. The Company shall reimburse Executive for all customary and appropriate business-related expenses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9" w:lineRule="exact"/>
        <w:rPr>
          <w:sz w:val="20"/>
          <w:szCs w:val="20"/>
          <w:color w:val="auto"/>
        </w:rPr>
      </w:pPr>
    </w:p>
    <w:p>
      <w:pPr>
        <w:jc w:val="both"/>
        <w:ind w:right="40" w:firstLine="436"/>
        <w:spacing w:after="0" w:line="293" w:lineRule="auto"/>
        <w:tabs>
          <w:tab w:leader="none" w:pos="603" w:val="left"/>
        </w:tabs>
        <w:numPr>
          <w:ilvl w:val="0"/>
          <w:numId w:val="4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firstLine="436"/>
        <w:spacing w:after="0" w:line="247" w:lineRule="auto"/>
        <w:tabs>
          <w:tab w:leader="none" w:pos="603"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Except with the prior written consent of the Board, including consent given to Executive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of this Agreement,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2" w:right="619" w:bottom="1440" w:gutter="0" w:footer="0" w:header="0"/>
        </w:sectPr>
      </w:pPr>
    </w:p>
    <w:bookmarkStart w:id="572" w:name="page573"/>
    <w:bookmarkEnd w:id="572"/>
    <w:p>
      <w:pPr>
        <w:ind w:left="-20" w:right="20" w:firstLine="436"/>
        <w:spacing w:after="0" w:line="252" w:lineRule="auto"/>
        <w:tabs>
          <w:tab w:leader="none" w:pos="583"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0" w:lineRule="exact"/>
        <w:rPr>
          <w:rFonts w:ascii="Times New Roman" w:cs="Times New Roman" w:eastAsia="Times New Roman" w:hAnsi="Times New Roman"/>
          <w:sz w:val="18"/>
          <w:szCs w:val="18"/>
          <w:b w:val="1"/>
          <w:bCs w:val="1"/>
          <w:color w:val="auto"/>
        </w:rPr>
      </w:pPr>
    </w:p>
    <w:p>
      <w:pPr>
        <w:ind w:left="-20" w:right="60" w:firstLine="436"/>
        <w:spacing w:after="0" w:line="303" w:lineRule="auto"/>
        <w:tabs>
          <w:tab w:leader="none" w:pos="583" w:val="left"/>
        </w:tabs>
        <w:numPr>
          <w:ilvl w:val="0"/>
          <w:numId w:val="4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0" w:right="260" w:firstLine="1400"/>
        <w:spacing w:after="0" w:line="252" w:lineRule="auto"/>
        <w:tabs>
          <w:tab w:leader="none" w:pos="1611"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1400"/>
        <w:spacing w:after="0" w:line="249" w:lineRule="auto"/>
        <w:tabs>
          <w:tab w:leader="none" w:pos="16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Executive shall also be eligible to receive the following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0" w:firstLine="1936"/>
        <w:spacing w:after="0" w:line="247" w:lineRule="auto"/>
        <w:tabs>
          <w:tab w:leader="none" w:pos="2117"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during the six (6) month period following Executive’s Separation from Service, Executive’s equity will continue to satisfy any applicable time-based vesting condition, as though Executive remained employed by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600" w:top="263" w:right="599" w:bottom="1440" w:gutter="0" w:footer="0" w:header="0"/>
        </w:sectPr>
      </w:pPr>
    </w:p>
    <w:bookmarkStart w:id="573" w:name="page574"/>
    <w:bookmarkEnd w:id="573"/>
    <w:p>
      <w:pPr>
        <w:ind w:left="-20" w:firstLine="1400"/>
        <w:spacing w:after="0" w:line="276" w:lineRule="auto"/>
        <w:tabs>
          <w:tab w:leader="none" w:pos="1611" w:val="left"/>
        </w:tabs>
        <w:numPr>
          <w:ilvl w:val="0"/>
          <w:numId w:val="4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 Executive (and Executive’s covered dependents) on the termination date until the earliest of: (i) twelve (12) months following the termination date (the “</w:t>
      </w:r>
      <w:r>
        <w:rPr>
          <w:rFonts w:ascii="Times New Roman" w:cs="Times New Roman" w:eastAsia="Times New Roman" w:hAnsi="Times New Roman"/>
          <w:sz w:val="16"/>
          <w:szCs w:val="16"/>
          <w:b w:val="1"/>
          <w:bCs w:val="1"/>
          <w:i w:val="1"/>
          <w:iCs w:val="1"/>
          <w:color w:val="auto"/>
        </w:rPr>
        <w:t>COBRA Severance Period</w:t>
      </w:r>
      <w:r>
        <w:rPr>
          <w:rFonts w:ascii="Times New Roman" w:cs="Times New Roman" w:eastAsia="Times New Roman" w:hAnsi="Times New Roman"/>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6"/>
          <w:szCs w:val="16"/>
          <w:b w:val="1"/>
          <w:bCs w:val="1"/>
          <w:i w:val="1"/>
          <w:iCs w:val="1"/>
          <w:color w:val="auto"/>
        </w:rPr>
        <w:t>COBRA Payment Period</w:t>
      </w:r>
      <w:r>
        <w:rPr>
          <w:rFonts w:ascii="Times New Roman" w:cs="Times New Roman" w:eastAsia="Times New Roman" w:hAnsi="Times New Roman"/>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6"/>
          <w:szCs w:val="16"/>
          <w:b w:val="1"/>
          <w:bCs w:val="1"/>
          <w:i w:val="1"/>
          <w:iCs w:val="1"/>
          <w:color w:val="auto"/>
        </w:rPr>
        <w:t>Special Severance Payment</w:t>
      </w:r>
      <w:r>
        <w:rPr>
          <w:rFonts w:ascii="Times New Roman" w:cs="Times New Roman" w:eastAsia="Times New Roman" w:hAnsi="Times New Roman"/>
          <w:sz w:val="16"/>
          <w:szCs w:val="16"/>
          <w:color w:val="auto"/>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Change in Control Severance Benefits (defined below) pursuant to </w:t>
      </w:r>
      <w:r>
        <w:rPr>
          <w:rFonts w:ascii="Times New Roman" w:cs="Times New Roman" w:eastAsia="Times New Roman" w:hAnsi="Times New Roman"/>
          <w:sz w:val="16"/>
          <w:szCs w:val="16"/>
          <w:b w:val="1"/>
          <w:bCs w:val="1"/>
          <w:color w:val="auto"/>
        </w:rPr>
        <w:t>6.2(a)</w:t>
      </w:r>
      <w:r>
        <w:rPr>
          <w:rFonts w:ascii="Times New Roman" w:cs="Times New Roman" w:eastAsia="Times New Roman" w:hAnsi="Times New Roman"/>
          <w:sz w:val="16"/>
          <w:szCs w:val="16"/>
          <w:color w:val="auto"/>
        </w:rPr>
        <w:t xml:space="preserve"> of this Agreement, as applicable, if: (i) Executive executes and does not revoke a separation agreement containing an effective, general release of claims in favor of the Company and its affiliates and representatives, in a form acceptable to the Company (the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the Release is enforceable and effective as provided in the Release on or before the date that is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day following the effective date of termination (such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the “</w:t>
      </w:r>
      <w:r>
        <w:rPr>
          <w:rFonts w:ascii="Times New Roman" w:cs="Times New Roman" w:eastAsia="Times New Roman" w:hAnsi="Times New Roman"/>
          <w:sz w:val="16"/>
          <w:szCs w:val="16"/>
          <w:b w:val="1"/>
          <w:bCs w:val="1"/>
          <w:i w:val="1"/>
          <w:iCs w:val="1"/>
          <w:color w:val="auto"/>
        </w:rPr>
        <w:t>Severance Pay Commencement Date</w:t>
      </w:r>
      <w:r>
        <w:rPr>
          <w:rFonts w:ascii="Times New Roman" w:cs="Times New Roman" w:eastAsia="Times New Roman" w:hAnsi="Times New Roman"/>
          <w:sz w:val="16"/>
          <w:szCs w:val="16"/>
          <w:color w:val="auto"/>
        </w:rPr>
        <w:t>”);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 (v) Executive complies with the terms of the Release, including without limitation any non-disparagement and confidentiality provisions contained in Release.</w:t>
      </w:r>
    </w:p>
    <w:p>
      <w:pPr>
        <w:spacing w:after="0" w:line="200" w:lineRule="exact"/>
        <w:rPr>
          <w:rFonts w:ascii="Times New Roman" w:cs="Times New Roman" w:eastAsia="Times New Roman" w:hAnsi="Times New Roman"/>
          <w:sz w:val="16"/>
          <w:szCs w:val="16"/>
          <w:color w:val="auto"/>
        </w:rPr>
      </w:pPr>
    </w:p>
    <w:p>
      <w:pPr>
        <w:spacing w:after="0" w:line="395" w:lineRule="exact"/>
        <w:rPr>
          <w:rFonts w:ascii="Times New Roman" w:cs="Times New Roman" w:eastAsia="Times New Roman" w:hAnsi="Times New Roman"/>
          <w:sz w:val="16"/>
          <w:szCs w:val="16"/>
          <w:color w:val="auto"/>
        </w:rPr>
      </w:pPr>
    </w:p>
    <w:p>
      <w:pPr>
        <w:ind w:left="-20" w:firstLine="1400"/>
        <w:spacing w:after="0" w:line="253" w:lineRule="auto"/>
        <w:tabs>
          <w:tab w:leader="none" w:pos="162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rFonts w:ascii="Times New Roman" w:cs="Times New Roman" w:eastAsia="Times New Roman" w:hAnsi="Times New Roman"/>
          <w:sz w:val="18"/>
          <w:szCs w:val="18"/>
          <w:color w:val="auto"/>
        </w:rPr>
      </w:pPr>
    </w:p>
    <w:p>
      <w:pPr>
        <w:ind w:left="-20" w:right="200" w:firstLine="1400"/>
        <w:spacing w:after="0" w:line="270" w:lineRule="auto"/>
        <w:tabs>
          <w:tab w:leader="none" w:pos="1611"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5" w:right="619" w:bottom="1440" w:gutter="0" w:footer="0" w:header="0"/>
        </w:sectPr>
      </w:pPr>
    </w:p>
    <w:bookmarkStart w:id="574" w:name="page575"/>
    <w:bookmarkEnd w:id="574"/>
    <w:p>
      <w:pPr>
        <w:jc w:val="both"/>
        <w:ind w:left="-8" w:right="80" w:firstLine="1400"/>
        <w:spacing w:after="0" w:line="255" w:lineRule="auto"/>
        <w:tabs>
          <w:tab w:leader="none" w:pos="1604"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76" w:lineRule="exact"/>
        <w:rPr>
          <w:rFonts w:ascii="Times New Roman" w:cs="Times New Roman" w:eastAsia="Times New Roman" w:hAnsi="Times New Roman"/>
          <w:sz w:val="18"/>
          <w:szCs w:val="18"/>
          <w:color w:val="auto"/>
        </w:rPr>
      </w:pPr>
    </w:p>
    <w:p>
      <w:pPr>
        <w:ind w:left="-8" w:right="40" w:firstLine="1400"/>
        <w:spacing w:after="0" w:line="277" w:lineRule="auto"/>
        <w:tabs>
          <w:tab w:leader="none" w:pos="1633" w:val="left"/>
        </w:tabs>
        <w:numPr>
          <w:ilvl w:val="1"/>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3" w:lineRule="exact"/>
        <w:rPr>
          <w:rFonts w:ascii="Times New Roman" w:cs="Times New Roman" w:eastAsia="Times New Roman" w:hAnsi="Times New Roman"/>
          <w:sz w:val="16"/>
          <w:szCs w:val="16"/>
          <w:color w:val="auto"/>
        </w:rPr>
      </w:pPr>
    </w:p>
    <w:p>
      <w:pPr>
        <w:ind w:left="-8" w:right="180" w:firstLine="8"/>
        <w:spacing w:after="0" w:line="244" w:lineRule="auto"/>
        <w:tabs>
          <w:tab w:leader="none" w:pos="24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6.2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20" w:firstLine="1400"/>
        <w:spacing w:after="0" w:line="248" w:lineRule="auto"/>
        <w:tabs>
          <w:tab w:leader="none" w:pos="1623"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provided that such termination constitutes a Separation from Service, without regard to any alternative definition thereunder, then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8" w:firstLine="1936"/>
        <w:spacing w:after="0" w:line="249" w:lineRule="auto"/>
        <w:tabs>
          <w:tab w:leader="none" w:pos="213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12"/>
          </w:cols>
          <w:pgMar w:left="588" w:top="265" w:right="599" w:bottom="1440" w:gutter="0" w:footer="0" w:header="0"/>
        </w:sectPr>
      </w:pPr>
    </w:p>
    <w:bookmarkStart w:id="575" w:name="page576"/>
    <w:bookmarkEnd w:id="575"/>
    <w:p>
      <w:pPr>
        <w:ind w:left="9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6.3 Termination by the Company for Cause.</w:t>
      </w:r>
    </w:p>
    <w:p>
      <w:pPr>
        <w:spacing w:after="0" w:line="215" w:lineRule="exact"/>
        <w:rPr>
          <w:sz w:val="20"/>
          <w:szCs w:val="20"/>
          <w:color w:val="auto"/>
        </w:rPr>
      </w:pPr>
    </w:p>
    <w:p>
      <w:pPr>
        <w:ind w:left="-8" w:firstLine="1400"/>
        <w:spacing w:after="0" w:line="251" w:lineRule="auto"/>
        <w:tabs>
          <w:tab w:leader="none" w:pos="1623"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8" w:firstLine="1400"/>
        <w:spacing w:after="0" w:line="246" w:lineRule="auto"/>
        <w:tabs>
          <w:tab w:leader="none" w:pos="1633"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for termination shall mean that the Company has determined in its sole discretion that Executive has engaged in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w:t>
      </w:r>
    </w:p>
    <w:p>
      <w:pPr>
        <w:spacing w:after="0" w:line="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misappropriation, destruction, or diversion of any tangible or intangible asset or corporate opportunity of the Company.</w:t>
      </w:r>
    </w:p>
    <w:p>
      <w:pPr>
        <w:spacing w:after="0" w:line="19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40" w:firstLine="1400"/>
        <w:spacing w:after="0" w:line="270" w:lineRule="auto"/>
        <w:tabs>
          <w:tab w:leader="none" w:pos="1623"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8" w:right="440" w:firstLine="1400"/>
        <w:spacing w:after="0" w:line="251" w:lineRule="auto"/>
        <w:tabs>
          <w:tab w:leader="none" w:pos="1633"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80" w:firstLine="1400"/>
        <w:spacing w:after="0" w:line="255" w:lineRule="auto"/>
        <w:tabs>
          <w:tab w:leader="none" w:pos="1623"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rFonts w:ascii="Times New Roman" w:cs="Times New Roman" w:eastAsia="Times New Roman" w:hAnsi="Times New Roman"/>
          <w:sz w:val="18"/>
          <w:szCs w:val="18"/>
          <w:color w:val="auto"/>
        </w:rPr>
      </w:pPr>
    </w:p>
    <w:p>
      <w:pPr>
        <w:ind w:left="-8" w:right="20" w:firstLine="1400"/>
        <w:spacing w:after="0" w:line="255" w:lineRule="auto"/>
        <w:tabs>
          <w:tab w:leader="none" w:pos="1633"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w:t>
      </w:r>
    </w:p>
    <w:p>
      <w:pPr>
        <w:spacing w:after="0" w:line="1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12"/>
          </w:cols>
          <w:pgMar w:left="588" w:top="263" w:right="599" w:bottom="1440" w:gutter="0" w:footer="0" w:header="0"/>
        </w:sectPr>
      </w:pPr>
    </w:p>
    <w:bookmarkStart w:id="576" w:name="page577"/>
    <w:bookmarkEnd w:id="576"/>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8040" cy="36830"/>
                    </a:xfrm>
                    <a:prstGeom prst="rect">
                      <a:avLst/>
                    </a:prstGeom>
                    <a:noFill/>
                  </pic:spPr>
                </pic:pic>
              </a:graphicData>
            </a:graphic>
          </wp:anchor>
        </w:drawing>
        <w:t>unable due to a physical or mental condition to perform the essential functions of his position with 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40" w:hanging="240"/>
        <w:spacing w:after="0"/>
        <w:tabs>
          <w:tab w:leader="none" w:pos="16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108" w:lineRule="exact"/>
        <w:rPr>
          <w:rFonts w:ascii="Times New Roman" w:cs="Times New Roman" w:eastAsia="Times New Roman" w:hAnsi="Times New Roman"/>
          <w:sz w:val="18"/>
          <w:szCs w:val="18"/>
          <w:color w:val="auto"/>
        </w:rPr>
      </w:pPr>
    </w:p>
    <w:p>
      <w:pPr>
        <w:ind w:right="480" w:firstLine="1936"/>
        <w:spacing w:after="0" w:line="255" w:lineRule="auto"/>
        <w:tabs>
          <w:tab w:leader="none" w:pos="2137"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right="160" w:firstLine="1936"/>
        <w:spacing w:after="0" w:line="255" w:lineRule="auto"/>
        <w:tabs>
          <w:tab w:leader="none" w:pos="2234"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right="180" w:firstLine="1936"/>
        <w:spacing w:after="0" w:line="256" w:lineRule="auto"/>
        <w:tabs>
          <w:tab w:leader="none" w:pos="2225"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77"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80" w:firstLine="1400"/>
        <w:spacing w:after="0" w:line="251" w:lineRule="auto"/>
        <w:tabs>
          <w:tab w:leader="none" w:pos="16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6.7 Cooperation with Company after Termination of Employment</w:t>
      </w:r>
      <w:r>
        <w:rPr>
          <w:rFonts w:ascii="Times New Roman" w:cs="Times New Roman" w:eastAsia="Times New Roman" w:hAnsi="Times New Roman"/>
          <w:sz w:val="18"/>
          <w:szCs w:val="18"/>
          <w:color w:val="auto"/>
        </w:rPr>
        <w:t>. Following termination of Executive’s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to cooperate 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77" w:name="page578"/>
    <w:bookmarkEnd w:id="577"/>
    <w:p>
      <w:pPr>
        <w:ind w:right="12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Company. Such cooperation includes, without limitation, making Executive available to the 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 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59"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w:t>
      </w:r>
    </w:p>
    <w:p>
      <w:pPr>
        <w:spacing w:after="0" w:line="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w:t>
      </w:r>
    </w:p>
    <w:p>
      <w:pPr>
        <w:ind w:right="160" w:firstLine="8"/>
        <w:spacing w:after="0" w:line="274" w:lineRule="auto"/>
        <w:tabs>
          <w:tab w:leader="none" w:pos="209" w:val="left"/>
        </w:tabs>
        <w:numPr>
          <w:ilvl w:val="0"/>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578" w:name="page579"/>
    <w:bookmarkEnd w:id="578"/>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Section 280G. </w:t>
      </w:r>
      <w:r>
        <w:rPr>
          <w:rFonts w:ascii="Times New Roman" w:cs="Times New Roman" w:eastAsia="Times New Roman" w:hAnsi="Times New Roman"/>
          <w:sz w:val="16"/>
          <w:szCs w:val="16"/>
          <w:color w:val="auto"/>
        </w:rPr>
        <w:t>Notwithstanding any other provision of this Agreement to the contrary, if payments made or benefits provided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w:t>
      </w:r>
    </w:p>
    <w:p>
      <w:pPr>
        <w:spacing w:after="0" w:line="6" w:lineRule="exact"/>
        <w:rPr>
          <w:sz w:val="20"/>
          <w:szCs w:val="20"/>
          <w:color w:val="auto"/>
        </w:rPr>
      </w:pPr>
    </w:p>
    <w:p>
      <w:pPr>
        <w:ind w:right="40" w:firstLine="8"/>
        <w:spacing w:after="0" w:line="277" w:lineRule="auto"/>
        <w:tabs>
          <w:tab w:leader="none" w:pos="296"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377"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1"/>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3" w:right="599" w:bottom="1440" w:gutter="0" w:footer="0" w:header="0"/>
        </w:sectPr>
      </w:pPr>
    </w:p>
    <w:bookmarkStart w:id="579" w:name="page580"/>
    <w:bookmarkEnd w:id="579"/>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4" w:right="599" w:bottom="1440" w:gutter="0" w:footer="0" w:header="0"/>
        </w:sectPr>
      </w:pPr>
    </w:p>
    <w:bookmarkStart w:id="580" w:name="page581"/>
    <w:bookmarkEnd w:id="580"/>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64"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3" w:right="61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3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-130175</wp:posOffset>
            </wp:positionV>
            <wp:extent cx="252603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Jim Rogers</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-130175</wp:posOffset>
            </wp:positionV>
            <wp:extent cx="271780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9439"/>
          </w:cols>
          <w:pgMar w:left="1020" w:top="262" w:right="1440" w:bottom="1440" w:gutter="0" w:footer="0" w:header="0"/>
        </w:sectPr>
      </w:pPr>
    </w:p>
    <w:bookmarkStart w:id="582" w:name="page583"/>
    <w:bookmarkEnd w:id="582"/>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18, 2021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ANUARY</w:t>
      </w:r>
      <w:r>
        <w:rPr>
          <w:rFonts w:ascii="Times New Roman" w:cs="Times New Roman" w:eastAsia="Times New Roman" w:hAnsi="Times New Roman"/>
          <w:sz w:val="18"/>
          <w:szCs w:val="18"/>
          <w:b w:val="1"/>
          <w:bCs w:val="1"/>
          <w:color w:val="auto"/>
        </w:rPr>
        <w:t xml:space="preserve"> 3, 2022</w:t>
      </w:r>
    </w:p>
    <w:p>
      <w:pPr>
        <w:spacing w:after="0" w:line="193" w:lineRule="exact"/>
        <w:rPr>
          <w:sz w:val="20"/>
          <w:szCs w:val="20"/>
          <w:color w:val="auto"/>
        </w:rPr>
      </w:pPr>
    </w:p>
    <w:p>
      <w:pPr>
        <w:ind w:left="180" w:hanging="172"/>
        <w:spacing w:after="0"/>
        <w:tabs>
          <w:tab w:leader="none" w:pos="180"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436"/>
        <w:spacing w:after="0" w:line="251" w:lineRule="auto"/>
        <w:tabs>
          <w:tab w:leader="none" w:pos="676" w:val="left"/>
        </w:tabs>
        <w:numPr>
          <w:ilvl w:val="1"/>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79" w:lineRule="exact"/>
        <w:rPr>
          <w:rFonts w:ascii="Times New Roman" w:cs="Times New Roman" w:eastAsia="Times New Roman" w:hAnsi="Times New Roman"/>
          <w:sz w:val="18"/>
          <w:szCs w:val="18"/>
          <w:b w:val="1"/>
          <w:bCs w:val="1"/>
          <w:color w:val="auto"/>
        </w:rPr>
      </w:pPr>
    </w:p>
    <w:p>
      <w:pPr>
        <w:ind w:right="40" w:firstLine="436"/>
        <w:spacing w:after="0" w:line="247" w:lineRule="auto"/>
        <w:tabs>
          <w:tab w:leader="none" w:pos="686" w:val="left"/>
        </w:tabs>
        <w:numPr>
          <w:ilvl w:val="1"/>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81" w:lineRule="exact"/>
        <w:rPr>
          <w:rFonts w:ascii="Times New Roman" w:cs="Times New Roman" w:eastAsia="Times New Roman" w:hAnsi="Times New Roman"/>
          <w:sz w:val="18"/>
          <w:szCs w:val="18"/>
          <w:b w:val="1"/>
          <w:bCs w:val="1"/>
          <w:color w:val="auto"/>
        </w:rPr>
      </w:pPr>
    </w:p>
    <w:p>
      <w:pPr>
        <w:ind w:right="280" w:firstLine="436"/>
        <w:spacing w:after="0" w:line="267" w:lineRule="auto"/>
        <w:tabs>
          <w:tab w:leader="none" w:pos="666" w:val="left"/>
        </w:tabs>
        <w:numPr>
          <w:ilvl w:val="1"/>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167"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436"/>
        <w:spacing w:after="0" w:line="267" w:lineRule="auto"/>
        <w:tabs>
          <w:tab w:leader="none" w:pos="676" w:val="left"/>
        </w:tabs>
        <w:numPr>
          <w:ilvl w:val="1"/>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6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1"/>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08" w:lineRule="exact"/>
        <w:rPr>
          <w:rFonts w:ascii="Times New Roman" w:cs="Times New Roman" w:eastAsia="Times New Roman" w:hAnsi="Times New Roman"/>
          <w:sz w:val="18"/>
          <w:szCs w:val="18"/>
          <w:b w:val="1"/>
          <w:bCs w:val="1"/>
          <w:color w:val="auto"/>
        </w:rPr>
      </w:pPr>
    </w:p>
    <w:p>
      <w:pPr>
        <w:ind w:left="1180" w:hanging="208"/>
        <w:spacing w:after="0"/>
        <w:tabs>
          <w:tab w:leader="none" w:pos="1180" w:val="left"/>
        </w:tabs>
        <w:numPr>
          <w:ilvl w:val="2"/>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108" w:lineRule="exact"/>
        <w:rPr>
          <w:rFonts w:ascii="Times New Roman" w:cs="Times New Roman" w:eastAsia="Times New Roman" w:hAnsi="Times New Roman"/>
          <w:sz w:val="18"/>
          <w:szCs w:val="18"/>
          <w:b w:val="1"/>
          <w:bCs w:val="1"/>
          <w:color w:val="auto"/>
        </w:rPr>
      </w:pPr>
    </w:p>
    <w:p>
      <w:pPr>
        <w:ind w:right="160" w:firstLine="972"/>
        <w:spacing w:after="0" w:line="285" w:lineRule="auto"/>
        <w:tabs>
          <w:tab w:leader="none" w:pos="1222" w:val="left"/>
        </w:tabs>
        <w:numPr>
          <w:ilvl w:val="2"/>
          <w:numId w:val="4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w:t>
      </w:r>
    </w:p>
    <w:p>
      <w:pPr>
        <w:spacing w:after="0" w:line="1" w:lineRule="exact"/>
        <w:rPr>
          <w:rFonts w:ascii="Times New Roman" w:cs="Times New Roman" w:eastAsia="Times New Roman" w:hAnsi="Times New Roman"/>
          <w:sz w:val="16"/>
          <w:szCs w:val="16"/>
          <w:b w:val="1"/>
          <w:bCs w:val="1"/>
          <w:color w:val="auto"/>
        </w:rPr>
      </w:pPr>
    </w:p>
    <w:p>
      <w:pPr>
        <w:ind w:right="20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(C) which Affiliates or Related Corporations may be excluded from participation in the Plan, and (D) which Designated Companies will participate in each separate Offering (to the extent that the Company makes separate Offerings).</w:t>
      </w:r>
    </w:p>
    <w:p>
      <w:pPr>
        <w:spacing w:after="0" w:line="81" w:lineRule="exact"/>
        <w:rPr>
          <w:rFonts w:ascii="Times New Roman" w:cs="Times New Roman" w:eastAsia="Times New Roman" w:hAnsi="Times New Roman"/>
          <w:sz w:val="16"/>
          <w:szCs w:val="16"/>
          <w:b w:val="1"/>
          <w:bCs w:val="1"/>
          <w:color w:val="auto"/>
        </w:rPr>
      </w:pPr>
    </w:p>
    <w:p>
      <w:pPr>
        <w:jc w:val="both"/>
        <w:ind w:firstLine="972"/>
        <w:spacing w:after="0" w:line="255" w:lineRule="auto"/>
        <w:tabs>
          <w:tab w:leader="none" w:pos="1270" w:val="left"/>
        </w:tabs>
        <w:numPr>
          <w:ilvl w:val="2"/>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8" w:right="599" w:bottom="1440" w:gutter="0" w:footer="0" w:header="0"/>
        </w:sectPr>
      </w:pPr>
    </w:p>
    <w:bookmarkStart w:id="583" w:name="page584"/>
    <w:bookmarkEnd w:id="583"/>
    <w:p>
      <w:pPr>
        <w:ind w:left="1252" w:hanging="288"/>
        <w:spacing w:after="0"/>
        <w:tabs>
          <w:tab w:leader="none" w:pos="1252" w:val="left"/>
        </w:tabs>
        <w:numPr>
          <w:ilvl w:val="2"/>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settle all controversies regarding the Plan and Purchase Rights granted under the Plan.</w:t>
      </w:r>
    </w:p>
    <w:p>
      <w:pPr>
        <w:spacing w:after="0" w:line="108" w:lineRule="exact"/>
        <w:rPr>
          <w:rFonts w:ascii="Times New Roman" w:cs="Times New Roman" w:eastAsia="Times New Roman" w:hAnsi="Times New Roman"/>
          <w:sz w:val="18"/>
          <w:szCs w:val="18"/>
          <w:b w:val="1"/>
          <w:bCs w:val="1"/>
          <w:color w:val="auto"/>
        </w:rPr>
      </w:pPr>
    </w:p>
    <w:p>
      <w:pPr>
        <w:ind w:left="1212" w:hanging="248"/>
        <w:spacing w:after="0"/>
        <w:tabs>
          <w:tab w:leader="none" w:pos="1212" w:val="left"/>
        </w:tabs>
        <w:numPr>
          <w:ilvl w:val="2"/>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108" w:lineRule="exact"/>
        <w:rPr>
          <w:rFonts w:ascii="Times New Roman" w:cs="Times New Roman" w:eastAsia="Times New Roman" w:hAnsi="Times New Roman"/>
          <w:sz w:val="18"/>
          <w:szCs w:val="18"/>
          <w:b w:val="1"/>
          <w:bCs w:val="1"/>
          <w:color w:val="auto"/>
        </w:rPr>
      </w:pPr>
    </w:p>
    <w:p>
      <w:pPr>
        <w:ind w:left="1252" w:hanging="288"/>
        <w:spacing w:after="0"/>
        <w:tabs>
          <w:tab w:leader="none" w:pos="1252" w:val="left"/>
        </w:tabs>
        <w:numPr>
          <w:ilvl w:val="2"/>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108" w:lineRule="exact"/>
        <w:rPr>
          <w:rFonts w:ascii="Times New Roman" w:cs="Times New Roman" w:eastAsia="Times New Roman" w:hAnsi="Times New Roman"/>
          <w:sz w:val="18"/>
          <w:szCs w:val="18"/>
          <w:b w:val="1"/>
          <w:bCs w:val="1"/>
          <w:color w:val="auto"/>
        </w:rPr>
      </w:pPr>
    </w:p>
    <w:p>
      <w:pPr>
        <w:jc w:val="both"/>
        <w:ind w:left="-8" w:right="240" w:firstLine="972"/>
        <w:spacing w:after="0" w:line="255" w:lineRule="auto"/>
        <w:tabs>
          <w:tab w:leader="none" w:pos="1301" w:val="left"/>
        </w:tabs>
        <w:numPr>
          <w:ilvl w:val="2"/>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75" w:lineRule="exact"/>
        <w:rPr>
          <w:rFonts w:ascii="Times New Roman" w:cs="Times New Roman" w:eastAsia="Times New Roman" w:hAnsi="Times New Roman"/>
          <w:sz w:val="18"/>
          <w:szCs w:val="18"/>
          <w:b w:val="1"/>
          <w:bCs w:val="1"/>
          <w:color w:val="auto"/>
        </w:rPr>
      </w:pPr>
    </w:p>
    <w:p>
      <w:pPr>
        <w:ind w:left="-8" w:right="20" w:firstLine="972"/>
        <w:spacing w:after="0" w:line="247" w:lineRule="auto"/>
        <w:tabs>
          <w:tab w:leader="none" w:pos="1350" w:val="left"/>
        </w:tabs>
        <w:numPr>
          <w:ilvl w:val="2"/>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84" w:lineRule="exact"/>
        <w:rPr>
          <w:rFonts w:ascii="Times New Roman" w:cs="Times New Roman" w:eastAsia="Times New Roman" w:hAnsi="Times New Roman"/>
          <w:sz w:val="18"/>
          <w:szCs w:val="18"/>
          <w:b w:val="1"/>
          <w:bCs w:val="1"/>
          <w:color w:val="auto"/>
        </w:rPr>
      </w:pPr>
    </w:p>
    <w:p>
      <w:pPr>
        <w:ind w:left="-8" w:firstLine="436"/>
        <w:spacing w:after="0" w:line="280" w:lineRule="auto"/>
        <w:tabs>
          <w:tab w:leader="none" w:pos="658" w:val="left"/>
        </w:tabs>
        <w:numPr>
          <w:ilvl w:val="1"/>
          <w:numId w:val="4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59" w:lineRule="exact"/>
        <w:rPr>
          <w:rFonts w:ascii="Times New Roman" w:cs="Times New Roman" w:eastAsia="Times New Roman" w:hAnsi="Times New Roman"/>
          <w:sz w:val="16"/>
          <w:szCs w:val="16"/>
          <w:b w:val="1"/>
          <w:bCs w:val="1"/>
          <w:color w:val="auto"/>
        </w:rPr>
      </w:pPr>
    </w:p>
    <w:p>
      <w:pPr>
        <w:ind w:left="-8" w:right="160" w:firstLine="436"/>
        <w:spacing w:after="0" w:line="267" w:lineRule="auto"/>
        <w:tabs>
          <w:tab w:leader="none" w:pos="678" w:val="left"/>
        </w:tabs>
        <w:numPr>
          <w:ilvl w:val="1"/>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272"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4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jc w:val="both"/>
        <w:ind w:left="-8" w:firstLine="436"/>
        <w:spacing w:after="0" w:line="251" w:lineRule="auto"/>
        <w:tabs>
          <w:tab w:leader="none" w:pos="668" w:val="left"/>
        </w:tabs>
        <w:numPr>
          <w:ilvl w:val="1"/>
          <w:numId w:val="4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3,000,000 shares of Common Stock, plus the number of shares of Common Stock that are automatically added on January 1st of each year for a period of up to ten years, commencing on January 1, 2023 and ending on (and including) January 1, 2032, in an amount equal to the lesser of (x) two percent (2%) of the total number of</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12"/>
          </w:cols>
          <w:pgMar w:left="588" w:top="265" w:right="599" w:bottom="1440" w:gutter="0" w:footer="0" w:header="0"/>
        </w:sectPr>
      </w:pPr>
    </w:p>
    <w:bookmarkStart w:id="584" w:name="page585"/>
    <w:bookmarkEnd w:id="584"/>
    <w:p>
      <w:pPr>
        <w:ind w:right="18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shares of Combined Common Stock outstanding on December 31st of the preceding calendar year, and (y) 6,000,000 shares of Common Stock. Notwithstanding the foregoing, the Board may act prior to the first day of any calendar year to provide that there will be no January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82" w:lineRule="exact"/>
        <w:rPr>
          <w:sz w:val="20"/>
          <w:szCs w:val="20"/>
          <w:color w:val="auto"/>
        </w:rPr>
      </w:pPr>
    </w:p>
    <w:p>
      <w:pPr>
        <w:ind w:right="340" w:firstLine="436"/>
        <w:spacing w:after="0" w:line="267" w:lineRule="auto"/>
        <w:tabs>
          <w:tab w:leader="none" w:pos="686" w:val="left"/>
        </w:tabs>
        <w:numPr>
          <w:ilvl w:val="1"/>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64" w:lineRule="exact"/>
        <w:rPr>
          <w:rFonts w:ascii="Times New Roman" w:cs="Times New Roman" w:eastAsia="Times New Roman" w:hAnsi="Times New Roman"/>
          <w:sz w:val="18"/>
          <w:szCs w:val="18"/>
          <w:b w:val="1"/>
          <w:bCs w:val="1"/>
          <w:color w:val="auto"/>
        </w:rPr>
      </w:pPr>
    </w:p>
    <w:p>
      <w:pPr>
        <w:ind w:right="80" w:firstLine="436"/>
        <w:spacing w:after="0" w:line="267" w:lineRule="auto"/>
        <w:tabs>
          <w:tab w:leader="none" w:pos="666" w:val="left"/>
        </w:tabs>
        <w:numPr>
          <w:ilvl w:val="1"/>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272"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FFERING</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firstLine="436"/>
        <w:spacing w:after="0" w:line="247" w:lineRule="auto"/>
        <w:tabs>
          <w:tab w:leader="none" w:pos="676" w:val="left"/>
        </w:tabs>
        <w:numPr>
          <w:ilvl w:val="1"/>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81" w:lineRule="exact"/>
        <w:rPr>
          <w:rFonts w:ascii="Times New Roman" w:cs="Times New Roman" w:eastAsia="Times New Roman" w:hAnsi="Times New Roman"/>
          <w:sz w:val="18"/>
          <w:szCs w:val="18"/>
          <w:b w:val="1"/>
          <w:bCs w:val="1"/>
          <w:color w:val="auto"/>
        </w:rPr>
      </w:pPr>
    </w:p>
    <w:p>
      <w:pPr>
        <w:ind w:right="40" w:firstLine="436"/>
        <w:spacing w:after="0" w:line="249" w:lineRule="auto"/>
        <w:tabs>
          <w:tab w:leader="none" w:pos="686" w:val="left"/>
        </w:tabs>
        <w:numPr>
          <w:ilvl w:val="1"/>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he or she otherwise indicates in forms delivered to the Company or a third party designated by the Company (each, a “</w:t>
      </w:r>
      <w:r>
        <w:rPr>
          <w:rFonts w:ascii="Times New Roman" w:cs="Times New Roman" w:eastAsia="Times New Roman" w:hAnsi="Times New Roman"/>
          <w:sz w:val="18"/>
          <w:szCs w:val="18"/>
          <w:b w:val="1"/>
          <w:bCs w:val="1"/>
          <w:i w:val="1"/>
          <w:iCs w:val="1"/>
          <w:color w:val="auto"/>
        </w:rPr>
        <w:t>Company Designee</w:t>
      </w:r>
      <w:r>
        <w:rPr>
          <w:rFonts w:ascii="Times New Roman" w:cs="Times New Roman" w:eastAsia="Times New Roman" w:hAnsi="Times New Roman"/>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81" w:lineRule="exact"/>
        <w:rPr>
          <w:rFonts w:ascii="Times New Roman" w:cs="Times New Roman" w:eastAsia="Times New Roman" w:hAnsi="Times New Roman"/>
          <w:sz w:val="18"/>
          <w:szCs w:val="18"/>
          <w:b w:val="1"/>
          <w:bCs w:val="1"/>
          <w:color w:val="auto"/>
        </w:rPr>
      </w:pPr>
    </w:p>
    <w:p>
      <w:pPr>
        <w:ind w:right="160" w:firstLine="436"/>
        <w:spacing w:after="0" w:line="251" w:lineRule="auto"/>
        <w:tabs>
          <w:tab w:leader="none" w:pos="666" w:val="left"/>
        </w:tabs>
        <w:numPr>
          <w:ilvl w:val="1"/>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87"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440" w:firstLine="436"/>
        <w:spacing w:after="0" w:line="255" w:lineRule="auto"/>
        <w:tabs>
          <w:tab w:leader="none" w:pos="676" w:val="left"/>
        </w:tabs>
        <w:numPr>
          <w:ilvl w:val="1"/>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580" w:top="265" w:right="599" w:bottom="1440" w:gutter="0" w:footer="0" w:header="0"/>
        </w:sectPr>
      </w:pPr>
    </w:p>
    <w:bookmarkStart w:id="585" w:name="page586"/>
    <w:bookmarkEnd w:id="585"/>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81" w:lineRule="exact"/>
        <w:rPr>
          <w:sz w:val="20"/>
          <w:szCs w:val="20"/>
          <w:color w:val="auto"/>
        </w:rPr>
      </w:pPr>
    </w:p>
    <w:p>
      <w:pPr>
        <w:ind w:right="280" w:firstLine="436"/>
        <w:spacing w:after="0" w:line="251" w:lineRule="auto"/>
        <w:tabs>
          <w:tab w:leader="none" w:pos="686"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79" w:lineRule="exact"/>
        <w:rPr>
          <w:rFonts w:ascii="Times New Roman" w:cs="Times New Roman" w:eastAsia="Times New Roman" w:hAnsi="Times New Roman"/>
          <w:sz w:val="18"/>
          <w:szCs w:val="18"/>
          <w:b w:val="1"/>
          <w:bCs w:val="1"/>
          <w:color w:val="auto"/>
        </w:rPr>
      </w:pPr>
    </w:p>
    <w:p>
      <w:pPr>
        <w:ind w:right="600" w:firstLine="972"/>
        <w:spacing w:after="0" w:line="267" w:lineRule="auto"/>
        <w:tabs>
          <w:tab w:leader="none" w:pos="1173" w:val="left"/>
        </w:tabs>
        <w:numPr>
          <w:ilvl w:val="1"/>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64"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period of the Offering with respect to such Purchase Right will begin on its Offering Date and end coincident with the end of such</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Offering; and</w:t>
      </w:r>
    </w:p>
    <w:p>
      <w:pPr>
        <w:spacing w:after="0" w:line="90" w:lineRule="exact"/>
        <w:rPr>
          <w:rFonts w:ascii="Times New Roman" w:cs="Times New Roman" w:eastAsia="Times New Roman" w:hAnsi="Times New Roman"/>
          <w:sz w:val="16"/>
          <w:szCs w:val="16"/>
          <w:b w:val="1"/>
          <w:bCs w:val="1"/>
          <w:color w:val="auto"/>
        </w:rPr>
      </w:pPr>
    </w:p>
    <w:p>
      <w:pPr>
        <w:ind w:right="140" w:firstLine="972"/>
        <w:spacing w:after="0" w:line="267" w:lineRule="auto"/>
        <w:tabs>
          <w:tab w:leader="none" w:pos="1270" w:val="left"/>
        </w:tabs>
        <w:numPr>
          <w:ilvl w:val="1"/>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64" w:lineRule="exact"/>
        <w:rPr>
          <w:rFonts w:ascii="Times New Roman" w:cs="Times New Roman" w:eastAsia="Times New Roman" w:hAnsi="Times New Roman"/>
          <w:sz w:val="18"/>
          <w:szCs w:val="18"/>
          <w:b w:val="1"/>
          <w:bCs w:val="1"/>
          <w:color w:val="auto"/>
        </w:rPr>
      </w:pPr>
    </w:p>
    <w:p>
      <w:pPr>
        <w:ind w:right="200" w:firstLine="436"/>
        <w:spacing w:after="0" w:line="249" w:lineRule="auto"/>
        <w:tabs>
          <w:tab w:leader="none" w:pos="666"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81" w:lineRule="exact"/>
        <w:rPr>
          <w:rFonts w:ascii="Times New Roman" w:cs="Times New Roman" w:eastAsia="Times New Roman" w:hAnsi="Times New Roman"/>
          <w:sz w:val="18"/>
          <w:szCs w:val="18"/>
          <w:b w:val="1"/>
          <w:bCs w:val="1"/>
          <w:color w:val="auto"/>
        </w:rPr>
      </w:pPr>
    </w:p>
    <w:p>
      <w:pPr>
        <w:ind w:right="60" w:firstLine="436"/>
        <w:spacing w:after="0" w:line="288" w:lineRule="auto"/>
        <w:tabs>
          <w:tab w:leader="none" w:pos="686" w:val="left"/>
        </w:tabs>
        <w:numPr>
          <w:ilvl w:val="0"/>
          <w:numId w:val="4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51" w:lineRule="exact"/>
        <w:rPr>
          <w:rFonts w:ascii="Times New Roman" w:cs="Times New Roman" w:eastAsia="Times New Roman" w:hAnsi="Times New Roman"/>
          <w:sz w:val="16"/>
          <w:szCs w:val="16"/>
          <w:b w:val="1"/>
          <w:bCs w:val="1"/>
          <w:color w:val="auto"/>
        </w:rPr>
      </w:pPr>
    </w:p>
    <w:p>
      <w:pPr>
        <w:jc w:val="both"/>
        <w:ind w:right="240" w:firstLine="436"/>
        <w:spacing w:after="0" w:line="255" w:lineRule="auto"/>
        <w:tabs>
          <w:tab w:leader="none" w:pos="666"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580" w:top="265" w:right="599" w:bottom="1440" w:gutter="0" w:footer="0" w:header="0"/>
        </w:sectPr>
      </w:pPr>
    </w:p>
    <w:bookmarkStart w:id="586" w:name="page587"/>
    <w:bookmarkEnd w:id="586"/>
    <w:p>
      <w:pPr>
        <w:ind w:left="-8" w:firstLine="436"/>
        <w:spacing w:after="0" w:line="255" w:lineRule="auto"/>
        <w:tabs>
          <w:tab w:leader="none" w:pos="639" w:val="left"/>
        </w:tabs>
        <w:numPr>
          <w:ilvl w:val="1"/>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83"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left="-8" w:firstLine="436"/>
        <w:spacing w:after="0" w:line="251" w:lineRule="auto"/>
        <w:tabs>
          <w:tab w:leader="none" w:pos="668" w:val="left"/>
        </w:tabs>
        <w:numPr>
          <w:ilvl w:val="1"/>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of earnings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79" w:lineRule="exact"/>
        <w:rPr>
          <w:rFonts w:ascii="Times New Roman" w:cs="Times New Roman" w:eastAsia="Times New Roman" w:hAnsi="Times New Roman"/>
          <w:sz w:val="18"/>
          <w:szCs w:val="18"/>
          <w:b w:val="1"/>
          <w:bCs w:val="1"/>
          <w:color w:val="auto"/>
        </w:rPr>
      </w:pPr>
    </w:p>
    <w:p>
      <w:pPr>
        <w:ind w:left="-8" w:right="40" w:firstLine="436"/>
        <w:spacing w:after="0" w:line="267" w:lineRule="auto"/>
        <w:tabs>
          <w:tab w:leader="none" w:pos="678" w:val="left"/>
        </w:tabs>
        <w:numPr>
          <w:ilvl w:val="1"/>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64" w:lineRule="exact"/>
        <w:rPr>
          <w:rFonts w:ascii="Times New Roman" w:cs="Times New Roman" w:eastAsia="Times New Roman" w:hAnsi="Times New Roman"/>
          <w:sz w:val="18"/>
          <w:szCs w:val="18"/>
          <w:b w:val="1"/>
          <w:bCs w:val="1"/>
          <w:color w:val="auto"/>
        </w:rPr>
      </w:pPr>
    </w:p>
    <w:p>
      <w:pPr>
        <w:ind w:left="-8" w:firstLine="436"/>
        <w:spacing w:after="0" w:line="247" w:lineRule="auto"/>
        <w:tabs>
          <w:tab w:leader="none" w:pos="658" w:val="left"/>
        </w:tabs>
        <w:numPr>
          <w:ilvl w:val="1"/>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84" w:lineRule="exact"/>
        <w:rPr>
          <w:rFonts w:ascii="Times New Roman" w:cs="Times New Roman" w:eastAsia="Times New Roman" w:hAnsi="Times New Roman"/>
          <w:sz w:val="18"/>
          <w:szCs w:val="18"/>
          <w:b w:val="1"/>
          <w:bCs w:val="1"/>
          <w:color w:val="auto"/>
        </w:rPr>
      </w:pPr>
    </w:p>
    <w:p>
      <w:pPr>
        <w:ind w:left="-8" w:right="120" w:firstLine="436"/>
        <w:spacing w:after="0" w:line="267" w:lineRule="auto"/>
        <w:tabs>
          <w:tab w:leader="none" w:pos="678" w:val="left"/>
        </w:tabs>
        <w:numPr>
          <w:ilvl w:val="1"/>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will be specified by the Board prior to commencement of an Offering and will not be less than the lesser of:</w:t>
      </w:r>
    </w:p>
    <w:p>
      <w:pPr>
        <w:spacing w:after="0" w:line="64" w:lineRule="exact"/>
        <w:rPr>
          <w:rFonts w:ascii="Times New Roman" w:cs="Times New Roman" w:eastAsia="Times New Roman" w:hAnsi="Times New Roman"/>
          <w:sz w:val="18"/>
          <w:szCs w:val="18"/>
          <w:b w:val="1"/>
          <w:bCs w:val="1"/>
          <w:color w:val="auto"/>
        </w:rPr>
      </w:pPr>
    </w:p>
    <w:p>
      <w:pPr>
        <w:ind w:left="1172" w:hanging="208"/>
        <w:spacing w:after="0"/>
        <w:tabs>
          <w:tab w:leader="none" w:pos="1172" w:val="left"/>
        </w:tabs>
        <w:numPr>
          <w:ilvl w:val="2"/>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108" w:lineRule="exact"/>
        <w:rPr>
          <w:rFonts w:ascii="Times New Roman" w:cs="Times New Roman" w:eastAsia="Times New Roman" w:hAnsi="Times New Roman"/>
          <w:sz w:val="18"/>
          <w:szCs w:val="18"/>
          <w:b w:val="1"/>
          <w:bCs w:val="1"/>
          <w:color w:val="auto"/>
        </w:rPr>
      </w:pPr>
    </w:p>
    <w:p>
      <w:pPr>
        <w:ind w:left="1212" w:hanging="248"/>
        <w:spacing w:after="0"/>
        <w:tabs>
          <w:tab w:leader="none" w:pos="1212" w:val="left"/>
        </w:tabs>
        <w:numPr>
          <w:ilvl w:val="2"/>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316"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left="-8" w:right="80" w:firstLine="436"/>
        <w:spacing w:after="0" w:line="247" w:lineRule="auto"/>
        <w:tabs>
          <w:tab w:leader="none" w:pos="668" w:val="left"/>
        </w:tabs>
        <w:numPr>
          <w:ilvl w:val="1"/>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w:t>
      </w:r>
    </w:p>
    <w:p>
      <w:pPr>
        <w:spacing w:after="0" w:line="12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52"/>
          </w:cols>
          <w:pgMar w:left="588" w:top="265" w:right="659" w:bottom="1440" w:gutter="0" w:footer="0" w:header="0"/>
        </w:sectPr>
      </w:pPr>
    </w:p>
    <w:bookmarkStart w:id="587" w:name="page588"/>
    <w:bookmarkEnd w:id="58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75" w:lineRule="exact"/>
        <w:rPr>
          <w:sz w:val="20"/>
          <w:szCs w:val="20"/>
          <w:color w:val="auto"/>
        </w:rPr>
      </w:pPr>
    </w:p>
    <w:p>
      <w:pPr>
        <w:ind w:firstLine="436"/>
        <w:spacing w:after="0" w:line="248" w:lineRule="auto"/>
        <w:tabs>
          <w:tab w:leader="none" w:pos="686"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82" w:lineRule="exact"/>
        <w:rPr>
          <w:rFonts w:ascii="Times New Roman" w:cs="Times New Roman" w:eastAsia="Times New Roman" w:hAnsi="Times New Roman"/>
          <w:sz w:val="18"/>
          <w:szCs w:val="18"/>
          <w:b w:val="1"/>
          <w:bCs w:val="1"/>
          <w:color w:val="auto"/>
        </w:rPr>
      </w:pPr>
    </w:p>
    <w:p>
      <w:pPr>
        <w:ind w:right="120" w:firstLine="436"/>
        <w:spacing w:after="0" w:line="251" w:lineRule="auto"/>
        <w:tabs>
          <w:tab w:leader="none" w:pos="666"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spacing w:after="0" w:line="79" w:lineRule="exact"/>
        <w:rPr>
          <w:rFonts w:ascii="Times New Roman" w:cs="Times New Roman" w:eastAsia="Times New Roman" w:hAnsi="Times New Roman"/>
          <w:sz w:val="18"/>
          <w:szCs w:val="18"/>
          <w:b w:val="1"/>
          <w:bCs w:val="1"/>
          <w:color w:val="auto"/>
        </w:rPr>
      </w:pPr>
    </w:p>
    <w:p>
      <w:pPr>
        <w:ind w:right="260" w:firstLine="436"/>
        <w:spacing w:after="0" w:line="281" w:lineRule="auto"/>
        <w:tabs>
          <w:tab w:leader="none" w:pos="686" w:val="left"/>
        </w:tabs>
        <w:numPr>
          <w:ilvl w:val="1"/>
          <w:numId w:val="5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w:t>
      </w:r>
    </w:p>
    <w:p>
      <w:pPr>
        <w:spacing w:after="0" w:line="1" w:lineRule="exact"/>
        <w:rPr>
          <w:rFonts w:ascii="Times New Roman" w:cs="Times New Roman" w:eastAsia="Times New Roman" w:hAnsi="Times New Roman"/>
          <w:sz w:val="16"/>
          <w:szCs w:val="16"/>
          <w:b w:val="1"/>
          <w:bCs w:val="1"/>
          <w:color w:val="auto"/>
        </w:rPr>
      </w:pPr>
    </w:p>
    <w:p>
      <w:pPr>
        <w:ind w:right="80" w:firstLine="8"/>
        <w:spacing w:after="0" w:line="244" w:lineRule="auto"/>
        <w:tabs>
          <w:tab w:leader="none" w:pos="30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85" w:lineRule="exact"/>
        <w:rPr>
          <w:rFonts w:ascii="Times New Roman" w:cs="Times New Roman" w:eastAsia="Times New Roman" w:hAnsi="Times New Roman"/>
          <w:sz w:val="18"/>
          <w:szCs w:val="18"/>
          <w:color w:val="auto"/>
        </w:rPr>
      </w:pPr>
    </w:p>
    <w:p>
      <w:pPr>
        <w:jc w:val="both"/>
        <w:ind w:right="600" w:firstLine="436"/>
        <w:spacing w:after="0" w:line="255" w:lineRule="auto"/>
        <w:tabs>
          <w:tab w:leader="none" w:pos="666" w:val="left"/>
        </w:tabs>
        <w:numPr>
          <w:ilvl w:val="1"/>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75" w:lineRule="exact"/>
        <w:rPr>
          <w:rFonts w:ascii="Times New Roman" w:cs="Times New Roman" w:eastAsia="Times New Roman" w:hAnsi="Times New Roman"/>
          <w:sz w:val="18"/>
          <w:szCs w:val="18"/>
          <w:b w:val="1"/>
          <w:bCs w:val="1"/>
          <w:color w:val="auto"/>
        </w:rPr>
      </w:pPr>
    </w:p>
    <w:p>
      <w:pPr>
        <w:ind w:right="760" w:firstLine="436"/>
        <w:spacing w:after="0" w:line="267" w:lineRule="auto"/>
        <w:tabs>
          <w:tab w:leader="none" w:pos="647" w:val="left"/>
        </w:tabs>
        <w:numPr>
          <w:ilvl w:val="1"/>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the Offering or as required by Applicable Law, the Company will have no obligation to pay interest on Contributions.</w:t>
      </w:r>
    </w:p>
    <w:p>
      <w:pPr>
        <w:spacing w:after="0" w:line="272"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240" w:firstLine="436"/>
        <w:spacing w:after="0" w:line="255" w:lineRule="auto"/>
        <w:tabs>
          <w:tab w:leader="none" w:pos="676" w:val="left"/>
        </w:tabs>
        <w:numPr>
          <w:ilvl w:val="1"/>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75"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686" w:val="left"/>
        </w:tabs>
        <w:numPr>
          <w:ilvl w:val="1"/>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5" w:right="619" w:bottom="1440" w:gutter="0" w:footer="0" w:header="0"/>
        </w:sectPr>
      </w:pPr>
    </w:p>
    <w:bookmarkStart w:id="588" w:name="page589"/>
    <w:bookmarkEnd w:id="588"/>
    <w:p>
      <w:pPr>
        <w:ind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82" w:lineRule="exact"/>
        <w:rPr>
          <w:sz w:val="20"/>
          <w:szCs w:val="20"/>
          <w:color w:val="auto"/>
        </w:rPr>
      </w:pPr>
    </w:p>
    <w:p>
      <w:pPr>
        <w:ind w:firstLine="436"/>
        <w:spacing w:after="0" w:line="281" w:lineRule="auto"/>
        <w:tabs>
          <w:tab w:leader="none" w:pos="666" w:val="left"/>
        </w:tabs>
        <w:numPr>
          <w:ilvl w:val="1"/>
          <w:numId w:val="5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264" w:lineRule="exact"/>
        <w:rPr>
          <w:rFonts w:ascii="Times New Roman" w:cs="Times New Roman" w:eastAsia="Times New Roman" w:hAnsi="Times New Roman"/>
          <w:sz w:val="16"/>
          <w:szCs w:val="16"/>
          <w:b w:val="1"/>
          <w:bCs w:val="1"/>
          <w:color w:val="auto"/>
        </w:rPr>
      </w:pPr>
    </w:p>
    <w:p>
      <w:pPr>
        <w:ind w:left="180" w:hanging="172"/>
        <w:spacing w:after="0"/>
        <w:tabs>
          <w:tab w:leader="none" w:pos="18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right="80" w:firstLine="428"/>
        <w:spacing w:after="0" w:line="285" w:lineRule="auto"/>
        <w:rPr>
          <w:sz w:val="20"/>
          <w:szCs w:val="20"/>
          <w:color w:val="auto"/>
        </w:rPr>
      </w:pPr>
      <w:r>
        <w:rPr>
          <w:rFonts w:ascii="Times New Roman" w:cs="Times New Roman" w:eastAsia="Times New Roman" w:hAnsi="Times New Roman"/>
          <w:sz w:val="16"/>
          <w:szCs w:val="16"/>
          <w:color w:val="auto"/>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63" w:lineRule="exact"/>
        <w:rPr>
          <w:sz w:val="20"/>
          <w:szCs w:val="20"/>
          <w:color w:val="auto"/>
        </w:rPr>
      </w:pPr>
    </w:p>
    <w:p>
      <w:pPr>
        <w:ind w:left="280" w:hanging="272"/>
        <w:spacing w:after="0"/>
        <w:tabs>
          <w:tab w:leader="none" w:pos="28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300" w:firstLine="436"/>
        <w:spacing w:after="0" w:line="251" w:lineRule="auto"/>
        <w:tabs>
          <w:tab w:leader="none" w:pos="676" w:val="left"/>
        </w:tabs>
        <w:numPr>
          <w:ilvl w:val="1"/>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79" w:lineRule="exact"/>
        <w:rPr>
          <w:rFonts w:ascii="Times New Roman" w:cs="Times New Roman" w:eastAsia="Times New Roman" w:hAnsi="Times New Roman"/>
          <w:sz w:val="18"/>
          <w:szCs w:val="18"/>
          <w:b w:val="1"/>
          <w:bCs w:val="1"/>
          <w:color w:val="auto"/>
        </w:rPr>
      </w:pPr>
    </w:p>
    <w:p>
      <w:pPr>
        <w:ind w:right="100" w:firstLine="436"/>
        <w:spacing w:after="0" w:line="249" w:lineRule="auto"/>
        <w:tabs>
          <w:tab w:leader="none" w:pos="686" w:val="left"/>
        </w:tabs>
        <w:numPr>
          <w:ilvl w:val="1"/>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89" w:name="page590"/>
    <w:bookmarkEnd w:id="589"/>
    <w:p>
      <w:pPr>
        <w:ind w:left="260" w:hanging="252"/>
        <w:spacing w:after="0"/>
        <w:tabs>
          <w:tab w:leader="none" w:pos="2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436"/>
        <w:spacing w:after="0" w:line="249" w:lineRule="auto"/>
        <w:tabs>
          <w:tab w:leader="none" w:pos="676" w:val="left"/>
        </w:tabs>
        <w:numPr>
          <w:ilvl w:val="1"/>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81" w:lineRule="exact"/>
        <w:rPr>
          <w:rFonts w:ascii="Times New Roman" w:cs="Times New Roman" w:eastAsia="Times New Roman" w:hAnsi="Times New Roman"/>
          <w:sz w:val="18"/>
          <w:szCs w:val="18"/>
          <w:b w:val="1"/>
          <w:bCs w:val="1"/>
          <w:color w:val="auto"/>
        </w:rPr>
      </w:pPr>
    </w:p>
    <w:p>
      <w:pPr>
        <w:ind w:right="220" w:firstLine="436"/>
        <w:spacing w:after="0" w:line="247" w:lineRule="auto"/>
        <w:tabs>
          <w:tab w:leader="none" w:pos="686" w:val="left"/>
        </w:tabs>
        <w:numPr>
          <w:ilvl w:val="1"/>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292"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w:t>
      </w:r>
    </w:p>
    <w:p>
      <w:pPr>
        <w:spacing w:after="0" w:line="21" w:lineRule="exact"/>
        <w:rPr>
          <w:sz w:val="20"/>
          <w:szCs w:val="20"/>
          <w:color w:val="auto"/>
        </w:rPr>
      </w:pPr>
    </w:p>
    <w:p>
      <w:pPr>
        <w:ind w:right="560"/>
        <w:spacing w:after="0" w:line="247" w:lineRule="auto"/>
        <w:rPr>
          <w:sz w:val="20"/>
          <w:szCs w:val="20"/>
          <w:color w:val="auto"/>
        </w:rPr>
      </w:pPr>
      <w:r>
        <w:rPr>
          <w:rFonts w:ascii="Times New Roman" w:cs="Times New Roman" w:eastAsia="Times New Roman" w:hAnsi="Times New Roman"/>
          <w:sz w:val="18"/>
          <w:szCs w:val="18"/>
          <w:color w:val="auto"/>
        </w:rPr>
        <w:t>Section 11(a) relating to Capitalization Adjustments, stockholder approval will be required for any amendment of the Plan for which stockholder approval is required by Applicable Law.</w:t>
      </w:r>
    </w:p>
    <w:p>
      <w:pPr>
        <w:spacing w:after="0" w:line="81" w:lineRule="exact"/>
        <w:rPr>
          <w:sz w:val="20"/>
          <w:szCs w:val="20"/>
          <w:color w:val="auto"/>
        </w:rPr>
      </w:pPr>
    </w:p>
    <w:p>
      <w:pPr>
        <w:ind w:right="160" w:firstLine="436"/>
        <w:spacing w:after="0" w:line="267" w:lineRule="auto"/>
        <w:tabs>
          <w:tab w:leader="none" w:pos="686"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64" w:lineRule="exact"/>
        <w:rPr>
          <w:rFonts w:ascii="Times New Roman" w:cs="Times New Roman" w:eastAsia="Times New Roman" w:hAnsi="Times New Roman"/>
          <w:sz w:val="18"/>
          <w:szCs w:val="18"/>
          <w:b w:val="1"/>
          <w:bCs w:val="1"/>
          <w:color w:val="auto"/>
        </w:rPr>
      </w:pPr>
    </w:p>
    <w:p>
      <w:pPr>
        <w:ind w:firstLine="436"/>
        <w:spacing w:after="0" w:line="278" w:lineRule="auto"/>
        <w:tabs>
          <w:tab w:leader="none" w:pos="666" w:val="left"/>
        </w:tabs>
        <w:numPr>
          <w:ilvl w:val="0"/>
          <w:numId w:val="5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4" w:right="619" w:bottom="1440" w:gutter="0" w:footer="0" w:header="0"/>
        </w:sectPr>
      </w:pPr>
    </w:p>
    <w:bookmarkStart w:id="590" w:name="page591"/>
    <w:bookmarkEnd w:id="590"/>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78" w:lineRule="exact"/>
        <w:rPr>
          <w:sz w:val="20"/>
          <w:szCs w:val="20"/>
          <w:color w:val="auto"/>
        </w:rPr>
      </w:pPr>
    </w:p>
    <w:p>
      <w:pPr>
        <w:ind w:left="280" w:hanging="272"/>
        <w:spacing w:after="0"/>
        <w:tabs>
          <w:tab w:leader="none" w:pos="28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4"/>
          <w:szCs w:val="14"/>
          <w:b w:val="1"/>
          <w:bCs w:val="1"/>
          <w:color w:val="auto"/>
        </w:rPr>
        <w:t>UALIFICATION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436"/>
        <w:spacing w:after="0" w:line="251" w:lineRule="auto"/>
        <w:tabs>
          <w:tab w:leader="none" w:pos="676" w:val="left"/>
        </w:tabs>
        <w:numPr>
          <w:ilvl w:val="1"/>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79" w:lineRule="exact"/>
        <w:rPr>
          <w:rFonts w:ascii="Times New Roman" w:cs="Times New Roman" w:eastAsia="Times New Roman" w:hAnsi="Times New Roman"/>
          <w:sz w:val="18"/>
          <w:szCs w:val="18"/>
          <w:b w:val="1"/>
          <w:bCs w:val="1"/>
          <w:color w:val="auto"/>
        </w:rPr>
      </w:pPr>
    </w:p>
    <w:p>
      <w:pPr>
        <w:ind w:right="20" w:firstLine="436"/>
        <w:spacing w:after="0" w:line="285" w:lineRule="auto"/>
        <w:tabs>
          <w:tab w:leader="none" w:pos="686" w:val="left"/>
        </w:tabs>
        <w:numPr>
          <w:ilvl w:val="1"/>
          <w:numId w:val="5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54" w:lineRule="exact"/>
        <w:rPr>
          <w:rFonts w:ascii="Times New Roman" w:cs="Times New Roman" w:eastAsia="Times New Roman" w:hAnsi="Times New Roman"/>
          <w:sz w:val="16"/>
          <w:szCs w:val="16"/>
          <w:b w:val="1"/>
          <w:bCs w:val="1"/>
          <w:color w:val="auto"/>
        </w:rPr>
      </w:pPr>
    </w:p>
    <w:p>
      <w:pPr>
        <w:ind w:firstLine="436"/>
        <w:spacing w:after="0" w:line="245" w:lineRule="auto"/>
        <w:tabs>
          <w:tab w:leader="none" w:pos="666" w:val="left"/>
        </w:tabs>
        <w:numPr>
          <w:ilvl w:val="1"/>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99"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jc w:val="both"/>
        <w:ind w:right="60" w:firstLine="428"/>
        <w:spacing w:after="0" w:line="255" w:lineRule="auto"/>
        <w:rPr>
          <w:sz w:val="20"/>
          <w:szCs w:val="20"/>
          <w:color w:val="auto"/>
        </w:rPr>
      </w:pPr>
      <w:r>
        <w:rPr>
          <w:rFonts w:ascii="Times New Roman" w:cs="Times New Roman" w:eastAsia="Times New Roman" w:hAnsi="Times New Roman"/>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3" w:lineRule="exact"/>
        <w:rPr>
          <w:sz w:val="20"/>
          <w:szCs w:val="20"/>
          <w:color w:val="auto"/>
        </w:rPr>
      </w:pPr>
    </w:p>
    <w:p>
      <w:pPr>
        <w:ind w:left="280" w:hanging="272"/>
        <w:spacing w:after="0"/>
        <w:tabs>
          <w:tab w:leader="none" w:pos="28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left="5320" w:right="1220" w:hanging="4884"/>
        <w:spacing w:after="0" w:line="435" w:lineRule="auto"/>
        <w:tabs>
          <w:tab w:leader="none" w:pos="683" w:val="left"/>
        </w:tabs>
        <w:numPr>
          <w:ilvl w:val="1"/>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 9</w:t>
      </w:r>
    </w:p>
    <w:p>
      <w:pPr>
        <w:sectPr>
          <w:pgSz w:w="11900" w:h="16838" w:orient="portrait"/>
          <w:cols w:equalWidth="0" w:num="1">
            <w:col w:w="10720"/>
          </w:cols>
          <w:pgMar w:left="580" w:top="265" w:right="599" w:bottom="1440" w:gutter="0" w:footer="0" w:header="0"/>
        </w:sectPr>
      </w:pPr>
    </w:p>
    <w:bookmarkStart w:id="591" w:name="page592"/>
    <w:bookmarkEnd w:id="591"/>
    <w:p>
      <w:pPr>
        <w:ind w:left="-8" w:right="140" w:firstLine="436"/>
        <w:spacing w:after="0" w:line="255" w:lineRule="auto"/>
        <w:tabs>
          <w:tab w:leader="none" w:pos="678"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75" w:lineRule="exact"/>
        <w:rPr>
          <w:rFonts w:ascii="Times New Roman" w:cs="Times New Roman" w:eastAsia="Times New Roman" w:hAnsi="Times New Roman"/>
          <w:sz w:val="18"/>
          <w:szCs w:val="18"/>
          <w:b w:val="1"/>
          <w:bCs w:val="1"/>
          <w:color w:val="auto"/>
        </w:rPr>
      </w:pPr>
    </w:p>
    <w:p>
      <w:pPr>
        <w:ind w:left="-8" w:firstLine="436"/>
        <w:spacing w:after="0" w:line="251" w:lineRule="auto"/>
        <w:tabs>
          <w:tab w:leader="none" w:pos="658"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79" w:lineRule="exact"/>
        <w:rPr>
          <w:rFonts w:ascii="Times New Roman" w:cs="Times New Roman" w:eastAsia="Times New Roman" w:hAnsi="Times New Roman"/>
          <w:sz w:val="18"/>
          <w:szCs w:val="18"/>
          <w:b w:val="1"/>
          <w:bCs w:val="1"/>
          <w:color w:val="auto"/>
        </w:rPr>
      </w:pPr>
    </w:p>
    <w:p>
      <w:pPr>
        <w:ind w:left="692" w:hanging="264"/>
        <w:spacing w:after="0"/>
        <w:tabs>
          <w:tab w:leader="none" w:pos="692"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conflicts of laws rules.</w:t>
      </w:r>
    </w:p>
    <w:p>
      <w:pPr>
        <w:spacing w:after="0" w:line="108" w:lineRule="exact"/>
        <w:rPr>
          <w:rFonts w:ascii="Times New Roman" w:cs="Times New Roman" w:eastAsia="Times New Roman" w:hAnsi="Times New Roman"/>
          <w:sz w:val="18"/>
          <w:szCs w:val="18"/>
          <w:b w:val="1"/>
          <w:bCs w:val="1"/>
          <w:color w:val="auto"/>
        </w:rPr>
      </w:pPr>
    </w:p>
    <w:p>
      <w:pPr>
        <w:ind w:left="-8" w:right="160" w:firstLine="436"/>
        <w:spacing w:after="0" w:line="267" w:lineRule="auto"/>
        <w:tabs>
          <w:tab w:leader="none" w:pos="658"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64" w:lineRule="exact"/>
        <w:rPr>
          <w:rFonts w:ascii="Times New Roman" w:cs="Times New Roman" w:eastAsia="Times New Roman" w:hAnsi="Times New Roman"/>
          <w:sz w:val="18"/>
          <w:szCs w:val="18"/>
          <w:b w:val="1"/>
          <w:bCs w:val="1"/>
          <w:color w:val="auto"/>
        </w:rPr>
      </w:pPr>
    </w:p>
    <w:p>
      <w:pPr>
        <w:ind w:left="-8" w:right="460" w:firstLine="436"/>
        <w:spacing w:after="0" w:line="267" w:lineRule="auto"/>
        <w:tabs>
          <w:tab w:leader="none" w:pos="639"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the Plan does not comply with Applicable Law, such provision shall be construed in such a manner as to comply with Applicable Law.</w:t>
      </w:r>
    </w:p>
    <w:p>
      <w:pPr>
        <w:spacing w:after="0" w:line="273" w:lineRule="exact"/>
        <w:rPr>
          <w:sz w:val="20"/>
          <w:szCs w:val="20"/>
          <w:color w:val="auto"/>
        </w:rPr>
      </w:pPr>
    </w:p>
    <w:p>
      <w:pPr>
        <w:ind w:left="272" w:hanging="272"/>
        <w:spacing w:after="0"/>
        <w:tabs>
          <w:tab w:leader="none" w:pos="272"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104" w:lineRule="exact"/>
        <w:rPr>
          <w:sz w:val="20"/>
          <w:szCs w:val="20"/>
          <w:color w:val="auto"/>
        </w:rPr>
      </w:pPr>
    </w:p>
    <w:p>
      <w:pPr>
        <w:ind w:left="-8" w:right="320" w:firstLine="436"/>
        <w:spacing w:after="0" w:line="272" w:lineRule="auto"/>
        <w:tabs>
          <w:tab w:leader="none" w:pos="668"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55" w:lineRule="exact"/>
        <w:rPr>
          <w:rFonts w:ascii="Times New Roman" w:cs="Times New Roman" w:eastAsia="Times New Roman" w:hAnsi="Times New Roman"/>
          <w:sz w:val="18"/>
          <w:szCs w:val="18"/>
          <w:b w:val="1"/>
          <w:bCs w:val="1"/>
          <w:color w:val="auto"/>
        </w:rPr>
      </w:pPr>
    </w:p>
    <w:p>
      <w:pPr>
        <w:ind w:left="-8" w:firstLine="436"/>
        <w:spacing w:after="0" w:line="258" w:lineRule="auto"/>
        <w:tabs>
          <w:tab w:leader="none" w:pos="678"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67" w:lineRule="exact"/>
        <w:rPr>
          <w:rFonts w:ascii="Times New Roman" w:cs="Times New Roman" w:eastAsia="Times New Roman" w:hAnsi="Times New Roman"/>
          <w:sz w:val="18"/>
          <w:szCs w:val="18"/>
          <w:b w:val="1"/>
          <w:bCs w:val="1"/>
          <w:color w:val="auto"/>
        </w:rPr>
      </w:pPr>
    </w:p>
    <w:p>
      <w:pPr>
        <w:ind w:left="-8" w:right="200" w:firstLine="436"/>
        <w:spacing w:after="0" w:line="294" w:lineRule="auto"/>
        <w:tabs>
          <w:tab w:leader="none" w:pos="658" w:val="left"/>
        </w:tabs>
        <w:numPr>
          <w:ilvl w:val="0"/>
          <w:numId w:val="5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Applicable Law</w:t>
      </w:r>
      <w:r>
        <w:rPr>
          <w:rFonts w:ascii="Times New Roman" w:cs="Times New Roman" w:eastAsia="Times New Roman" w:hAnsi="Times New Roman"/>
          <w:sz w:val="16"/>
          <w:szCs w:val="16"/>
          <w:color w:val="auto"/>
        </w:rPr>
        <w:t>”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43" w:lineRule="exact"/>
        <w:rPr>
          <w:rFonts w:ascii="Times New Roman" w:cs="Times New Roman" w:eastAsia="Times New Roman" w:hAnsi="Times New Roman"/>
          <w:sz w:val="16"/>
          <w:szCs w:val="16"/>
          <w:b w:val="1"/>
          <w:bCs w:val="1"/>
          <w:color w:val="auto"/>
        </w:rPr>
      </w:pPr>
    </w:p>
    <w:p>
      <w:pPr>
        <w:ind w:left="692" w:hanging="264"/>
        <w:spacing w:after="0"/>
        <w:tabs>
          <w:tab w:leader="none" w:pos="692"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08" w:lineRule="exact"/>
        <w:rPr>
          <w:rFonts w:ascii="Times New Roman" w:cs="Times New Roman" w:eastAsia="Times New Roman" w:hAnsi="Times New Roman"/>
          <w:sz w:val="18"/>
          <w:szCs w:val="18"/>
          <w:b w:val="1"/>
          <w:bCs w:val="1"/>
          <w:color w:val="auto"/>
        </w:rPr>
      </w:pPr>
    </w:p>
    <w:p>
      <w:pPr>
        <w:ind w:left="-8" w:right="60" w:firstLine="436"/>
        <w:spacing w:after="0" w:line="286" w:lineRule="auto"/>
        <w:tabs>
          <w:tab w:leader="none" w:pos="658" w:val="left"/>
        </w:tabs>
        <w:numPr>
          <w:ilvl w:val="0"/>
          <w:numId w:val="5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Capitalization Adjustment</w:t>
      </w:r>
      <w:r>
        <w:rPr>
          <w:rFonts w:ascii="Times New Roman" w:cs="Times New Roman" w:eastAsia="Times New Roman" w:hAnsi="Times New Roman"/>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92"/>
          </w:cols>
          <w:pgMar w:left="588" w:top="264" w:right="619" w:bottom="1440" w:gutter="0" w:footer="0" w:header="0"/>
        </w:sectPr>
      </w:pPr>
    </w:p>
    <w:bookmarkStart w:id="592" w:name="page593"/>
    <w:bookmarkEnd w:id="592"/>
    <w:p>
      <w:pPr>
        <w:ind w:left="640" w:hanging="224"/>
        <w:spacing w:after="0"/>
        <w:tabs>
          <w:tab w:leader="none" w:pos="640"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108" w:lineRule="exact"/>
        <w:rPr>
          <w:rFonts w:ascii="Times New Roman" w:cs="Times New Roman" w:eastAsia="Times New Roman" w:hAnsi="Times New Roman"/>
          <w:sz w:val="18"/>
          <w:szCs w:val="18"/>
          <w:b w:val="1"/>
          <w:bCs w:val="1"/>
          <w:color w:val="auto"/>
        </w:rPr>
      </w:pPr>
    </w:p>
    <w:p>
      <w:pPr>
        <w:ind w:left="660" w:hanging="244"/>
        <w:spacing w:after="0"/>
        <w:tabs>
          <w:tab w:leader="none" w:pos="660"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Combined Common Stock</w:t>
      </w:r>
      <w:r>
        <w:rPr>
          <w:rFonts w:ascii="Times New Roman" w:cs="Times New Roman" w:eastAsia="Times New Roman" w:hAnsi="Times New Roman"/>
          <w:sz w:val="18"/>
          <w:szCs w:val="18"/>
          <w:color w:val="auto"/>
        </w:rPr>
        <w:t>” means the common stock of the Company of all classes.</w:t>
      </w:r>
    </w:p>
    <w:p>
      <w:pPr>
        <w:spacing w:after="0" w:line="108" w:lineRule="exact"/>
        <w:rPr>
          <w:rFonts w:ascii="Times New Roman" w:cs="Times New Roman" w:eastAsia="Times New Roman" w:hAnsi="Times New Roman"/>
          <w:sz w:val="18"/>
          <w:szCs w:val="18"/>
          <w:b w:val="1"/>
          <w:bCs w:val="1"/>
          <w:color w:val="auto"/>
        </w:rPr>
      </w:pPr>
    </w:p>
    <w:p>
      <w:pPr>
        <w:ind w:left="-20" w:firstLine="436"/>
        <w:spacing w:after="0" w:line="272" w:lineRule="auto"/>
        <w:tabs>
          <w:tab w:leader="none" w:pos="666"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55" w:lineRule="exact"/>
        <w:rPr>
          <w:rFonts w:ascii="Times New Roman" w:cs="Times New Roman" w:eastAsia="Times New Roman" w:hAnsi="Times New Roman"/>
          <w:sz w:val="18"/>
          <w:szCs w:val="18"/>
          <w:b w:val="1"/>
          <w:bCs w:val="1"/>
          <w:color w:val="auto"/>
        </w:rPr>
      </w:pPr>
    </w:p>
    <w:p>
      <w:pPr>
        <w:ind w:left="620" w:hanging="204"/>
        <w:spacing w:after="0"/>
        <w:tabs>
          <w:tab w:leader="none" w:pos="620"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108" w:lineRule="exact"/>
        <w:rPr>
          <w:rFonts w:ascii="Times New Roman" w:cs="Times New Roman" w:eastAsia="Times New Roman" w:hAnsi="Times New Roman"/>
          <w:sz w:val="18"/>
          <w:szCs w:val="18"/>
          <w:b w:val="1"/>
          <w:bCs w:val="1"/>
          <w:color w:val="auto"/>
        </w:rPr>
      </w:pPr>
    </w:p>
    <w:p>
      <w:pPr>
        <w:ind w:left="640" w:hanging="224"/>
        <w:spacing w:after="0"/>
        <w:tabs>
          <w:tab w:leader="none" w:pos="640"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Tempus Labs, Inc., a Delaware corporation.</w:t>
      </w:r>
    </w:p>
    <w:p>
      <w:pPr>
        <w:spacing w:after="0" w:line="108" w:lineRule="exact"/>
        <w:rPr>
          <w:rFonts w:ascii="Times New Roman" w:cs="Times New Roman" w:eastAsia="Times New Roman" w:hAnsi="Times New Roman"/>
          <w:sz w:val="18"/>
          <w:szCs w:val="18"/>
          <w:b w:val="1"/>
          <w:bCs w:val="1"/>
          <w:color w:val="auto"/>
        </w:rPr>
      </w:pPr>
    </w:p>
    <w:p>
      <w:pPr>
        <w:ind w:left="-20" w:right="160" w:firstLine="436"/>
        <w:spacing w:after="0" w:line="253" w:lineRule="auto"/>
        <w:tabs>
          <w:tab w:leader="none" w:pos="666"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w:t>
      </w:r>
    </w:p>
    <w:p>
      <w:pPr>
        <w:spacing w:after="0" w:line="72" w:lineRule="exact"/>
        <w:rPr>
          <w:rFonts w:ascii="Times New Roman" w:cs="Times New Roman" w:eastAsia="Times New Roman" w:hAnsi="Times New Roman"/>
          <w:sz w:val="18"/>
          <w:szCs w:val="18"/>
          <w:b w:val="1"/>
          <w:bCs w:val="1"/>
          <w:color w:val="auto"/>
        </w:rPr>
      </w:pPr>
    </w:p>
    <w:p>
      <w:pPr>
        <w:ind w:left="-20" w:right="460" w:firstLine="436"/>
        <w:spacing w:after="0" w:line="272" w:lineRule="auto"/>
        <w:tabs>
          <w:tab w:leader="none" w:pos="617"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9" w:lineRule="exact"/>
        <w:rPr>
          <w:rFonts w:ascii="Times New Roman" w:cs="Times New Roman" w:eastAsia="Times New Roman" w:hAnsi="Times New Roman"/>
          <w:sz w:val="18"/>
          <w:szCs w:val="18"/>
          <w:b w:val="1"/>
          <w:bCs w:val="1"/>
          <w:color w:val="auto"/>
        </w:rPr>
      </w:pPr>
    </w:p>
    <w:p>
      <w:pPr>
        <w:ind w:left="-20" w:right="220" w:firstLine="972"/>
        <w:spacing w:after="0" w:line="267" w:lineRule="auto"/>
        <w:tabs>
          <w:tab w:leader="none" w:pos="1153" w:val="left"/>
        </w:tabs>
        <w:numPr>
          <w:ilvl w:val="1"/>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64" w:lineRule="exact"/>
        <w:rPr>
          <w:rFonts w:ascii="Times New Roman" w:cs="Times New Roman" w:eastAsia="Times New Roman" w:hAnsi="Times New Roman"/>
          <w:sz w:val="18"/>
          <w:szCs w:val="18"/>
          <w:b w:val="1"/>
          <w:bCs w:val="1"/>
          <w:color w:val="auto"/>
        </w:rPr>
      </w:pPr>
    </w:p>
    <w:p>
      <w:pPr>
        <w:ind w:left="1200" w:hanging="248"/>
        <w:spacing w:after="0"/>
        <w:tabs>
          <w:tab w:leader="none" w:pos="1200" w:val="left"/>
        </w:tabs>
        <w:numPr>
          <w:ilvl w:val="1"/>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108" w:lineRule="exact"/>
        <w:rPr>
          <w:rFonts w:ascii="Times New Roman" w:cs="Times New Roman" w:eastAsia="Times New Roman" w:hAnsi="Times New Roman"/>
          <w:sz w:val="18"/>
          <w:szCs w:val="18"/>
          <w:b w:val="1"/>
          <w:bCs w:val="1"/>
          <w:color w:val="auto"/>
        </w:rPr>
      </w:pPr>
    </w:p>
    <w:p>
      <w:pPr>
        <w:ind w:left="1260" w:hanging="308"/>
        <w:spacing w:after="0"/>
        <w:tabs>
          <w:tab w:leader="none" w:pos="1260" w:val="left"/>
        </w:tabs>
        <w:numPr>
          <w:ilvl w:val="1"/>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08" w:lineRule="exact"/>
        <w:rPr>
          <w:rFonts w:ascii="Times New Roman" w:cs="Times New Roman" w:eastAsia="Times New Roman" w:hAnsi="Times New Roman"/>
          <w:sz w:val="18"/>
          <w:szCs w:val="18"/>
          <w:b w:val="1"/>
          <w:bCs w:val="1"/>
          <w:color w:val="auto"/>
        </w:rPr>
      </w:pPr>
    </w:p>
    <w:p>
      <w:pPr>
        <w:ind w:left="-20" w:right="240" w:firstLine="972"/>
        <w:spacing w:after="0" w:line="255" w:lineRule="auto"/>
        <w:tabs>
          <w:tab w:leader="none" w:pos="1240" w:val="left"/>
        </w:tabs>
        <w:numPr>
          <w:ilvl w:val="1"/>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1" w:lineRule="exact"/>
        <w:rPr>
          <w:rFonts w:ascii="Times New Roman" w:cs="Times New Roman" w:eastAsia="Times New Roman" w:hAnsi="Times New Roman"/>
          <w:sz w:val="18"/>
          <w:szCs w:val="18"/>
          <w:b w:val="1"/>
          <w:bCs w:val="1"/>
          <w:color w:val="auto"/>
        </w:rPr>
      </w:pPr>
    </w:p>
    <w:p>
      <w:pPr>
        <w:ind w:left="720" w:hanging="304"/>
        <w:spacing w:after="0"/>
        <w:tabs>
          <w:tab w:leader="none" w:pos="720"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423 Company</w:t>
      </w:r>
      <w:r>
        <w:rPr>
          <w:rFonts w:ascii="Times New Roman" w:cs="Times New Roman" w:eastAsia="Times New Roman" w:hAnsi="Times New Roman"/>
          <w:sz w:val="18"/>
          <w:szCs w:val="18"/>
          <w:color w:val="auto"/>
        </w:rPr>
        <w:t>” means any Related Corporation selected by the Board as participating in the 423 Component.</w:t>
      </w:r>
    </w:p>
    <w:p>
      <w:pPr>
        <w:spacing w:after="0" w:line="108" w:lineRule="exact"/>
        <w:rPr>
          <w:rFonts w:ascii="Times New Roman" w:cs="Times New Roman" w:eastAsia="Times New Roman" w:hAnsi="Times New Roman"/>
          <w:sz w:val="18"/>
          <w:szCs w:val="18"/>
          <w:b w:val="1"/>
          <w:bCs w:val="1"/>
          <w:color w:val="auto"/>
        </w:rPr>
      </w:pPr>
    </w:p>
    <w:p>
      <w:pPr>
        <w:ind w:left="-20" w:right="80" w:firstLine="436"/>
        <w:spacing w:after="0" w:line="272" w:lineRule="auto"/>
        <w:tabs>
          <w:tab w:leader="none" w:pos="666"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any Designated Non-423 Corporation or Designated 423 Company, provided, however, that at any given time, a Related Corporation participating in the 423 Component shall not be a Related Corporation participating in the Non-423 Component.</w:t>
      </w:r>
    </w:p>
    <w:p>
      <w:pPr>
        <w:spacing w:after="0" w:line="55" w:lineRule="exact"/>
        <w:rPr>
          <w:rFonts w:ascii="Times New Roman" w:cs="Times New Roman" w:eastAsia="Times New Roman" w:hAnsi="Times New Roman"/>
          <w:sz w:val="18"/>
          <w:szCs w:val="18"/>
          <w:b w:val="1"/>
          <w:bCs w:val="1"/>
          <w:color w:val="auto"/>
        </w:rPr>
      </w:pPr>
    </w:p>
    <w:p>
      <w:pPr>
        <w:ind w:left="-20" w:right="820" w:firstLine="436"/>
        <w:spacing w:after="0" w:line="272" w:lineRule="auto"/>
        <w:tabs>
          <w:tab w:leader="none" w:pos="656"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Non-423 Company</w:t>
      </w:r>
      <w:r>
        <w:rPr>
          <w:rFonts w:ascii="Times New Roman" w:cs="Times New Roman" w:eastAsia="Times New Roman" w:hAnsi="Times New Roman"/>
          <w:sz w:val="18"/>
          <w:szCs w:val="18"/>
          <w:color w:val="auto"/>
        </w:rPr>
        <w:t>” means any Related Corporation or Affiliate selected by the Board as participating in the Non-423 Component.</w:t>
      </w:r>
    </w:p>
    <w:p>
      <w:pPr>
        <w:spacing w:after="0" w:line="55"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600" w:top="260" w:right="599" w:bottom="1440" w:gutter="0" w:footer="0" w:header="0"/>
        </w:sectPr>
      </w:pPr>
    </w:p>
    <w:bookmarkStart w:id="593" w:name="page594"/>
    <w:bookmarkEnd w:id="593"/>
    <w:p>
      <w:pPr>
        <w:ind w:left="-80" w:right="240" w:firstLine="436"/>
        <w:spacing w:after="0" w:line="336" w:lineRule="auto"/>
        <w:tabs>
          <w:tab w:leader="none" w:pos="606" w:val="left"/>
        </w:tabs>
        <w:numPr>
          <w:ilvl w:val="0"/>
          <w:numId w:val="5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i w:val="1"/>
          <w:iCs w:val="1"/>
          <w:color w:val="auto"/>
        </w:rPr>
        <w:t>Eligible Employee</w:t>
      </w:r>
      <w:r>
        <w:rPr>
          <w:rFonts w:ascii="Times New Roman" w:cs="Times New Roman" w:eastAsia="Times New Roman" w:hAnsi="Times New Roman"/>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9" w:lineRule="exact"/>
        <w:rPr>
          <w:rFonts w:ascii="Times New Roman" w:cs="Times New Roman" w:eastAsia="Times New Roman" w:hAnsi="Times New Roman"/>
          <w:sz w:val="16"/>
          <w:szCs w:val="16"/>
          <w:b w:val="1"/>
          <w:bCs w:val="1"/>
          <w:color w:val="auto"/>
        </w:rPr>
      </w:pPr>
    </w:p>
    <w:p>
      <w:pPr>
        <w:ind w:left="-80" w:right="40" w:firstLine="436"/>
        <w:spacing w:after="0" w:line="258" w:lineRule="auto"/>
        <w:tabs>
          <w:tab w:leader="none" w:pos="586"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67" w:lineRule="exact"/>
        <w:rPr>
          <w:rFonts w:ascii="Times New Roman" w:cs="Times New Roman" w:eastAsia="Times New Roman" w:hAnsi="Times New Roman"/>
          <w:sz w:val="18"/>
          <w:szCs w:val="18"/>
          <w:b w:val="1"/>
          <w:bCs w:val="1"/>
          <w:color w:val="auto"/>
        </w:rPr>
      </w:pPr>
    </w:p>
    <w:p>
      <w:pPr>
        <w:ind w:left="-80" w:right="60" w:firstLine="436"/>
        <w:spacing w:after="0" w:line="272" w:lineRule="auto"/>
        <w:tabs>
          <w:tab w:leader="none" w:pos="577"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55" w:lineRule="exact"/>
        <w:rPr>
          <w:rFonts w:ascii="Times New Roman" w:cs="Times New Roman" w:eastAsia="Times New Roman" w:hAnsi="Times New Roman"/>
          <w:sz w:val="18"/>
          <w:szCs w:val="18"/>
          <w:b w:val="1"/>
          <w:bCs w:val="1"/>
          <w:color w:val="auto"/>
        </w:rPr>
      </w:pPr>
    </w:p>
    <w:p>
      <w:pPr>
        <w:ind w:left="580" w:hanging="224"/>
        <w:spacing w:after="0"/>
        <w:tabs>
          <w:tab w:leader="none" w:pos="58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108" w:lineRule="exact"/>
        <w:rPr>
          <w:rFonts w:ascii="Times New Roman" w:cs="Times New Roman" w:eastAsia="Times New Roman" w:hAnsi="Times New Roman"/>
          <w:sz w:val="18"/>
          <w:szCs w:val="18"/>
          <w:b w:val="1"/>
          <w:bCs w:val="1"/>
          <w:color w:val="auto"/>
        </w:rPr>
      </w:pPr>
    </w:p>
    <w:p>
      <w:pPr>
        <w:ind w:left="620" w:hanging="264"/>
        <w:spacing w:after="0"/>
        <w:tabs>
          <w:tab w:leader="none" w:pos="62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12" w:lineRule="exact"/>
        <w:rPr>
          <w:rFonts w:ascii="Times New Roman" w:cs="Times New Roman" w:eastAsia="Times New Roman" w:hAnsi="Times New Roman"/>
          <w:sz w:val="18"/>
          <w:szCs w:val="18"/>
          <w:b w:val="1"/>
          <w:bCs w:val="1"/>
          <w:color w:val="auto"/>
        </w:rPr>
      </w:pPr>
    </w:p>
    <w:p>
      <w:pPr>
        <w:ind w:left="-80" w:right="60" w:firstLine="972"/>
        <w:spacing w:after="0" w:line="249" w:lineRule="auto"/>
        <w:tabs>
          <w:tab w:leader="none" w:pos="1093"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Common Stock is listed on any established stock exchange or traded on any established market, the Fair Market Value of a share of Common Stock will be, unless otherwise determined by the Board, the </w:t>
      </w:r>
      <w:r>
        <w:rPr>
          <w:rFonts w:ascii="Times New Roman" w:cs="Times New Roman" w:eastAsia="Times New Roman" w:hAnsi="Times New Roman"/>
          <w:sz w:val="18"/>
          <w:szCs w:val="18"/>
          <w:b w:val="1"/>
          <w:bCs w:val="1"/>
          <w:u w:val="single" w:color="auto"/>
          <w:color w:val="auto"/>
        </w:rPr>
        <w:t>closing sales price</w:t>
      </w:r>
      <w:r>
        <w:rPr>
          <w:rFonts w:ascii="Times New Roman" w:cs="Times New Roman" w:eastAsia="Times New Roman" w:hAnsi="Times New Roman"/>
          <w:sz w:val="18"/>
          <w:szCs w:val="18"/>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8"/>
          <w:szCs w:val="18"/>
          <w:b w:val="1"/>
          <w:bCs w:val="1"/>
          <w:u w:val="single" w:color="auto"/>
          <w:color w:val="auto"/>
        </w:rPr>
        <w:t>on the date of determination</w:t>
      </w:r>
      <w:r>
        <w:rPr>
          <w:rFonts w:ascii="Times New Roman" w:cs="Times New Roman" w:eastAsia="Times New Roman" w:hAnsi="Times New Roman"/>
          <w:sz w:val="18"/>
          <w:szCs w:val="18"/>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81" w:lineRule="exact"/>
        <w:rPr>
          <w:rFonts w:ascii="Times New Roman" w:cs="Times New Roman" w:eastAsia="Times New Roman" w:hAnsi="Times New Roman"/>
          <w:sz w:val="18"/>
          <w:szCs w:val="18"/>
          <w:b w:val="1"/>
          <w:bCs w:val="1"/>
          <w:color w:val="auto"/>
        </w:rPr>
      </w:pPr>
    </w:p>
    <w:p>
      <w:pPr>
        <w:ind w:left="-80" w:right="480" w:firstLine="972"/>
        <w:spacing w:after="0" w:line="255" w:lineRule="auto"/>
        <w:tabs>
          <w:tab w:leader="none" w:pos="1142"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75" w:lineRule="exact"/>
        <w:rPr>
          <w:rFonts w:ascii="Times New Roman" w:cs="Times New Roman" w:eastAsia="Times New Roman" w:hAnsi="Times New Roman"/>
          <w:sz w:val="18"/>
          <w:szCs w:val="18"/>
          <w:b w:val="1"/>
          <w:bCs w:val="1"/>
          <w:color w:val="auto"/>
        </w:rPr>
      </w:pPr>
    </w:p>
    <w:p>
      <w:pPr>
        <w:ind w:left="-80" w:right="80" w:firstLine="972"/>
        <w:spacing w:after="0" w:line="255" w:lineRule="auto"/>
        <w:tabs>
          <w:tab w:leader="none" w:pos="1190"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71" w:lineRule="exact"/>
        <w:rPr>
          <w:rFonts w:ascii="Times New Roman" w:cs="Times New Roman" w:eastAsia="Times New Roman" w:hAnsi="Times New Roman"/>
          <w:sz w:val="18"/>
          <w:szCs w:val="18"/>
          <w:b w:val="1"/>
          <w:bCs w:val="1"/>
          <w:color w:val="auto"/>
        </w:rPr>
      </w:pPr>
    </w:p>
    <w:p>
      <w:pPr>
        <w:ind w:left="-80" w:firstLine="436"/>
        <w:spacing w:after="0" w:line="249" w:lineRule="auto"/>
        <w:tabs>
          <w:tab w:leader="none" w:pos="596"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w:t>
      </w:r>
    </w:p>
    <w:p>
      <w:pPr>
        <w:spacing w:after="0" w:line="76" w:lineRule="exact"/>
        <w:rPr>
          <w:rFonts w:ascii="Times New Roman" w:cs="Times New Roman" w:eastAsia="Times New Roman" w:hAnsi="Times New Roman"/>
          <w:sz w:val="18"/>
          <w:szCs w:val="18"/>
          <w:b w:val="1"/>
          <w:bCs w:val="1"/>
          <w:color w:val="auto"/>
        </w:rPr>
      </w:pPr>
    </w:p>
    <w:p>
      <w:pPr>
        <w:ind w:left="-80" w:right="120" w:firstLine="436"/>
        <w:spacing w:after="0" w:line="272" w:lineRule="auto"/>
        <w:tabs>
          <w:tab w:leader="none" w:pos="635"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660" w:top="261" w:right="659" w:bottom="1440" w:gutter="0" w:footer="0" w:header="0"/>
        </w:sectPr>
      </w:pPr>
    </w:p>
    <w:bookmarkStart w:id="594" w:name="page595"/>
    <w:bookmarkEnd w:id="594"/>
    <w:p>
      <w:pPr>
        <w:ind w:left="-40" w:right="560" w:firstLine="436"/>
        <w:spacing w:after="0" w:line="267" w:lineRule="auto"/>
        <w:tabs>
          <w:tab w:leader="none" w:pos="636"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“Non-423 Component” means the part of the Plan, which excludes the 423 Component, pursuant to which Purchase Rights that are not intended to satisfy the requirements for an Employee Stock Purchase Plan may be granted to Eligible Employees.</w:t>
      </w:r>
    </w:p>
    <w:p>
      <w:pPr>
        <w:spacing w:after="0" w:line="60" w:lineRule="exact"/>
        <w:rPr>
          <w:rFonts w:ascii="Times New Roman" w:cs="Times New Roman" w:eastAsia="Times New Roman" w:hAnsi="Times New Roman"/>
          <w:sz w:val="18"/>
          <w:szCs w:val="18"/>
          <w:b w:val="1"/>
          <w:bCs w:val="1"/>
          <w:color w:val="auto"/>
        </w:rPr>
      </w:pPr>
    </w:p>
    <w:p>
      <w:pPr>
        <w:jc w:val="both"/>
        <w:ind w:left="-40" w:right="160" w:firstLine="436"/>
        <w:spacing w:after="0" w:line="258" w:lineRule="auto"/>
        <w:tabs>
          <w:tab w:leader="none" w:pos="636"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67" w:lineRule="exact"/>
        <w:rPr>
          <w:rFonts w:ascii="Times New Roman" w:cs="Times New Roman" w:eastAsia="Times New Roman" w:hAnsi="Times New Roman"/>
          <w:sz w:val="18"/>
          <w:szCs w:val="18"/>
          <w:b w:val="1"/>
          <w:bCs w:val="1"/>
          <w:color w:val="auto"/>
        </w:rPr>
      </w:pPr>
    </w:p>
    <w:p>
      <w:pPr>
        <w:ind w:left="640" w:hanging="244"/>
        <w:spacing w:after="0"/>
        <w:tabs>
          <w:tab w:leader="none" w:pos="640"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108" w:lineRule="exact"/>
        <w:rPr>
          <w:sz w:val="20"/>
          <w:szCs w:val="20"/>
          <w:color w:val="auto"/>
        </w:rPr>
      </w:pPr>
    </w:p>
    <w:p>
      <w:pPr>
        <w:ind w:left="740" w:hanging="344"/>
        <w:spacing w:after="0"/>
        <w:tabs>
          <w:tab w:leader="none" w:pos="740" w:val="left"/>
        </w:tabs>
        <w:numPr>
          <w:ilvl w:val="0"/>
          <w:numId w:val="5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Officer</w:t>
      </w:r>
      <w:r>
        <w:rPr>
          <w:rFonts w:ascii="Times New Roman" w:cs="Times New Roman" w:eastAsia="Times New Roman" w:hAnsi="Times New Roman"/>
          <w:sz w:val="16"/>
          <w:szCs w:val="16"/>
          <w:color w:val="auto"/>
        </w:rPr>
        <w:t>” means a person who is an officer of the Company or a Related Corporation within the meaning of Section 16 of the Exchange Act.</w:t>
      </w:r>
    </w:p>
    <w:p>
      <w:pPr>
        <w:spacing w:after="0" w:line="131" w:lineRule="exact"/>
        <w:rPr>
          <w:rFonts w:ascii="Times New Roman" w:cs="Times New Roman" w:eastAsia="Times New Roman" w:hAnsi="Times New Roman"/>
          <w:sz w:val="16"/>
          <w:szCs w:val="16"/>
          <w:b w:val="1"/>
          <w:bCs w:val="1"/>
          <w:color w:val="auto"/>
        </w:rPr>
      </w:pPr>
    </w:p>
    <w:p>
      <w:pPr>
        <w:ind w:left="760" w:hanging="364"/>
        <w:spacing w:after="0"/>
        <w:tabs>
          <w:tab w:leader="none" w:pos="760"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108" w:lineRule="exact"/>
        <w:rPr>
          <w:rFonts w:ascii="Times New Roman" w:cs="Times New Roman" w:eastAsia="Times New Roman" w:hAnsi="Times New Roman"/>
          <w:sz w:val="18"/>
          <w:szCs w:val="18"/>
          <w:b w:val="1"/>
          <w:bCs w:val="1"/>
          <w:color w:val="auto"/>
        </w:rPr>
      </w:pPr>
    </w:p>
    <w:p>
      <w:pPr>
        <w:ind w:left="-40" w:firstLine="436"/>
        <w:spacing w:after="0" w:line="272" w:lineRule="auto"/>
        <w:tabs>
          <w:tab w:leader="none" w:pos="704"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Tempus Labs, Inc. 2022 Employee Stock Purchase Plan, as amended from time to time, including both the 423 Component and the Non-423 Component.</w:t>
      </w:r>
    </w:p>
    <w:p>
      <w:pPr>
        <w:spacing w:after="0" w:line="55" w:lineRule="exact"/>
        <w:rPr>
          <w:rFonts w:ascii="Times New Roman" w:cs="Times New Roman" w:eastAsia="Times New Roman" w:hAnsi="Times New Roman"/>
          <w:sz w:val="18"/>
          <w:szCs w:val="18"/>
          <w:b w:val="1"/>
          <w:bCs w:val="1"/>
          <w:color w:val="auto"/>
        </w:rPr>
      </w:pPr>
    </w:p>
    <w:p>
      <w:pPr>
        <w:ind w:left="-40" w:right="380" w:firstLine="436"/>
        <w:spacing w:after="0" w:line="272" w:lineRule="auto"/>
        <w:tabs>
          <w:tab w:leader="none" w:pos="743"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55" w:lineRule="exact"/>
        <w:rPr>
          <w:rFonts w:ascii="Times New Roman" w:cs="Times New Roman" w:eastAsia="Times New Roman" w:hAnsi="Times New Roman"/>
          <w:sz w:val="18"/>
          <w:szCs w:val="18"/>
          <w:b w:val="1"/>
          <w:bCs w:val="1"/>
          <w:color w:val="auto"/>
        </w:rPr>
      </w:pPr>
    </w:p>
    <w:p>
      <w:pPr>
        <w:ind w:left="-40" w:right="40" w:firstLine="436"/>
        <w:spacing w:after="0" w:line="272" w:lineRule="auto"/>
        <w:tabs>
          <w:tab w:leader="none" w:pos="704"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55" w:lineRule="exact"/>
        <w:rPr>
          <w:rFonts w:ascii="Times New Roman" w:cs="Times New Roman" w:eastAsia="Times New Roman" w:hAnsi="Times New Roman"/>
          <w:sz w:val="18"/>
          <w:szCs w:val="18"/>
          <w:b w:val="1"/>
          <w:bCs w:val="1"/>
          <w:color w:val="auto"/>
        </w:rPr>
      </w:pPr>
    </w:p>
    <w:p>
      <w:pPr>
        <w:ind w:left="680" w:hanging="284"/>
        <w:spacing w:after="0"/>
        <w:tabs>
          <w:tab w:leader="none" w:pos="680"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108" w:lineRule="exact"/>
        <w:rPr>
          <w:rFonts w:ascii="Times New Roman" w:cs="Times New Roman" w:eastAsia="Times New Roman" w:hAnsi="Times New Roman"/>
          <w:sz w:val="18"/>
          <w:szCs w:val="18"/>
          <w:b w:val="1"/>
          <w:bCs w:val="1"/>
          <w:color w:val="auto"/>
        </w:rPr>
      </w:pPr>
    </w:p>
    <w:p>
      <w:pPr>
        <w:ind w:left="-40" w:right="800" w:firstLine="436"/>
        <w:spacing w:after="0" w:line="272" w:lineRule="auto"/>
        <w:tabs>
          <w:tab w:leader="none" w:pos="723"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55" w:lineRule="exact"/>
        <w:rPr>
          <w:rFonts w:ascii="Times New Roman" w:cs="Times New Roman" w:eastAsia="Times New Roman" w:hAnsi="Times New Roman"/>
          <w:sz w:val="18"/>
          <w:szCs w:val="18"/>
          <w:b w:val="1"/>
          <w:bCs w:val="1"/>
          <w:color w:val="auto"/>
        </w:rPr>
      </w:pPr>
    </w:p>
    <w:p>
      <w:pPr>
        <w:ind w:left="760" w:hanging="364"/>
        <w:spacing w:after="0"/>
        <w:tabs>
          <w:tab w:leader="none" w:pos="760"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108" w:lineRule="exact"/>
        <w:rPr>
          <w:rFonts w:ascii="Times New Roman" w:cs="Times New Roman" w:eastAsia="Times New Roman" w:hAnsi="Times New Roman"/>
          <w:sz w:val="18"/>
          <w:szCs w:val="18"/>
          <w:b w:val="1"/>
          <w:bCs w:val="1"/>
          <w:color w:val="auto"/>
        </w:rPr>
      </w:pPr>
    </w:p>
    <w:p>
      <w:pPr>
        <w:ind w:left="-40" w:right="220" w:firstLine="436"/>
        <w:spacing w:after="0" w:line="258" w:lineRule="auto"/>
        <w:tabs>
          <w:tab w:leader="none" w:pos="646"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67" w:lineRule="exact"/>
        <w:rPr>
          <w:rFonts w:ascii="Times New Roman" w:cs="Times New Roman" w:eastAsia="Times New Roman" w:hAnsi="Times New Roman"/>
          <w:sz w:val="18"/>
          <w:szCs w:val="18"/>
          <w:b w:val="1"/>
          <w:bCs w:val="1"/>
          <w:color w:val="auto"/>
        </w:rPr>
      </w:pPr>
    </w:p>
    <w:p>
      <w:pPr>
        <w:ind w:left="-40" w:right="100" w:firstLine="436"/>
        <w:spacing w:after="0" w:line="258" w:lineRule="auto"/>
        <w:tabs>
          <w:tab w:leader="none" w:pos="665"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0660"/>
      </w:cols>
      <w:pgMar w:left="620" w:top="26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35626C"/>
    <w:multiLevelType w:val="hybridMultilevel"/>
    <w:lvl w:ilvl="0">
      <w:lvlJc w:val="left"/>
      <w:lvlText w:val="•"/>
      <w:numFmt w:val="bullet"/>
      <w:start w:val="1"/>
    </w:lvl>
  </w:abstractNum>
  <w:abstractNum w:abstractNumId="1">
    <w:nsid w:val="665ACA49"/>
    <w:multiLevelType w:val="hybridMultilevel"/>
    <w:lvl w:ilvl="0">
      <w:lvlJc w:val="left"/>
      <w:lvlText w:val="•"/>
      <w:numFmt w:val="bullet"/>
      <w:start w:val="1"/>
    </w:lvl>
  </w:abstractNum>
  <w:abstractNum w:abstractNumId="2">
    <w:nsid w:val="6835B2AE"/>
    <w:multiLevelType w:val="hybridMultilevel"/>
    <w:lvl w:ilvl="0">
      <w:lvlJc w:val="left"/>
      <w:lvlText w:val="•"/>
      <w:numFmt w:val="bullet"/>
      <w:start w:val="1"/>
    </w:lvl>
  </w:abstractNum>
  <w:abstractNum w:abstractNumId="3">
    <w:nsid w:val="4C187C90"/>
    <w:multiLevelType w:val="hybridMultilevel"/>
    <w:lvl w:ilvl="0">
      <w:lvlJc w:val="left"/>
      <w:lvlText w:val="•"/>
      <w:numFmt w:val="bullet"/>
      <w:start w:val="1"/>
    </w:lvl>
  </w:abstractNum>
  <w:abstractNum w:abstractNumId="4">
    <w:nsid w:val="541F28CD"/>
    <w:multiLevelType w:val="hybridMultilevel"/>
    <w:lvl w:ilvl="0">
      <w:lvlJc w:val="left"/>
      <w:lvlText w:val="•"/>
      <w:numFmt w:val="bullet"/>
      <w:start w:val="1"/>
    </w:lvl>
  </w:abstractNum>
  <w:abstractNum w:abstractNumId="5">
    <w:nsid w:val="7F65FD16"/>
    <w:multiLevelType w:val="hybridMultilevel"/>
    <w:lvl w:ilvl="0">
      <w:lvlJc w:val="left"/>
      <w:lvlText w:val="•"/>
      <w:numFmt w:val="bullet"/>
      <w:start w:val="1"/>
    </w:lvl>
  </w:abstractNum>
  <w:abstractNum w:abstractNumId="6">
    <w:nsid w:val="77C9FD68"/>
    <w:multiLevelType w:val="hybridMultilevel"/>
    <w:lvl w:ilvl="0">
      <w:lvlJc w:val="left"/>
      <w:lvlText w:val="•"/>
      <w:numFmt w:val="bullet"/>
      <w:start w:val="1"/>
    </w:lvl>
  </w:abstractNum>
  <w:abstractNum w:abstractNumId="7">
    <w:nsid w:val="298A92BA"/>
    <w:multiLevelType w:val="hybridMultilevel"/>
    <w:lvl w:ilvl="0">
      <w:lvlJc w:val="left"/>
      <w:lvlText w:val="•"/>
      <w:numFmt w:val="bullet"/>
      <w:start w:val="1"/>
    </w:lvl>
    <w:lvl w:ilvl="1">
      <w:lvlJc w:val="left"/>
      <w:lvlText w:val=","/>
      <w:numFmt w:val="bullet"/>
      <w:start w:val="1"/>
    </w:lvl>
  </w:abstractNum>
  <w:abstractNum w:abstractNumId="8">
    <w:nsid w:val="6FE95EAC"/>
    <w:multiLevelType w:val="hybridMultilevel"/>
    <w:lvl w:ilvl="0">
      <w:lvlJc w:val="left"/>
      <w:lvlText w:val="•"/>
      <w:numFmt w:val="bullet"/>
      <w:start w:val="1"/>
    </w:lvl>
  </w:abstractNum>
  <w:abstractNum w:abstractNumId="9">
    <w:nsid w:val="4B697C7A"/>
    <w:multiLevelType w:val="hybridMultilevel"/>
    <w:lvl w:ilvl="0">
      <w:lvlJc w:val="left"/>
      <w:lvlText w:val="•"/>
      <w:numFmt w:val="bullet"/>
      <w:start w:val="1"/>
    </w:lvl>
  </w:abstractNum>
  <w:abstractNum w:abstractNumId="10">
    <w:nsid w:val="51A27AA6"/>
    <w:multiLevelType w:val="hybridMultilevel"/>
    <w:lvl w:ilvl="0">
      <w:lvlJc w:val="left"/>
      <w:lvlText w:val="•"/>
      <w:numFmt w:val="bullet"/>
      <w:start w:val="1"/>
    </w:lvl>
  </w:abstractNum>
  <w:abstractNum w:abstractNumId="11">
    <w:nsid w:val="613183F2"/>
    <w:multiLevelType w:val="hybridMultilevel"/>
    <w:lvl w:ilvl="0">
      <w:lvlJc w:val="left"/>
      <w:lvlText w:val="•"/>
      <w:numFmt w:val="bullet"/>
      <w:start w:val="1"/>
    </w:lvl>
  </w:abstractNum>
  <w:abstractNum w:abstractNumId="12">
    <w:nsid w:val="634102B4"/>
    <w:multiLevelType w:val="hybridMultilevel"/>
    <w:lvl w:ilvl="0">
      <w:lvlJc w:val="left"/>
      <w:lvlText w:val="•"/>
      <w:numFmt w:val="bullet"/>
      <w:start w:val="1"/>
    </w:lvl>
  </w:abstractNum>
  <w:abstractNum w:abstractNumId="13">
    <w:nsid w:val="65BF9DA8"/>
    <w:multiLevelType w:val="hybridMultilevel"/>
    <w:lvl w:ilvl="0">
      <w:lvlJc w:val="left"/>
      <w:lvlText w:val="(%1)"/>
      <w:numFmt w:val="decimal"/>
      <w:start w:val="1"/>
    </w:lvl>
  </w:abstractNum>
  <w:abstractNum w:abstractNumId="14">
    <w:nsid w:val="21A2ECCA"/>
    <w:multiLevelType w:val="hybridMultilevel"/>
    <w:lvl w:ilvl="0">
      <w:lvlJc w:val="left"/>
      <w:lvlText w:val="(%1)"/>
      <w:numFmt w:val="decimal"/>
      <w:start w:val="2"/>
    </w:lvl>
  </w:abstractNum>
  <w:abstractNum w:abstractNumId="15">
    <w:nsid w:val="4D5C4899"/>
    <w:multiLevelType w:val="hybridMultilevel"/>
    <w:lvl w:ilvl="0">
      <w:lvlJc w:val="left"/>
      <w:lvlText w:val="(%1)"/>
      <w:numFmt w:val="decimal"/>
      <w:start w:val="1"/>
    </w:lvl>
  </w:abstractNum>
  <w:abstractNum w:abstractNumId="16">
    <w:nsid w:val="3C3B72B2"/>
    <w:multiLevelType w:val="hybridMultilevel"/>
    <w:lvl w:ilvl="0">
      <w:lvlJc w:val="left"/>
      <w:lvlText w:val="(%1)"/>
      <w:numFmt w:val="decimal"/>
      <w:start w:val="2"/>
    </w:lvl>
  </w:abstractNum>
  <w:abstractNum w:abstractNumId="17">
    <w:nsid w:val="155EC4C2"/>
    <w:multiLevelType w:val="hybridMultilevel"/>
    <w:lvl w:ilvl="0">
      <w:lvlJc w:val="left"/>
      <w:lvlText w:val="$"/>
      <w:numFmt w:val="bullet"/>
      <w:start w:val="1"/>
    </w:lvl>
  </w:abstractNum>
  <w:abstractNum w:abstractNumId="18">
    <w:nsid w:val="65D2A137"/>
    <w:multiLevelType w:val="hybridMultilevel"/>
    <w:lvl w:ilvl="0">
      <w:lvlJc w:val="left"/>
      <w:lvlText w:val="$"/>
      <w:numFmt w:val="bullet"/>
      <w:start w:val="1"/>
    </w:lvl>
  </w:abstractNum>
  <w:abstractNum w:abstractNumId="19">
    <w:nsid w:val="6EBB1F2A"/>
    <w:multiLevelType w:val="hybridMultilevel"/>
    <w:lvl w:ilvl="0">
      <w:lvlJc w:val="left"/>
      <w:lvlText w:val="(%1)"/>
      <w:numFmt w:val="decimal"/>
      <w:start w:val="4"/>
    </w:lvl>
  </w:abstractNum>
  <w:abstractNum w:abstractNumId="20">
    <w:nsid w:val="6FBF29CB"/>
    <w:multiLevelType w:val="hybridMultilevel"/>
    <w:lvl w:ilvl="0">
      <w:lvlJc w:val="left"/>
      <w:lvlText w:val="•"/>
      <w:numFmt w:val="bullet"/>
      <w:start w:val="1"/>
    </w:lvl>
  </w:abstractNum>
  <w:abstractNum w:abstractNumId="21">
    <w:nsid w:val="550B8808"/>
    <w:multiLevelType w:val="hybridMultilevel"/>
    <w:lvl w:ilvl="0">
      <w:lvlJc w:val="left"/>
      <w:lvlText w:val="•"/>
      <w:numFmt w:val="bullet"/>
      <w:start w:val="1"/>
    </w:lvl>
  </w:abstractNum>
  <w:abstractNum w:abstractNumId="22">
    <w:nsid w:val="34CC3ACF"/>
    <w:multiLevelType w:val="hybridMultilevel"/>
    <w:lvl w:ilvl="0">
      <w:lvlJc w:val="left"/>
      <w:lvlText w:val="•"/>
      <w:numFmt w:val="bullet"/>
      <w:start w:val="1"/>
    </w:lvl>
  </w:abstractNum>
  <w:abstractNum w:abstractNumId="23">
    <w:nsid w:val="4E556261"/>
    <w:multiLevelType w:val="hybridMultilevel"/>
    <w:lvl w:ilvl="0">
      <w:lvlJc w:val="left"/>
      <w:lvlText w:val="•"/>
      <w:numFmt w:val="bullet"/>
      <w:start w:val="1"/>
    </w:lvl>
  </w:abstractNum>
  <w:abstractNum w:abstractNumId="24">
    <w:nsid w:val="4C672FC9"/>
    <w:multiLevelType w:val="hybridMultilevel"/>
    <w:lvl w:ilvl="0">
      <w:lvlJc w:val="left"/>
      <w:lvlText w:val="•"/>
      <w:numFmt w:val="bullet"/>
      <w:start w:val="1"/>
    </w:lvl>
  </w:abstractNum>
  <w:abstractNum w:abstractNumId="25">
    <w:nsid w:val="52A311C3"/>
    <w:multiLevelType w:val="hybridMultilevel"/>
    <w:lvl w:ilvl="0">
      <w:lvlJc w:val="left"/>
      <w:lvlText w:val="•"/>
      <w:numFmt w:val="bullet"/>
      <w:start w:val="1"/>
    </w:lvl>
  </w:abstractNum>
  <w:abstractNum w:abstractNumId="26">
    <w:nsid w:val="44EF6B80"/>
    <w:multiLevelType w:val="hybridMultilevel"/>
    <w:lvl w:ilvl="0">
      <w:lvlJc w:val="left"/>
      <w:lvlText w:val="•"/>
      <w:numFmt w:val="bullet"/>
      <w:start w:val="1"/>
    </w:lvl>
  </w:abstractNum>
  <w:abstractNum w:abstractNumId="27">
    <w:nsid w:val="12FCDE5E"/>
    <w:multiLevelType w:val="hybridMultilevel"/>
    <w:lvl w:ilvl="0">
      <w:lvlJc w:val="left"/>
      <w:lvlText w:val="•"/>
      <w:numFmt w:val="bullet"/>
      <w:start w:val="1"/>
    </w:lvl>
  </w:abstractNum>
  <w:abstractNum w:abstractNumId="28">
    <w:nsid w:val="4A1D606E"/>
    <w:multiLevelType w:val="hybridMultilevel"/>
    <w:lvl w:ilvl="0">
      <w:lvlJc w:val="left"/>
      <w:lvlText w:val="•"/>
      <w:numFmt w:val="bullet"/>
      <w:start w:val="1"/>
    </w:lvl>
  </w:abstractNum>
  <w:abstractNum w:abstractNumId="29">
    <w:nsid w:val="4382503"/>
    <w:multiLevelType w:val="hybridMultilevel"/>
    <w:lvl w:ilvl="0">
      <w:lvlJc w:val="left"/>
      <w:lvlText w:val="•"/>
      <w:numFmt w:val="bullet"/>
      <w:start w:val="1"/>
    </w:lvl>
  </w:abstractNum>
  <w:abstractNum w:abstractNumId="30">
    <w:nsid w:val="59B76E28"/>
    <w:multiLevelType w:val="hybridMultilevel"/>
    <w:lvl w:ilvl="0">
      <w:lvlJc w:val="left"/>
      <w:lvlText w:val="•"/>
      <w:numFmt w:val="bullet"/>
      <w:start w:val="1"/>
    </w:lvl>
  </w:abstractNum>
  <w:abstractNum w:abstractNumId="31">
    <w:nsid w:val="4252C2DA"/>
    <w:multiLevelType w:val="hybridMultilevel"/>
    <w:lvl w:ilvl="0">
      <w:lvlJc w:val="left"/>
      <w:lvlText w:val="•"/>
      <w:numFmt w:val="bullet"/>
      <w:start w:val="1"/>
    </w:lvl>
  </w:abstractNum>
  <w:abstractNum w:abstractNumId="32">
    <w:nsid w:val="6A92EF4C"/>
    <w:multiLevelType w:val="hybridMultilevel"/>
    <w:lvl w:ilvl="0">
      <w:lvlJc w:val="left"/>
      <w:lvlText w:val="•"/>
      <w:numFmt w:val="bullet"/>
      <w:start w:val="1"/>
    </w:lvl>
  </w:abstractNum>
  <w:abstractNum w:abstractNumId="33">
    <w:nsid w:val="41ED20D7"/>
    <w:multiLevelType w:val="hybridMultilevel"/>
    <w:lvl w:ilvl="0">
      <w:lvlJc w:val="left"/>
      <w:lvlText w:val="•"/>
      <w:numFmt w:val="bullet"/>
      <w:start w:val="1"/>
    </w:lvl>
  </w:abstractNum>
  <w:abstractNum w:abstractNumId="34">
    <w:nsid w:val="E6B3F6A"/>
    <w:multiLevelType w:val="hybridMultilevel"/>
    <w:lvl w:ilvl="0">
      <w:lvlJc w:val="left"/>
      <w:lvlText w:val="•"/>
      <w:numFmt w:val="bullet"/>
      <w:start w:val="1"/>
    </w:lvl>
  </w:abstractNum>
  <w:abstractNum w:abstractNumId="35">
    <w:nsid w:val="3EB21819"/>
    <w:multiLevelType w:val="hybridMultilevel"/>
    <w:lvl w:ilvl="0">
      <w:lvlJc w:val="left"/>
      <w:lvlText w:val="•"/>
      <w:numFmt w:val="bullet"/>
      <w:start w:val="1"/>
    </w:lvl>
  </w:abstractNum>
  <w:abstractNum w:abstractNumId="36">
    <w:nsid w:val="41531DED"/>
    <w:multiLevelType w:val="hybridMultilevel"/>
    <w:lvl w:ilvl="0">
      <w:lvlJc w:val="left"/>
      <w:lvlText w:val="•"/>
      <w:numFmt w:val="bullet"/>
      <w:start w:val="1"/>
    </w:lvl>
  </w:abstractNum>
  <w:abstractNum w:abstractNumId="37">
    <w:nsid w:val="6353CD2"/>
    <w:multiLevelType w:val="hybridMultilevel"/>
    <w:lvl w:ilvl="0">
      <w:lvlJc w:val="left"/>
      <w:lvlText w:val="•"/>
      <w:numFmt w:val="bullet"/>
      <w:start w:val="1"/>
    </w:lvl>
  </w:abstractNum>
  <w:abstractNum w:abstractNumId="38">
    <w:nsid w:val="683CAAD3"/>
    <w:multiLevelType w:val="hybridMultilevel"/>
    <w:lvl w:ilvl="0">
      <w:lvlJc w:val="left"/>
      <w:lvlText w:val="•"/>
      <w:numFmt w:val="bullet"/>
      <w:start w:val="1"/>
    </w:lvl>
  </w:abstractNum>
  <w:abstractNum w:abstractNumId="39">
    <w:nsid w:val="313C7C99"/>
    <w:multiLevelType w:val="hybridMultilevel"/>
    <w:lvl w:ilvl="0">
      <w:lvlJc w:val="left"/>
      <w:lvlText w:val="•"/>
      <w:numFmt w:val="bullet"/>
      <w:start w:val="1"/>
    </w:lvl>
  </w:abstractNum>
  <w:abstractNum w:abstractNumId="40">
    <w:nsid w:val="519EB94C"/>
    <w:multiLevelType w:val="hybridMultilevel"/>
    <w:lvl w:ilvl="0">
      <w:lvlJc w:val="left"/>
      <w:lvlText w:val="•"/>
      <w:numFmt w:val="bullet"/>
      <w:start w:val="1"/>
    </w:lvl>
  </w:abstractNum>
  <w:abstractNum w:abstractNumId="41">
    <w:nsid w:val="39DF2579"/>
    <w:multiLevelType w:val="hybridMultilevel"/>
    <w:lvl w:ilvl="0">
      <w:lvlJc w:val="left"/>
      <w:lvlText w:val="•"/>
      <w:numFmt w:val="bullet"/>
      <w:start w:val="1"/>
    </w:lvl>
  </w:abstractNum>
  <w:abstractNum w:abstractNumId="42">
    <w:nsid w:val="126E008B"/>
    <w:multiLevelType w:val="hybridMultilevel"/>
    <w:lvl w:ilvl="0">
      <w:lvlJc w:val="left"/>
      <w:lvlText w:val="•"/>
      <w:numFmt w:val="bullet"/>
      <w:start w:val="1"/>
    </w:lvl>
  </w:abstractNum>
  <w:abstractNum w:abstractNumId="43">
    <w:nsid w:val="34DFBC00"/>
    <w:multiLevelType w:val="hybridMultilevel"/>
    <w:lvl w:ilvl="0">
      <w:lvlJc w:val="left"/>
      <w:lvlText w:val="•"/>
      <w:numFmt w:val="bullet"/>
      <w:start w:val="1"/>
    </w:lvl>
  </w:abstractNum>
  <w:abstractNum w:abstractNumId="44">
    <w:nsid w:val="1F9EC322"/>
    <w:multiLevelType w:val="hybridMultilevel"/>
    <w:lvl w:ilvl="0">
      <w:lvlJc w:val="left"/>
      <w:lvlText w:val="•"/>
      <w:numFmt w:val="bullet"/>
      <w:start w:val="1"/>
    </w:lvl>
  </w:abstractNum>
  <w:abstractNum w:abstractNumId="45">
    <w:nsid w:val="3410ED56"/>
    <w:multiLevelType w:val="hybridMultilevel"/>
    <w:lvl w:ilvl="0">
      <w:lvlJc w:val="left"/>
      <w:lvlText w:val="•"/>
      <w:numFmt w:val="bullet"/>
      <w:start w:val="1"/>
    </w:lvl>
  </w:abstractNum>
  <w:abstractNum w:abstractNumId="46">
    <w:nsid w:val="23C049A"/>
    <w:multiLevelType w:val="hybridMultilevel"/>
    <w:lvl w:ilvl="0">
      <w:lvlJc w:val="left"/>
      <w:lvlText w:val="•"/>
      <w:numFmt w:val="bullet"/>
      <w:start w:val="1"/>
    </w:lvl>
  </w:abstractNum>
  <w:abstractNum w:abstractNumId="47">
    <w:nsid w:val="5BDA35D4"/>
    <w:multiLevelType w:val="hybridMultilevel"/>
    <w:lvl w:ilvl="0">
      <w:lvlJc w:val="left"/>
      <w:lvlText w:val="•"/>
      <w:numFmt w:val="bullet"/>
      <w:start w:val="1"/>
    </w:lvl>
  </w:abstractNum>
  <w:abstractNum w:abstractNumId="48">
    <w:nsid w:val="496FB218"/>
    <w:multiLevelType w:val="hybridMultilevel"/>
    <w:lvl w:ilvl="0">
      <w:lvlJc w:val="left"/>
      <w:lvlText w:val="•"/>
      <w:numFmt w:val="bullet"/>
      <w:start w:val="1"/>
    </w:lvl>
  </w:abstractNum>
  <w:abstractNum w:abstractNumId="49">
    <w:nsid w:val="680EA5D1"/>
    <w:multiLevelType w:val="hybridMultilevel"/>
    <w:lvl w:ilvl="0">
      <w:lvlJc w:val="left"/>
      <w:lvlText w:val="$"/>
      <w:numFmt w:val="bullet"/>
      <w:start w:val="1"/>
    </w:lvl>
  </w:abstractNum>
  <w:abstractNum w:abstractNumId="50">
    <w:nsid w:val="4A9554FE"/>
    <w:multiLevelType w:val="hybridMultilevel"/>
    <w:lvl w:ilvl="0">
      <w:lvlJc w:val="left"/>
      <w:lvlText w:val="$"/>
      <w:numFmt w:val="bullet"/>
      <w:start w:val="1"/>
    </w:lvl>
  </w:abstractNum>
  <w:abstractNum w:abstractNumId="51">
    <w:nsid w:val="392EDBE4"/>
    <w:multiLevelType w:val="hybridMultilevel"/>
    <w:lvl w:ilvl="0">
      <w:lvlJc w:val="left"/>
      <w:lvlText w:val="•"/>
      <w:numFmt w:val="bullet"/>
      <w:start w:val="1"/>
    </w:lvl>
  </w:abstractNum>
  <w:abstractNum w:abstractNumId="52">
    <w:nsid w:val="3D1A2DD9"/>
    <w:multiLevelType w:val="hybridMultilevel"/>
    <w:lvl w:ilvl="0">
      <w:lvlJc w:val="left"/>
      <w:lvlText w:val="•"/>
      <w:numFmt w:val="bullet"/>
      <w:start w:val="1"/>
    </w:lvl>
  </w:abstractNum>
  <w:abstractNum w:abstractNumId="53">
    <w:nsid w:val="7F618FCD"/>
    <w:multiLevelType w:val="hybridMultilevel"/>
    <w:lvl w:ilvl="0">
      <w:lvlJc w:val="left"/>
      <w:lvlText w:val="•"/>
      <w:numFmt w:val="bullet"/>
      <w:start w:val="1"/>
    </w:lvl>
  </w:abstractNum>
  <w:abstractNum w:abstractNumId="54">
    <w:nsid w:val="7843E45"/>
    <w:multiLevelType w:val="hybridMultilevel"/>
    <w:lvl w:ilvl="0">
      <w:lvlJc w:val="left"/>
      <w:lvlText w:val="•"/>
      <w:numFmt w:val="bullet"/>
      <w:start w:val="1"/>
    </w:lvl>
  </w:abstractNum>
  <w:abstractNum w:abstractNumId="55">
    <w:nsid w:val="9815DA3"/>
    <w:multiLevelType w:val="hybridMultilevel"/>
    <w:lvl w:ilvl="0">
      <w:lvlJc w:val="left"/>
      <w:lvlText w:val="•"/>
      <w:numFmt w:val="bullet"/>
      <w:start w:val="1"/>
    </w:lvl>
  </w:abstractNum>
  <w:abstractNum w:abstractNumId="56">
    <w:nsid w:val="5204A191"/>
    <w:multiLevelType w:val="hybridMultilevel"/>
    <w:lvl w:ilvl="0">
      <w:lvlJc w:val="left"/>
      <w:lvlText w:val="$"/>
      <w:numFmt w:val="bullet"/>
      <w:start w:val="1"/>
    </w:lvl>
  </w:abstractNum>
  <w:abstractNum w:abstractNumId="57">
    <w:nsid w:val="4C73A9C6"/>
    <w:multiLevelType w:val="hybridMultilevel"/>
    <w:lvl w:ilvl="0">
      <w:lvlJc w:val="left"/>
      <w:lvlText w:val="$"/>
      <w:numFmt w:val="bullet"/>
      <w:start w:val="1"/>
    </w:lvl>
  </w:abstractNum>
  <w:abstractNum w:abstractNumId="58">
    <w:nsid w:val="1C7E3C01"/>
    <w:multiLevelType w:val="hybridMultilevel"/>
    <w:lvl w:ilvl="0">
      <w:lvlJc w:val="left"/>
      <w:lvlText w:val="•"/>
      <w:numFmt w:val="bullet"/>
      <w:start w:val="1"/>
    </w:lvl>
  </w:abstractNum>
  <w:abstractNum w:abstractNumId="59">
    <w:nsid w:val="1C2201FF"/>
    <w:multiLevelType w:val="hybridMultilevel"/>
    <w:lvl w:ilvl="0">
      <w:lvlJc w:val="left"/>
      <w:lvlText w:val="•"/>
      <w:numFmt w:val="bullet"/>
      <w:start w:val="1"/>
    </w:lvl>
  </w:abstractNum>
  <w:abstractNum w:abstractNumId="60">
    <w:nsid w:val="50ABCEC9"/>
    <w:multiLevelType w:val="hybridMultilevel"/>
    <w:lvl w:ilvl="0">
      <w:lvlJc w:val="left"/>
      <w:lvlText w:val="•"/>
      <w:numFmt w:val="bullet"/>
      <w:start w:val="1"/>
    </w:lvl>
  </w:abstractNum>
  <w:abstractNum w:abstractNumId="61">
    <w:nsid w:val="7635AA2A"/>
    <w:multiLevelType w:val="hybridMultilevel"/>
    <w:lvl w:ilvl="0">
      <w:lvlJc w:val="left"/>
      <w:lvlText w:val="•"/>
      <w:numFmt w:val="bullet"/>
      <w:start w:val="1"/>
    </w:lvl>
  </w:abstractNum>
  <w:abstractNum w:abstractNumId="62">
    <w:nsid w:val="5E74C4D9"/>
    <w:multiLevelType w:val="hybridMultilevel"/>
    <w:lvl w:ilvl="0">
      <w:lvlJc w:val="left"/>
      <w:lvlText w:val="•"/>
      <w:numFmt w:val="bullet"/>
      <w:start w:val="1"/>
    </w:lvl>
  </w:abstractNum>
  <w:abstractNum w:abstractNumId="63">
    <w:nsid w:val="3B3EBE15"/>
    <w:multiLevelType w:val="hybridMultilevel"/>
    <w:lvl w:ilvl="0">
      <w:lvlJc w:val="left"/>
      <w:lvlText w:val="(%1)"/>
      <w:numFmt w:val="decimal"/>
      <w:start w:val="1"/>
    </w:lvl>
  </w:abstractNum>
  <w:abstractNum w:abstractNumId="64">
    <w:nsid w:val="3822CB01"/>
    <w:multiLevelType w:val="hybridMultilevel"/>
    <w:lvl w:ilvl="0">
      <w:lvlJc w:val="left"/>
      <w:lvlText w:val="•"/>
      <w:numFmt w:val="bullet"/>
      <w:start w:val="1"/>
    </w:lvl>
  </w:abstractNum>
  <w:abstractNum w:abstractNumId="65">
    <w:nsid w:val="6CE00443"/>
    <w:multiLevelType w:val="hybridMultilevel"/>
    <w:lvl w:ilvl="0">
      <w:lvlJc w:val="left"/>
      <w:lvlText w:val="$"/>
      <w:numFmt w:val="bullet"/>
      <w:start w:val="1"/>
    </w:lvl>
  </w:abstractNum>
  <w:abstractNum w:abstractNumId="66">
    <w:nsid w:val="79F0D62F"/>
    <w:multiLevelType w:val="hybridMultilevel"/>
    <w:lvl w:ilvl="0">
      <w:lvlJc w:val="left"/>
      <w:lvlText w:val="(%1)"/>
      <w:numFmt w:val="lowerRoman"/>
      <w:start w:val="2"/>
    </w:lvl>
  </w:abstractNum>
  <w:abstractNum w:abstractNumId="67">
    <w:nsid w:val="7975E8EE"/>
    <w:multiLevelType w:val="hybridMultilevel"/>
    <w:lvl w:ilvl="0">
      <w:lvlJc w:val="left"/>
      <w:lvlText w:val="(%1)"/>
      <w:numFmt w:val="lowerRoman"/>
      <w:start w:val="5"/>
    </w:lvl>
  </w:abstractNum>
  <w:abstractNum w:abstractNumId="68">
    <w:nsid w:val="73154115"/>
    <w:multiLevelType w:val="hybridMultilevel"/>
    <w:lvl w:ilvl="0">
      <w:lvlJc w:val="left"/>
      <w:lvlText w:val="(%1)"/>
      <w:numFmt w:val="lowerRoman"/>
      <w:start w:val="2"/>
    </w:lvl>
  </w:abstractNum>
  <w:abstractNum w:abstractNumId="69">
    <w:nsid w:val="622D8102"/>
    <w:multiLevelType w:val="hybridMultilevel"/>
    <w:lvl w:ilvl="0">
      <w:lvlJc w:val="left"/>
      <w:lvlText w:val="(%1)"/>
      <w:numFmt w:val="lowerRoman"/>
      <w:start w:val="1"/>
    </w:lvl>
  </w:abstractNum>
  <w:abstractNum w:abstractNumId="70">
    <w:nsid w:val="2AB26587"/>
    <w:multiLevelType w:val="hybridMultilevel"/>
    <w:lvl w:ilvl="0">
      <w:lvlJc w:val="left"/>
      <w:lvlText w:val="*"/>
      <w:numFmt w:val="bullet"/>
      <w:start w:val="1"/>
    </w:lvl>
  </w:abstractNum>
  <w:abstractNum w:abstractNumId="71">
    <w:nsid w:val="44B3FA61"/>
    <w:multiLevelType w:val="hybridMultilevel"/>
    <w:lvl w:ilvl="0">
      <w:lvlJc w:val="left"/>
      <w:lvlText w:val="(%1)"/>
      <w:numFmt w:val="lowerRoman"/>
      <w:start w:val="4"/>
    </w:lvl>
  </w:abstractNum>
  <w:abstractNum w:abstractNumId="72">
    <w:nsid w:val="1C0CA67C"/>
    <w:multiLevelType w:val="hybridMultilevel"/>
    <w:lvl w:ilvl="0">
      <w:lvlJc w:val="left"/>
      <w:lvlText w:val="•"/>
      <w:numFmt w:val="bullet"/>
      <w:start w:val="1"/>
    </w:lvl>
  </w:abstractNum>
  <w:abstractNum w:abstractNumId="73">
    <w:nsid w:val="3D206613"/>
    <w:multiLevelType w:val="hybridMultilevel"/>
    <w:lvl w:ilvl="0">
      <w:lvlJc w:val="left"/>
      <w:lvlText w:val="•"/>
      <w:numFmt w:val="bullet"/>
      <w:start w:val="1"/>
    </w:lvl>
  </w:abstractNum>
  <w:abstractNum w:abstractNumId="74">
    <w:nsid w:val="7993B662"/>
    <w:multiLevelType w:val="hybridMultilevel"/>
    <w:lvl w:ilvl="0">
      <w:lvlJc w:val="left"/>
      <w:lvlText w:val="•"/>
      <w:numFmt w:val="bullet"/>
      <w:start w:val="1"/>
    </w:lvl>
  </w:abstractNum>
  <w:abstractNum w:abstractNumId="75">
    <w:nsid w:val="3BAB699E"/>
    <w:multiLevelType w:val="hybridMultilevel"/>
    <w:lvl w:ilvl="0">
      <w:lvlJc w:val="left"/>
      <w:lvlText w:val="•"/>
      <w:numFmt w:val="bullet"/>
      <w:start w:val="1"/>
    </w:lvl>
  </w:abstractNum>
  <w:abstractNum w:abstractNumId="76">
    <w:nsid w:val="71315369"/>
    <w:multiLevelType w:val="hybridMultilevel"/>
    <w:lvl w:ilvl="0">
      <w:lvlJc w:val="left"/>
      <w:lvlText w:val="•"/>
      <w:numFmt w:val="bullet"/>
      <w:start w:val="1"/>
    </w:lvl>
  </w:abstractNum>
  <w:abstractNum w:abstractNumId="77">
    <w:nsid w:val="7BCFBAFC"/>
    <w:multiLevelType w:val="hybridMultilevel"/>
    <w:lvl w:ilvl="0">
      <w:lvlJc w:val="left"/>
      <w:lvlText w:val="•"/>
      <w:numFmt w:val="bullet"/>
      <w:start w:val="1"/>
    </w:lvl>
  </w:abstractNum>
  <w:abstractNum w:abstractNumId="78">
    <w:nsid w:val="17859F72"/>
    <w:multiLevelType w:val="hybridMultilevel"/>
    <w:lvl w:ilvl="0">
      <w:lvlJc w:val="left"/>
      <w:lvlText w:val="•"/>
      <w:numFmt w:val="bullet"/>
      <w:start w:val="1"/>
    </w:lvl>
  </w:abstractNum>
  <w:abstractNum w:abstractNumId="79">
    <w:nsid w:val="3AA10581"/>
    <w:multiLevelType w:val="hybridMultilevel"/>
    <w:lvl w:ilvl="0">
      <w:lvlJc w:val="left"/>
      <w:lvlText w:val="•"/>
      <w:numFmt w:val="bullet"/>
      <w:start w:val="1"/>
    </w:lvl>
  </w:abstractNum>
  <w:abstractNum w:abstractNumId="80">
    <w:nsid w:val="63DE60CD"/>
    <w:multiLevelType w:val="hybridMultilevel"/>
    <w:lvl w:ilvl="0">
      <w:lvlJc w:val="left"/>
      <w:lvlText w:val="•"/>
      <w:numFmt w:val="bullet"/>
      <w:start w:val="1"/>
    </w:lvl>
  </w:abstractNum>
  <w:abstractNum w:abstractNumId="81">
    <w:nsid w:val="621AF471"/>
    <w:multiLevelType w:val="hybridMultilevel"/>
    <w:lvl w:ilvl="0">
      <w:lvlJc w:val="left"/>
      <w:lvlText w:val="•"/>
      <w:numFmt w:val="bullet"/>
      <w:start w:val="1"/>
    </w:lvl>
  </w:abstractNum>
  <w:abstractNum w:abstractNumId="82">
    <w:nsid w:val="73CFE165"/>
    <w:multiLevelType w:val="hybridMultilevel"/>
    <w:lvl w:ilvl="0">
      <w:lvlJc w:val="left"/>
      <w:lvlText w:val="•"/>
      <w:numFmt w:val="bullet"/>
      <w:start w:val="1"/>
    </w:lvl>
  </w:abstractNum>
  <w:abstractNum w:abstractNumId="83">
    <w:nsid w:val="20F88EA6"/>
    <w:multiLevelType w:val="hybridMultilevel"/>
    <w:lvl w:ilvl="0">
      <w:lvlJc w:val="left"/>
      <w:lvlText w:val="•"/>
      <w:numFmt w:val="bullet"/>
      <w:start w:val="1"/>
    </w:lvl>
  </w:abstractNum>
  <w:abstractNum w:abstractNumId="84">
    <w:nsid w:val="617C843E"/>
    <w:multiLevelType w:val="hybridMultilevel"/>
    <w:lvl w:ilvl="0">
      <w:lvlJc w:val="left"/>
      <w:lvlText w:val="(%1)"/>
      <w:numFmt w:val="decimal"/>
      <w:start w:val="1"/>
    </w:lvl>
  </w:abstractNum>
  <w:abstractNum w:abstractNumId="85">
    <w:nsid w:val="7B541FAB"/>
    <w:multiLevelType w:val="hybridMultilevel"/>
    <w:lvl w:ilvl="0">
      <w:lvlJc w:val="left"/>
      <w:lvlText w:val="(%1)"/>
      <w:numFmt w:val="lowerLetter"/>
      <w:start w:val="1"/>
    </w:lvl>
  </w:abstractNum>
  <w:abstractNum w:abstractNumId="86">
    <w:nsid w:val="2A79EC49"/>
    <w:multiLevelType w:val="hybridMultilevel"/>
    <w:lvl w:ilvl="0">
      <w:lvlJc w:val="left"/>
      <w:lvlText w:val="(%1)"/>
      <w:numFmt w:val="decimal"/>
      <w:start w:val="3"/>
    </w:lvl>
  </w:abstractNum>
  <w:abstractNum w:abstractNumId="87">
    <w:nsid w:val="338125CF"/>
    <w:multiLevelType w:val="hybridMultilevel"/>
    <w:lvl w:ilvl="0">
      <w:lvlJc w:val="left"/>
      <w:lvlText w:val="(%1)"/>
      <w:numFmt w:val="decimal"/>
      <w:start w:val="4"/>
    </w:lvl>
  </w:abstractNum>
  <w:abstractNum w:abstractNumId="88">
    <w:nsid w:val="47C7C971"/>
    <w:multiLevelType w:val="hybridMultilevel"/>
    <w:lvl w:ilvl="0">
      <w:lvlJc w:val="left"/>
      <w:lvlText w:val="•"/>
      <w:numFmt w:val="bullet"/>
      <w:start w:val="1"/>
    </w:lvl>
  </w:abstractNum>
  <w:abstractNum w:abstractNumId="89">
    <w:nsid w:val="46F8284B"/>
    <w:multiLevelType w:val="hybridMultilevel"/>
    <w:lvl w:ilvl="0">
      <w:lvlJc w:val="left"/>
      <w:lvlText w:val="(%1)"/>
      <w:numFmt w:val="decimal"/>
      <w:start w:val="1"/>
    </w:lvl>
  </w:abstractNum>
  <w:abstractNum w:abstractNumId="90">
    <w:nsid w:val="4FA327CE"/>
    <w:multiLevelType w:val="hybridMultilevel"/>
    <w:lvl w:ilvl="0">
      <w:lvlJc w:val="left"/>
      <w:lvlText w:val="(%1)"/>
      <w:numFmt w:val="decimal"/>
      <w:start w:val="1"/>
    </w:lvl>
  </w:abstractNum>
  <w:abstractNum w:abstractNumId="91">
    <w:nsid w:val="1873983A"/>
    <w:multiLevelType w:val="hybridMultilevel"/>
    <w:lvl w:ilvl="0">
      <w:lvlJc w:val="left"/>
      <w:lvlText w:val="(%1)"/>
      <w:numFmt w:val="decimal"/>
      <w:start w:val="2"/>
    </w:lvl>
  </w:abstractNum>
  <w:abstractNum w:abstractNumId="92">
    <w:nsid w:val="3D2DD275"/>
    <w:multiLevelType w:val="hybridMultilevel"/>
    <w:lvl w:ilvl="0">
      <w:lvlJc w:val="left"/>
      <w:lvlText w:val="•"/>
      <w:numFmt w:val="bullet"/>
      <w:start w:val="1"/>
    </w:lvl>
  </w:abstractNum>
  <w:abstractNum w:abstractNumId="93">
    <w:nsid w:val="2E17ECA7"/>
    <w:multiLevelType w:val="hybridMultilevel"/>
    <w:lvl w:ilvl="0">
      <w:lvlJc w:val="left"/>
      <w:lvlText w:val="•"/>
      <w:numFmt w:val="bullet"/>
      <w:start w:val="1"/>
    </w:lvl>
  </w:abstractNum>
  <w:abstractNum w:abstractNumId="94">
    <w:nsid w:val="53B2564F"/>
    <w:multiLevelType w:val="hybridMultilevel"/>
    <w:lvl w:ilvl="0">
      <w:lvlJc w:val="left"/>
      <w:lvlText w:val="•"/>
      <w:numFmt w:val="bullet"/>
      <w:start w:val="1"/>
    </w:lvl>
  </w:abstractNum>
  <w:abstractNum w:abstractNumId="95">
    <w:nsid w:val="75509D76"/>
    <w:multiLevelType w:val="hybridMultilevel"/>
    <w:lvl w:ilvl="0">
      <w:lvlJc w:val="left"/>
      <w:lvlText w:val="•"/>
      <w:numFmt w:val="bullet"/>
      <w:start w:val="1"/>
    </w:lvl>
  </w:abstractNum>
  <w:abstractNum w:abstractNumId="96">
    <w:nsid w:val="1AF7F0EA"/>
    <w:multiLevelType w:val="hybridMultilevel"/>
    <w:lvl w:ilvl="0">
      <w:lvlJc w:val="left"/>
      <w:lvlText w:val="(%1)"/>
      <w:numFmt w:val="decimal"/>
      <w:start w:val="1"/>
    </w:lvl>
  </w:abstractNum>
  <w:abstractNum w:abstractNumId="97">
    <w:nsid w:val="4DA32C7E"/>
    <w:multiLevelType w:val="hybridMultilevel"/>
    <w:lvl w:ilvl="0">
      <w:lvlJc w:val="left"/>
      <w:lvlText w:val="(%1)"/>
      <w:numFmt w:val="decimal"/>
      <w:start w:val="1"/>
    </w:lvl>
  </w:abstractNum>
  <w:abstractNum w:abstractNumId="98">
    <w:nsid w:val="6EC68664"/>
    <w:multiLevelType w:val="hybridMultilevel"/>
    <w:lvl w:ilvl="0">
      <w:lvlJc w:val="left"/>
      <w:lvlText w:val="(%1)"/>
      <w:numFmt w:val="decimal"/>
      <w:start w:val="1"/>
    </w:lvl>
  </w:abstractNum>
  <w:abstractNum w:abstractNumId="99">
    <w:nsid w:val="E0D31FF"/>
    <w:multiLevelType w:val="hybridMultilevel"/>
    <w:lvl w:ilvl="0">
      <w:lvlJc w:val="left"/>
      <w:lvlText w:val="(%1)"/>
      <w:numFmt w:val="decimal"/>
      <w:start w:val="3"/>
    </w:lvl>
  </w:abstractNum>
  <w:abstractNum w:abstractNumId="100">
    <w:nsid w:val="2FD0AD81"/>
    <w:multiLevelType w:val="hybridMultilevel"/>
    <w:lvl w:ilvl="0">
      <w:lvlJc w:val="left"/>
      <w:lvlText w:val="(%1)"/>
      <w:numFmt w:val="decimal"/>
      <w:start w:val="1"/>
    </w:lvl>
  </w:abstractNum>
  <w:abstractNum w:abstractNumId="101">
    <w:nsid w:val="1978EBEB"/>
    <w:multiLevelType w:val="hybridMultilevel"/>
    <w:lvl w:ilvl="0">
      <w:lvlJc w:val="left"/>
      <w:lvlText w:val="(%1)"/>
      <w:numFmt w:val="decimal"/>
      <w:start w:val="1"/>
    </w:lvl>
  </w:abstractNum>
  <w:abstractNum w:abstractNumId="102">
    <w:nsid w:val="52C12C61"/>
    <w:multiLevelType w:val="hybridMultilevel"/>
    <w:lvl w:ilvl="0">
      <w:lvlJc w:val="left"/>
      <w:lvlText w:val="•"/>
      <w:numFmt w:val="bullet"/>
      <w:start w:val="1"/>
    </w:lvl>
  </w:abstractNum>
  <w:abstractNum w:abstractNumId="103">
    <w:nsid w:val="4BDD53FD"/>
    <w:multiLevelType w:val="hybridMultilevel"/>
    <w:lvl w:ilvl="0">
      <w:lvlJc w:val="left"/>
      <w:lvlText w:val="*"/>
      <w:numFmt w:val="bullet"/>
      <w:start w:val="1"/>
    </w:lvl>
  </w:abstractNum>
  <w:abstractNum w:abstractNumId="104">
    <w:nsid w:val="569951FE"/>
    <w:multiLevelType w:val="hybridMultilevel"/>
    <w:lvl w:ilvl="0">
      <w:lvlJc w:val="left"/>
      <w:lvlText w:val="†"/>
      <w:numFmt w:val="bullet"/>
      <w:start w:val="1"/>
    </w:lvl>
  </w:abstractNum>
  <w:abstractNum w:abstractNumId="105">
    <w:nsid w:val="4C54E2C3"/>
    <w:multiLevelType w:val="hybridMultilevel"/>
    <w:lvl w:ilvl="0">
      <w:lvlJc w:val="left"/>
      <w:lvlText w:val="•"/>
      <w:numFmt w:val="bullet"/>
      <w:start w:val="1"/>
    </w:lvl>
  </w:abstractNum>
  <w:abstractNum w:abstractNumId="106">
    <w:nsid w:val="788BD9B"/>
    <w:multiLevelType w:val="hybridMultilevel"/>
    <w:lvl w:ilvl="0">
      <w:lvlJc w:val="left"/>
      <w:lvlText w:val="•"/>
      <w:numFmt w:val="bullet"/>
      <w:start w:val="1"/>
    </w:lvl>
  </w:abstractNum>
  <w:abstractNum w:abstractNumId="107">
    <w:nsid w:val="47CAA567"/>
    <w:multiLevelType w:val="hybridMultilevel"/>
    <w:lvl w:ilvl="0">
      <w:lvlJc w:val="left"/>
      <w:lvlText w:val="&amp;"/>
      <w:numFmt w:val="bullet"/>
      <w:start w:val="1"/>
    </w:lvl>
  </w:abstractNum>
  <w:abstractNum w:abstractNumId="108">
    <w:nsid w:val="48249DBF"/>
    <w:multiLevelType w:val="hybridMultilevel"/>
    <w:lvl w:ilvl="0">
      <w:lvlJc w:val="left"/>
      <w:lvlText w:val="•"/>
      <w:numFmt w:val="bullet"/>
      <w:start w:val="1"/>
    </w:lvl>
  </w:abstractNum>
  <w:abstractNum w:abstractNumId="109">
    <w:nsid w:val="1F0E5D0D"/>
    <w:multiLevelType w:val="hybridMultilevel"/>
    <w:lvl w:ilvl="0">
      <w:lvlJc w:val="left"/>
      <w:lvlText w:val="•"/>
      <w:numFmt w:val="bullet"/>
      <w:start w:val="1"/>
    </w:lvl>
  </w:abstractNum>
  <w:abstractNum w:abstractNumId="110">
    <w:nsid w:val="26BAAE9"/>
    <w:multiLevelType w:val="hybridMultilevel"/>
    <w:lvl w:ilvl="0">
      <w:lvlJc w:val="left"/>
      <w:lvlText w:val="•"/>
      <w:numFmt w:val="bullet"/>
      <w:start w:val="1"/>
    </w:lvl>
  </w:abstractNum>
  <w:abstractNum w:abstractNumId="111">
    <w:nsid w:val="2C02FE8C"/>
    <w:multiLevelType w:val="hybridMultilevel"/>
    <w:lvl w:ilvl="0">
      <w:lvlJc w:val="left"/>
      <w:lvlText w:val="•"/>
      <w:numFmt w:val="bullet"/>
      <w:start w:val="1"/>
    </w:lvl>
  </w:abstractNum>
  <w:abstractNum w:abstractNumId="112">
    <w:nsid w:val="129517E"/>
    <w:multiLevelType w:val="hybridMultilevel"/>
    <w:lvl w:ilvl="0">
      <w:lvlJc w:val="left"/>
      <w:lvlText w:val="•"/>
      <w:numFmt w:val="bullet"/>
      <w:start w:val="1"/>
    </w:lvl>
  </w:abstractNum>
  <w:abstractNum w:abstractNumId="113">
    <w:nsid w:val="763B8C4E"/>
    <w:multiLevelType w:val="hybridMultilevel"/>
    <w:lvl w:ilvl="0">
      <w:lvlJc w:val="left"/>
      <w:lvlText w:val="•"/>
      <w:numFmt w:val="bullet"/>
      <w:start w:val="1"/>
    </w:lvl>
  </w:abstractNum>
  <w:abstractNum w:abstractNumId="114">
    <w:nsid w:val="4CFB8D32"/>
    <w:multiLevelType w:val="hybridMultilevel"/>
    <w:lvl w:ilvl="0">
      <w:lvlJc w:val="left"/>
      <w:lvlText w:val="(%1)"/>
      <w:numFmt w:val="lowerLetter"/>
      <w:start w:val="1"/>
    </w:lvl>
  </w:abstractNum>
  <w:abstractNum w:abstractNumId="115">
    <w:nsid w:val="62A5D5BD"/>
    <w:multiLevelType w:val="hybridMultilevel"/>
    <w:lvl w:ilvl="0">
      <w:lvlJc w:val="left"/>
      <w:lvlText w:val="(%1)"/>
      <w:numFmt w:val="lowerLetter"/>
      <w:start w:val="1"/>
    </w:lvl>
  </w:abstractNum>
  <w:abstractNum w:abstractNumId="116">
    <w:nsid w:val="718FABF9"/>
    <w:multiLevelType w:val="hybridMultilevel"/>
    <w:lvl w:ilvl="0">
      <w:lvlJc w:val="left"/>
      <w:lvlText w:val="(%1)"/>
      <w:numFmt w:val="lowerLetter"/>
      <w:start w:val="1"/>
    </w:lvl>
  </w:abstractNum>
  <w:abstractNum w:abstractNumId="117">
    <w:nsid w:val="7775797C"/>
    <w:multiLevelType w:val="hybridMultilevel"/>
    <w:lvl w:ilvl="0">
      <w:lvlJc w:val="left"/>
      <w:lvlText w:val="(%1)"/>
      <w:numFmt w:val="lowerRoman"/>
      <w:start w:val="3"/>
    </w:lvl>
  </w:abstractNum>
  <w:abstractNum w:abstractNumId="118">
    <w:nsid w:val="1626FB8C"/>
    <w:multiLevelType w:val="hybridMultilevel"/>
    <w:lvl w:ilvl="0">
      <w:lvlJc w:val="left"/>
      <w:lvlText w:val="%1."/>
      <w:numFmt w:val="decimal"/>
      <w:start w:val="1"/>
    </w:lvl>
  </w:abstractNum>
  <w:abstractNum w:abstractNumId="119">
    <w:nsid w:val="3957756A"/>
    <w:multiLevelType w:val="hybridMultilevel"/>
    <w:lvl w:ilvl="0">
      <w:lvlJc w:val="left"/>
      <w:lvlText w:val="%1."/>
      <w:numFmt w:val="decimal"/>
      <w:start w:val="2"/>
    </w:lvl>
  </w:abstractNum>
  <w:abstractNum w:abstractNumId="120">
    <w:nsid w:val="3E6DA1C7"/>
    <w:multiLevelType w:val="hybridMultilevel"/>
    <w:lvl w:ilvl="0">
      <w:lvlJc w:val="left"/>
      <w:lvlText w:val="(%1)"/>
      <w:numFmt w:val="lowerRoman"/>
      <w:start w:val="1"/>
    </w:lvl>
  </w:abstractNum>
  <w:abstractNum w:abstractNumId="121">
    <w:nsid w:val="65CA235B"/>
    <w:multiLevelType w:val="hybridMultilevel"/>
    <w:lvl w:ilvl="0">
      <w:lvlJc w:val="left"/>
      <w:lvlText w:val="%1."/>
      <w:numFmt w:val="decimal"/>
      <w:start w:val="3"/>
    </w:lvl>
  </w:abstractNum>
  <w:abstractNum w:abstractNumId="122">
    <w:nsid w:val="51CB0DA4"/>
    <w:multiLevelType w:val="hybridMultilevel"/>
    <w:lvl w:ilvl="0">
      <w:lvlJc w:val="left"/>
      <w:lvlText w:val="%1."/>
      <w:numFmt w:val="decimal"/>
      <w:start w:val="4"/>
    </w:lvl>
  </w:abstractNum>
  <w:abstractNum w:abstractNumId="123">
    <w:nsid w:val="7B9B743C"/>
    <w:multiLevelType w:val="hybridMultilevel"/>
    <w:lvl w:ilvl="0">
      <w:lvlJc w:val="left"/>
      <w:lvlText w:val="%1."/>
      <w:numFmt w:val="decimal"/>
      <w:start w:val="5"/>
    </w:lvl>
  </w:abstractNum>
  <w:abstractNum w:abstractNumId="124">
    <w:nsid w:val="13E21002"/>
    <w:multiLevelType w:val="hybridMultilevel"/>
    <w:lvl w:ilvl="0">
      <w:lvlJc w:val="left"/>
      <w:lvlText w:val="%1."/>
      <w:numFmt w:val="decimal"/>
      <w:start w:val="6"/>
    </w:lvl>
  </w:abstractNum>
  <w:abstractNum w:abstractNumId="125">
    <w:nsid w:val="257D63F4"/>
    <w:multiLevelType w:val="hybridMultilevel"/>
    <w:lvl w:ilvl="0">
      <w:lvlJc w:val="left"/>
      <w:lvlText w:val="%1."/>
      <w:numFmt w:val="decimal"/>
      <w:start w:val="7"/>
    </w:lvl>
  </w:abstractNum>
  <w:abstractNum w:abstractNumId="126">
    <w:nsid w:val="70EC11B2"/>
    <w:multiLevelType w:val="hybridMultilevel"/>
    <w:lvl w:ilvl="0">
      <w:lvlJc w:val="left"/>
      <w:lvlText w:val="%1."/>
      <w:numFmt w:val="decimal"/>
      <w:start w:val="8"/>
    </w:lvl>
  </w:abstractNum>
  <w:abstractNum w:abstractNumId="127">
    <w:nsid w:val="2EDA00ED"/>
    <w:multiLevelType w:val="hybridMultilevel"/>
    <w:lvl w:ilvl="0">
      <w:lvlJc w:val="left"/>
      <w:lvlText w:val="%1."/>
      <w:numFmt w:val="decimal"/>
      <w:start w:val="9"/>
    </w:lvl>
  </w:abstractNum>
  <w:abstractNum w:abstractNumId="128">
    <w:nsid w:val="73209072"/>
    <w:multiLevelType w:val="hybridMultilevel"/>
    <w:lvl w:ilvl="0">
      <w:lvlJc w:val="left"/>
      <w:lvlText w:val="%1."/>
      <w:numFmt w:val="decimal"/>
      <w:start w:val="10"/>
    </w:lvl>
  </w:abstractNum>
  <w:abstractNum w:abstractNumId="129">
    <w:nsid w:val="5FB29816"/>
    <w:multiLevelType w:val="hybridMultilevel"/>
    <w:lvl w:ilvl="0">
      <w:lvlJc w:val="left"/>
      <w:lvlText w:val="%1."/>
      <w:numFmt w:val="decimal"/>
      <w:start w:val="11"/>
    </w:lvl>
  </w:abstractNum>
  <w:abstractNum w:abstractNumId="130">
    <w:nsid w:val="3CE732EC"/>
    <w:multiLevelType w:val="hybridMultilevel"/>
    <w:lvl w:ilvl="0">
      <w:lvlJc w:val="left"/>
      <w:lvlText w:val="%1."/>
      <w:numFmt w:val="decimal"/>
      <w:start w:val="13"/>
    </w:lvl>
  </w:abstractNum>
  <w:abstractNum w:abstractNumId="131">
    <w:nsid w:val="22F13DF3"/>
    <w:multiLevelType w:val="hybridMultilevel"/>
    <w:lvl w:ilvl="0">
      <w:lvlJc w:val="left"/>
      <w:lvlText w:val="%1."/>
      <w:numFmt w:val="decimal"/>
      <w:start w:val="14"/>
    </w:lvl>
  </w:abstractNum>
  <w:abstractNum w:abstractNumId="132">
    <w:nsid w:val="792B8401"/>
    <w:multiLevelType w:val="hybridMultilevel"/>
    <w:lvl w:ilvl="0">
      <w:lvlJc w:val="left"/>
      <w:lvlText w:val="%1."/>
      <w:numFmt w:val="decimal"/>
      <w:start w:val="15"/>
    </w:lvl>
  </w:abstractNum>
  <w:abstractNum w:abstractNumId="133">
    <w:nsid w:val="FA85F4D"/>
    <w:multiLevelType w:val="hybridMultilevel"/>
    <w:lvl w:ilvl="0">
      <w:lvlJc w:val="left"/>
      <w:lvlText w:val="$"/>
      <w:numFmt w:val="bullet"/>
      <w:start w:val="1"/>
    </w:lvl>
  </w:abstractNum>
  <w:abstractNum w:abstractNumId="134">
    <w:nsid w:val="6ECE91F0"/>
    <w:multiLevelType w:val="hybridMultilevel"/>
    <w:lvl w:ilvl="0">
      <w:lvlJc w:val="left"/>
      <w:lvlText w:val="$"/>
      <w:numFmt w:val="bullet"/>
      <w:start w:val="1"/>
    </w:lvl>
  </w:abstractNum>
  <w:abstractNum w:abstractNumId="135">
    <w:nsid w:val="4FC4D600"/>
    <w:multiLevelType w:val="hybridMultilevel"/>
    <w:lvl w:ilvl="0">
      <w:lvlJc w:val="left"/>
      <w:lvlText w:val="(%1)"/>
      <w:numFmt w:val="decimal"/>
      <w:start w:val="1"/>
    </w:lvl>
  </w:abstractNum>
  <w:abstractNum w:abstractNumId="136">
    <w:nsid w:val="5BFD4210"/>
    <w:multiLevelType w:val="hybridMultilevel"/>
    <w:lvl w:ilvl="0">
      <w:lvlJc w:val="left"/>
      <w:lvlText w:val="(%1)"/>
      <w:numFmt w:val="decimal"/>
      <w:start w:val="11"/>
    </w:lvl>
  </w:abstractNum>
  <w:abstractNum w:abstractNumId="137">
    <w:nsid w:val="76574F8B"/>
    <w:multiLevelType w:val="hybridMultilevel"/>
    <w:lvl w:ilvl="0">
      <w:lvlJc w:val="left"/>
      <w:lvlText w:val="(%1)"/>
      <w:numFmt w:val="lowerLetter"/>
      <w:start w:val="1"/>
    </w:lvl>
  </w:abstractNum>
  <w:abstractNum w:abstractNumId="138">
    <w:nsid w:val="178F7B67"/>
    <w:multiLevelType w:val="hybridMultilevel"/>
    <w:lvl w:ilvl="0">
      <w:lvlJc w:val="left"/>
      <w:lvlText w:val="(%1)"/>
      <w:numFmt w:val="lowerLetter"/>
      <w:start w:val="2"/>
    </w:lvl>
  </w:abstractNum>
  <w:abstractNum w:abstractNumId="139">
    <w:nsid w:val="2421DFCF"/>
    <w:multiLevelType w:val="hybridMultilevel"/>
    <w:lvl w:ilvl="0">
      <w:lvlJc w:val="left"/>
      <w:lvlText w:val="(%1)"/>
      <w:numFmt w:val="decimal"/>
      <w:start w:val="1"/>
    </w:lvl>
  </w:abstractNum>
  <w:abstractNum w:abstractNumId="140">
    <w:nsid w:val="1565AC99"/>
    <w:multiLevelType w:val="hybridMultilevel"/>
    <w:lvl w:ilvl="0">
      <w:lvlJc w:val="left"/>
      <w:lvlText w:val="*"/>
      <w:numFmt w:val="bullet"/>
      <w:start w:val="1"/>
    </w:lvl>
  </w:abstractNum>
  <w:abstractNum w:abstractNumId="141">
    <w:nsid w:val="19FB2650"/>
    <w:multiLevelType w:val="hybridMultilevel"/>
    <w:lvl w:ilvl="0">
      <w:lvlJc w:val="left"/>
      <w:lvlText w:val="%1."/>
      <w:numFmt w:val="decimal"/>
      <w:start w:val="1"/>
    </w:lvl>
  </w:abstractNum>
  <w:abstractNum w:abstractNumId="142">
    <w:nsid w:val="5024DE5B"/>
    <w:multiLevelType w:val="hybridMultilevel"/>
    <w:lvl w:ilvl="0">
      <w:lvlJc w:val="left"/>
      <w:lvlText w:val="%1."/>
      <w:numFmt w:val="decimal"/>
      <w:start w:val="2"/>
    </w:lvl>
  </w:abstractNum>
  <w:abstractNum w:abstractNumId="143">
    <w:nsid w:val="168EFE17"/>
    <w:multiLevelType w:val="hybridMultilevel"/>
    <w:lvl w:ilvl="0">
      <w:lvlJc w:val="left"/>
      <w:lvlText w:val="%1."/>
      <w:numFmt w:val="decimal"/>
      <w:start w:val="3"/>
    </w:lvl>
  </w:abstractNum>
  <w:abstractNum w:abstractNumId="144">
    <w:nsid w:val="1036B29F"/>
    <w:multiLevelType w:val="hybridMultilevel"/>
    <w:lvl w:ilvl="0">
      <w:lvlJc w:val="left"/>
      <w:lvlText w:val="%1"/>
      <w:numFmt w:val="upperLetter"/>
      <w:start w:val="1"/>
    </w:lvl>
    <w:lvl w:ilvl="1">
      <w:lvlJc w:val="left"/>
      <w:lvlText w:val="%2."/>
      <w:numFmt w:val="decimal"/>
      <w:start w:val="4"/>
    </w:lvl>
  </w:abstractNum>
  <w:abstractNum w:abstractNumId="145">
    <w:nsid w:val="1D206B8E"/>
    <w:multiLevelType w:val="hybridMultilevel"/>
    <w:lvl w:ilvl="0">
      <w:lvlJc w:val="left"/>
      <w:lvlText w:val="%1."/>
      <w:numFmt w:val="upperLetter"/>
      <w:start w:val="2"/>
    </w:lvl>
    <w:lvl w:ilvl="1">
      <w:lvlJc w:val="left"/>
      <w:lvlText w:val="%2"/>
      <w:numFmt w:val="decimal"/>
      <w:start w:val="1"/>
    </w:lvl>
  </w:abstractNum>
  <w:abstractNum w:abstractNumId="146">
    <w:nsid w:val="7934D3D4"/>
    <w:multiLevelType w:val="hybridMultilevel"/>
    <w:lvl w:ilvl="0">
      <w:lvlJc w:val="left"/>
      <w:lvlText w:val="%1."/>
      <w:numFmt w:val="decimal"/>
      <w:start w:val="1"/>
    </w:lvl>
  </w:abstractNum>
  <w:abstractNum w:abstractNumId="147">
    <w:nsid w:val="1C65E98"/>
    <w:multiLevelType w:val="hybridMultilevel"/>
    <w:lvl w:ilvl="0">
      <w:lvlJc w:val="left"/>
      <w:lvlText w:val="%1."/>
      <w:numFmt w:val="decimal"/>
      <w:start w:val="2"/>
    </w:lvl>
  </w:abstractNum>
  <w:abstractNum w:abstractNumId="148">
    <w:nsid w:val="1495E50A"/>
    <w:multiLevelType w:val="hybridMultilevel"/>
    <w:lvl w:ilvl="0">
      <w:lvlJc w:val="left"/>
      <w:lvlText w:val="(%1)"/>
      <w:numFmt w:val="lowerLetter"/>
      <w:start w:val="1"/>
    </w:lvl>
  </w:abstractNum>
  <w:abstractNum w:abstractNumId="149">
    <w:nsid w:val="F5BCF61"/>
    <w:multiLevelType w:val="hybridMultilevel"/>
    <w:lvl w:ilvl="0">
      <w:lvlJc w:val="left"/>
      <w:lvlText w:val="(%1)"/>
      <w:numFmt w:val="lowerLetter"/>
      <w:start w:val="3"/>
    </w:lvl>
  </w:abstractNum>
  <w:abstractNum w:abstractNumId="150">
    <w:nsid w:val="3B1DD403"/>
    <w:multiLevelType w:val="hybridMultilevel"/>
    <w:lvl w:ilvl="0">
      <w:lvlJc w:val="left"/>
      <w:lvlText w:val="(%1)"/>
      <w:numFmt w:val="lowerLetter"/>
      <w:start w:val="1"/>
    </w:lvl>
  </w:abstractNum>
  <w:abstractNum w:abstractNumId="151">
    <w:nsid w:val="530386D1"/>
    <w:multiLevelType w:val="hybridMultilevel"/>
    <w:lvl w:ilvl="0">
      <w:lvlJc w:val="left"/>
      <w:lvlText w:val="%1"/>
      <w:numFmt w:val="upperLetter"/>
      <w:start w:val="1"/>
    </w:lvl>
    <w:lvl w:ilvl="1">
      <w:lvlJc w:val="left"/>
      <w:lvlText w:val="(%2)"/>
      <w:numFmt w:val="lowerLetter"/>
      <w:start w:val="2"/>
    </w:lvl>
  </w:abstractNum>
  <w:abstractNum w:abstractNumId="152">
    <w:nsid w:val="7525F2BC"/>
    <w:multiLevelType w:val="hybridMultilevel"/>
    <w:lvl w:ilvl="0">
      <w:lvlJc w:val="left"/>
      <w:lvlText w:val="(%1)"/>
      <w:numFmt w:val="upperLetter"/>
      <w:start w:val="4"/>
    </w:lvl>
    <w:lvl w:ilvl="1">
      <w:lvlJc w:val="left"/>
      <w:lvlText w:val="%2"/>
      <w:numFmt w:val="lowerLetter"/>
      <w:start w:val="1"/>
    </w:lvl>
  </w:abstractNum>
  <w:abstractNum w:abstractNumId="153">
    <w:nsid w:val="CE8E1A7"/>
    <w:multiLevelType w:val="hybridMultilevel"/>
    <w:lvl w:ilvl="0">
      <w:lvlJc w:val="left"/>
      <w:lvlText w:val="(%1)"/>
      <w:numFmt w:val="lowerLetter"/>
      <w:start w:val="3"/>
    </w:lvl>
    <w:lvl w:ilvl="1">
      <w:lvlJc w:val="left"/>
      <w:lvlText w:val="(%2)"/>
      <w:numFmt w:val="lowerRoman"/>
      <w:start w:val="1"/>
    </w:lvl>
  </w:abstractNum>
  <w:abstractNum w:abstractNumId="154">
    <w:nsid w:val="4E9EFB0D"/>
    <w:multiLevelType w:val="hybridMultilevel"/>
    <w:lvl w:ilvl="0">
      <w:lvlJc w:val="left"/>
      <w:lvlText w:val="(%1)"/>
      <w:numFmt w:val="lowerLetter"/>
      <w:start w:val="4"/>
    </w:lvl>
  </w:abstractNum>
  <w:abstractNum w:abstractNumId="155">
    <w:nsid w:val="90802BE"/>
    <w:multiLevelType w:val="hybridMultilevel"/>
    <w:lvl w:ilvl="0">
      <w:lvlJc w:val="left"/>
      <w:lvlText w:val="(%1)"/>
      <w:numFmt w:val="lowerLetter"/>
      <w:start w:val="5"/>
    </w:lvl>
  </w:abstractNum>
  <w:abstractNum w:abstractNumId="156">
    <w:nsid w:val="3266459B"/>
    <w:multiLevelType w:val="hybridMultilevel"/>
    <w:lvl w:ilvl="0">
      <w:lvlJc w:val="left"/>
      <w:lvlText w:val="(%1)"/>
      <w:numFmt w:val="lowerLetter"/>
      <w:start w:val="1"/>
    </w:lvl>
    <w:lvl w:ilvl="1">
      <w:lvlJc w:val="left"/>
      <w:lvlText w:val="(%2)"/>
      <w:numFmt w:val="lowerRoman"/>
      <w:start w:val="1"/>
    </w:lvl>
  </w:abstractNum>
  <w:abstractNum w:abstractNumId="157">
    <w:nsid w:val="3F8B0CBF"/>
    <w:multiLevelType w:val="hybridMultilevel"/>
    <w:lvl w:ilvl="0">
      <w:lvlJc w:val="left"/>
      <w:lvlText w:val="%1."/>
      <w:numFmt w:val="decimal"/>
      <w:start w:val="3"/>
    </w:lvl>
  </w:abstractNum>
  <w:abstractNum w:abstractNumId="158">
    <w:nsid w:val="37E203AB"/>
    <w:multiLevelType w:val="hybridMultilevel"/>
    <w:lvl w:ilvl="0">
      <w:lvlJc w:val="left"/>
      <w:lvlText w:val="(%1)"/>
      <w:numFmt w:val="decimal"/>
      <w:start w:val="1"/>
    </w:lvl>
  </w:abstractNum>
  <w:abstractNum w:abstractNumId="159">
    <w:nsid w:val="2586D60E"/>
    <w:multiLevelType w:val="hybridMultilevel"/>
    <w:lvl w:ilvl="0">
      <w:lvlJc w:val="left"/>
      <w:lvlText w:val="%1."/>
      <w:numFmt w:val="decimal"/>
      <w:start w:val="4"/>
    </w:lvl>
  </w:abstractNum>
  <w:abstractNum w:abstractNumId="160">
    <w:nsid w:val="1F3DA4D5"/>
    <w:multiLevelType w:val="hybridMultilevel"/>
    <w:lvl w:ilvl="0">
      <w:lvlJc w:val="left"/>
      <w:lvlText w:val="(%1)"/>
      <w:numFmt w:val="lowerLetter"/>
      <w:start w:val="3"/>
    </w:lvl>
    <w:lvl w:ilvl="1">
      <w:lvlJc w:val="left"/>
      <w:lvlText w:val="(%2)"/>
      <w:numFmt w:val="lowerRoman"/>
      <w:start w:val="1"/>
    </w:lvl>
  </w:abstractNum>
  <w:abstractNum w:abstractNumId="161">
    <w:nsid w:val="74C93698"/>
    <w:multiLevelType w:val="hybridMultilevel"/>
    <w:lvl w:ilvl="0">
      <w:lvlJc w:val="left"/>
      <w:lvlText w:val="(%1)"/>
      <w:numFmt w:val="lowerRoman"/>
      <w:start w:val="6"/>
    </w:lvl>
  </w:abstractNum>
  <w:abstractNum w:abstractNumId="162">
    <w:nsid w:val="48781401"/>
    <w:multiLevelType w:val="hybridMultilevel"/>
    <w:lvl w:ilvl="0">
      <w:lvlJc w:val="left"/>
      <w:lvlText w:val="(%1)"/>
      <w:numFmt w:val="lowerLetter"/>
      <w:start w:val="1"/>
    </w:lvl>
  </w:abstractNum>
  <w:abstractNum w:abstractNumId="163">
    <w:nsid w:val="186928D6"/>
    <w:multiLevelType w:val="hybridMultilevel"/>
    <w:lvl w:ilvl="0">
      <w:lvlJc w:val="left"/>
      <w:lvlText w:val="(%1)"/>
      <w:numFmt w:val="lowerLetter"/>
      <w:start w:val="4"/>
    </w:lvl>
  </w:abstractNum>
  <w:abstractNum w:abstractNumId="164">
    <w:nsid w:val="47195E5"/>
    <w:multiLevelType w:val="hybridMultilevel"/>
    <w:lvl w:ilvl="0">
      <w:lvlJc w:val="left"/>
      <w:lvlText w:val="(%1)"/>
      <w:numFmt w:val="lowerLetter"/>
      <w:start w:val="3"/>
    </w:lvl>
  </w:abstractNum>
  <w:abstractNum w:abstractNumId="165">
    <w:nsid w:val="3746A5F2"/>
    <w:multiLevelType w:val="hybridMultilevel"/>
    <w:lvl w:ilvl="0">
      <w:lvlJc w:val="left"/>
      <w:lvlText w:val="(%1)"/>
      <w:numFmt w:val="lowerLetter"/>
      <w:start w:val="1"/>
    </w:lvl>
    <w:lvl w:ilvl="1">
      <w:lvlJc w:val="left"/>
      <w:lvlText w:val="(%2)"/>
      <w:numFmt w:val="lowerRoman"/>
      <w:start w:val="1"/>
    </w:lvl>
  </w:abstractNum>
  <w:abstractNum w:abstractNumId="166">
    <w:nsid w:val="682DFED6"/>
    <w:multiLevelType w:val="hybridMultilevel"/>
    <w:lvl w:ilvl="0">
      <w:lvlJc w:val="left"/>
      <w:lvlText w:val="(%1)"/>
      <w:numFmt w:val="lowerRoman"/>
      <w:start w:val="1"/>
    </w:lvl>
  </w:abstractNum>
  <w:abstractNum w:abstractNumId="167">
    <w:nsid w:val="606ED7F6"/>
    <w:multiLevelType w:val="hybridMultilevel"/>
    <w:lvl w:ilvl="0">
      <w:lvlJc w:val="left"/>
      <w:lvlText w:val="(%1)"/>
      <w:numFmt w:val="decimal"/>
      <w:start w:val="1"/>
    </w:lvl>
  </w:abstractNum>
  <w:abstractNum w:abstractNumId="168">
    <w:nsid w:val="2D9DF57D"/>
    <w:multiLevelType w:val="hybridMultilevel"/>
    <w:lvl w:ilvl="0">
      <w:lvlJc w:val="left"/>
      <w:lvlText w:val="(%1)"/>
      <w:numFmt w:val="lowerLetter"/>
      <w:start w:val="2"/>
    </w:lvl>
  </w:abstractNum>
  <w:abstractNum w:abstractNumId="169">
    <w:nsid w:val="7FBD7A3E"/>
    <w:multiLevelType w:val="hybridMultilevel"/>
    <w:lvl w:ilvl="0">
      <w:lvlJc w:val="left"/>
      <w:lvlText w:val="(%1)"/>
      <w:numFmt w:val="lowerRoman"/>
      <w:start w:val="1"/>
    </w:lvl>
  </w:abstractNum>
  <w:abstractNum w:abstractNumId="170">
    <w:nsid w:val="490B7C5"/>
    <w:multiLevelType w:val="hybridMultilevel"/>
    <w:lvl w:ilvl="0">
      <w:lvlJc w:val="left"/>
      <w:lvlText w:val="(%1)"/>
      <w:numFmt w:val="lowerRoman"/>
      <w:start w:val="1"/>
    </w:lvl>
  </w:abstractNum>
  <w:abstractNum w:abstractNumId="171">
    <w:nsid w:val="4303A216"/>
    <w:multiLevelType w:val="hybridMultilevel"/>
    <w:lvl w:ilvl="0">
      <w:lvlJc w:val="left"/>
      <w:lvlText w:val="(%1)"/>
      <w:numFmt w:val="lowerLetter"/>
      <w:start w:val="1"/>
    </w:lvl>
  </w:abstractNum>
  <w:abstractNum w:abstractNumId="172">
    <w:nsid w:val="19B8A08E"/>
    <w:multiLevelType w:val="hybridMultilevel"/>
    <w:lvl w:ilvl="0">
      <w:lvlJc w:val="left"/>
      <w:lvlText w:val="(%1)"/>
      <w:numFmt w:val="lowerRoman"/>
      <w:start w:val="1"/>
    </w:lvl>
    <w:lvl w:ilvl="1">
      <w:lvlJc w:val="left"/>
      <w:lvlText w:val="%2."/>
      <w:numFmt w:val="decimal"/>
      <w:start w:val="5"/>
    </w:lvl>
  </w:abstractNum>
  <w:abstractNum w:abstractNumId="173">
    <w:nsid w:val="54B59621"/>
    <w:multiLevelType w:val="hybridMultilevel"/>
    <w:lvl w:ilvl="0">
      <w:lvlJc w:val="left"/>
      <w:lvlText w:val="(%1)"/>
      <w:numFmt w:val="lowerLetter"/>
      <w:start w:val="1"/>
    </w:lvl>
  </w:abstractNum>
  <w:abstractNum w:abstractNumId="174">
    <w:nsid w:val="5992A02E"/>
    <w:multiLevelType w:val="hybridMultilevel"/>
    <w:lvl w:ilvl="0">
      <w:lvlJc w:val="left"/>
      <w:lvlText w:val="(%1)"/>
      <w:numFmt w:val="lowerLetter"/>
      <w:start w:val="2"/>
    </w:lvl>
  </w:abstractNum>
  <w:abstractNum w:abstractNumId="175">
    <w:nsid w:val="29EF532D"/>
    <w:multiLevelType w:val="hybridMultilevel"/>
    <w:lvl w:ilvl="0">
      <w:lvlJc w:val="left"/>
      <w:lvlText w:val="(%1)"/>
      <w:numFmt w:val="lowerLetter"/>
      <w:start w:val="6"/>
    </w:lvl>
  </w:abstractNum>
  <w:abstractNum w:abstractNumId="176">
    <w:nsid w:val="71D601AF"/>
    <w:multiLevelType w:val="hybridMultilevel"/>
    <w:lvl w:ilvl="0">
      <w:lvlJc w:val="left"/>
      <w:lvlText w:val="%1."/>
      <w:numFmt w:val="decimal"/>
      <w:start w:val="6"/>
    </w:lvl>
  </w:abstractNum>
  <w:abstractNum w:abstractNumId="177">
    <w:nsid w:val="52C77402"/>
    <w:multiLevelType w:val="hybridMultilevel"/>
    <w:lvl w:ilvl="0">
      <w:lvlJc w:val="left"/>
      <w:lvlText w:val="(%1)"/>
      <w:numFmt w:val="lowerRoman"/>
      <w:start w:val="4"/>
    </w:lvl>
  </w:abstractNum>
  <w:abstractNum w:abstractNumId="178">
    <w:nsid w:val="2BB5B1C6"/>
    <w:multiLevelType w:val="hybridMultilevel"/>
    <w:lvl w:ilvl="0">
      <w:lvlJc w:val="left"/>
      <w:lvlText w:val="(%1)"/>
      <w:numFmt w:val="lowerRoman"/>
      <w:start w:val="4"/>
    </w:lvl>
  </w:abstractNum>
  <w:abstractNum w:abstractNumId="179">
    <w:nsid w:val="66BE6B9"/>
    <w:multiLevelType w:val="hybridMultilevel"/>
    <w:lvl w:ilvl="0">
      <w:lvlJc w:val="left"/>
      <w:lvlText w:val="(%1)"/>
      <w:numFmt w:val="lowerRoman"/>
      <w:start w:val="6"/>
    </w:lvl>
  </w:abstractNum>
  <w:abstractNum w:abstractNumId="180">
    <w:nsid w:val="62234363"/>
    <w:multiLevelType w:val="hybridMultilevel"/>
    <w:lvl w:ilvl="0">
      <w:lvlJc w:val="left"/>
      <w:lvlText w:val="(%1)"/>
      <w:numFmt w:val="lowerRoman"/>
      <w:start w:val="6"/>
    </w:lvl>
    <w:lvl w:ilvl="1">
      <w:lvlJc w:val="left"/>
      <w:lvlText w:val="(%2)"/>
      <w:numFmt w:val="lowerLetter"/>
      <w:start w:val="1"/>
    </w:lvl>
  </w:abstractNum>
  <w:abstractNum w:abstractNumId="181">
    <w:nsid w:val="66D385C9"/>
    <w:multiLevelType w:val="hybridMultilevel"/>
    <w:lvl w:ilvl="0">
      <w:lvlJc w:val="left"/>
      <w:lvlText w:val="(%1)"/>
      <w:numFmt w:val="lowerRoman"/>
      <w:start w:val="1"/>
    </w:lvl>
    <w:lvl w:ilvl="1">
      <w:lvlJc w:val="left"/>
      <w:lvlText w:val="%2."/>
      <w:numFmt w:val="decimal"/>
      <w:start w:val="7"/>
    </w:lvl>
    <w:lvl w:ilvl="2">
      <w:lvlJc w:val="left"/>
      <w:lvlText w:val="%3."/>
      <w:numFmt w:val="decimal"/>
      <w:start w:val="9"/>
    </w:lvl>
  </w:abstractNum>
  <w:abstractNum w:abstractNumId="182">
    <w:nsid w:val="596F6D8A"/>
    <w:multiLevelType w:val="hybridMultilevel"/>
    <w:lvl w:ilvl="0">
      <w:lvlJc w:val="left"/>
      <w:lvlText w:val="%1."/>
      <w:numFmt w:val="decimal"/>
      <w:start w:val="1"/>
    </w:lvl>
  </w:abstractNum>
  <w:abstractNum w:abstractNumId="183">
    <w:nsid w:val="5749361F"/>
    <w:multiLevelType w:val="hybridMultilevel"/>
    <w:lvl w:ilvl="0">
      <w:lvlJc w:val="left"/>
      <w:lvlText w:val="%1"/>
      <w:numFmt w:val="lowerLetter"/>
      <w:start w:val="1"/>
    </w:lvl>
    <w:lvl w:ilvl="1">
      <w:lvlJc w:val="left"/>
      <w:lvlText w:val="%2."/>
      <w:numFmt w:val="decimal"/>
      <w:start w:val="4"/>
    </w:lvl>
  </w:abstractNum>
  <w:abstractNum w:abstractNumId="184">
    <w:nsid w:val="73BC6770"/>
    <w:multiLevelType w:val="hybridMultilevel"/>
    <w:lvl w:ilvl="0">
      <w:lvlJc w:val="left"/>
      <w:lvlText w:val="(%1)"/>
      <w:numFmt w:val="lowerLetter"/>
      <w:start w:val="1"/>
    </w:lvl>
    <w:lvl w:ilvl="1">
      <w:lvlJc w:val="left"/>
      <w:lvlText w:val="%2"/>
      <w:numFmt w:val="decimal"/>
      <w:start w:val="1"/>
    </w:lvl>
  </w:abstractNum>
  <w:abstractNum w:abstractNumId="185">
    <w:nsid w:val="280E6897"/>
    <w:multiLevelType w:val="hybridMultilevel"/>
    <w:lvl w:ilvl="0">
      <w:lvlJc w:val="left"/>
      <w:lvlText w:val="%1."/>
      <w:numFmt w:val="decimal"/>
      <w:start w:val="9"/>
    </w:lvl>
  </w:abstractNum>
  <w:abstractNum w:abstractNumId="186">
    <w:nsid w:val="605138DE"/>
    <w:multiLevelType w:val="hybridMultilevel"/>
    <w:lvl w:ilvl="0">
      <w:lvlJc w:val="left"/>
      <w:lvlText w:val="(%1)"/>
      <w:numFmt w:val="lowerRoman"/>
      <w:start w:val="1"/>
    </w:lvl>
    <w:lvl w:ilvl="1">
      <w:lvlJc w:val="left"/>
      <w:lvlText w:val="%2."/>
      <w:numFmt w:val="decimal"/>
      <w:start w:val="4"/>
    </w:lvl>
    <w:lvl w:ilvl="2">
      <w:lvlJc w:val="left"/>
      <w:lvlText w:val="*"/>
      <w:numFmt w:val="bullet"/>
      <w:start w:val="1"/>
    </w:lvl>
  </w:abstractNum>
  <w:abstractNum w:abstractNumId="187">
    <w:nsid w:val="2622AD0C"/>
    <w:multiLevelType w:val="hybridMultilevel"/>
    <w:lvl w:ilvl="0">
      <w:lvlJc w:val="left"/>
      <w:lvlText w:val="%1."/>
      <w:numFmt w:val="decimal"/>
      <w:start w:val="1"/>
    </w:lvl>
    <w:lvl w:ilvl="1">
      <w:lvlJc w:val="left"/>
      <w:lvlText w:val="(%2)"/>
      <w:numFmt w:val="lowerLetter"/>
      <w:start w:val="1"/>
    </w:lvl>
  </w:abstractNum>
  <w:abstractNum w:abstractNumId="188">
    <w:nsid w:val="67997556"/>
    <w:multiLevelType w:val="hybridMultilevel"/>
    <w:lvl w:ilvl="0">
      <w:lvlJc w:val="left"/>
      <w:lvlText w:val="(%1)"/>
      <w:numFmt w:val="lowerLetter"/>
      <w:start w:val="4"/>
    </w:lvl>
    <w:lvl w:ilvl="1">
      <w:lvlJc w:val="left"/>
      <w:lvlText w:val="(%2)"/>
      <w:numFmt w:val="lowerLetter"/>
      <w:start w:val="9"/>
    </w:lvl>
  </w:abstractNum>
  <w:abstractNum w:abstractNumId="189">
    <w:nsid w:val="18333C89"/>
    <w:multiLevelType w:val="hybridMultilevel"/>
    <w:lvl w:ilvl="0">
      <w:lvlJc w:val="left"/>
      <w:lvlText w:val="%1"/>
      <w:numFmt w:val="decimal"/>
      <w:start w:val="1"/>
    </w:lvl>
    <w:lvl w:ilvl="1">
      <w:lvlJc w:val="left"/>
      <w:lvlText w:val="(%2)"/>
      <w:numFmt w:val="lowerRoman"/>
      <w:start w:val="2"/>
    </w:lvl>
  </w:abstractNum>
  <w:abstractNum w:abstractNumId="190">
    <w:nsid w:val="4BA9831A"/>
    <w:multiLevelType w:val="hybridMultilevel"/>
    <w:lvl w:ilvl="0">
      <w:lvlJc w:val="left"/>
      <w:lvlText w:val="(%1)"/>
      <w:numFmt w:val="decimal"/>
      <w:start w:val="4"/>
    </w:lvl>
    <w:lvl w:ilvl="1">
      <w:lvlJc w:val="left"/>
      <w:lvlText w:val="%2"/>
      <w:numFmt w:val="lowerRoman"/>
      <w:start w:val="1"/>
    </w:lvl>
  </w:abstractNum>
  <w:abstractNum w:abstractNumId="191">
    <w:nsid w:val="6D71A2B"/>
    <w:multiLevelType w:val="hybridMultilevel"/>
    <w:lvl w:ilvl="0">
      <w:lvlJc w:val="left"/>
      <w:lvlText w:val="(%1)"/>
      <w:numFmt w:val="decimal"/>
      <w:start w:val="1"/>
    </w:lvl>
    <w:lvl w:ilvl="1">
      <w:lvlJc w:val="left"/>
      <w:lvlText w:val="%2"/>
      <w:numFmt w:val="lowerRoman"/>
      <w:start w:val="1"/>
    </w:lvl>
  </w:abstractNum>
  <w:abstractNum w:abstractNumId="192">
    <w:nsid w:val="CFC7321"/>
    <w:multiLevelType w:val="hybridMultilevel"/>
    <w:lvl w:ilvl="0">
      <w:lvlJc w:val="left"/>
      <w:lvlText w:val="(%1)"/>
      <w:numFmt w:val="decimal"/>
      <w:start w:val="60"/>
    </w:lvl>
    <w:lvl w:ilvl="1">
      <w:lvlJc w:val="left"/>
      <w:lvlText w:val="(%2)"/>
      <w:numFmt w:val="lowerRoman"/>
      <w:start w:val="4"/>
    </w:lvl>
  </w:abstractNum>
  <w:abstractNum w:abstractNumId="193">
    <w:nsid w:val="1421971B"/>
    <w:multiLevelType w:val="hybridMultilevel"/>
    <w:lvl w:ilvl="0">
      <w:lvlJc w:val="left"/>
      <w:lvlText w:val="(%1)"/>
      <w:numFmt w:val="lowerRoman"/>
      <w:start w:val="7"/>
    </w:lvl>
  </w:abstractNum>
  <w:abstractNum w:abstractNumId="194">
    <w:nsid w:val="1F404301"/>
    <w:multiLevelType w:val="hybridMultilevel"/>
    <w:lvl w:ilvl="0">
      <w:lvlJc w:val="left"/>
      <w:lvlText w:val="(%1)"/>
      <w:numFmt w:val="lowerLetter"/>
      <w:start w:val="15"/>
    </w:lvl>
    <w:lvl w:ilvl="1">
      <w:lvlJc w:val="left"/>
      <w:lvlText w:val="(%2)"/>
      <w:numFmt w:val="lowerRoman"/>
      <w:start w:val="1"/>
    </w:lvl>
  </w:abstractNum>
  <w:abstractNum w:abstractNumId="195">
    <w:nsid w:val="116E0907"/>
    <w:multiLevelType w:val="hybridMultilevel"/>
    <w:lvl w:ilvl="0">
      <w:lvlJc w:val="left"/>
      <w:lvlText w:val="(%1)"/>
      <w:numFmt w:val="lowerLetter"/>
      <w:start w:val="16"/>
    </w:lvl>
  </w:abstractNum>
  <w:abstractNum w:abstractNumId="196">
    <w:nsid w:val="4B683D0D"/>
    <w:multiLevelType w:val="hybridMultilevel"/>
    <w:lvl w:ilvl="0">
      <w:lvlJc w:val="left"/>
      <w:lvlText w:val="%1"/>
      <w:numFmt w:val="upperLetter"/>
      <w:start w:val="1"/>
    </w:lvl>
    <w:lvl w:ilvl="1">
      <w:lvlJc w:val="left"/>
      <w:lvlText w:val="(%2)"/>
      <w:numFmt w:val="lowerLetter"/>
      <w:start w:val="17"/>
    </w:lvl>
    <w:lvl w:ilvl="2">
      <w:lvlJc w:val="left"/>
      <w:lvlText w:val="(%3)"/>
      <w:numFmt w:val="lowerRoman"/>
      <w:start w:val="1"/>
    </w:lvl>
  </w:abstractNum>
  <w:abstractNum w:abstractNumId="197">
    <w:nsid w:val="76E41D8"/>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198">
    <w:nsid w:val="71DCE0FD"/>
    <w:multiLevelType w:val="hybridMultilevel"/>
    <w:lvl w:ilvl="0">
      <w:lvlJc w:val="left"/>
      <w:lvlText w:val="%1"/>
      <w:numFmt w:val="decimal"/>
      <w:start w:val="1"/>
    </w:lvl>
    <w:lvl w:ilvl="1">
      <w:lvlJc w:val="left"/>
      <w:lvlText w:val="(%2)"/>
      <w:numFmt w:val="lowerLetter"/>
      <w:start w:val="20"/>
    </w:lvl>
  </w:abstractNum>
  <w:abstractNum w:abstractNumId="199">
    <w:nsid w:val="7906328B"/>
    <w:multiLevelType w:val="hybridMultilevel"/>
    <w:lvl w:ilvl="0">
      <w:lvlJc w:val="left"/>
      <w:lvlText w:val="%1."/>
      <w:numFmt w:val="decimal"/>
      <w:start w:val="2"/>
    </w:lvl>
    <w:lvl w:ilvl="1">
      <w:lvlJc w:val="left"/>
      <w:lvlText w:val="(%2)"/>
      <w:numFmt w:val="lowerLetter"/>
      <w:start w:val="1"/>
    </w:lvl>
  </w:abstractNum>
  <w:abstractNum w:abstractNumId="200">
    <w:nsid w:val="72BBC16"/>
    <w:multiLevelType w:val="hybridMultilevel"/>
    <w:lvl w:ilvl="0">
      <w:lvlJc w:val="left"/>
      <w:lvlText w:val="%1"/>
      <w:numFmt w:val="decimal"/>
      <w:start w:val="1"/>
    </w:lvl>
    <w:lvl w:ilvl="1">
      <w:lvlJc w:val="left"/>
      <w:lvlText w:val="(%2)"/>
      <w:numFmt w:val="lowerLetter"/>
      <w:start w:val="3"/>
    </w:lvl>
  </w:abstractNum>
  <w:abstractNum w:abstractNumId="201">
    <w:nsid w:val="766D98C2"/>
    <w:multiLevelType w:val="hybridMultilevel"/>
    <w:lvl w:ilvl="0">
      <w:lvlJc w:val="left"/>
      <w:lvlText w:val="%1."/>
      <w:numFmt w:val="decimal"/>
      <w:start w:val="3"/>
    </w:lvl>
    <w:lvl w:ilvl="1">
      <w:lvlJc w:val="left"/>
      <w:lvlText w:val="%2"/>
      <w:numFmt w:val="lowerLetter"/>
      <w:start w:val="1"/>
    </w:lvl>
  </w:abstractNum>
  <w:abstractNum w:abstractNumId="202">
    <w:nsid w:val="3C09D4A1"/>
    <w:multiLevelType w:val="hybridMultilevel"/>
    <w:lvl w:ilvl="0">
      <w:lvlJc w:val="left"/>
      <w:lvlText w:val="%1."/>
      <w:numFmt w:val="decimal"/>
      <w:start w:val="4"/>
    </w:lvl>
    <w:lvl w:ilvl="1">
      <w:lvlJc w:val="left"/>
      <w:lvlText w:val="(%2)"/>
      <w:numFmt w:val="lowerLetter"/>
      <w:start w:val="1"/>
    </w:lvl>
  </w:abstractNum>
  <w:abstractNum w:abstractNumId="203">
    <w:nsid w:val="20E45CA4"/>
    <w:multiLevelType w:val="hybridMultilevel"/>
    <w:lvl w:ilvl="0">
      <w:lvlJc w:val="left"/>
      <w:lvlText w:val="(%1)"/>
      <w:numFmt w:val="lowerLetter"/>
      <w:start w:val="2"/>
    </w:lvl>
  </w:abstractNum>
  <w:abstractNum w:abstractNumId="204">
    <w:nsid w:val="4B232EE3"/>
    <w:multiLevelType w:val="hybridMultilevel"/>
    <w:lvl w:ilvl="0">
      <w:lvlJc w:val="left"/>
      <w:lvlText w:val="(%1)"/>
      <w:numFmt w:val="lowerLetter"/>
      <w:start w:val="3"/>
    </w:lvl>
  </w:abstractNum>
  <w:abstractNum w:abstractNumId="205">
    <w:nsid w:val="159C74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6">
    <w:nsid w:val="4AD3AFD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7">
    <w:nsid w:val="3CF9309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08">
    <w:nsid w:val="6863E8D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09">
    <w:nsid w:val="76896198"/>
    <w:multiLevelType w:val="hybridMultilevel"/>
    <w:lvl w:ilvl="0">
      <w:lvlJc w:val="left"/>
      <w:lvlText w:val="%1"/>
      <w:numFmt w:val="decimal"/>
      <w:start w:val="1"/>
    </w:lvl>
    <w:lvl w:ilvl="1">
      <w:lvlJc w:val="left"/>
      <w:lvlText w:val="(%2)"/>
      <w:numFmt w:val="lowerLetter"/>
      <w:start w:val="4"/>
    </w:lvl>
  </w:abstractNum>
  <w:abstractNum w:abstractNumId="210">
    <w:nsid w:val="4365174B"/>
    <w:multiLevelType w:val="hybridMultilevel"/>
    <w:lvl w:ilvl="0">
      <w:lvlJc w:val="left"/>
      <w:lvlText w:val="%1."/>
      <w:numFmt w:val="decimal"/>
      <w:start w:val="7"/>
    </w:lvl>
    <w:lvl w:ilvl="1">
      <w:lvlJc w:val="left"/>
      <w:lvlText w:val="%2"/>
      <w:numFmt w:val="lowerLetter"/>
      <w:start w:val="1"/>
    </w:lvl>
  </w:abstractNum>
  <w:abstractNum w:abstractNumId="211">
    <w:nsid w:val="4A872C35"/>
    <w:multiLevelType w:val="hybridMultilevel"/>
    <w:lvl w:ilvl="0">
      <w:lvlJc w:val="left"/>
      <w:lvlText w:val="%1."/>
      <w:numFmt w:val="decimal"/>
      <w:start w:val="1"/>
    </w:lvl>
    <w:lvl w:ilvl="1">
      <w:lvlJc w:val="left"/>
      <w:lvlText w:val="(%2)"/>
      <w:numFmt w:val="lowerLetter"/>
      <w:start w:val="1"/>
    </w:lvl>
  </w:abstractNum>
  <w:abstractNum w:abstractNumId="212">
    <w:nsid w:val="5D5CE76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213">
    <w:nsid w:val="1CD484D5"/>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14">
    <w:nsid w:val="21D0625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15">
    <w:nsid w:val="51194ED1"/>
    <w:multiLevelType w:val="hybridMultilevel"/>
    <w:lvl w:ilvl="0">
      <w:lvlJc w:val="left"/>
      <w:lvlText w:val="(%1)"/>
      <w:numFmt w:val="lowerLetter"/>
      <w:start w:val="1"/>
    </w:lvl>
  </w:abstractNum>
  <w:abstractNum w:abstractNumId="216">
    <w:nsid w:val="44E2ED6C"/>
    <w:multiLevelType w:val="hybridMultilevel"/>
    <w:lvl w:ilvl="0">
      <w:lvlJc w:val="left"/>
      <w:lvlText w:val="(%1)"/>
      <w:numFmt w:val="lowerLetter"/>
      <w:start w:val="2"/>
    </w:lvl>
    <w:lvl w:ilvl="1">
      <w:lvlJc w:val="left"/>
      <w:lvlText w:val="(%2)"/>
      <w:numFmt w:val="lowerRoman"/>
      <w:start w:val="1"/>
    </w:lvl>
  </w:abstractNum>
  <w:abstractNum w:abstractNumId="217">
    <w:nsid w:val="2219B33"/>
    <w:multiLevelType w:val="hybridMultilevel"/>
    <w:lvl w:ilvl="0">
      <w:lvlJc w:val="left"/>
      <w:lvlText w:val="%1"/>
      <w:numFmt w:val="lowerLetter"/>
      <w:start w:val="1"/>
    </w:lvl>
    <w:lvl w:ilvl="1">
      <w:lvlJc w:val="left"/>
      <w:lvlText w:val="(%2)"/>
      <w:numFmt w:val="lowerRoman"/>
      <w:start w:val="4"/>
    </w:lvl>
  </w:abstractNum>
  <w:abstractNum w:abstractNumId="218">
    <w:nsid w:val="773BFBDD"/>
    <w:multiLevelType w:val="hybridMultilevel"/>
    <w:lvl w:ilvl="0">
      <w:lvlJc w:val="left"/>
      <w:lvlText w:val="(%1)"/>
      <w:numFmt w:val="lowerLetter"/>
      <w:start w:val="3"/>
    </w:lvl>
    <w:lvl w:ilvl="1">
      <w:lvlJc w:val="left"/>
      <w:lvlText w:val="%2"/>
      <w:numFmt w:val="lowerRoman"/>
      <w:start w:val="1"/>
    </w:lvl>
  </w:abstractNum>
  <w:abstractNum w:abstractNumId="219">
    <w:nsid w:val="2C7C62C2"/>
    <w:multiLevelType w:val="hybridMultilevel"/>
    <w:lvl w:ilvl="0">
      <w:lvlJc w:val="left"/>
      <w:lvlText w:val="(%1)"/>
      <w:numFmt w:val="lowerLetter"/>
      <w:start w:val="5"/>
    </w:lvl>
    <w:lvl w:ilvl="1">
      <w:lvlJc w:val="left"/>
      <w:lvlText w:val="(%2)"/>
      <w:numFmt w:val="lowerRoman"/>
      <w:start w:val="1"/>
    </w:lvl>
  </w:abstractNum>
  <w:abstractNum w:abstractNumId="220">
    <w:nsid w:val="1A54D7BC"/>
    <w:multiLevelType w:val="hybridMultilevel"/>
    <w:lvl w:ilvl="0">
      <w:lvlJc w:val="left"/>
      <w:lvlText w:val="(%1)"/>
      <w:numFmt w:val="upperLetter"/>
      <w:start w:val="1"/>
    </w:lvl>
  </w:abstractNum>
  <w:abstractNum w:abstractNumId="221">
    <w:nsid w:val="42E57EF7"/>
    <w:multiLevelType w:val="hybridMultilevel"/>
    <w:lvl w:ilvl="0">
      <w:lvlJc w:val="left"/>
      <w:lvlText w:val="(%1)"/>
      <w:numFmt w:val="upperLetter"/>
      <w:start w:val="4"/>
    </w:lvl>
  </w:abstractNum>
  <w:abstractNum w:abstractNumId="222">
    <w:nsid w:val="33537CED"/>
    <w:multiLevelType w:val="hybridMultilevel"/>
    <w:lvl w:ilvl="0">
      <w:lvlJc w:val="left"/>
      <w:lvlText w:val="(%1)"/>
      <w:numFmt w:val="lowerRoman"/>
      <w:start w:val="5"/>
    </w:lvl>
  </w:abstractNum>
  <w:abstractNum w:abstractNumId="223">
    <w:nsid w:val="27514ADE"/>
    <w:multiLevelType w:val="hybridMultilevel"/>
    <w:lvl w:ilvl="0">
      <w:lvlJc w:val="left"/>
      <w:lvlText w:val="(%1)"/>
      <w:numFmt w:val="lowerLetter"/>
      <w:start w:val="1"/>
    </w:lvl>
  </w:abstractNum>
  <w:abstractNum w:abstractNumId="224">
    <w:nsid w:val="57071613"/>
    <w:multiLevelType w:val="hybridMultilevel"/>
    <w:lvl w:ilvl="0">
      <w:lvlJc w:val="left"/>
      <w:lvlText w:val="(%1)"/>
      <w:numFmt w:val="lowerLetter"/>
      <w:start w:val="4"/>
    </w:lvl>
  </w:abstractNum>
  <w:abstractNum w:abstractNumId="225">
    <w:nsid w:val="5293BFEF"/>
    <w:multiLevelType w:val="hybridMultilevel"/>
    <w:lvl w:ilvl="0">
      <w:lvlJc w:val="left"/>
      <w:lvlText w:val="(%1)"/>
      <w:numFmt w:val="lowerLetter"/>
      <w:start w:val="1"/>
    </w:lvl>
  </w:abstractNum>
  <w:abstractNum w:abstractNumId="226">
    <w:nsid w:val="38BF53E5"/>
    <w:multiLevelType w:val="hybridMultilevel"/>
    <w:lvl w:ilvl="0">
      <w:lvlJc w:val="left"/>
      <w:lvlText w:val="(%1)"/>
      <w:numFmt w:val="lowerLetter"/>
      <w:start w:val="1"/>
    </w:lvl>
  </w:abstractNum>
  <w:abstractNum w:abstractNumId="227">
    <w:nsid w:val="226F5320"/>
    <w:multiLevelType w:val="hybridMultilevel"/>
    <w:lvl w:ilvl="0">
      <w:lvlJc w:val="left"/>
      <w:lvlText w:val="(%1)"/>
      <w:numFmt w:val="lowerLetter"/>
      <w:start w:val="1"/>
    </w:lvl>
  </w:abstractNum>
  <w:abstractNum w:abstractNumId="228">
    <w:nsid w:val="5A0201C7"/>
    <w:multiLevelType w:val="hybridMultilevel"/>
    <w:lvl w:ilvl="0">
      <w:lvlJc w:val="left"/>
      <w:lvlText w:val="(%1)"/>
      <w:numFmt w:val="lowerLetter"/>
      <w:start w:val="1"/>
    </w:lvl>
  </w:abstractNum>
  <w:abstractNum w:abstractNumId="229">
    <w:nsid w:val="2A9C34E2"/>
    <w:multiLevelType w:val="hybridMultilevel"/>
    <w:lvl w:ilvl="0">
      <w:lvlJc w:val="left"/>
      <w:lvlText w:val="(%1)"/>
      <w:numFmt w:val="lowerLetter"/>
      <w:start w:val="5"/>
    </w:lvl>
  </w:abstractNum>
  <w:abstractNum w:abstractNumId="230">
    <w:nsid w:val="1B7585AB"/>
    <w:multiLevelType w:val="hybridMultilevel"/>
    <w:lvl w:ilvl="0">
      <w:lvlJc w:val="left"/>
      <w:lvlText w:val="(%1)"/>
      <w:numFmt w:val="lowerLetter"/>
      <w:start w:val="1"/>
    </w:lvl>
  </w:abstractNum>
  <w:abstractNum w:abstractNumId="231">
    <w:nsid w:val="612DBDDD"/>
    <w:multiLevelType w:val="hybridMultilevel"/>
    <w:lvl w:ilvl="0">
      <w:lvlJc w:val="left"/>
      <w:lvlText w:val="(%1)"/>
      <w:numFmt w:val="lowerLetter"/>
      <w:start w:val="1"/>
    </w:lvl>
  </w:abstractNum>
  <w:abstractNum w:abstractNumId="232">
    <w:nsid w:val="2109CDA4"/>
    <w:multiLevelType w:val="hybridMultilevel"/>
    <w:lvl w:ilvl="0">
      <w:lvlJc w:val="left"/>
      <w:lvlText w:val="%1"/>
      <w:numFmt w:val="lowerLetter"/>
      <w:start w:val="1"/>
    </w:lvl>
    <w:lvl w:ilvl="1">
      <w:lvlJc w:val="left"/>
      <w:lvlText w:val="(%2)"/>
      <w:numFmt w:val="lowerLetter"/>
      <w:start w:val="1"/>
    </w:lvl>
  </w:abstractNum>
  <w:abstractNum w:abstractNumId="233">
    <w:nsid w:val="577F5A4D"/>
    <w:multiLevelType w:val="hybridMultilevel"/>
    <w:lvl w:ilvl="0">
      <w:lvlJc w:val="left"/>
      <w:lvlText w:val="(%1)"/>
      <w:numFmt w:val="lowerLetter"/>
      <w:start w:val="9"/>
    </w:lvl>
    <w:lvl w:ilvl="1">
      <w:lvlJc w:val="left"/>
      <w:lvlText w:val="%2"/>
      <w:numFmt w:val="lowerLetter"/>
      <w:start w:val="1"/>
    </w:lvl>
  </w:abstractNum>
  <w:abstractNum w:abstractNumId="234">
    <w:nsid w:val="2121A81"/>
    <w:multiLevelType w:val="hybridMultilevel"/>
    <w:lvl w:ilvl="0">
      <w:lvlJc w:val="left"/>
      <w:lvlText w:val="(%1)"/>
      <w:numFmt w:val="lowerLetter"/>
      <w:start w:val="2"/>
    </w:lvl>
  </w:abstractNum>
  <w:abstractNum w:abstractNumId="235">
    <w:nsid w:val="6C2CFC88"/>
    <w:multiLevelType w:val="hybridMultilevel"/>
    <w:lvl w:ilvl="0">
      <w:lvlJc w:val="left"/>
      <w:lvlText w:val="(%1)"/>
      <w:numFmt w:val="lowerLetter"/>
      <w:start w:val="1"/>
    </w:lvl>
  </w:abstractNum>
  <w:abstractNum w:abstractNumId="236">
    <w:nsid w:val="6D1BCF1C"/>
    <w:multiLevelType w:val="hybridMultilevel"/>
    <w:lvl w:ilvl="0">
      <w:lvlJc w:val="left"/>
      <w:lvlText w:val="(%1)"/>
      <w:numFmt w:val="lowerLetter"/>
      <w:start w:val="4"/>
    </w:lvl>
  </w:abstractNum>
  <w:abstractNum w:abstractNumId="237">
    <w:nsid w:val="4CE5CA53"/>
    <w:multiLevelType w:val="hybridMultilevel"/>
    <w:lvl w:ilvl="0">
      <w:lvlJc w:val="left"/>
      <w:lvlText w:val="(%1)"/>
      <w:numFmt w:val="lowerLetter"/>
      <w:start w:val="1"/>
    </w:lvl>
  </w:abstractNum>
  <w:abstractNum w:abstractNumId="238">
    <w:nsid w:val="29262D1A"/>
    <w:multiLevelType w:val="hybridMultilevel"/>
    <w:lvl w:ilvl="0">
      <w:lvlJc w:val="left"/>
      <w:lvlText w:val="(%1)"/>
      <w:numFmt w:val="lowerLetter"/>
      <w:start w:val="1"/>
    </w:lvl>
  </w:abstractNum>
  <w:abstractNum w:abstractNumId="239">
    <w:nsid w:val="557FB7EE"/>
    <w:multiLevelType w:val="hybridMultilevel"/>
    <w:lvl w:ilvl="0">
      <w:lvlJc w:val="left"/>
      <w:lvlText w:val="(%1)"/>
      <w:numFmt w:val="lowerLetter"/>
      <w:start w:val="1"/>
    </w:lvl>
  </w:abstractNum>
  <w:abstractNum w:abstractNumId="240">
    <w:nsid w:val="436F2BEB"/>
    <w:multiLevelType w:val="hybridMultilevel"/>
    <w:lvl w:ilvl="0">
      <w:lvlJc w:val="left"/>
      <w:lvlText w:val="(%1)"/>
      <w:numFmt w:val="lowerLetter"/>
      <w:start w:val="1"/>
    </w:lvl>
  </w:abstractNum>
  <w:abstractNum w:abstractNumId="241">
    <w:nsid w:val="6C8B4466"/>
    <w:multiLevelType w:val="hybridMultilevel"/>
    <w:lvl w:ilvl="0">
      <w:lvlJc w:val="left"/>
      <w:lvlText w:val="(%1)"/>
      <w:numFmt w:val="lowerLetter"/>
      <w:start w:val="4"/>
    </w:lvl>
  </w:abstractNum>
  <w:abstractNum w:abstractNumId="242">
    <w:nsid w:val="2006E424"/>
    <w:multiLevelType w:val="hybridMultilevel"/>
    <w:lvl w:ilvl="0">
      <w:lvlJc w:val="left"/>
      <w:lvlText w:val="(%1)"/>
      <w:numFmt w:val="lowerLetter"/>
      <w:start w:val="7"/>
    </w:lvl>
    <w:lvl w:ilvl="1">
      <w:lvlJc w:val="left"/>
      <w:lvlText w:val="(%2)"/>
      <w:numFmt w:val="lowerRoman"/>
      <w:start w:val="1"/>
    </w:lvl>
  </w:abstractNum>
  <w:abstractNum w:abstractNumId="243">
    <w:nsid w:val="20CC134C"/>
    <w:multiLevelType w:val="hybridMultilevel"/>
    <w:lvl w:ilvl="0">
      <w:lvlJc w:val="left"/>
      <w:lvlText w:val="(%1)"/>
      <w:numFmt w:val="lowerLetter"/>
      <w:start w:val="1"/>
    </w:lvl>
  </w:abstractNum>
  <w:abstractNum w:abstractNumId="244">
    <w:nsid w:val="95FC93B"/>
    <w:multiLevelType w:val="hybridMultilevel"/>
    <w:lvl w:ilvl="0">
      <w:lvlJc w:val="left"/>
      <w:lvlText w:val="(%1)"/>
      <w:numFmt w:val="lowerRoman"/>
      <w:start w:val="2"/>
    </w:lvl>
  </w:abstractNum>
  <w:abstractNum w:abstractNumId="245">
    <w:nsid w:val="41D74679"/>
    <w:multiLevelType w:val="hybridMultilevel"/>
    <w:lvl w:ilvl="0">
      <w:lvlJc w:val="left"/>
      <w:lvlText w:val="%1."/>
      <w:numFmt w:val="decimal"/>
      <w:start w:val="2"/>
    </w:lvl>
    <w:lvl w:ilvl="1">
      <w:lvlJc w:val="left"/>
      <w:lvlText w:val="(%2)"/>
      <w:numFmt w:val="lowerLetter"/>
      <w:start w:val="1"/>
    </w:lvl>
  </w:abstractNum>
  <w:abstractNum w:abstractNumId="246">
    <w:nsid w:val="71E5621E"/>
    <w:multiLevelType w:val="hybridMultilevel"/>
    <w:lvl w:ilvl="0">
      <w:lvlJc w:val="left"/>
      <w:lvlText w:val="(%1)"/>
      <w:numFmt w:val="lowerLetter"/>
      <w:start w:val="3"/>
    </w:lvl>
  </w:abstractNum>
  <w:abstractNum w:abstractNumId="247">
    <w:nsid w:val="4E42B6A8"/>
    <w:multiLevelType w:val="hybridMultilevel"/>
    <w:lvl w:ilvl="0">
      <w:lvlJc w:val="left"/>
      <w:lvlText w:val="(%1)"/>
      <w:numFmt w:val="lowerLetter"/>
      <w:start w:val="1"/>
    </w:lvl>
  </w:abstractNum>
  <w:abstractNum w:abstractNumId="248">
    <w:nsid w:val="43F8E1AC"/>
    <w:multiLevelType w:val="hybridMultilevel"/>
    <w:lvl w:ilvl="0">
      <w:lvlJc w:val="left"/>
      <w:lvlText w:val="(%1)"/>
      <w:numFmt w:val="lowerLetter"/>
      <w:start w:val="3"/>
    </w:lvl>
  </w:abstractNum>
  <w:abstractNum w:abstractNumId="249">
    <w:nsid w:val="69215DFB"/>
    <w:multiLevelType w:val="hybridMultilevel"/>
    <w:lvl w:ilvl="0">
      <w:lvlJc w:val="left"/>
      <w:lvlText w:val="(%1)"/>
      <w:numFmt w:val="lowerLetter"/>
      <w:start w:val="1"/>
    </w:lvl>
  </w:abstractNum>
  <w:abstractNum w:abstractNumId="250">
    <w:nsid w:val="7ABF196A"/>
    <w:multiLevelType w:val="hybridMultilevel"/>
    <w:lvl w:ilvl="0">
      <w:lvlJc w:val="left"/>
      <w:lvlText w:val="(%1)"/>
      <w:numFmt w:val="lowerLetter"/>
      <w:start w:val="2"/>
    </w:lvl>
  </w:abstractNum>
  <w:abstractNum w:abstractNumId="251">
    <w:nsid w:val="5E4DB968"/>
    <w:multiLevelType w:val="hybridMultilevel"/>
    <w:lvl w:ilvl="0">
      <w:lvlJc w:val="left"/>
      <w:lvlText w:val="(%1)"/>
      <w:numFmt w:val="lowerLetter"/>
      <w:start w:val="10"/>
    </w:lvl>
  </w:abstractNum>
  <w:abstractNum w:abstractNumId="252">
    <w:nsid w:val="2C06DCF3"/>
    <w:multiLevelType w:val="hybridMultilevel"/>
    <w:lvl w:ilvl="0">
      <w:lvlJc w:val="left"/>
      <w:lvlText w:val="(%1)"/>
      <w:numFmt w:val="lowerLetter"/>
      <w:start w:val="1"/>
    </w:lvl>
  </w:abstractNum>
  <w:abstractNum w:abstractNumId="253">
    <w:nsid w:val="2E129658"/>
    <w:multiLevelType w:val="hybridMultilevel"/>
    <w:lvl w:ilvl="0">
      <w:lvlJc w:val="left"/>
      <w:lvlText w:val="(%1)"/>
      <w:numFmt w:val="lowerLetter"/>
      <w:start w:val="2"/>
    </w:lvl>
  </w:abstractNum>
  <w:abstractNum w:abstractNumId="254">
    <w:nsid w:val="59F0446"/>
    <w:multiLevelType w:val="hybridMultilevel"/>
    <w:lvl w:ilvl="0">
      <w:lvlJc w:val="left"/>
      <w:lvlText w:val="%1"/>
      <w:numFmt w:val="lowerLetter"/>
      <w:start w:val="1"/>
    </w:lvl>
    <w:lvl w:ilvl="1">
      <w:lvlJc w:val="left"/>
      <w:lvlText w:val="(%2)"/>
      <w:numFmt w:val="lowerLetter"/>
      <w:start w:val="4"/>
    </w:lvl>
  </w:abstractNum>
  <w:abstractNum w:abstractNumId="255">
    <w:nsid w:val="30DF306"/>
    <w:multiLevelType w:val="hybridMultilevel"/>
    <w:lvl w:ilvl="0">
      <w:lvlJc w:val="left"/>
      <w:lvlText w:val="(%1)"/>
      <w:numFmt w:val="lowerLetter"/>
      <w:start w:val="35"/>
    </w:lvl>
    <w:lvl w:ilvl="1">
      <w:lvlJc w:val="left"/>
      <w:lvlText w:val="(%2)"/>
      <w:numFmt w:val="lowerLetter"/>
      <w:start w:val="5"/>
    </w:lvl>
  </w:abstractNum>
  <w:abstractNum w:abstractNumId="256">
    <w:nsid w:val="A65647"/>
    <w:multiLevelType w:val="hybridMultilevel"/>
    <w:lvl w:ilvl="0">
      <w:lvlJc w:val="left"/>
      <w:lvlText w:val="(%1)"/>
      <w:numFmt w:val="lowerLetter"/>
      <w:start w:val="1"/>
    </w:lvl>
  </w:abstractNum>
  <w:abstractNum w:abstractNumId="257">
    <w:nsid w:val="3E5E582B"/>
    <w:multiLevelType w:val="hybridMultilevel"/>
    <w:lvl w:ilvl="0">
      <w:lvlJc w:val="left"/>
      <w:lvlText w:val="(%1)"/>
      <w:numFmt w:val="lowerRoman"/>
      <w:start w:val="2"/>
    </w:lvl>
  </w:abstractNum>
  <w:abstractNum w:abstractNumId="258">
    <w:nsid w:val="257D4626"/>
    <w:multiLevelType w:val="hybridMultilevel"/>
    <w:lvl w:ilvl="0">
      <w:lvlJc w:val="left"/>
      <w:lvlText w:val="(%1)"/>
      <w:numFmt w:val="lowerLetter"/>
      <w:start w:val="1"/>
    </w:lvl>
  </w:abstractNum>
  <w:abstractNum w:abstractNumId="259">
    <w:nsid w:val="5AA8580E"/>
    <w:multiLevelType w:val="hybridMultilevel"/>
    <w:lvl w:ilvl="0">
      <w:lvlJc w:val="left"/>
      <w:lvlText w:val="(%1)"/>
      <w:numFmt w:val="lowerLetter"/>
      <w:start w:val="3"/>
    </w:lvl>
  </w:abstractNum>
  <w:abstractNum w:abstractNumId="260">
    <w:nsid w:val="68FA8D0D"/>
    <w:multiLevelType w:val="hybridMultilevel"/>
    <w:lvl w:ilvl="0">
      <w:lvlJc w:val="left"/>
      <w:lvlText w:val="%1."/>
      <w:numFmt w:val="decimal"/>
      <w:start w:val="3"/>
    </w:lvl>
  </w:abstractNum>
  <w:abstractNum w:abstractNumId="261">
    <w:nsid w:val="40F2CBD2"/>
    <w:multiLevelType w:val="hybridMultilevel"/>
    <w:lvl w:ilvl="0">
      <w:lvlJc w:val="left"/>
      <w:lvlText w:val="%1"/>
      <w:numFmt w:val="lowerLetter"/>
      <w:start w:val="1"/>
    </w:lvl>
    <w:lvl w:ilvl="1">
      <w:lvlJc w:val="left"/>
      <w:lvlText w:val="(%2)"/>
      <w:numFmt w:val="lowerLetter"/>
      <w:start w:val="1"/>
    </w:lvl>
  </w:abstractNum>
  <w:abstractNum w:abstractNumId="262">
    <w:nsid w:val="3BD615EB"/>
    <w:multiLevelType w:val="hybridMultilevel"/>
    <w:lvl w:ilvl="0">
      <w:lvlJc w:val="left"/>
      <w:lvlText w:val="(%1)"/>
      <w:numFmt w:val="lowerLetter"/>
      <w:start w:val="9"/>
    </w:lvl>
    <w:lvl w:ilvl="1">
      <w:lvlJc w:val="left"/>
      <w:lvlText w:val="%2"/>
      <w:numFmt w:val="lowerLetter"/>
      <w:start w:val="1"/>
    </w:lvl>
  </w:abstractNum>
  <w:abstractNum w:abstractNumId="263">
    <w:nsid w:val="A045AB2"/>
    <w:multiLevelType w:val="hybridMultilevel"/>
    <w:lvl w:ilvl="0">
      <w:lvlJc w:val="left"/>
      <w:lvlText w:val="§"/>
      <w:numFmt w:val="bullet"/>
      <w:start w:val="1"/>
    </w:lvl>
  </w:abstractNum>
  <w:abstractNum w:abstractNumId="264">
    <w:nsid w:val="1872261F"/>
    <w:multiLevelType w:val="hybridMultilevel"/>
    <w:lvl w:ilvl="0">
      <w:lvlJc w:val="left"/>
      <w:lvlText w:val="(%1)"/>
      <w:numFmt w:val="lowerLetter"/>
      <w:start w:val="1"/>
    </w:lvl>
  </w:abstractNum>
  <w:abstractNum w:abstractNumId="265">
    <w:nsid w:val="3DE8306C"/>
    <w:multiLevelType w:val="hybridMultilevel"/>
    <w:lvl w:ilvl="0">
      <w:lvlJc w:val="left"/>
      <w:lvlText w:val="(%1)"/>
      <w:numFmt w:val="lowerLetter"/>
      <w:start w:val="2"/>
    </w:lvl>
  </w:abstractNum>
  <w:abstractNum w:abstractNumId="266">
    <w:nsid w:val="7631573A"/>
    <w:multiLevelType w:val="hybridMultilevel"/>
    <w:lvl w:ilvl="0">
      <w:lvlJc w:val="left"/>
      <w:lvlText w:val="%1."/>
      <w:numFmt w:val="decimal"/>
      <w:start w:val="4"/>
    </w:lvl>
  </w:abstractNum>
  <w:abstractNum w:abstractNumId="267">
    <w:nsid w:val="58DF53B"/>
    <w:multiLevelType w:val="hybridMultilevel"/>
    <w:lvl w:ilvl="0">
      <w:lvlJc w:val="left"/>
      <w:lvlText w:val="(%1)"/>
      <w:numFmt w:val="lowerLetter"/>
      <w:start w:val="1"/>
    </w:lvl>
  </w:abstractNum>
  <w:abstractNum w:abstractNumId="268">
    <w:nsid w:val="ACDFAC0"/>
    <w:multiLevelType w:val="hybridMultilevel"/>
    <w:lvl w:ilvl="0">
      <w:lvlJc w:val="left"/>
      <w:lvlText w:val="(%1)"/>
      <w:numFmt w:val="lowerLetter"/>
      <w:start w:val="3"/>
    </w:lvl>
  </w:abstractNum>
  <w:abstractNum w:abstractNumId="269">
    <w:nsid w:val="1F578454"/>
    <w:multiLevelType w:val="hybridMultilevel"/>
    <w:lvl w:ilvl="0">
      <w:lvlJc w:val="left"/>
      <w:lvlText w:val="%1."/>
      <w:numFmt w:val="decimal"/>
      <w:start w:val="5"/>
    </w:lvl>
  </w:abstractNum>
  <w:abstractNum w:abstractNumId="270">
    <w:nsid w:val="5B0DAD2A"/>
    <w:multiLevelType w:val="hybridMultilevel"/>
    <w:lvl w:ilvl="0">
      <w:lvlJc w:val="left"/>
      <w:lvlText w:val="(%1)"/>
      <w:numFmt w:val="lowerRoman"/>
      <w:start w:val="2"/>
    </w:lvl>
  </w:abstractNum>
  <w:abstractNum w:abstractNumId="271">
    <w:nsid w:val="4E3D26AB"/>
    <w:multiLevelType w:val="hybridMultilevel"/>
    <w:lvl w:ilvl="0">
      <w:lvlJc w:val="left"/>
      <w:lvlText w:val="%1."/>
      <w:numFmt w:val="decimal"/>
      <w:start w:val="6"/>
    </w:lvl>
  </w:abstractNum>
  <w:abstractNum w:abstractNumId="272">
    <w:nsid w:val="BE2C8BA"/>
    <w:multiLevelType w:val="hybridMultilevel"/>
    <w:lvl w:ilvl="0">
      <w:lvlJc w:val="left"/>
      <w:lvlText w:val="(%1)"/>
      <w:numFmt w:val="lowerLetter"/>
      <w:start w:val="25"/>
    </w:lvl>
  </w:abstractNum>
  <w:abstractNum w:abstractNumId="273">
    <w:nsid w:val="7B14914E"/>
    <w:multiLevelType w:val="hybridMultilevel"/>
    <w:lvl w:ilvl="0">
      <w:lvlJc w:val="left"/>
      <w:lvlText w:val="(%1)"/>
      <w:numFmt w:val="lowerLetter"/>
      <w:start w:val="1"/>
    </w:lvl>
  </w:abstractNum>
  <w:abstractNum w:abstractNumId="274">
    <w:nsid w:val="6F0939F8"/>
    <w:multiLevelType w:val="hybridMultilevel"/>
    <w:lvl w:ilvl="0">
      <w:lvlJc w:val="left"/>
      <w:lvlText w:val="(%1)"/>
      <w:numFmt w:val="lowerLetter"/>
      <w:start w:val="1"/>
    </w:lvl>
  </w:abstractNum>
  <w:abstractNum w:abstractNumId="275">
    <w:nsid w:val="154291F6"/>
    <w:multiLevelType w:val="hybridMultilevel"/>
    <w:lvl w:ilvl="0">
      <w:lvlJc w:val="left"/>
      <w:lvlText w:val="(%1)"/>
      <w:numFmt w:val="lowerLetter"/>
      <w:start w:val="2"/>
    </w:lvl>
  </w:abstractNum>
  <w:abstractNum w:abstractNumId="276">
    <w:nsid w:val="3CEBD7C7"/>
    <w:multiLevelType w:val="hybridMultilevel"/>
    <w:lvl w:ilvl="0">
      <w:lvlJc w:val="left"/>
      <w:lvlText w:val="%1."/>
      <w:numFmt w:val="decimal"/>
      <w:start w:val="1"/>
    </w:lvl>
  </w:abstractNum>
  <w:abstractNum w:abstractNumId="277">
    <w:nsid w:val="60EE9C16"/>
    <w:multiLevelType w:val="hybridMultilevel"/>
    <w:lvl w:ilvl="0">
      <w:lvlJc w:val="left"/>
      <w:lvlText w:val="%1."/>
      <w:numFmt w:val="decimal"/>
      <w:start w:val="2"/>
    </w:lvl>
  </w:abstractNum>
  <w:abstractNum w:abstractNumId="278">
    <w:nsid w:val="6385489E"/>
    <w:multiLevelType w:val="hybridMultilevel"/>
    <w:lvl w:ilvl="0">
      <w:lvlJc w:val="left"/>
      <w:lvlText w:val="(%1)"/>
      <w:numFmt w:val="lowerLetter"/>
      <w:start w:val="2"/>
    </w:lvl>
  </w:abstractNum>
  <w:abstractNum w:abstractNumId="279">
    <w:nsid w:val="E4B973"/>
    <w:multiLevelType w:val="hybridMultilevel"/>
    <w:lvl w:ilvl="0">
      <w:lvlJc w:val="left"/>
      <w:lvlText w:val="(%1)"/>
      <w:numFmt w:val="lowerLetter"/>
      <w:start w:val="5"/>
    </w:lvl>
    <w:lvl w:ilvl="1">
      <w:lvlJc w:val="left"/>
      <w:lvlText w:val="(%2)"/>
      <w:numFmt w:val="lowerRoman"/>
      <w:start w:val="1"/>
    </w:lvl>
  </w:abstractNum>
  <w:abstractNum w:abstractNumId="280">
    <w:nsid w:val="4A0FFA11"/>
    <w:multiLevelType w:val="hybridMultilevel"/>
    <w:lvl w:ilvl="0">
      <w:lvlJc w:val="left"/>
      <w:lvlText w:val="(%1)"/>
      <w:numFmt w:val="lowerLetter"/>
      <w:start w:val="6"/>
    </w:lvl>
  </w:abstractNum>
  <w:abstractNum w:abstractNumId="281">
    <w:nsid w:val="5E446208"/>
    <w:multiLevelType w:val="hybridMultilevel"/>
    <w:lvl w:ilvl="0">
      <w:lvlJc w:val="left"/>
      <w:lvlText w:val="(%1)"/>
      <w:numFmt w:val="lowerLetter"/>
      <w:start w:val="8"/>
    </w:lvl>
  </w:abstractNum>
  <w:abstractNum w:abstractNumId="282">
    <w:nsid w:val="5F3272DB"/>
    <w:multiLevelType w:val="hybridMultilevel"/>
    <w:lvl w:ilvl="0">
      <w:lvlJc w:val="left"/>
      <w:lvlText w:val="%1"/>
      <w:numFmt w:val="lowerLetter"/>
      <w:start w:val="1"/>
    </w:lvl>
    <w:lvl w:ilvl="1">
      <w:lvlJc w:val="left"/>
      <w:lvlText w:val="(%2)"/>
      <w:numFmt w:val="lowerRoman"/>
      <w:start w:val="1"/>
    </w:lvl>
  </w:abstractNum>
  <w:abstractNum w:abstractNumId="283">
    <w:nsid w:val="7616D704"/>
    <w:multiLevelType w:val="hybridMultilevel"/>
    <w:lvl w:ilvl="0">
      <w:lvlJc w:val="left"/>
      <w:lvlText w:val="(%1)"/>
      <w:numFmt w:val="lowerLetter"/>
      <w:start w:val="16"/>
    </w:lvl>
    <w:lvl w:ilvl="1">
      <w:lvlJc w:val="left"/>
      <w:lvlText w:val="%2"/>
      <w:numFmt w:val="lowerRoman"/>
      <w:start w:val="1"/>
    </w:lvl>
  </w:abstractNum>
  <w:abstractNum w:abstractNumId="284">
    <w:nsid w:val="C56F860"/>
    <w:multiLevelType w:val="hybridMultilevel"/>
    <w:lvl w:ilvl="0">
      <w:lvlJc w:val="left"/>
      <w:lvlText w:val="(%1)"/>
      <w:numFmt w:val="lowerLetter"/>
      <w:start w:val="24"/>
    </w:lvl>
  </w:abstractNum>
  <w:abstractNum w:abstractNumId="285">
    <w:nsid w:val="64D17722"/>
    <w:multiLevelType w:val="hybridMultilevel"/>
    <w:lvl w:ilvl="0">
      <w:lvlJc w:val="left"/>
      <w:lvlText w:val="(%1)"/>
      <w:numFmt w:val="lowerLetter"/>
      <w:start w:val="30"/>
    </w:lvl>
  </w:abstractNum>
  <w:abstractNum w:abstractNumId="286">
    <w:nsid w:val="7924CA0A"/>
    <w:multiLevelType w:val="hybridMultilevel"/>
    <w:lvl w:ilvl="0">
      <w:lvlJc w:val="left"/>
      <w:lvlText w:val="(%1)"/>
      <w:numFmt w:val="lowerLetter"/>
      <w:start w:val="35"/>
    </w:lvl>
  </w:abstractNum>
  <w:abstractNum w:abstractNumId="287">
    <w:nsid w:val="CFD4EA7"/>
    <w:multiLevelType w:val="hybridMultilevel"/>
    <w:lvl w:ilvl="0">
      <w:lvlJc w:val="left"/>
      <w:lvlText w:val="(%1)"/>
      <w:numFmt w:val="lowerLetter"/>
      <w:start w:val="37"/>
    </w:lvl>
  </w:abstractNum>
  <w:abstractNum w:abstractNumId="288">
    <w:nsid w:val="232FCF4D"/>
    <w:multiLevelType w:val="hybridMultilevel"/>
    <w:lvl w:ilvl="0">
      <w:lvlJc w:val="left"/>
      <w:lvlText w:val="%1."/>
      <w:numFmt w:val="decimal"/>
      <w:start w:val="3"/>
    </w:lvl>
  </w:abstractNum>
  <w:abstractNum w:abstractNumId="289">
    <w:nsid w:val="1EA21031"/>
    <w:multiLevelType w:val="hybridMultilevel"/>
    <w:lvl w:ilvl="0">
      <w:lvlJc w:val="left"/>
      <w:lvlText w:val="(%1)"/>
      <w:numFmt w:val="lowerLetter"/>
      <w:start w:val="1"/>
    </w:lvl>
  </w:abstractNum>
  <w:abstractNum w:abstractNumId="290">
    <w:nsid w:val="67A5A6B5"/>
    <w:multiLevelType w:val="hybridMultilevel"/>
    <w:lvl w:ilvl="0">
      <w:lvlJc w:val="left"/>
      <w:lvlText w:val="(%1)"/>
      <w:numFmt w:val="lowerLetter"/>
      <w:start w:val="11"/>
    </w:lvl>
  </w:abstractNum>
  <w:abstractNum w:abstractNumId="291">
    <w:nsid w:val="C2A5C5B"/>
    <w:multiLevelType w:val="hybridMultilevel"/>
    <w:lvl w:ilvl="0">
      <w:lvlJc w:val="left"/>
      <w:lvlText w:val="%1."/>
      <w:numFmt w:val="decimal"/>
      <w:start w:val="4"/>
    </w:lvl>
  </w:abstractNum>
  <w:abstractNum w:abstractNumId="292">
    <w:nsid w:val="5F94DC03"/>
    <w:multiLevelType w:val="hybridMultilevel"/>
    <w:lvl w:ilvl="0">
      <w:lvlJc w:val="left"/>
      <w:lvlText w:val="%1."/>
      <w:numFmt w:val="decimal"/>
      <w:start w:val="5"/>
    </w:lvl>
  </w:abstractNum>
  <w:abstractNum w:abstractNumId="293">
    <w:nsid w:val="237BBCA0"/>
    <w:multiLevelType w:val="hybridMultilevel"/>
    <w:lvl w:ilvl="0">
      <w:lvlJc w:val="left"/>
      <w:lvlText w:val="%1"/>
      <w:numFmt w:val="decimal"/>
      <w:start w:val="1"/>
    </w:lvl>
    <w:lvl w:ilvl="1">
      <w:lvlJc w:val="left"/>
      <w:lvlText w:val="(%2)"/>
      <w:numFmt w:val="lowerLetter"/>
      <w:start w:val="1"/>
    </w:lvl>
  </w:abstractNum>
  <w:abstractNum w:abstractNumId="294">
    <w:nsid w:val="162EB70D"/>
    <w:multiLevelType w:val="hybridMultilevel"/>
    <w:lvl w:ilvl="0">
      <w:lvlJc w:val="left"/>
      <w:lvlText w:val="%1."/>
      <w:numFmt w:val="decimal"/>
      <w:start w:val="6"/>
    </w:lvl>
    <w:lvl w:ilvl="1">
      <w:lvlJc w:val="left"/>
      <w:lvlText w:val="%2"/>
      <w:numFmt w:val="lowerLetter"/>
      <w:start w:val="1"/>
    </w:lvl>
  </w:abstractNum>
  <w:abstractNum w:abstractNumId="295">
    <w:nsid w:val="78070222"/>
    <w:multiLevelType w:val="hybridMultilevel"/>
    <w:lvl w:ilvl="0">
      <w:lvlJc w:val="left"/>
      <w:lvlText w:val="(%1)"/>
      <w:numFmt w:val="lowerLetter"/>
      <w:start w:val="2"/>
    </w:lvl>
  </w:abstractNum>
  <w:abstractNum w:abstractNumId="296">
    <w:nsid w:val="6163ED0D"/>
    <w:multiLevelType w:val="hybridMultilevel"/>
    <w:lvl w:ilvl="0">
      <w:lvlJc w:val="left"/>
      <w:lvlText w:val="(%1)"/>
      <w:numFmt w:val="lowerLetter"/>
      <w:start w:val="2"/>
    </w:lvl>
  </w:abstractNum>
  <w:abstractNum w:abstractNumId="297">
    <w:nsid w:val="C600E47"/>
    <w:multiLevelType w:val="hybridMultilevel"/>
    <w:lvl w:ilvl="0">
      <w:lvlJc w:val="left"/>
      <w:lvlText w:val="(%1)"/>
      <w:numFmt w:val="lowerLetter"/>
      <w:start w:val="1"/>
    </w:lvl>
    <w:lvl w:ilvl="1">
      <w:lvlJc w:val="left"/>
      <w:lvlText w:val="(%2)"/>
      <w:numFmt w:val="lowerRoman"/>
      <w:start w:val="1"/>
    </w:lvl>
  </w:abstractNum>
  <w:abstractNum w:abstractNumId="298">
    <w:nsid w:val="7D94F75D"/>
    <w:multiLevelType w:val="hybridMultilevel"/>
    <w:lvl w:ilvl="0">
      <w:lvlJc w:val="left"/>
      <w:lvlText w:val="(%1)"/>
      <w:numFmt w:val="lowerRoman"/>
      <w:start w:val="3"/>
    </w:lvl>
  </w:abstractNum>
  <w:abstractNum w:abstractNumId="299">
    <w:nsid w:val="6C31E7CD"/>
    <w:multiLevelType w:val="hybridMultilevel"/>
    <w:lvl w:ilvl="0">
      <w:lvlJc w:val="left"/>
      <w:lvlText w:val="(%1)"/>
      <w:numFmt w:val="lowerLetter"/>
      <w:start w:val="1"/>
    </w:lvl>
    <w:lvl w:ilvl="1">
      <w:lvlJc w:val="left"/>
      <w:lvlText w:val="(%2)"/>
      <w:numFmt w:val="lowerRoman"/>
      <w:start w:val="1"/>
    </w:lvl>
  </w:abstractNum>
  <w:abstractNum w:abstractNumId="300">
    <w:nsid w:val="2BB7929B"/>
    <w:multiLevelType w:val="hybridMultilevel"/>
    <w:lvl w:ilvl="0">
      <w:lvlJc w:val="left"/>
      <w:lvlText w:val="%1"/>
      <w:numFmt w:val="lowerLetter"/>
      <w:start w:val="1"/>
    </w:lvl>
    <w:lvl w:ilvl="1">
      <w:lvlJc w:val="left"/>
      <w:lvlText w:val="(%2)"/>
      <w:numFmt w:val="lowerRoman"/>
      <w:start w:val="3"/>
    </w:lvl>
  </w:abstractNum>
  <w:abstractNum w:abstractNumId="301">
    <w:nsid w:val="58A2A487"/>
    <w:multiLevelType w:val="hybridMultilevel"/>
    <w:lvl w:ilvl="0">
      <w:lvlJc w:val="left"/>
      <w:lvlText w:val="(%1)"/>
      <w:numFmt w:val="lowerLetter"/>
      <w:start w:val="2"/>
    </w:lvl>
    <w:lvl w:ilvl="1">
      <w:lvlJc w:val="left"/>
      <w:lvlText w:val="%2"/>
      <w:numFmt w:val="lowerRoman"/>
      <w:start w:val="1"/>
    </w:lvl>
  </w:abstractNum>
  <w:abstractNum w:abstractNumId="302">
    <w:nsid w:val="3A6F0E78"/>
    <w:multiLevelType w:val="hybridMultilevel"/>
    <w:lvl w:ilvl="0">
      <w:lvlJc w:val="left"/>
      <w:lvlText w:val="%1."/>
      <w:numFmt w:val="decimal"/>
      <w:start w:val="7"/>
    </w:lvl>
  </w:abstractNum>
  <w:abstractNum w:abstractNumId="303">
    <w:nsid w:val="379A5B56"/>
    <w:multiLevelType w:val="hybridMultilevel"/>
    <w:lvl w:ilvl="0">
      <w:lvlJc w:val="left"/>
      <w:lvlText w:val="%1."/>
      <w:numFmt w:val="decimal"/>
      <w:start w:val="8"/>
    </w:lvl>
  </w:abstractNum>
  <w:abstractNum w:abstractNumId="304">
    <w:nsid w:val="53B735D5"/>
    <w:multiLevelType w:val="hybridMultilevel"/>
    <w:lvl w:ilvl="0">
      <w:lvlJc w:val="left"/>
      <w:lvlText w:val="(%1)"/>
      <w:numFmt w:val="lowerLetter"/>
      <w:start w:val="1"/>
    </w:lvl>
  </w:abstractNum>
  <w:abstractNum w:abstractNumId="305">
    <w:nsid w:val="29784870"/>
    <w:multiLevelType w:val="hybridMultilevel"/>
    <w:lvl w:ilvl="0">
      <w:lvlJc w:val="left"/>
      <w:lvlText w:val="%1."/>
      <w:numFmt w:val="decimal"/>
      <w:start w:val="9"/>
    </w:lvl>
  </w:abstractNum>
  <w:abstractNum w:abstractNumId="306">
    <w:nsid w:val="4CDCED4C"/>
    <w:multiLevelType w:val="hybridMultilevel"/>
    <w:lvl w:ilvl="0">
      <w:lvlJc w:val="left"/>
      <w:lvlText w:val="%1."/>
      <w:numFmt w:val="decimal"/>
      <w:start w:val="10"/>
    </w:lvl>
  </w:abstractNum>
  <w:abstractNum w:abstractNumId="307">
    <w:nsid w:val="10A30D9C"/>
    <w:multiLevelType w:val="hybridMultilevel"/>
    <w:lvl w:ilvl="0">
      <w:lvlJc w:val="left"/>
      <w:lvlText w:val="(%1)"/>
      <w:numFmt w:val="lowerLetter"/>
      <w:start w:val="1"/>
    </w:lvl>
  </w:abstractNum>
  <w:abstractNum w:abstractNumId="308">
    <w:nsid w:val="A66E486"/>
    <w:multiLevelType w:val="hybridMultilevel"/>
    <w:lvl w:ilvl="0">
      <w:lvlJc w:val="left"/>
      <w:lvlText w:val="(%1)"/>
      <w:numFmt w:val="lowerLetter"/>
      <w:start w:val="3"/>
    </w:lvl>
  </w:abstractNum>
  <w:abstractNum w:abstractNumId="309">
    <w:nsid w:val="306235EA"/>
    <w:multiLevelType w:val="hybridMultilevel"/>
    <w:lvl w:ilvl="0">
      <w:lvlJc w:val="left"/>
      <w:lvlText w:val="(%1)"/>
      <w:numFmt w:val="lowerLetter"/>
      <w:start w:val="1"/>
    </w:lvl>
  </w:abstractNum>
  <w:abstractNum w:abstractNumId="310">
    <w:nsid w:val="1187C70F"/>
    <w:multiLevelType w:val="hybridMultilevel"/>
    <w:lvl w:ilvl="0">
      <w:lvlJc w:val="left"/>
      <w:lvlText w:val="%1."/>
      <w:numFmt w:val="decimal"/>
      <w:start w:val="11"/>
    </w:lvl>
  </w:abstractNum>
  <w:abstractNum w:abstractNumId="311">
    <w:nsid w:val="5476DE98"/>
    <w:multiLevelType w:val="hybridMultilevel"/>
    <w:lvl w:ilvl="0">
      <w:lvlJc w:val="left"/>
      <w:lvlText w:val="%1."/>
      <w:numFmt w:val="decimal"/>
      <w:start w:val="12"/>
    </w:lvl>
  </w:abstractNum>
  <w:abstractNum w:abstractNumId="312">
    <w:nsid w:val="EA697F2"/>
    <w:multiLevelType w:val="hybridMultilevel"/>
    <w:lvl w:ilvl="0">
      <w:lvlJc w:val="left"/>
      <w:lvlText w:val="%1"/>
      <w:numFmt w:val="decimal"/>
      <w:start w:val="1"/>
    </w:lvl>
    <w:lvl w:ilvl="1">
      <w:lvlJc w:val="left"/>
      <w:lvlText w:val="(%2)"/>
      <w:numFmt w:val="lowerLetter"/>
      <w:start w:val="1"/>
    </w:lvl>
  </w:abstractNum>
  <w:abstractNum w:abstractNumId="313">
    <w:nsid w:val="70BA39EB"/>
    <w:multiLevelType w:val="hybridMultilevel"/>
    <w:lvl w:ilvl="0">
      <w:lvlJc w:val="left"/>
      <w:lvlText w:val="%1."/>
      <w:numFmt w:val="decimal"/>
      <w:start w:val="13"/>
    </w:lvl>
    <w:lvl w:ilvl="1">
      <w:lvlJc w:val="left"/>
      <w:lvlText w:val="%2"/>
      <w:numFmt w:val="lowerLetter"/>
      <w:start w:val="1"/>
    </w:lvl>
  </w:abstractNum>
  <w:abstractNum w:abstractNumId="314">
    <w:nsid w:val="4A8DB59C"/>
    <w:multiLevelType w:val="hybridMultilevel"/>
    <w:lvl w:ilvl="0">
      <w:lvlJc w:val="left"/>
      <w:lvlText w:val="%1."/>
      <w:numFmt w:val="decimal"/>
      <w:start w:val="14"/>
    </w:lvl>
  </w:abstractNum>
  <w:abstractNum w:abstractNumId="315">
    <w:nsid w:val="1AFD9053"/>
    <w:multiLevelType w:val="hybridMultilevel"/>
    <w:lvl w:ilvl="0">
      <w:lvlJc w:val="left"/>
      <w:lvlText w:val="%1."/>
      <w:numFmt w:val="decimal"/>
      <w:start w:val="15"/>
    </w:lvl>
  </w:abstractNum>
  <w:abstractNum w:abstractNumId="316">
    <w:nsid w:val="558BB10D"/>
    <w:multiLevelType w:val="hybridMultilevel"/>
    <w:lvl w:ilvl="0">
      <w:lvlJc w:val="left"/>
      <w:lvlText w:val="(%1)"/>
      <w:numFmt w:val="lowerLetter"/>
      <w:start w:val="1"/>
    </w:lvl>
  </w:abstractNum>
  <w:abstractNum w:abstractNumId="317">
    <w:nsid w:val="43B27FA7"/>
    <w:multiLevelType w:val="hybridMultilevel"/>
    <w:lvl w:ilvl="0">
      <w:lvlJc w:val="left"/>
      <w:lvlText w:val="%1"/>
      <w:numFmt w:val="lowerRoman"/>
      <w:start w:val="1"/>
    </w:lvl>
    <w:lvl w:ilvl="1">
      <w:lvlJc w:val="left"/>
      <w:lvlText w:val="(%2)"/>
      <w:numFmt w:val="lowerLetter"/>
      <w:start w:val="2"/>
    </w:lvl>
  </w:abstractNum>
  <w:abstractNum w:abstractNumId="318">
    <w:nsid w:val="27FADEFA"/>
    <w:multiLevelType w:val="hybridMultilevel"/>
    <w:lvl w:ilvl="0">
      <w:lvlJc w:val="left"/>
      <w:lvlText w:val="(%1)"/>
      <w:numFmt w:val="lowerRoman"/>
      <w:start w:val="4"/>
    </w:lvl>
    <w:lvl w:ilvl="1">
      <w:lvlJc w:val="left"/>
      <w:lvlText w:val="%2"/>
      <w:numFmt w:val="lowerLetter"/>
      <w:start w:val="1"/>
    </w:lvl>
  </w:abstractNum>
  <w:abstractNum w:abstractNumId="319">
    <w:nsid w:val="78BB80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20">
    <w:nsid w:val="62548FD8"/>
    <w:multiLevelType w:val="hybridMultilevel"/>
    <w:lvl w:ilvl="0">
      <w:lvlJc w:val="left"/>
      <w:lvlText w:val="%1."/>
      <w:numFmt w:val="decimal"/>
      <w:start w:val="4"/>
    </w:lvl>
  </w:abstractNum>
  <w:abstractNum w:abstractNumId="321">
    <w:nsid w:val="FA085B0"/>
    <w:multiLevelType w:val="hybridMultilevel"/>
    <w:lvl w:ilvl="0">
      <w:lvlJc w:val="left"/>
      <w:lvlText w:val="%1."/>
      <w:numFmt w:val="decimal"/>
      <w:start w:val="1"/>
    </w:lvl>
  </w:abstractNum>
  <w:abstractNum w:abstractNumId="322">
    <w:nsid w:val="4E5DCB5"/>
    <w:multiLevelType w:val="hybridMultilevel"/>
    <w:lvl w:ilvl="0">
      <w:lvlJc w:val="left"/>
      <w:lvlText w:val="%1."/>
      <w:numFmt w:val="decimal"/>
      <w:start w:val="1"/>
    </w:lvl>
  </w:abstractNum>
  <w:abstractNum w:abstractNumId="323">
    <w:nsid w:val="41E96BDB"/>
    <w:multiLevelType w:val="hybridMultilevel"/>
    <w:lvl w:ilvl="0">
      <w:lvlJc w:val="left"/>
      <w:lvlText w:val="%1."/>
      <w:numFmt w:val="decimal"/>
      <w:start w:val="1"/>
    </w:lvl>
  </w:abstractNum>
  <w:abstractNum w:abstractNumId="324">
    <w:nsid w:val="331C4250"/>
    <w:multiLevelType w:val="hybridMultilevel"/>
    <w:lvl w:ilvl="0">
      <w:lvlJc w:val="left"/>
      <w:lvlText w:val="%1."/>
      <w:numFmt w:val="decimal"/>
      <w:start w:val="1"/>
    </w:lvl>
  </w:abstractNum>
  <w:abstractNum w:abstractNumId="325">
    <w:nsid w:val="1B1493C2"/>
    <w:multiLevelType w:val="hybridMultilevel"/>
    <w:lvl w:ilvl="0">
      <w:lvlJc w:val="left"/>
      <w:lvlText w:val="%1."/>
      <w:numFmt w:val="decimal"/>
      <w:start w:val="1"/>
    </w:lvl>
    <w:lvl w:ilvl="1">
      <w:lvlJc w:val="left"/>
      <w:lvlText w:val="(%2)"/>
      <w:numFmt w:val="lowerLetter"/>
      <w:start w:val="1"/>
    </w:lvl>
  </w:abstractNum>
  <w:abstractNum w:abstractNumId="326">
    <w:nsid w:val="39F06DFD"/>
    <w:multiLevelType w:val="hybridMultilevel"/>
    <w:lvl w:ilvl="0">
      <w:lvlJc w:val="left"/>
      <w:lvlText w:val="(%1)"/>
      <w:numFmt w:val="lowerLetter"/>
      <w:start w:val="61"/>
    </w:lvl>
    <w:lvl w:ilvl="1">
      <w:lvlJc w:val="left"/>
      <w:lvlText w:val="(%2)"/>
      <w:numFmt w:val="lowerLetter"/>
      <w:start w:val="4"/>
    </w:lvl>
  </w:abstractNum>
  <w:abstractNum w:abstractNumId="327">
    <w:nsid w:val="14802F5D"/>
    <w:multiLevelType w:val="hybridMultilevel"/>
    <w:lvl w:ilvl="0">
      <w:lvlJc w:val="left"/>
      <w:lvlText w:val="%1."/>
      <w:numFmt w:val="decimal"/>
      <w:start w:val="2"/>
    </w:lvl>
    <w:lvl w:ilvl="1">
      <w:lvlJc w:val="left"/>
      <w:lvlText w:val="(%2)"/>
      <w:numFmt w:val="lowerLetter"/>
      <w:start w:val="1"/>
    </w:lvl>
  </w:abstractNum>
  <w:abstractNum w:abstractNumId="328">
    <w:nsid w:val="2774A20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29">
    <w:nsid w:val="3785655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0">
    <w:nsid w:val="B217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31">
    <w:nsid w:val="532C34A5"/>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4"/>
    </w:lvl>
  </w:abstractNum>
  <w:abstractNum w:abstractNumId="332">
    <w:nsid w:val="102809E2"/>
    <w:multiLevelType w:val="hybridMultilevel"/>
    <w:lvl w:ilvl="0">
      <w:lvlJc w:val="left"/>
      <w:lvlText w:val="%1."/>
      <w:numFmt w:val="decimal"/>
      <w:start w:val="4"/>
    </w:lvl>
  </w:abstractNum>
  <w:abstractNum w:abstractNumId="333">
    <w:nsid w:val="3B2125A3"/>
    <w:multiLevelType w:val="hybridMultilevel"/>
    <w:lvl w:ilvl="0">
      <w:lvlJc w:val="left"/>
      <w:lvlText w:val="(%1)"/>
      <w:numFmt w:val="lowerLetter"/>
      <w:start w:val="1"/>
    </w:lvl>
  </w:abstractNum>
  <w:abstractNum w:abstractNumId="334">
    <w:nsid w:val="AC68FFB"/>
    <w:multiLevelType w:val="hybridMultilevel"/>
    <w:lvl w:ilvl="0">
      <w:lvlJc w:val="left"/>
      <w:lvlText w:val="(%1)"/>
      <w:numFmt w:val="lowerLetter"/>
      <w:start w:val="2"/>
    </w:lvl>
    <w:lvl w:ilvl="1">
      <w:lvlJc w:val="left"/>
      <w:lvlText w:val="(%2)"/>
      <w:numFmt w:val="lowerRoman"/>
      <w:start w:val="1"/>
    </w:lvl>
  </w:abstractNum>
  <w:abstractNum w:abstractNumId="335">
    <w:nsid w:val="63DF3FB7"/>
    <w:multiLevelType w:val="hybridMultilevel"/>
    <w:lvl w:ilvl="0">
      <w:lvlJc w:val="left"/>
      <w:lvlText w:val="(%1)"/>
      <w:numFmt w:val="lowerLetter"/>
      <w:start w:val="4"/>
    </w:lvl>
    <w:lvl w:ilvl="1">
      <w:lvlJc w:val="left"/>
      <w:lvlText w:val="(%2)"/>
      <w:numFmt w:val="lowerRoman"/>
      <w:start w:val="1"/>
    </w:lvl>
  </w:abstractNum>
  <w:abstractNum w:abstractNumId="336">
    <w:nsid w:val="64996E13"/>
    <w:multiLevelType w:val="hybridMultilevel"/>
    <w:lvl w:ilvl="0">
      <w:lvlJc w:val="left"/>
      <w:lvlText w:val="(%1)"/>
      <w:numFmt w:val="lowerLetter"/>
      <w:start w:val="8"/>
    </w:lvl>
    <w:lvl w:ilvl="1">
      <w:lvlJc w:val="left"/>
      <w:lvlText w:val="(%2)"/>
      <w:numFmt w:val="lowerRoman"/>
      <w:start w:val="1"/>
    </w:lvl>
  </w:abstractNum>
  <w:abstractNum w:abstractNumId="337">
    <w:nsid w:val="57A37D47"/>
    <w:multiLevelType w:val="hybridMultilevel"/>
    <w:lvl w:ilvl="0">
      <w:lvlJc w:val="left"/>
      <w:lvlText w:val="(%1)"/>
      <w:numFmt w:val="lowerRoman"/>
      <w:start w:val="1"/>
    </w:lvl>
  </w:abstractNum>
  <w:abstractNum w:abstractNumId="338">
    <w:nsid w:val="74824D5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339">
    <w:nsid w:val="6F00529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40">
    <w:nsid w:val="805B331"/>
    <w:multiLevelType w:val="hybridMultilevel"/>
    <w:lvl w:ilvl="0">
      <w:lvlJc w:val="left"/>
      <w:lvlText w:val="(%1)"/>
      <w:numFmt w:val="lowerRoman"/>
      <w:start w:val="2"/>
    </w:lvl>
    <w:lvl w:ilvl="1">
      <w:lvlJc w:val="left"/>
      <w:lvlText w:val="(%2)"/>
      <w:numFmt w:val="decimal"/>
      <w:start w:val="1"/>
    </w:lvl>
  </w:abstractNum>
  <w:abstractNum w:abstractNumId="341">
    <w:nsid w:val="60A1463"/>
    <w:multiLevelType w:val="hybridMultilevel"/>
    <w:lvl w:ilvl="0">
      <w:lvlJc w:val="left"/>
      <w:lvlText w:val="(%1)"/>
      <w:numFmt w:val="lowerLetter"/>
      <w:start w:val="2"/>
    </w:lvl>
  </w:abstractNum>
  <w:abstractNum w:abstractNumId="342">
    <w:nsid w:val="43773132"/>
    <w:multiLevelType w:val="hybridMultilevel"/>
    <w:lvl w:ilvl="0">
      <w:lvlJc w:val="left"/>
      <w:lvlText w:val="%1"/>
      <w:numFmt w:val="decimal"/>
      <w:start w:val="1"/>
    </w:lvl>
    <w:lvl w:ilvl="1">
      <w:lvlJc w:val="left"/>
      <w:lvlText w:val="(%2)"/>
      <w:numFmt w:val="lowerLetter"/>
      <w:start w:val="3"/>
    </w:lvl>
  </w:abstractNum>
  <w:abstractNum w:abstractNumId="343">
    <w:nsid w:val="16AC4B23"/>
    <w:multiLevelType w:val="hybridMultilevel"/>
    <w:lvl w:ilvl="0">
      <w:lvlJc w:val="left"/>
      <w:lvlText w:val="%1."/>
      <w:numFmt w:val="decimal"/>
      <w:start w:val="6"/>
    </w:lvl>
    <w:lvl w:ilvl="1">
      <w:lvlJc w:val="left"/>
      <w:lvlText w:val="(%2)"/>
      <w:numFmt w:val="lowerLetter"/>
      <w:start w:val="1"/>
    </w:lvl>
  </w:abstractNum>
  <w:abstractNum w:abstractNumId="344">
    <w:nsid w:val="76C44E4E"/>
    <w:multiLevelType w:val="hybridMultilevel"/>
    <w:lvl w:ilvl="0">
      <w:lvlJc w:val="left"/>
      <w:lvlText w:val="(%1)"/>
      <w:numFmt w:val="lowerRoman"/>
      <w:start w:val="1"/>
    </w:lvl>
  </w:abstractNum>
  <w:abstractNum w:abstractNumId="345">
    <w:nsid w:val="E04E6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46">
    <w:nsid w:val="31A9DB7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47">
    <w:nsid w:val="4C4FFF5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48">
    <w:nsid w:val="51B76675"/>
    <w:multiLevelType w:val="hybridMultilevel"/>
    <w:lvl w:ilvl="0">
      <w:lvlJc w:val="left"/>
      <w:lvlText w:val="%1"/>
      <w:numFmt w:val="decimal"/>
      <w:start w:val="1"/>
    </w:lvl>
    <w:lvl w:ilvl="1">
      <w:lvlJc w:val="left"/>
      <w:lvlText w:val="(%2)"/>
      <w:numFmt w:val="lowerRoman"/>
      <w:start w:val="2"/>
    </w:lvl>
  </w:abstractNum>
  <w:abstractNum w:abstractNumId="349">
    <w:nsid w:val="59A4BA71"/>
    <w:multiLevelType w:val="hybridMultilevel"/>
    <w:lvl w:ilvl="0">
      <w:lvlJc w:val="left"/>
      <w:lvlText w:val="(%1)"/>
      <w:numFmt w:val="decimal"/>
      <w:start w:val="2"/>
    </w:lvl>
    <w:lvl w:ilvl="1">
      <w:lvlJc w:val="left"/>
      <w:lvlText w:val="(%2)"/>
      <w:numFmt w:val="lowerRoman"/>
      <w:start w:val="8"/>
    </w:lvl>
  </w:abstractNum>
  <w:abstractNum w:abstractNumId="350">
    <w:nsid w:val="450B7FB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2"/>
    </w:lvl>
  </w:abstractNum>
  <w:abstractNum w:abstractNumId="351">
    <w:nsid w:val="340BF64D"/>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52">
    <w:nsid w:val="6945402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53">
    <w:nsid w:val="49F15C6B"/>
    <w:multiLevelType w:val="hybridMultilevel"/>
    <w:lvl w:ilvl="0">
      <w:lvlJc w:val="left"/>
      <w:lvlText w:val="%1."/>
      <w:numFmt w:val="decimal"/>
      <w:start w:val="8"/>
    </w:lvl>
    <w:lvl w:ilvl="1">
      <w:lvlJc w:val="left"/>
      <w:lvlText w:val="(%2)"/>
      <w:numFmt w:val="lowerLetter"/>
      <w:start w:val="1"/>
    </w:lvl>
  </w:abstractNum>
  <w:abstractNum w:abstractNumId="354">
    <w:nsid w:val="75F56228"/>
    <w:multiLevelType w:val="hybridMultilevel"/>
    <w:lvl w:ilvl="0">
      <w:lvlJc w:val="left"/>
      <w:lvlText w:val="%1"/>
      <w:numFmt w:val="decimal"/>
      <w:start w:val="1"/>
    </w:lvl>
    <w:lvl w:ilvl="1">
      <w:lvlJc w:val="left"/>
      <w:lvlText w:val="(%2)"/>
      <w:numFmt w:val="lowerLetter"/>
      <w:start w:val="4"/>
    </w:lvl>
  </w:abstractNum>
  <w:abstractNum w:abstractNumId="355">
    <w:nsid w:val="1C618271"/>
    <w:multiLevelType w:val="hybridMultilevel"/>
    <w:lvl w:ilvl="0">
      <w:lvlJc w:val="left"/>
      <w:lvlText w:val="%1."/>
      <w:numFmt w:val="decimal"/>
      <w:start w:val="9"/>
    </w:lvl>
    <w:lvl w:ilvl="1">
      <w:lvlJc w:val="left"/>
      <w:lvlText w:val="(%2)"/>
      <w:numFmt w:val="lowerLetter"/>
      <w:start w:val="1"/>
    </w:lvl>
  </w:abstractNum>
  <w:abstractNum w:abstractNumId="356">
    <w:nsid w:val="6505F02E"/>
    <w:multiLevelType w:val="hybridMultilevel"/>
    <w:lvl w:ilvl="0">
      <w:lvlJc w:val="left"/>
      <w:lvlText w:val="(%1)"/>
      <w:numFmt w:val="lowerLetter"/>
      <w:start w:val="6"/>
    </w:lvl>
  </w:abstractNum>
  <w:abstractNum w:abstractNumId="357">
    <w:nsid w:val="2FE5D025"/>
    <w:multiLevelType w:val="hybridMultilevel"/>
    <w:lvl w:ilvl="0">
      <w:lvlJc w:val="left"/>
      <w:lvlText w:val="(%1)"/>
      <w:numFmt w:val="lowerLetter"/>
      <w:start w:val="10"/>
    </w:lvl>
  </w:abstractNum>
  <w:abstractNum w:abstractNumId="358">
    <w:nsid w:val="30E1B1CF"/>
    <w:multiLevelType w:val="hybridMultilevel"/>
    <w:lvl w:ilvl="0">
      <w:lvlJc w:val="left"/>
      <w:lvlText w:val="%1"/>
      <w:numFmt w:val="decimal"/>
      <w:start w:val="1"/>
    </w:lvl>
    <w:lvl w:ilvl="1">
      <w:lvlJc w:val="left"/>
      <w:lvlText w:val="(%2)"/>
      <w:numFmt w:val="lowerLetter"/>
      <w:start w:val="15"/>
    </w:lvl>
  </w:abstractNum>
  <w:abstractNum w:abstractNumId="359">
    <w:nsid w:val="C7A9237"/>
    <w:multiLevelType w:val="hybridMultilevel"/>
    <w:lvl w:ilvl="0">
      <w:lvlJc w:val="left"/>
      <w:lvlText w:val="%1."/>
      <w:numFmt w:val="decimal"/>
      <w:start w:val="10"/>
    </w:lvl>
    <w:lvl w:ilvl="1">
      <w:lvlJc w:val="left"/>
      <w:lvlText w:val="%2"/>
      <w:numFmt w:val="lowerLetter"/>
      <w:start w:val="1"/>
    </w:lvl>
  </w:abstractNum>
  <w:abstractNum w:abstractNumId="360">
    <w:nsid w:val="676B358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61">
    <w:nsid w:val="3193C8F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362">
    <w:nsid w:val="5FA6C6D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decimal"/>
      <w:start w:val="1"/>
    </w:lvl>
  </w:abstractNum>
  <w:abstractNum w:abstractNumId="363">
    <w:nsid w:val="77933F62"/>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364">
    <w:nsid w:val="6CB4EE9C"/>
    <w:multiLevelType w:val="hybridMultilevel"/>
    <w:lvl w:ilvl="0">
      <w:lvlJc w:val="left"/>
      <w:lvlText w:val="(%1)"/>
      <w:numFmt w:val="lowerRoman"/>
      <w:start w:val="2"/>
    </w:lvl>
  </w:abstractNum>
  <w:abstractNum w:abstractNumId="365">
    <w:nsid w:val="6A6D56D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66">
    <w:nsid w:val="5B727F19"/>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367">
    <w:nsid w:val="514E5CB0"/>
    <w:multiLevelType w:val="hybridMultilevel"/>
    <w:lvl w:ilvl="0">
      <w:lvlJc w:val="left"/>
      <w:lvlText w:val="%1"/>
      <w:numFmt w:val="lowerLetter"/>
      <w:start w:val="1"/>
    </w:lvl>
    <w:lvl w:ilvl="1">
      <w:lvlJc w:val="left"/>
      <w:lvlText w:val="(%2)"/>
      <w:numFmt w:val="lowerLetter"/>
      <w:start w:val="35"/>
    </w:lvl>
  </w:abstractNum>
  <w:abstractNum w:abstractNumId="368">
    <w:nsid w:val="4210D41E"/>
    <w:multiLevelType w:val="hybridMultilevel"/>
    <w:lvl w:ilvl="0">
      <w:lvlJc w:val="left"/>
      <w:lvlText w:val="(%1)"/>
      <w:numFmt w:val="lowerLetter"/>
      <w:start w:val="5"/>
    </w:lvl>
    <w:lvl w:ilvl="1">
      <w:lvlJc w:val="left"/>
      <w:lvlText w:val="(%2)"/>
      <w:numFmt w:val="lowerLetter"/>
      <w:start w:val="9"/>
    </w:lvl>
  </w:abstractNum>
  <w:abstractNum w:abstractNumId="369">
    <w:nsid w:val="4FF4CC6D"/>
    <w:multiLevelType w:val="hybridMultilevel"/>
    <w:lvl w:ilvl="0">
      <w:lvlJc w:val="left"/>
      <w:lvlText w:val="(%1)"/>
      <w:numFmt w:val="lowerRoman"/>
      <w:start w:val="2"/>
    </w:lvl>
  </w:abstractNum>
  <w:abstractNum w:abstractNumId="370">
    <w:nsid w:val="404EAF4A"/>
    <w:multiLevelType w:val="hybridMultilevel"/>
    <w:lvl w:ilvl="0">
      <w:lvlJc w:val="left"/>
      <w:lvlText w:val="%1."/>
      <w:numFmt w:val="decimal"/>
      <w:start w:val="12"/>
    </w:lvl>
  </w:abstractNum>
  <w:abstractNum w:abstractNumId="371">
    <w:nsid w:val="4A16874F"/>
    <w:multiLevelType w:val="hybridMultilevel"/>
    <w:lvl w:ilvl="0">
      <w:lvlJc w:val="left"/>
      <w:lvlText w:val="%1."/>
      <w:numFmt w:val="decimal"/>
      <w:start w:val="13"/>
    </w:lvl>
  </w:abstractNum>
  <w:abstractNum w:abstractNumId="372">
    <w:nsid w:val="55FEE0D1"/>
    <w:multiLevelType w:val="hybridMultilevel"/>
    <w:lvl w:ilvl="0">
      <w:lvlJc w:val="left"/>
      <w:lvlText w:val="(%1)"/>
      <w:numFmt w:val="lowerRoman"/>
      <w:start w:val="1"/>
    </w:lvl>
  </w:abstractNum>
  <w:abstractNum w:abstractNumId="373">
    <w:nsid w:val="3C5E07C"/>
    <w:multiLevelType w:val="hybridMultilevel"/>
    <w:lvl w:ilvl="0">
      <w:lvlJc w:val="left"/>
      <w:lvlText w:val="%1."/>
      <w:numFmt w:val="decimal"/>
      <w:start w:val="14"/>
    </w:lvl>
  </w:abstractNum>
  <w:abstractNum w:abstractNumId="374">
    <w:nsid w:val="60C2D273"/>
    <w:multiLevelType w:val="hybridMultilevel"/>
    <w:lvl w:ilvl="0">
      <w:lvlJc w:val="left"/>
      <w:lvlText w:val="(%1)"/>
      <w:numFmt w:val="lowerLetter"/>
      <w:start w:val="1"/>
    </w:lvl>
  </w:abstractNum>
  <w:abstractNum w:abstractNumId="375">
    <w:nsid w:val="4CC32F1F"/>
    <w:multiLevelType w:val="hybridMultilevel"/>
    <w:lvl w:ilvl="0">
      <w:lvlJc w:val="left"/>
      <w:lvlText w:val="(%1)"/>
      <w:numFmt w:val="lowerLetter"/>
      <w:start w:val="9"/>
    </w:lvl>
    <w:lvl w:ilvl="1">
      <w:lvlJc w:val="left"/>
      <w:lvlText w:val="(%2)"/>
      <w:numFmt w:val="lowerLetter"/>
      <w:start w:val="9"/>
    </w:lvl>
  </w:abstractNum>
  <w:abstractNum w:abstractNumId="376">
    <w:nsid w:val="11CAC74A"/>
    <w:multiLevelType w:val="hybridMultilevel"/>
    <w:lvl w:ilvl="0">
      <w:lvlJc w:val="left"/>
      <w:lvlText w:val="(%1)"/>
      <w:numFmt w:val="lowerRoman"/>
      <w:start w:val="2"/>
    </w:lvl>
  </w:abstractNum>
  <w:abstractNum w:abstractNumId="377">
    <w:nsid w:val="126CADE9"/>
    <w:multiLevelType w:val="hybridMultilevel"/>
    <w:lvl w:ilvl="0">
      <w:lvlJc w:val="left"/>
      <w:lvlText w:val="(%1)"/>
      <w:numFmt w:val="lowerLetter"/>
      <w:start w:val="11"/>
    </w:lvl>
  </w:abstractNum>
  <w:abstractNum w:abstractNumId="378">
    <w:nsid w:val="19132E7B"/>
    <w:multiLevelType w:val="hybridMultilevel"/>
    <w:lvl w:ilvl="0">
      <w:lvlJc w:val="left"/>
      <w:lvlText w:val="(%1)"/>
      <w:numFmt w:val="lowerLetter"/>
      <w:start w:val="14"/>
    </w:lvl>
    <w:lvl w:ilvl="1">
      <w:lvlJc w:val="left"/>
      <w:lvlText w:val="(%2)"/>
      <w:numFmt w:val="lowerRoman"/>
      <w:start w:val="1"/>
    </w:lvl>
  </w:abstractNum>
  <w:abstractNum w:abstractNumId="379">
    <w:nsid w:val="63822DC0"/>
    <w:multiLevelType w:val="hybridMultilevel"/>
    <w:lvl w:ilvl="0">
      <w:lvlJc w:val="left"/>
      <w:lvlText w:val="(%1)"/>
      <w:numFmt w:val="lowerRoman"/>
      <w:start w:val="3"/>
    </w:lvl>
  </w:abstractNum>
  <w:abstractNum w:abstractNumId="380">
    <w:nsid w:val="6C11685A"/>
    <w:multiLevelType w:val="hybridMultilevel"/>
    <w:lvl w:ilvl="0">
      <w:lvlJc w:val="left"/>
      <w:lvlText w:val="(%1)"/>
      <w:numFmt w:val="lowerLetter"/>
      <w:start w:val="20"/>
    </w:lvl>
  </w:abstractNum>
  <w:abstractNum w:abstractNumId="381">
    <w:nsid w:val="5E1EAE31"/>
    <w:multiLevelType w:val="hybridMultilevel"/>
    <w:lvl w:ilvl="0">
      <w:lvlJc w:val="left"/>
      <w:lvlText w:val="(%1)"/>
      <w:numFmt w:val="lowerLetter"/>
      <w:start w:val="27"/>
    </w:lvl>
  </w:abstractNum>
  <w:abstractNum w:abstractNumId="382">
    <w:nsid w:val="178E240D"/>
    <w:multiLevelType w:val="hybridMultilevel"/>
    <w:lvl w:ilvl="0">
      <w:lvlJc w:val="left"/>
      <w:lvlText w:val="(%1)"/>
      <w:numFmt w:val="lowerLetter"/>
      <w:start w:val="28"/>
    </w:lvl>
    <w:lvl w:ilvl="1">
      <w:lvlJc w:val="left"/>
      <w:lvlText w:val="(%2)"/>
      <w:numFmt w:val="lowerRoman"/>
      <w:start w:val="1"/>
    </w:lvl>
  </w:abstractNum>
  <w:abstractNum w:abstractNumId="383">
    <w:nsid w:val="5556A87B"/>
    <w:multiLevelType w:val="hybridMultilevel"/>
    <w:lvl w:ilvl="0">
      <w:lvlJc w:val="left"/>
      <w:lvlText w:val="%1"/>
      <w:numFmt w:val="lowerLetter"/>
      <w:start w:val="1"/>
    </w:lvl>
    <w:lvl w:ilvl="1">
      <w:lvlJc w:val="left"/>
      <w:lvlText w:val="(%2)"/>
      <w:numFmt w:val="lowerLetter"/>
      <w:start w:val="32"/>
    </w:lvl>
  </w:abstractNum>
  <w:abstractNum w:abstractNumId="384">
    <w:nsid w:val="28100A9C"/>
    <w:multiLevelType w:val="hybridMultilevel"/>
    <w:lvl w:ilvl="0">
      <w:lvlJc w:val="left"/>
      <w:lvlText w:val="(%1)"/>
      <w:numFmt w:val="lowerLetter"/>
      <w:start w:val="35"/>
    </w:lvl>
    <w:lvl w:ilvl="1">
      <w:lvlJc w:val="left"/>
      <w:lvlText w:val="(%2)"/>
      <w:numFmt w:val="lowerLetter"/>
      <w:start w:val="36"/>
    </w:lvl>
  </w:abstractNum>
  <w:abstractNum w:abstractNumId="385">
    <w:nsid w:val="D838636"/>
    <w:multiLevelType w:val="hybridMultilevel"/>
    <w:lvl w:ilvl="0">
      <w:lvlJc w:val="left"/>
      <w:lvlText w:val="(%1)"/>
      <w:numFmt w:val="lowerLetter"/>
      <w:start w:val="39"/>
    </w:lvl>
  </w:abstractNum>
  <w:abstractNum w:abstractNumId="386">
    <w:nsid w:val="71B82AED"/>
    <w:multiLevelType w:val="hybridMultilevel"/>
    <w:lvl w:ilvl="0">
      <w:lvlJc w:val="left"/>
      <w:lvlText w:val="%1"/>
      <w:numFmt w:val="decimal"/>
      <w:start w:val="1"/>
    </w:lvl>
    <w:lvl w:ilvl="1">
      <w:lvlJc w:val="left"/>
      <w:lvlText w:val="(%2)"/>
      <w:numFmt w:val="lowerLetter"/>
      <w:start w:val="49"/>
    </w:lvl>
  </w:abstractNum>
  <w:abstractNum w:abstractNumId="387">
    <w:nsid w:val="D15FACA"/>
    <w:multiLevelType w:val="hybridMultilevel"/>
    <w:lvl w:ilvl="0">
      <w:lvlJc w:val="left"/>
      <w:lvlText w:val="(%1)"/>
      <w:numFmt w:val="decimal"/>
      <w:start w:val="8"/>
    </w:lvl>
    <w:lvl w:ilvl="1">
      <w:lvlJc w:val="left"/>
      <w:lvlText w:val="%2"/>
      <w:numFmt w:val="lowerLetter"/>
      <w:start w:val="1"/>
    </w:lvl>
  </w:abstractNum>
  <w:abstractNum w:abstractNumId="388">
    <w:nsid w:val="3D69565B"/>
    <w:multiLevelType w:val="hybridMultilevel"/>
    <w:lvl w:ilvl="0">
      <w:lvlJc w:val="left"/>
      <w:lvlText w:val="(%1)"/>
      <w:numFmt w:val="decimal"/>
      <w:start w:val="9"/>
    </w:lvl>
    <w:lvl w:ilvl="1">
      <w:lvlJc w:val="left"/>
      <w:lvlText w:val="(%2)"/>
      <w:numFmt w:val="lowerLetter"/>
      <w:start w:val="51"/>
    </w:lvl>
  </w:abstractNum>
  <w:abstractNum w:abstractNumId="389">
    <w:nsid w:val="2299DCBC"/>
    <w:multiLevelType w:val="hybridMultilevel"/>
    <w:lvl w:ilvl="0">
      <w:lvlJc w:val="left"/>
      <w:lvlText w:val="(%1)"/>
      <w:numFmt w:val="lowerLetter"/>
      <w:start w:val="53"/>
    </w:lvl>
  </w:abstractNum>
  <w:abstractNum w:abstractNumId="390">
    <w:nsid w:val="19908D02"/>
    <w:multiLevelType w:val="hybridMultilevel"/>
    <w:lvl w:ilvl="0">
      <w:lvlJc w:val="left"/>
      <w:lvlText w:val="(%1)"/>
      <w:numFmt w:val="lowerLetter"/>
      <w:start w:val="58"/>
    </w:lvl>
  </w:abstractNum>
  <w:abstractNum w:abstractNumId="391">
    <w:nsid w:val="24D48BDB"/>
    <w:multiLevelType w:val="hybridMultilevel"/>
    <w:lvl w:ilvl="0">
      <w:lvlJc w:val="left"/>
      <w:lvlText w:val="(%1)"/>
      <w:numFmt w:val="lowerLetter"/>
      <w:start w:val="59"/>
    </w:lvl>
  </w:abstractNum>
  <w:abstractNum w:abstractNumId="392">
    <w:nsid w:val="542DA5B5"/>
    <w:multiLevelType w:val="hybridMultilevel"/>
    <w:lvl w:ilvl="0">
      <w:lvlJc w:val="left"/>
      <w:lvlText w:val="(%1)"/>
      <w:numFmt w:val="lowerLetter"/>
      <w:start w:val="69"/>
    </w:lvl>
  </w:abstractNum>
  <w:abstractNum w:abstractNumId="393">
    <w:nsid w:val="793753DE"/>
    <w:multiLevelType w:val="hybridMultilevel"/>
    <w:lvl w:ilvl="0">
      <w:lvlJc w:val="left"/>
      <w:lvlText w:val="•"/>
      <w:numFmt w:val="bullet"/>
      <w:start w:val="1"/>
    </w:lvl>
  </w:abstractNum>
  <w:abstractNum w:abstractNumId="394">
    <w:nsid w:val="1C67CB3D"/>
    <w:multiLevelType w:val="hybridMultilevel"/>
    <w:lvl w:ilvl="0">
      <w:lvlJc w:val="left"/>
      <w:lvlText w:val="1"/>
      <w:numFmt w:val="bullet"/>
      <w:start w:val="1"/>
    </w:lvl>
  </w:abstractNum>
  <w:abstractNum w:abstractNumId="395">
    <w:nsid w:val="40E29452"/>
    <w:multiLevelType w:val="hybridMultilevel"/>
    <w:lvl w:ilvl="0">
      <w:lvlJc w:val="left"/>
      <w:lvlText w:val="•"/>
      <w:numFmt w:val="bullet"/>
      <w:start w:val="1"/>
    </w:lvl>
  </w:abstractNum>
  <w:abstractNum w:abstractNumId="396">
    <w:nsid w:val="63A4AAB6"/>
    <w:multiLevelType w:val="hybridMultilevel"/>
    <w:lvl w:ilvl="0">
      <w:lvlJc w:val="left"/>
      <w:lvlText w:val="%1."/>
      <w:numFmt w:val="decimal"/>
      <w:start w:val="1"/>
    </w:lvl>
    <w:lvl w:ilvl="1">
      <w:lvlJc w:val="left"/>
      <w:lvlText w:val="(%2)"/>
      <w:numFmt w:val="lowerLetter"/>
      <w:start w:val="1"/>
    </w:lvl>
  </w:abstractNum>
  <w:abstractNum w:abstractNumId="397">
    <w:nsid w:val="77DA4A57"/>
    <w:multiLevelType w:val="hybridMultilevel"/>
    <w:lvl w:ilvl="0">
      <w:lvlJc w:val="left"/>
      <w:lvlText w:val="(%1)"/>
      <w:numFmt w:val="lowerLetter"/>
      <w:start w:val="3"/>
    </w:lvl>
  </w:abstractNum>
  <w:abstractNum w:abstractNumId="398">
    <w:nsid w:val="1230F102"/>
    <w:multiLevelType w:val="hybridMultilevel"/>
    <w:lvl w:ilvl="0">
      <w:lvlJc w:val="left"/>
      <w:lvlText w:val="%1."/>
      <w:numFmt w:val="decimal"/>
      <w:start w:val="2"/>
    </w:lvl>
    <w:lvl w:ilvl="1">
      <w:lvlJc w:val="left"/>
      <w:lvlText w:val="(%2)"/>
      <w:numFmt w:val="lowerLetter"/>
      <w:start w:val="1"/>
    </w:lvl>
  </w:abstractNum>
  <w:abstractNum w:abstractNumId="399">
    <w:nsid w:val="25B57E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0">
    <w:nsid w:val="47CF16C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1">
    <w:nsid w:val="527FA04C"/>
    <w:multiLevelType w:val="hybridMultilevel"/>
    <w:lvl w:ilvl="0">
      <w:lvlJc w:val="left"/>
      <w:lvlText w:val="(%1)"/>
      <w:numFmt w:val="lowerLetter"/>
      <w:start w:val="6"/>
    </w:lvl>
  </w:abstractNum>
  <w:abstractNum w:abstractNumId="402">
    <w:nsid w:val="6FCC0624"/>
    <w:multiLevelType w:val="hybridMultilevel"/>
    <w:lvl w:ilvl="0">
      <w:lvlJc w:val="left"/>
      <w:lvlText w:val="%1."/>
      <w:numFmt w:val="decimal"/>
      <w:start w:val="5"/>
    </w:lvl>
  </w:abstractNum>
  <w:abstractNum w:abstractNumId="403">
    <w:nsid w:val="1DCDF795"/>
    <w:multiLevelType w:val="hybridMultilevel"/>
    <w:lvl w:ilvl="0">
      <w:lvlJc w:val="left"/>
      <w:lvlText w:val="%1."/>
      <w:numFmt w:val="decimal"/>
      <w:start w:val="8"/>
    </w:lvl>
    <w:lvl w:ilvl="1">
      <w:lvlJc w:val="left"/>
      <w:lvlText w:val="*"/>
      <w:numFmt w:val="bullet"/>
      <w:start w:val="1"/>
    </w:lvl>
  </w:abstractNum>
  <w:abstractNum w:abstractNumId="404">
    <w:nsid w:val="564580C8"/>
    <w:multiLevelType w:val="hybridMultilevel"/>
    <w:lvl w:ilvl="0">
      <w:lvlJc w:val="left"/>
      <w:lvlText w:val="•"/>
      <w:numFmt w:val="bullet"/>
      <w:start w:val="1"/>
    </w:lvl>
  </w:abstractNum>
  <w:abstractNum w:abstractNumId="405">
    <w:nsid w:val="508ED897"/>
    <w:multiLevelType w:val="hybridMultilevel"/>
    <w:lvl w:ilvl="0">
      <w:lvlJc w:val="left"/>
      <w:lvlText w:val="%1."/>
      <w:numFmt w:val="decimal"/>
      <w:start w:val="1"/>
    </w:lvl>
    <w:lvl w:ilvl="1">
      <w:lvlJc w:val="left"/>
      <w:lvlText w:val="(%2)"/>
      <w:numFmt w:val="lowerLetter"/>
      <w:start w:val="1"/>
    </w:lvl>
  </w:abstractNum>
  <w:abstractNum w:abstractNumId="406">
    <w:nsid w:val="6A9126B5"/>
    <w:multiLevelType w:val="hybridMultilevel"/>
    <w:lvl w:ilvl="0">
      <w:lvlJc w:val="left"/>
      <w:lvlText w:val="%1."/>
      <w:numFmt w:val="decimal"/>
      <w:start w:val="2"/>
    </w:lvl>
  </w:abstractNum>
  <w:abstractNum w:abstractNumId="407">
    <w:nsid w:val="6810481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08">
    <w:nsid w:val="62FB8680"/>
    <w:multiLevelType w:val="hybridMultilevel"/>
    <w:lvl w:ilvl="0">
      <w:lvlJc w:val="left"/>
      <w:lvlText w:val="(%1)"/>
      <w:numFmt w:val="lowerRoman"/>
      <w:start w:val="2"/>
    </w:lvl>
  </w:abstractNum>
  <w:abstractNum w:abstractNumId="409">
    <w:nsid w:val="3A45530"/>
    <w:multiLevelType w:val="hybridMultilevel"/>
    <w:lvl w:ilvl="0">
      <w:lvlJc w:val="left"/>
      <w:lvlText w:val="%1"/>
      <w:numFmt w:val="decimal"/>
      <w:start w:val="1"/>
    </w:lvl>
    <w:lvl w:ilvl="1">
      <w:lvlJc w:val="left"/>
      <w:lvlText w:val="(%2)"/>
      <w:numFmt w:val="lowerLetter"/>
      <w:start w:val="3"/>
    </w:lvl>
  </w:abstractNum>
  <w:abstractNum w:abstractNumId="410">
    <w:nsid w:val="4B9275D2"/>
    <w:multiLevelType w:val="hybridMultilevel"/>
    <w:lvl w:ilvl="0">
      <w:lvlJc w:val="left"/>
      <w:lvlText w:val="%1."/>
      <w:numFmt w:val="decimal"/>
      <w:start w:val="7"/>
    </w:lvl>
    <w:lvl w:ilvl="1">
      <w:lvlJc w:val="left"/>
      <w:lvlText w:val="%2"/>
      <w:numFmt w:val="lowerLetter"/>
      <w:start w:val="1"/>
    </w:lvl>
  </w:abstractNum>
  <w:abstractNum w:abstractNumId="411">
    <w:nsid w:val="4F0CEEDB"/>
    <w:multiLevelType w:val="hybridMultilevel"/>
    <w:lvl w:ilvl="0">
      <w:lvlJc w:val="left"/>
      <w:lvlText w:val="%1"/>
      <w:numFmt w:val="lowerLetter"/>
      <w:start w:val="1"/>
    </w:lvl>
    <w:lvl w:ilvl="1">
      <w:lvlJc w:val="left"/>
      <w:lvlText w:val="%2."/>
      <w:numFmt w:val="decimal"/>
      <w:start w:val="8"/>
    </w:lvl>
  </w:abstractNum>
  <w:abstractNum w:abstractNumId="412">
    <w:nsid w:val="61C30361"/>
    <w:multiLevelType w:val="hybridMultilevel"/>
    <w:lvl w:ilvl="0">
      <w:lvlJc w:val="left"/>
      <w:lvlText w:val="(%1)"/>
      <w:numFmt w:val="lowerLetter"/>
      <w:start w:val="2"/>
    </w:lvl>
    <w:lvl w:ilvl="1">
      <w:lvlJc w:val="left"/>
      <w:lvlText w:val="%2."/>
      <w:numFmt w:val="decimal"/>
      <w:start w:val="11"/>
    </w:lvl>
  </w:abstractNum>
  <w:abstractNum w:abstractNumId="413">
    <w:nsid w:val="632099E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14">
    <w:nsid w:val="24639756"/>
    <w:multiLevelType w:val="hybridMultilevel"/>
    <w:lvl w:ilvl="0">
      <w:lvlJc w:val="left"/>
      <w:lvlText w:val="%1"/>
      <w:numFmt w:val="lowerLetter"/>
      <w:start w:val="1"/>
    </w:lvl>
    <w:lvl w:ilvl="1">
      <w:lvlJc w:val="left"/>
      <w:lvlText w:val="(%2)"/>
      <w:numFmt w:val="lowerRoman"/>
      <w:start w:val="2"/>
    </w:lvl>
  </w:abstractNum>
  <w:abstractNum w:abstractNumId="415">
    <w:nsid w:val="9D30DFD"/>
    <w:multiLevelType w:val="hybridMultilevel"/>
    <w:lvl w:ilvl="0">
      <w:lvlJc w:val="left"/>
      <w:lvlText w:val="(%1)"/>
      <w:numFmt w:val="lowerLetter"/>
      <w:start w:val="3"/>
    </w:lvl>
    <w:lvl w:ilvl="1">
      <w:lvlJc w:val="left"/>
      <w:lvlText w:val="%2"/>
      <w:numFmt w:val="lowerRoman"/>
      <w:start w:val="1"/>
    </w:lvl>
  </w:abstractNum>
  <w:abstractNum w:abstractNumId="416">
    <w:nsid w:val="70A42016"/>
    <w:multiLevelType w:val="hybridMultilevel"/>
    <w:lvl w:ilvl="0">
      <w:lvlJc w:val="left"/>
      <w:lvlText w:val="(%1)"/>
      <w:numFmt w:val="lowerLetter"/>
      <w:start w:val="8"/>
    </w:lvl>
  </w:abstractNum>
  <w:abstractNum w:abstractNumId="417">
    <w:nsid w:val="161BC243"/>
    <w:multiLevelType w:val="hybridMultilevel"/>
    <w:lvl w:ilvl="0">
      <w:lvlJc w:val="left"/>
      <w:lvlText w:val="%1."/>
      <w:numFmt w:val="decimal"/>
      <w:start w:val="2"/>
    </w:lvl>
    <w:lvl w:ilvl="1">
      <w:lvlJc w:val="left"/>
      <w:lvlText w:val="(%2)"/>
      <w:numFmt w:val="lowerLetter"/>
      <w:start w:val="1"/>
    </w:lvl>
  </w:abstractNum>
  <w:abstractNum w:abstractNumId="418">
    <w:nsid w:val="16E908C8"/>
    <w:multiLevelType w:val="hybridMultilevel"/>
    <w:lvl w:ilvl="0">
      <w:lvlJc w:val="left"/>
      <w:lvlText w:val="%1"/>
      <w:numFmt w:val="decimal"/>
      <w:start w:val="1"/>
    </w:lvl>
    <w:lvl w:ilvl="1">
      <w:lvlJc w:val="left"/>
      <w:lvlText w:val="(%2)"/>
      <w:numFmt w:val="lowerLetter"/>
      <w:start w:val="4"/>
    </w:lvl>
  </w:abstractNum>
  <w:abstractNum w:abstractNumId="419">
    <w:nsid w:val="2E0D7671"/>
    <w:multiLevelType w:val="hybridMultilevel"/>
    <w:lvl w:ilvl="0">
      <w:lvlJc w:val="left"/>
      <w:lvlText w:val="%1."/>
      <w:numFmt w:val="decimal"/>
      <w:start w:val="6"/>
    </w:lvl>
    <w:lvl w:ilvl="1">
      <w:lvlJc w:val="left"/>
      <w:lvlText w:val="(%2)"/>
      <w:numFmt w:val="lowerLetter"/>
      <w:start w:val="1"/>
    </w:lvl>
  </w:abstractNum>
  <w:abstractNum w:abstractNumId="420">
    <w:nsid w:val="38B59EFF"/>
    <w:multiLevelType w:val="hybridMultilevel"/>
    <w:lvl w:ilvl="0">
      <w:lvlJc w:val="left"/>
      <w:lvlText w:val="%1"/>
      <w:numFmt w:val="decimal"/>
      <w:start w:val="1"/>
    </w:lvl>
    <w:lvl w:ilvl="1">
      <w:lvlJc w:val="left"/>
      <w:lvlText w:val="(%2)"/>
      <w:numFmt w:val="lowerLetter"/>
      <w:start w:val="3"/>
    </w:lvl>
  </w:abstractNum>
  <w:abstractNum w:abstractNumId="421">
    <w:nsid w:val="307995CA"/>
    <w:multiLevelType w:val="hybridMultilevel"/>
    <w:lvl w:ilvl="0">
      <w:lvlJc w:val="left"/>
      <w:lvlText w:val="%1."/>
      <w:numFmt w:val="decimal"/>
      <w:start w:val="8"/>
    </w:lvl>
    <w:lvl w:ilvl="1">
      <w:lvlJc w:val="left"/>
      <w:lvlText w:val="(%2)"/>
      <w:numFmt w:val="lowerLetter"/>
      <w:start w:val="1"/>
    </w:lvl>
  </w:abstractNum>
  <w:abstractNum w:abstractNumId="422">
    <w:nsid w:val="52E2024D"/>
    <w:multiLevelType w:val="hybridMultilevel"/>
    <w:lvl w:ilvl="0">
      <w:lvlJc w:val="left"/>
      <w:lvlText w:val="%1"/>
      <w:numFmt w:val="decimal"/>
      <w:start w:val="1"/>
    </w:lvl>
    <w:lvl w:ilvl="1">
      <w:lvlJc w:val="left"/>
      <w:lvlText w:val="(%2)"/>
      <w:numFmt w:val="lowerLetter"/>
      <w:start w:val="3"/>
    </w:lvl>
  </w:abstractNum>
  <w:abstractNum w:abstractNumId="423">
    <w:nsid w:val="CE344B5"/>
    <w:multiLevelType w:val="hybridMultilevel"/>
    <w:lvl w:ilvl="0">
      <w:lvlJc w:val="left"/>
      <w:lvlText w:val="%1."/>
      <w:numFmt w:val="decimal"/>
      <w:start w:val="9"/>
    </w:lvl>
    <w:lvl w:ilvl="1">
      <w:lvlJc w:val="left"/>
      <w:lvlText w:val="(%2)"/>
      <w:numFmt w:val="lowerLetter"/>
      <w:start w:val="1"/>
    </w:lvl>
  </w:abstractNum>
  <w:abstractNum w:abstractNumId="424">
    <w:nsid w:val="29B0E9A8"/>
    <w:multiLevelType w:val="hybridMultilevel"/>
    <w:lvl w:ilvl="0">
      <w:lvlJc w:val="left"/>
      <w:lvlText w:val="%1"/>
      <w:numFmt w:val="decimal"/>
      <w:start w:val="1"/>
    </w:lvl>
    <w:lvl w:ilvl="1">
      <w:lvlJc w:val="left"/>
      <w:lvlText w:val="(%2)"/>
      <w:numFmt w:val="lowerLetter"/>
      <w:start w:val="3"/>
    </w:lvl>
  </w:abstractNum>
  <w:abstractNum w:abstractNumId="425">
    <w:nsid w:val="6F49CD8A"/>
    <w:multiLevelType w:val="hybridMultilevel"/>
    <w:lvl w:ilvl="0">
      <w:lvlJc w:val="left"/>
      <w:lvlText w:val="%1."/>
      <w:numFmt w:val="decimal"/>
      <w:start w:val="10"/>
    </w:lvl>
    <w:lvl w:ilvl="1">
      <w:lvlJc w:val="left"/>
      <w:lvlText w:val="(%2)"/>
      <w:numFmt w:val="lowerLetter"/>
      <w:start w:val="1"/>
    </w:lvl>
  </w:abstractNum>
  <w:abstractNum w:abstractNumId="426">
    <w:nsid w:val="4DC5D907"/>
    <w:multiLevelType w:val="hybridMultilevel"/>
    <w:lvl w:ilvl="0">
      <w:lvlJc w:val="left"/>
      <w:lvlText w:val="%1"/>
      <w:numFmt w:val="decimal"/>
      <w:start w:val="1"/>
    </w:lvl>
    <w:lvl w:ilvl="1">
      <w:lvlJc w:val="left"/>
      <w:lvlText w:val="(%2)"/>
      <w:numFmt w:val="lowerLetter"/>
      <w:start w:val="3"/>
    </w:lvl>
  </w:abstractNum>
  <w:abstractNum w:abstractNumId="427">
    <w:nsid w:val="D55945E"/>
    <w:multiLevelType w:val="hybridMultilevel"/>
    <w:lvl w:ilvl="0">
      <w:lvlJc w:val="left"/>
      <w:lvlText w:val="%1."/>
      <w:numFmt w:val="decimal"/>
      <w:start w:val="11"/>
    </w:lvl>
    <w:lvl w:ilvl="1">
      <w:lvlJc w:val="left"/>
      <w:lvlText w:val="%2"/>
      <w:numFmt w:val="lowerLetter"/>
      <w:start w:val="1"/>
    </w:lvl>
  </w:abstractNum>
  <w:abstractNum w:abstractNumId="428">
    <w:nsid w:val="672417E1"/>
    <w:multiLevelType w:val="hybridMultilevel"/>
    <w:lvl w:ilvl="0">
      <w:lvlJc w:val="left"/>
      <w:lvlText w:val="%1."/>
      <w:numFmt w:val="decimal"/>
      <w:start w:val="13"/>
    </w:lvl>
  </w:abstractNum>
  <w:abstractNum w:abstractNumId="429">
    <w:nsid w:val="5FF6CA09"/>
    <w:multiLevelType w:val="hybridMultilevel"/>
    <w:lvl w:ilvl="0">
      <w:lvlJc w:val="left"/>
      <w:lvlText w:val="%1."/>
      <w:numFmt w:val="decimal"/>
      <w:start w:val="18"/>
    </w:lvl>
  </w:abstractNum>
  <w:abstractNum w:abstractNumId="430">
    <w:nsid w:val="330B1333"/>
    <w:multiLevelType w:val="hybridMultilevel"/>
    <w:lvl w:ilvl="0">
      <w:lvlJc w:val="left"/>
      <w:lvlText w:val="%1."/>
      <w:numFmt w:val="decimal"/>
      <w:start w:val="24"/>
    </w:lvl>
    <w:lvl w:ilvl="1">
      <w:lvlJc w:val="left"/>
      <w:lvlText w:val="(%2)"/>
      <w:numFmt w:val="lowerLetter"/>
      <w:start w:val="1"/>
    </w:lvl>
  </w:abstractNum>
  <w:abstractNum w:abstractNumId="431">
    <w:nsid w:val="2EF32EA6"/>
    <w:multiLevelType w:val="hybridMultilevel"/>
    <w:lvl w:ilvl="0">
      <w:lvlJc w:val="left"/>
      <w:lvlText w:val="%1."/>
      <w:numFmt w:val="decimal"/>
      <w:start w:val="25"/>
    </w:lvl>
  </w:abstractNum>
  <w:abstractNum w:abstractNumId="432">
    <w:nsid w:val="32766A55"/>
    <w:multiLevelType w:val="hybridMultilevel"/>
    <w:lvl w:ilvl="0">
      <w:lvlJc w:val="left"/>
      <w:lvlText w:val="%1."/>
      <w:numFmt w:val="decimal"/>
      <w:start w:val="27"/>
    </w:lvl>
  </w:abstractNum>
  <w:abstractNum w:abstractNumId="433">
    <w:nsid w:val="22D71957"/>
    <w:multiLevelType w:val="hybridMultilevel"/>
    <w:lvl w:ilvl="0">
      <w:lvlJc w:val="left"/>
      <w:lvlText w:val="%1."/>
      <w:numFmt w:val="decimal"/>
      <w:start w:val="3"/>
    </w:lvl>
  </w:abstractNum>
  <w:abstractNum w:abstractNumId="434">
    <w:nsid w:val="4CC1263B"/>
    <w:multiLevelType w:val="hybridMultilevel"/>
    <w:lvl w:ilvl="0">
      <w:lvlJc w:val="left"/>
      <w:lvlText w:val="%1."/>
      <w:numFmt w:val="decimal"/>
      <w:start w:val="6"/>
    </w:lvl>
  </w:abstractNum>
  <w:abstractNum w:abstractNumId="435">
    <w:nsid w:val="8BBEB1D"/>
    <w:multiLevelType w:val="hybridMultilevel"/>
    <w:lvl w:ilvl="0">
      <w:lvlJc w:val="left"/>
      <w:lvlText w:val="%1"/>
      <w:numFmt w:val="decimal"/>
      <w:start w:val="1"/>
    </w:lvl>
    <w:lvl w:ilvl="1">
      <w:lvlJc w:val="left"/>
      <w:lvlText w:val="(%2)"/>
      <w:numFmt w:val="lowerLetter"/>
      <w:start w:val="1"/>
    </w:lvl>
  </w:abstractNum>
  <w:abstractNum w:abstractNumId="436">
    <w:nsid w:val="7365F1EE"/>
    <w:multiLevelType w:val="hybridMultilevel"/>
    <w:lvl w:ilvl="0">
      <w:lvlJc w:val="left"/>
      <w:lvlText w:val="(%1)"/>
      <w:numFmt w:val="decimal"/>
      <w:start w:val="1"/>
    </w:lvl>
    <w:lvl w:ilvl="1">
      <w:lvlJc w:val="left"/>
      <w:lvlText w:val="%2"/>
      <w:numFmt w:val="lowerLetter"/>
      <w:start w:val="1"/>
    </w:lvl>
  </w:abstractNum>
  <w:abstractNum w:abstractNumId="437">
    <w:nsid w:val="37524CF0"/>
    <w:multiLevelType w:val="hybridMultilevel"/>
    <w:lvl w:ilvl="0">
      <w:lvlJc w:val="left"/>
      <w:lvlText w:val="(%1)"/>
      <w:numFmt w:val="lowerLetter"/>
      <w:start w:val="1"/>
    </w:lvl>
    <w:lvl w:ilvl="1">
      <w:lvlJc w:val="left"/>
      <w:lvlText w:val="(%2)"/>
      <w:numFmt w:val="lowerLetter"/>
      <w:start w:val="9"/>
    </w:lvl>
  </w:abstractNum>
  <w:abstractNum w:abstractNumId="438">
    <w:nsid w:val="70CC332F"/>
    <w:multiLevelType w:val="hybridMultilevel"/>
    <w:lvl w:ilvl="0">
      <w:lvlJc w:val="left"/>
      <w:lvlText w:val="(%1)"/>
      <w:numFmt w:val="lowerLetter"/>
      <w:start w:val="1"/>
    </w:lvl>
  </w:abstractNum>
  <w:abstractNum w:abstractNumId="439">
    <w:nsid w:val="5661786E"/>
    <w:multiLevelType w:val="hybridMultilevel"/>
    <w:lvl w:ilvl="0">
      <w:lvlJc w:val="left"/>
      <w:lvlText w:val="(%1)"/>
      <w:numFmt w:val="lowerLetter"/>
      <w:start w:val="1"/>
    </w:lvl>
  </w:abstractNum>
  <w:abstractNum w:abstractNumId="440">
    <w:nsid w:val="3AF6A220"/>
    <w:multiLevelType w:val="hybridMultilevel"/>
    <w:lvl w:ilvl="0">
      <w:lvlJc w:val="left"/>
      <w:lvlText w:val="(%1)"/>
      <w:numFmt w:val="lowerLetter"/>
      <w:start w:val="1"/>
    </w:lvl>
  </w:abstractNum>
  <w:abstractNum w:abstractNumId="441">
    <w:nsid w:val="3C5EA902"/>
    <w:multiLevelType w:val="hybridMultilevel"/>
    <w:lvl w:ilvl="0">
      <w:lvlJc w:val="left"/>
      <w:lvlText w:val="(%1)"/>
      <w:numFmt w:val="lowerLetter"/>
      <w:start w:val="1"/>
    </w:lvl>
    <w:lvl w:ilvl="1">
      <w:lvlJc w:val="left"/>
      <w:lvlText w:val="(%2)"/>
      <w:numFmt w:val="lowerRoman"/>
      <w:start w:val="1"/>
    </w:lvl>
  </w:abstractNum>
  <w:abstractNum w:abstractNumId="442">
    <w:nsid w:val="256E6749"/>
    <w:multiLevelType w:val="hybridMultilevel"/>
    <w:lvl w:ilvl="0">
      <w:lvlJc w:val="left"/>
      <w:lvlText w:val="%1"/>
      <w:numFmt w:val="lowerLetter"/>
      <w:start w:val="1"/>
    </w:lvl>
    <w:lvl w:ilvl="1">
      <w:lvlJc w:val="left"/>
      <w:lvlText w:val="(%2)"/>
      <w:numFmt w:val="lowerLetter"/>
      <w:start w:val="22"/>
    </w:lvl>
  </w:abstractNum>
  <w:abstractNum w:abstractNumId="443">
    <w:nsid w:val="1CB9A581"/>
    <w:multiLevelType w:val="hybridMultilevel"/>
    <w:lvl w:ilvl="0">
      <w:lvlJc w:val="left"/>
      <w:lvlText w:val="(%1)"/>
      <w:numFmt w:val="lowerLetter"/>
      <w:start w:val="2"/>
    </w:lvl>
    <w:lvl w:ilvl="1">
      <w:lvlJc w:val="left"/>
      <w:lvlText w:val="%2"/>
      <w:numFmt w:val="lowerLetter"/>
      <w:start w:val="1"/>
    </w:lvl>
  </w:abstractNum>
  <w:abstractNum w:abstractNumId="444">
    <w:nsid w:val="1F7F42E2"/>
    <w:multiLevelType w:val="hybridMultilevel"/>
    <w:lvl w:ilvl="0">
      <w:lvlJc w:val="left"/>
      <w:lvlText w:val="(%1)"/>
      <w:numFmt w:val="lowerRoman"/>
      <w:start w:val="2"/>
    </w:lvl>
  </w:abstractNum>
  <w:abstractNum w:abstractNumId="445">
    <w:nsid w:val="49D1FEA0"/>
    <w:multiLevelType w:val="hybridMultilevel"/>
    <w:lvl w:ilvl="0">
      <w:lvlJc w:val="left"/>
      <w:lvlText w:val="(%1)"/>
      <w:numFmt w:val="decimal"/>
      <w:start w:val="2"/>
    </w:lvl>
  </w:abstractNum>
  <w:abstractNum w:abstractNumId="446">
    <w:nsid w:val="268CB37F"/>
    <w:multiLevelType w:val="hybridMultilevel"/>
    <w:lvl w:ilvl="0">
      <w:lvlJc w:val="left"/>
      <w:lvlText w:val="(%1)"/>
      <w:numFmt w:val="decimal"/>
      <w:start w:val="5"/>
    </w:lvl>
  </w:abstractNum>
  <w:abstractNum w:abstractNumId="447">
    <w:nsid w:val="102362F8"/>
    <w:multiLevelType w:val="hybridMultilevel"/>
    <w:lvl w:ilvl="0">
      <w:lvlJc w:val="left"/>
      <w:lvlText w:val="%1."/>
      <w:numFmt w:val="decimal"/>
      <w:start w:val="3"/>
    </w:lvl>
  </w:abstractNum>
  <w:abstractNum w:abstractNumId="448">
    <w:nsid w:val="5FEDC0E3"/>
    <w:multiLevelType w:val="hybridMultilevel"/>
    <w:lvl w:ilvl="0">
      <w:lvlJc w:val="left"/>
      <w:lvlText w:val="%1."/>
      <w:numFmt w:val="decimal"/>
      <w:start w:val="5"/>
    </w:lvl>
  </w:abstractNum>
  <w:abstractNum w:abstractNumId="449">
    <w:nsid w:val="3D75BC47"/>
    <w:multiLevelType w:val="hybridMultilevel"/>
    <w:lvl w:ilvl="0">
      <w:lvlJc w:val="left"/>
      <w:lvlText w:val="(%1)"/>
      <w:numFmt w:val="lowerLetter"/>
      <w:start w:val="1"/>
    </w:lvl>
    <w:lvl w:ilvl="1">
      <w:lvlJc w:val="left"/>
      <w:lvlText w:val="(%2)"/>
      <w:numFmt w:val="lowerLetter"/>
      <w:start w:val="9"/>
    </w:lvl>
  </w:abstractNum>
  <w:abstractNum w:abstractNumId="450">
    <w:nsid w:val="3E30D969"/>
    <w:multiLevelType w:val="hybridMultilevel"/>
    <w:lvl w:ilvl="0">
      <w:lvlJc w:val="left"/>
      <w:lvlText w:val="(%1)"/>
      <w:numFmt w:val="lowerLetter"/>
      <w:start w:val="22"/>
    </w:lvl>
    <w:lvl w:ilvl="1">
      <w:lvlJc w:val="left"/>
      <w:lvlText w:val="(%2)"/>
      <w:numFmt w:val="lowerLetter"/>
      <w:start w:val="4"/>
    </w:lvl>
  </w:abstractNum>
  <w:abstractNum w:abstractNumId="451">
    <w:nsid w:val="18A35FE3"/>
    <w:multiLevelType w:val="hybridMultilevel"/>
    <w:lvl w:ilvl="0">
      <w:lvlJc w:val="left"/>
      <w:lvlText w:val="%1"/>
      <w:numFmt w:val="decimal"/>
      <w:start w:val="1"/>
    </w:lvl>
    <w:lvl w:ilvl="1">
      <w:lvlJc w:val="left"/>
      <w:lvlText w:val="(%2)"/>
      <w:numFmt w:val="lowerLetter"/>
      <w:start w:val="7"/>
    </w:lvl>
  </w:abstractNum>
  <w:abstractNum w:abstractNumId="452">
    <w:nsid w:val="6DEF5211"/>
    <w:multiLevelType w:val="hybridMultilevel"/>
    <w:lvl w:ilvl="0">
      <w:lvlJc w:val="left"/>
      <w:lvlText w:val="(%1)"/>
      <w:numFmt w:val="decimal"/>
      <w:start w:val="1"/>
    </w:lvl>
    <w:lvl w:ilvl="1">
      <w:lvlJc w:val="left"/>
      <w:lvlText w:val="%2"/>
      <w:numFmt w:val="lowerLetter"/>
      <w:start w:val="1"/>
    </w:lvl>
  </w:abstractNum>
  <w:abstractNum w:abstractNumId="453">
    <w:nsid w:val="1112DBB6"/>
    <w:multiLevelType w:val="hybridMultilevel"/>
    <w:lvl w:ilvl="0">
      <w:lvlJc w:val="left"/>
      <w:lvlText w:val="(%1)"/>
      <w:numFmt w:val="lowerLetter"/>
      <w:start w:val="1"/>
    </w:lvl>
    <w:lvl w:ilvl="1">
      <w:lvlJc w:val="left"/>
      <w:lvlText w:val="(%2)"/>
      <w:numFmt w:val="lowerLetter"/>
      <w:start w:val="9"/>
    </w:lvl>
  </w:abstractNum>
  <w:abstractNum w:abstractNumId="454">
    <w:nsid w:val="2586A498"/>
    <w:multiLevelType w:val="hybridMultilevel"/>
    <w:lvl w:ilvl="0">
      <w:lvlJc w:val="left"/>
      <w:lvlText w:val="%1"/>
      <w:numFmt w:val="lowerRoman"/>
      <w:start w:val="1"/>
    </w:lvl>
    <w:lvl w:ilvl="1">
      <w:lvlJc w:val="left"/>
      <w:lvlText w:val="(%2)"/>
      <w:numFmt w:val="lowerLetter"/>
      <w:start w:val="1"/>
    </w:lvl>
  </w:abstractNum>
  <w:abstractNum w:abstractNumId="455">
    <w:nsid w:val="17A03BB9"/>
    <w:multiLevelType w:val="hybridMultilevel"/>
    <w:lvl w:ilvl="0">
      <w:lvlJc w:val="left"/>
      <w:lvlText w:val="(%1)"/>
      <w:numFmt w:val="lowerRoman"/>
      <w:start w:val="8"/>
    </w:lvl>
    <w:lvl w:ilvl="1">
      <w:lvlJc w:val="left"/>
      <w:lvlText w:val="%2"/>
      <w:numFmt w:val="lowerLetter"/>
      <w:start w:val="1"/>
    </w:lvl>
  </w:abstractNum>
  <w:abstractNum w:abstractNumId="456">
    <w:nsid w:val="5CA941"/>
    <w:multiLevelType w:val="hybridMultilevel"/>
    <w:lvl w:ilvl="0">
      <w:lvlJc w:val="left"/>
      <w:lvlText w:val="(%1)"/>
      <w:numFmt w:val="lowerLetter"/>
      <w:start w:val="1"/>
    </w:lvl>
  </w:abstractNum>
  <w:abstractNum w:abstractNumId="457">
    <w:nsid w:val="734C7D9F"/>
    <w:multiLevelType w:val="hybridMultilevel"/>
    <w:lvl w:ilvl="0">
      <w:lvlJc w:val="left"/>
      <w:lvlText w:val="(%1)"/>
      <w:numFmt w:val="lowerLetter"/>
      <w:start w:val="1"/>
    </w:lvl>
  </w:abstractNum>
  <w:abstractNum w:abstractNumId="458">
    <w:nsid w:val="24F5D018"/>
    <w:multiLevelType w:val="hybridMultilevel"/>
    <w:lvl w:ilvl="0">
      <w:lvlJc w:val="left"/>
      <w:lvlText w:val="(%1)"/>
      <w:numFmt w:val="lowerLetter"/>
      <w:start w:val="1"/>
    </w:lvl>
    <w:lvl w:ilvl="1">
      <w:lvlJc w:val="left"/>
      <w:lvlText w:val="(%2)"/>
      <w:numFmt w:val="lowerRoman"/>
      <w:start w:val="1"/>
    </w:lvl>
  </w:abstractNum>
  <w:abstractNum w:abstractNumId="459">
    <w:nsid w:val="6780C122"/>
    <w:multiLevelType w:val="hybridMultilevel"/>
    <w:lvl w:ilvl="0">
      <w:lvlJc w:val="left"/>
      <w:lvlText w:val="(%1)"/>
      <w:numFmt w:val="lowerRoman"/>
      <w:start w:val="1"/>
    </w:lvl>
  </w:abstractNum>
  <w:abstractNum w:abstractNumId="460">
    <w:nsid w:val="534347A8"/>
    <w:multiLevelType w:val="hybridMultilevel"/>
    <w:lvl w:ilvl="0">
      <w:lvlJc w:val="left"/>
      <w:lvlText w:val="(%1)"/>
      <w:numFmt w:val="lowerRoman"/>
      <w:start w:val="4"/>
    </w:lvl>
    <w:lvl w:ilvl="1">
      <w:lvlJc w:val="left"/>
      <w:lvlText w:val="%2."/>
      <w:numFmt w:val="decimal"/>
      <w:start w:val="7"/>
    </w:lvl>
  </w:abstractNum>
  <w:abstractNum w:abstractNumId="461">
    <w:nsid w:val="5800E34B"/>
    <w:multiLevelType w:val="hybridMultilevel"/>
    <w:lvl w:ilvl="0">
      <w:lvlJc w:val="left"/>
      <w:lvlText w:val="%1."/>
      <w:numFmt w:val="decimal"/>
      <w:start w:val="3"/>
    </w:lvl>
  </w:abstractNum>
  <w:abstractNum w:abstractNumId="462">
    <w:nsid w:val="1673EFC8"/>
    <w:multiLevelType w:val="hybridMultilevel"/>
    <w:lvl w:ilvl="0">
      <w:lvlJc w:val="left"/>
      <w:lvlText w:val="(%1)"/>
      <w:numFmt w:val="lowerRoman"/>
      <w:start w:val="1"/>
    </w:lvl>
  </w:abstractNum>
  <w:abstractNum w:abstractNumId="463">
    <w:nsid w:val="5B9B1FD"/>
    <w:multiLevelType w:val="hybridMultilevel"/>
    <w:lvl w:ilvl="0">
      <w:lvlJc w:val="left"/>
      <w:lvlText w:val="%1."/>
      <w:numFmt w:val="decimal"/>
      <w:start w:val="5"/>
    </w:lvl>
  </w:abstractNum>
  <w:abstractNum w:abstractNumId="464">
    <w:nsid w:val="7AD7FCA2"/>
    <w:multiLevelType w:val="hybridMultilevel"/>
    <w:lvl w:ilvl="0">
      <w:lvlJc w:val="left"/>
      <w:lvlText w:val="(%1)"/>
      <w:numFmt w:val="lowerLetter"/>
      <w:start w:val="1"/>
    </w:lvl>
    <w:lvl w:ilvl="1">
      <w:lvlJc w:val="left"/>
      <w:lvlText w:val="(%2)"/>
      <w:numFmt w:val="lowerLetter"/>
      <w:start w:val="9"/>
    </w:lvl>
  </w:abstractNum>
  <w:abstractNum w:abstractNumId="465">
    <w:nsid w:val="63351604"/>
    <w:multiLevelType w:val="hybridMultilevel"/>
    <w:lvl w:ilvl="0">
      <w:lvlJc w:val="left"/>
      <w:lvlText w:val="(%1)"/>
      <w:numFmt w:val="lowerLetter"/>
      <w:start w:val="3"/>
    </w:lvl>
  </w:abstractNum>
  <w:abstractNum w:abstractNumId="466">
    <w:nsid w:val="E759D1A"/>
    <w:multiLevelType w:val="hybridMultilevel"/>
    <w:lvl w:ilvl="0">
      <w:lvlJc w:val="left"/>
      <w:lvlText w:val="%1"/>
      <w:numFmt w:val="decimal"/>
      <w:start w:val="1"/>
    </w:lvl>
    <w:lvl w:ilvl="1">
      <w:lvlJc w:val="left"/>
      <w:lvlText w:val="(%2)"/>
      <w:numFmt w:val="lowerLetter"/>
      <w:start w:val="7"/>
    </w:lvl>
  </w:abstractNum>
  <w:abstractNum w:abstractNumId="467">
    <w:nsid w:val="6E3DEE90"/>
    <w:multiLevelType w:val="hybridMultilevel"/>
    <w:lvl w:ilvl="0">
      <w:lvlJc w:val="left"/>
      <w:lvlText w:val="(%1)"/>
      <w:numFmt w:val="decimal"/>
      <w:start w:val="1"/>
    </w:lvl>
    <w:lvl w:ilvl="1">
      <w:lvlJc w:val="left"/>
      <w:lvlText w:val="%2"/>
      <w:numFmt w:val="lowerLetter"/>
      <w:start w:val="1"/>
    </w:lvl>
  </w:abstractNum>
  <w:abstractNum w:abstractNumId="468">
    <w:nsid w:val="1A8762F4"/>
    <w:multiLevelType w:val="hybridMultilevel"/>
    <w:lvl w:ilvl="0">
      <w:lvlJc w:val="left"/>
      <w:lvlText w:val="(%1)"/>
      <w:numFmt w:val="lowerLetter"/>
      <w:start w:val="1"/>
    </w:lvl>
    <w:lvl w:ilvl="1">
      <w:lvlJc w:val="left"/>
      <w:lvlText w:val="(%2)"/>
      <w:numFmt w:val="lowerLetter"/>
      <w:start w:val="9"/>
    </w:lvl>
  </w:abstractNum>
  <w:abstractNum w:abstractNumId="469">
    <w:nsid w:val="7F41D049"/>
    <w:multiLevelType w:val="hybridMultilevel"/>
    <w:lvl w:ilvl="0">
      <w:lvlJc w:val="left"/>
      <w:lvlText w:val="%1"/>
      <w:numFmt w:val="lowerRoman"/>
      <w:start w:val="1"/>
    </w:lvl>
    <w:lvl w:ilvl="1">
      <w:lvlJc w:val="left"/>
      <w:lvlText w:val="(%2)"/>
      <w:numFmt w:val="lowerLetter"/>
      <w:start w:val="1"/>
    </w:lvl>
  </w:abstractNum>
  <w:abstractNum w:abstractNumId="470">
    <w:nsid w:val="449F66FE"/>
    <w:multiLevelType w:val="hybridMultilevel"/>
    <w:lvl w:ilvl="0">
      <w:lvlJc w:val="left"/>
      <w:lvlText w:val="(%1)"/>
      <w:numFmt w:val="lowerRoman"/>
      <w:start w:val="8"/>
    </w:lvl>
    <w:lvl w:ilvl="1">
      <w:lvlJc w:val="left"/>
      <w:lvlText w:val="%2"/>
      <w:numFmt w:val="lowerLetter"/>
      <w:start w:val="1"/>
    </w:lvl>
  </w:abstractNum>
  <w:abstractNum w:abstractNumId="471">
    <w:nsid w:val="557E0515"/>
    <w:multiLevelType w:val="hybridMultilevel"/>
    <w:lvl w:ilvl="0">
      <w:lvlJc w:val="left"/>
      <w:lvlText w:val="(%1)"/>
      <w:numFmt w:val="lowerLetter"/>
      <w:start w:val="1"/>
    </w:lvl>
  </w:abstractNum>
  <w:abstractNum w:abstractNumId="472">
    <w:nsid w:val="3BA0794B"/>
    <w:multiLevelType w:val="hybridMultilevel"/>
    <w:lvl w:ilvl="0">
      <w:lvlJc w:val="left"/>
      <w:lvlText w:val="(%1)"/>
      <w:numFmt w:val="lowerLetter"/>
      <w:start w:val="1"/>
    </w:lvl>
  </w:abstractNum>
  <w:abstractNum w:abstractNumId="473">
    <w:nsid w:val="6A0DCE48"/>
    <w:multiLevelType w:val="hybridMultilevel"/>
    <w:lvl w:ilvl="0">
      <w:lvlJc w:val="left"/>
      <w:lvlText w:val="(%1)"/>
      <w:numFmt w:val="lowerLetter"/>
      <w:start w:val="1"/>
    </w:lvl>
    <w:lvl w:ilvl="1">
      <w:lvlJc w:val="left"/>
      <w:lvlText w:val="(%2)"/>
      <w:numFmt w:val="lowerRoman"/>
      <w:start w:val="1"/>
    </w:lvl>
  </w:abstractNum>
  <w:abstractNum w:abstractNumId="474">
    <w:nsid w:val="7237AA96"/>
    <w:multiLevelType w:val="hybridMultilevel"/>
    <w:lvl w:ilvl="0">
      <w:lvlJc w:val="left"/>
      <w:lvlText w:val="(%1)"/>
      <w:numFmt w:val="lowerRoman"/>
      <w:start w:val="1"/>
    </w:lvl>
  </w:abstractNum>
  <w:abstractNum w:abstractNumId="475">
    <w:nsid w:val="5B1FBC2D"/>
    <w:multiLevelType w:val="hybridMultilevel"/>
    <w:lvl w:ilvl="0">
      <w:lvlJc w:val="left"/>
      <w:lvlText w:val="(%1)"/>
      <w:numFmt w:val="lowerRoman"/>
      <w:start w:val="4"/>
    </w:lvl>
  </w:abstractNum>
  <w:abstractNum w:abstractNumId="476">
    <w:nsid w:val="33DFCCE8"/>
    <w:multiLevelType w:val="hybridMultilevel"/>
    <w:lvl w:ilvl="0">
      <w:lvlJc w:val="left"/>
      <w:lvlText w:val="%1."/>
      <w:numFmt w:val="decimal"/>
      <w:start w:val="3"/>
    </w:lvl>
  </w:abstractNum>
  <w:abstractNum w:abstractNumId="477">
    <w:nsid w:val="18C45E15"/>
    <w:multiLevelType w:val="hybridMultilevel"/>
    <w:lvl w:ilvl="0">
      <w:lvlJc w:val="left"/>
      <w:lvlText w:val="%1."/>
      <w:numFmt w:val="decimal"/>
      <w:start w:val="5"/>
    </w:lvl>
  </w:abstractNum>
  <w:abstractNum w:abstractNumId="478">
    <w:nsid w:val="6B431F25"/>
    <w:multiLevelType w:val="hybridMultilevel"/>
    <w:lvl w:ilvl="0">
      <w:lvlJc w:val="left"/>
      <w:lvlText w:val="(%1)"/>
      <w:numFmt w:val="lowerLetter"/>
      <w:start w:val="1"/>
    </w:lvl>
    <w:lvl w:ilvl="1">
      <w:lvlJc w:val="left"/>
      <w:lvlText w:val="(%2)"/>
      <w:numFmt w:val="lowerLetter"/>
      <w:start w:val="9"/>
    </w:lvl>
  </w:abstractNum>
  <w:abstractNum w:abstractNumId="479">
    <w:nsid w:val="13CD8DCB"/>
    <w:multiLevelType w:val="hybridMultilevel"/>
    <w:lvl w:ilvl="0">
      <w:lvlJc w:val="left"/>
      <w:lvlText w:val="(%1)"/>
      <w:numFmt w:val="lowerLetter"/>
      <w:start w:val="3"/>
    </w:lvl>
  </w:abstractNum>
  <w:abstractNum w:abstractNumId="480">
    <w:nsid w:val="563A1A5C"/>
    <w:multiLevelType w:val="hybridMultilevel"/>
    <w:lvl w:ilvl="0">
      <w:lvlJc w:val="left"/>
      <w:lvlText w:val="%1"/>
      <w:numFmt w:val="decimal"/>
      <w:start w:val="1"/>
    </w:lvl>
    <w:lvl w:ilvl="1">
      <w:lvlJc w:val="left"/>
      <w:lvlText w:val="(%2)"/>
      <w:numFmt w:val="lowerLetter"/>
      <w:start w:val="6"/>
    </w:lvl>
  </w:abstractNum>
  <w:abstractNum w:abstractNumId="481">
    <w:nsid w:val="2973F88F"/>
    <w:multiLevelType w:val="hybridMultilevel"/>
    <w:lvl w:ilvl="0">
      <w:lvlJc w:val="left"/>
      <w:lvlText w:val="(%1)"/>
      <w:numFmt w:val="decimal"/>
      <w:start w:val="1"/>
    </w:lvl>
    <w:lvl w:ilvl="1">
      <w:lvlJc w:val="left"/>
      <w:lvlText w:val="%2"/>
      <w:numFmt w:val="lowerLetter"/>
      <w:start w:val="1"/>
    </w:lvl>
  </w:abstractNum>
  <w:abstractNum w:abstractNumId="482">
    <w:nsid w:val="2C70EDAE"/>
    <w:multiLevelType w:val="hybridMultilevel"/>
    <w:lvl w:ilvl="0">
      <w:lvlJc w:val="left"/>
      <w:lvlText w:val="(%1)"/>
      <w:numFmt w:val="lowerLetter"/>
      <w:start w:val="1"/>
    </w:lvl>
    <w:lvl w:ilvl="1">
      <w:lvlJc w:val="left"/>
      <w:lvlText w:val="(%2)"/>
      <w:numFmt w:val="lowerLetter"/>
      <w:start w:val="9"/>
    </w:lvl>
  </w:abstractNum>
  <w:abstractNum w:abstractNumId="483">
    <w:nsid w:val="44296C6D"/>
    <w:multiLevelType w:val="hybridMultilevel"/>
    <w:lvl w:ilvl="0">
      <w:lvlJc w:val="left"/>
      <w:lvlText w:val="%1"/>
      <w:numFmt w:val="lowerRoman"/>
      <w:start w:val="1"/>
    </w:lvl>
    <w:lvl w:ilvl="1">
      <w:lvlJc w:val="left"/>
      <w:lvlText w:val="(%2)"/>
      <w:numFmt w:val="lowerLetter"/>
      <w:start w:val="1"/>
    </w:lvl>
  </w:abstractNum>
  <w:abstractNum w:abstractNumId="484">
    <w:nsid w:val="3A86D445"/>
    <w:multiLevelType w:val="hybridMultilevel"/>
    <w:lvl w:ilvl="0">
      <w:lvlJc w:val="left"/>
      <w:lvlText w:val="(%1)"/>
      <w:numFmt w:val="lowerRoman"/>
      <w:start w:val="8"/>
    </w:lvl>
    <w:lvl w:ilvl="1">
      <w:lvlJc w:val="left"/>
      <w:lvlText w:val="%2"/>
      <w:numFmt w:val="lowerLetter"/>
      <w:start w:val="1"/>
    </w:lvl>
  </w:abstractNum>
  <w:abstractNum w:abstractNumId="485">
    <w:nsid w:val="51F79246"/>
    <w:multiLevelType w:val="hybridMultilevel"/>
    <w:lvl w:ilvl="0">
      <w:lvlJc w:val="left"/>
      <w:lvlText w:val="(%1)"/>
      <w:numFmt w:val="lowerLetter"/>
      <w:start w:val="1"/>
    </w:lvl>
  </w:abstractNum>
  <w:abstractNum w:abstractNumId="486">
    <w:nsid w:val="5BC9A827"/>
    <w:multiLevelType w:val="hybridMultilevel"/>
    <w:lvl w:ilvl="0">
      <w:lvlJc w:val="left"/>
      <w:lvlText w:val="(%1)"/>
      <w:numFmt w:val="lowerLetter"/>
      <w:start w:val="1"/>
    </w:lvl>
  </w:abstractNum>
  <w:abstractNum w:abstractNumId="487">
    <w:nsid w:val="3AE37D86"/>
    <w:multiLevelType w:val="hybridMultilevel"/>
    <w:lvl w:ilvl="0">
      <w:lvlJc w:val="left"/>
      <w:lvlText w:val="(%1)"/>
      <w:numFmt w:val="lowerLetter"/>
      <w:start w:val="1"/>
    </w:lvl>
    <w:lvl w:ilvl="1">
      <w:lvlJc w:val="left"/>
      <w:lvlText w:val="(%2)"/>
      <w:numFmt w:val="lowerRoman"/>
      <w:start w:val="1"/>
    </w:lvl>
  </w:abstractNum>
  <w:abstractNum w:abstractNumId="488">
    <w:nsid w:val="45440FE5"/>
    <w:multiLevelType w:val="hybridMultilevel"/>
    <w:lvl w:ilvl="0">
      <w:lvlJc w:val="left"/>
      <w:lvlText w:val="(%1)"/>
      <w:numFmt w:val="lowerRoman"/>
      <w:start w:val="1"/>
    </w:lvl>
  </w:abstractNum>
  <w:abstractNum w:abstractNumId="489">
    <w:nsid w:val="BF783F"/>
    <w:multiLevelType w:val="hybridMultilevel"/>
    <w:lvl w:ilvl="0">
      <w:lvlJc w:val="left"/>
      <w:lvlText w:val="(%1)"/>
      <w:numFmt w:val="lowerRoman"/>
      <w:start w:val="4"/>
    </w:lvl>
    <w:lvl w:ilvl="1">
      <w:lvlJc w:val="left"/>
      <w:lvlText w:val="%2."/>
      <w:numFmt w:val="decimal"/>
      <w:start w:val="7"/>
    </w:lvl>
  </w:abstractNum>
  <w:abstractNum w:abstractNumId="490">
    <w:nsid w:val="22643E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1">
    <w:nsid w:val="1887578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92">
    <w:nsid w:val="58C05B8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93">
    <w:nsid w:val="38D82E7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4">
    <w:nsid w:val="1E41098A"/>
    <w:multiLevelType w:val="hybridMultilevel"/>
    <w:lvl w:ilvl="0">
      <w:lvlJc w:val="left"/>
      <w:lvlText w:val="%1"/>
      <w:numFmt w:val="decimal"/>
      <w:start w:val="1"/>
    </w:lvl>
    <w:lvl w:ilvl="1">
      <w:lvlJc w:val="left"/>
      <w:lvlText w:val="(%2)"/>
      <w:numFmt w:val="lowerLetter"/>
      <w:start w:val="2"/>
    </w:lvl>
  </w:abstractNum>
  <w:abstractNum w:abstractNumId="495">
    <w:nsid w:val="5398582C"/>
    <w:multiLevelType w:val="hybridMultilevel"/>
    <w:lvl w:ilvl="0">
      <w:lvlJc w:val="left"/>
      <w:lvlText w:val="%1."/>
      <w:numFmt w:val="decimal"/>
      <w:start w:val="4"/>
    </w:lvl>
    <w:lvl w:ilvl="1">
      <w:lvlJc w:val="left"/>
      <w:lvlText w:val="(%2)"/>
      <w:numFmt w:val="lowerLetter"/>
      <w:start w:val="1"/>
    </w:lvl>
  </w:abstractNum>
  <w:abstractNum w:abstractNumId="496">
    <w:nsid w:val="1C0D4475"/>
    <w:multiLevelType w:val="hybridMultilevel"/>
    <w:lvl w:ilvl="0">
      <w:lvlJc w:val="left"/>
      <w:lvlText w:val="(%1)"/>
      <w:numFmt w:val="lowerLetter"/>
      <w:start w:val="2"/>
    </w:lvl>
    <w:lvl w:ilvl="1">
      <w:lvlJc w:val="left"/>
      <w:lvlText w:val="(%2)"/>
      <w:numFmt w:val="lowerRoman"/>
      <w:start w:val="1"/>
    </w:lvl>
  </w:abstractNum>
  <w:abstractNum w:abstractNumId="497">
    <w:nsid w:val="2CB6A6A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98">
    <w:nsid w:val="41D646B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99">
    <w:nsid w:val="3694A76A"/>
    <w:multiLevelType w:val="hybridMultilevel"/>
    <w:lvl w:ilvl="0">
      <w:lvlJc w:val="left"/>
      <w:lvlText w:val="%1"/>
      <w:numFmt w:val="decimal"/>
      <w:start w:val="1"/>
    </w:lvl>
    <w:lvl w:ilvl="1">
      <w:lvlJc w:val="left"/>
      <w:lvlText w:val="(%2)"/>
      <w:numFmt w:val="lowerLetter"/>
      <w:start w:val="2"/>
    </w:lvl>
  </w:abstractNum>
  <w:abstractNum w:abstractNumId="500">
    <w:nsid w:val="2BF876EE"/>
    <w:multiLevelType w:val="hybridMultilevel"/>
    <w:lvl w:ilvl="0">
      <w:lvlJc w:val="left"/>
      <w:lvlText w:val="%1"/>
      <w:numFmt w:val="decimal"/>
      <w:start w:val="423"/>
    </w:lvl>
    <w:lvl w:ilvl="1">
      <w:lvlJc w:val="left"/>
      <w:lvlText w:val="(%2)"/>
      <w:numFmt w:val="lowerLetter"/>
      <w:start w:val="5"/>
    </w:lvl>
  </w:abstractNum>
  <w:abstractNum w:abstractNumId="501">
    <w:nsid w:val="675ADBA"/>
    <w:multiLevelType w:val="hybridMultilevel"/>
    <w:lvl w:ilvl="0">
      <w:lvlJc w:val="left"/>
      <w:lvlText w:val="%1."/>
      <w:numFmt w:val="decimal"/>
      <w:start w:val="8"/>
    </w:lvl>
    <w:lvl w:ilvl="1">
      <w:lvlJc w:val="left"/>
      <w:lvlText w:val="(%2)"/>
      <w:numFmt w:val="lowerLetter"/>
      <w:start w:val="1"/>
    </w:lvl>
  </w:abstractNum>
  <w:abstractNum w:abstractNumId="502">
    <w:nsid w:val="C12AC7F"/>
    <w:multiLevelType w:val="hybridMultilevel"/>
    <w:lvl w:ilvl="0">
      <w:lvlJc w:val="left"/>
      <w:lvlText w:val="%1"/>
      <w:numFmt w:val="decimal"/>
      <w:start w:val="1"/>
    </w:lvl>
    <w:lvl w:ilvl="1">
      <w:lvlJc w:val="left"/>
      <w:lvlText w:val="(%2)"/>
      <w:numFmt w:val="lowerLetter"/>
      <w:start w:val="3"/>
    </w:lvl>
  </w:abstractNum>
  <w:abstractNum w:abstractNumId="503">
    <w:nsid w:val="6798F039"/>
    <w:multiLevelType w:val="hybridMultilevel"/>
    <w:lvl w:ilvl="0">
      <w:lvlJc w:val="left"/>
      <w:lvlText w:val="%1."/>
      <w:numFmt w:val="decimal"/>
      <w:start w:val="9"/>
    </w:lvl>
    <w:lvl w:ilvl="1">
      <w:lvlJc w:val="left"/>
      <w:lvlText w:val="%2"/>
      <w:numFmt w:val="lowerLetter"/>
      <w:start w:val="1"/>
    </w:lvl>
  </w:abstractNum>
  <w:abstractNum w:abstractNumId="504">
    <w:nsid w:val="70837C02"/>
    <w:multiLevelType w:val="hybridMultilevel"/>
    <w:lvl w:ilvl="0">
      <w:lvlJc w:val="left"/>
      <w:lvlText w:val="%1."/>
      <w:numFmt w:val="decimal"/>
      <w:start w:val="10"/>
    </w:lvl>
    <w:lvl w:ilvl="1">
      <w:lvlJc w:val="left"/>
      <w:lvlText w:val="(%2)"/>
      <w:numFmt w:val="lowerLetter"/>
      <w:start w:val="1"/>
    </w:lvl>
  </w:abstractNum>
  <w:abstractNum w:abstractNumId="505">
    <w:nsid w:val="7E4A5715"/>
    <w:multiLevelType w:val="hybridMultilevel"/>
    <w:lvl w:ilvl="0">
      <w:lvlJc w:val="left"/>
      <w:lvlText w:val="%1."/>
      <w:numFmt w:val="decimal"/>
      <w:start w:val="11"/>
    </w:lvl>
    <w:lvl w:ilvl="1">
      <w:lvlJc w:val="left"/>
      <w:lvlText w:val="(%2)"/>
      <w:numFmt w:val="lowerLetter"/>
      <w:start w:val="1"/>
    </w:lvl>
  </w:abstractNum>
  <w:abstractNum w:abstractNumId="506">
    <w:nsid w:val="42B8AC67"/>
    <w:multiLevelType w:val="hybridMultilevel"/>
    <w:lvl w:ilvl="0">
      <w:lvlJc w:val="left"/>
      <w:lvlText w:val="(%1)"/>
      <w:numFmt w:val="lowerLetter"/>
      <w:start w:val="2"/>
    </w:lvl>
  </w:abstractNum>
  <w:abstractNum w:abstractNumId="507">
    <w:nsid w:val="246348EA"/>
    <w:multiLevelType w:val="hybridMultilevel"/>
    <w:lvl w:ilvl="0">
      <w:lvlJc w:val="left"/>
      <w:lvlText w:val="%1."/>
      <w:numFmt w:val="decimal"/>
      <w:start w:val="13"/>
    </w:lvl>
    <w:lvl w:ilvl="1">
      <w:lvlJc w:val="left"/>
      <w:lvlText w:val="(%2)"/>
      <w:numFmt w:val="lowerLetter"/>
      <w:start w:val="1"/>
    </w:lvl>
  </w:abstractNum>
  <w:abstractNum w:abstractNumId="508">
    <w:nsid w:val="170EB52B"/>
    <w:multiLevelType w:val="hybridMultilevel"/>
    <w:lvl w:ilvl="0">
      <w:lvlJc w:val="left"/>
      <w:lvlText w:val="%1."/>
      <w:numFmt w:val="decimal"/>
      <w:start w:val="15"/>
    </w:lvl>
    <w:lvl w:ilvl="1">
      <w:lvlJc w:val="left"/>
      <w:lvlText w:val="(%2)"/>
      <w:numFmt w:val="lowerLetter"/>
      <w:start w:val="1"/>
    </w:lvl>
  </w:abstractNum>
  <w:abstractNum w:abstractNumId="509">
    <w:nsid w:val="2DFBCB8C"/>
    <w:multiLevelType w:val="hybridMultilevel"/>
    <w:lvl w:ilvl="0">
      <w:lvlJc w:val="left"/>
      <w:lvlText w:val="(%1)"/>
      <w:numFmt w:val="lowerLetter"/>
      <w:start w:val="2"/>
    </w:lvl>
  </w:abstractNum>
  <w:abstractNum w:abstractNumId="510">
    <w:nsid w:val="3830D6B6"/>
    <w:multiLevelType w:val="hybridMultilevel"/>
    <w:lvl w:ilvl="0">
      <w:lvlJc w:val="left"/>
      <w:lvlText w:val="%1."/>
      <w:numFmt w:val="decimal"/>
      <w:start w:val="16"/>
    </w:lvl>
  </w:abstractNum>
  <w:abstractNum w:abstractNumId="511">
    <w:nsid w:val="6D48CF87"/>
    <w:multiLevelType w:val="hybridMultilevel"/>
    <w:lvl w:ilvl="0">
      <w:lvlJc w:val="left"/>
      <w:lvlText w:val="(%1)"/>
      <w:numFmt w:val="lowerLetter"/>
      <w:start w:val="1"/>
    </w:lvl>
  </w:abstractNum>
  <w:abstractNum w:abstractNumId="512">
    <w:nsid w:val="576FC41B"/>
    <w:multiLevelType w:val="hybridMultilevel"/>
    <w:lvl w:ilvl="0">
      <w:lvlJc w:val="left"/>
      <w:lvlText w:val="(%1)"/>
      <w:numFmt w:val="lowerLetter"/>
      <w:start w:val="6"/>
    </w:lvl>
    <w:lvl w:ilvl="1">
      <w:lvlJc w:val="left"/>
      <w:lvlText w:val="(%2)"/>
      <w:numFmt w:val="lowerRoman"/>
      <w:start w:val="1"/>
    </w:lvl>
  </w:abstractNum>
  <w:abstractNum w:abstractNumId="513">
    <w:nsid w:val="64A1C464"/>
    <w:multiLevelType w:val="hybridMultilevel"/>
    <w:lvl w:ilvl="0">
      <w:lvlJc w:val="left"/>
      <w:lvlText w:val="(%1)"/>
      <w:numFmt w:val="lowerLetter"/>
      <w:start w:val="17"/>
    </w:lvl>
    <w:lvl w:ilvl="1">
      <w:lvlJc w:val="left"/>
      <w:lvlText w:val="(%2)"/>
      <w:numFmt w:val="lowerRoman"/>
      <w:start w:val="1"/>
    </w:lvl>
  </w:abstractNum>
  <w:abstractNum w:abstractNumId="514">
    <w:nsid w:val="31723BF5"/>
    <w:multiLevelType w:val="hybridMultilevel"/>
    <w:lvl w:ilvl="0">
      <w:lvlJc w:val="left"/>
      <w:lvlText w:val="(%1)"/>
      <w:numFmt w:val="lowerLetter"/>
      <w:start w:val="24"/>
    </w:lvl>
  </w:abstractNum>
  <w:abstractNum w:abstractNumId="515">
    <w:nsid w:val="11F69861"/>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2024-05-21T05:58:14Z</dcterms:created>
  <dcterms:modified xsi:type="dcterms:W3CDTF">2024-05-21T05:58:14Z</dcterms:modified>
</cp:coreProperties>
</file>