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04,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Tempus AI,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35"/>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001-42130</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47-4903308</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24"/>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8"/>
              </w:rPr>
              <w:t>600 West Chicago Avenue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9"/>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510</w:t>
            </w:r>
          </w:p>
        </w:tc>
        <w:tc>
          <w:tcPr>
            <w:tcW w:w="32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35"/>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Chicago, Illinois</w:t>
            </w:r>
          </w:p>
        </w:tc>
        <w:tc>
          <w:tcPr>
            <w:tcW w:w="326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60654</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800 976-5448</w:t>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256540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TEM</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November 4, 2024, Tempus AI, Inc. (the “Company”) issued a press release regarding its financial results for the quarter ended September 30, 2024. A copy of the press release is furnished as Exhibit 99.1 to this Current Report on Form 8-K.</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Item 2.02 of this Current Report on Form 8-K, including the accompanying Exhibit 99.1, is intended to be furnished and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(the “Securities Act”), or the Exchange Act, except as expressly set forth by specific reference in such filling.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November 4, 2024, the Company made available on the “Events” page of its investor relations website at http://investors.tempus.com supplemental financial information for the quarter ended September 30, 2024 and a letter from its Chief Executive Officer and Chief Financial Officer. The contents of the Company’s website referenced in this Current Report on Form 8-K are not incorporated into this Current Report on Form 8-K. The information in Item 7.01 of this Current Report on Form 8-K is intended to be furnished and shall not be deemed “filed” for purposes of Section 18 of the Exchange Act, or otherwise subject to the liabilities of that section, nor shall it be deemed incorporated by reference into any filing under the Securities Act or the Exchange Act, except as expressly set forth by specific reference in such filling.</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routinely uses its investor relations website (http://investors.tempus.com) to post presentations to investors and other important information, including information that may be material. Accordingly, the Company encourages investors and others interested in the Company to review the information it makes public on its investor relations website.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124" w:lineRule="exact"/>
        <w:rPr>
          <w:sz w:val="20"/>
          <w:szCs w:val="20"/>
          <w:color w:val="auto"/>
        </w:rPr>
      </w:pPr>
    </w:p>
    <w:p>
      <w:pPr>
        <w:ind w:left="140"/>
        <w:spacing w:after="0"/>
        <w:tabs>
          <w:tab w:leader="none" w:pos="9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issued by Tempus AI, Inc. dated November 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-7620</wp:posOffset>
            </wp:positionV>
            <wp:extent cx="30283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28315" cy="8890"/>
                    </a:xfrm>
                    <a:prstGeom prst="rect">
                      <a:avLst/>
                    </a:prstGeom>
                    <a:noFill/>
                  </pic:spPr>
                </pic:pic>
              </a:graphicData>
            </a:graphic>
          </wp:anchor>
        </w:drawing>
      </w:r>
    </w:p>
    <w:p>
      <w:pPr>
        <w:spacing w:after="0" w:line="124" w:lineRule="exact"/>
        <w:rPr>
          <w:sz w:val="20"/>
          <w:szCs w:val="20"/>
          <w:color w:val="auto"/>
        </w:rPr>
      </w:pPr>
    </w:p>
    <w:p>
      <w:pPr>
        <w:ind w:left="140"/>
        <w:spacing w:after="0"/>
        <w:tabs>
          <w:tab w:leader="none" w:pos="9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9" w:right="41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200" w:lineRule="exact"/>
        <w:rPr>
          <w:sz w:val="20"/>
          <w:szCs w:val="20"/>
          <w:color w:val="auto"/>
        </w:rPr>
      </w:pPr>
    </w:p>
    <w:p>
      <w:pPr>
        <w:spacing w:after="0" w:line="205" w:lineRule="exact"/>
        <w:rPr>
          <w:sz w:val="20"/>
          <w:szCs w:val="20"/>
          <w:color w:val="auto"/>
        </w:rPr>
      </w:pPr>
    </w:p>
    <w:p>
      <w:pPr>
        <w:ind w:left="20"/>
        <w:spacing w:after="0"/>
        <w:tabs>
          <w:tab w:leader="none" w:pos="72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James Rogers</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Tempus Reports Third Quarter 2024 Results and Agreement to Acquire Ambry Genetics</w:t>
      </w:r>
    </w:p>
    <w:p>
      <w:pPr>
        <w:spacing w:after="0" w:line="225"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CHICAGO, November 4, 2024 </w:t>
      </w:r>
      <w:r>
        <w:rPr>
          <w:rFonts w:ascii="Times New Roman" w:cs="Times New Roman" w:eastAsia="Times New Roman" w:hAnsi="Times New Roman"/>
          <w:sz w:val="18"/>
          <w:szCs w:val="18"/>
          <w:color w:val="auto"/>
        </w:rPr>
        <w:t>— Tempus AI, Inc. (NASDAQ: TEM), a technology company leading the adoption of AI to advance precision medicine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patient care, today reported financial results for the quarter that ended September 30, 2024. The company also announced that it has entered into an agreement to acquire Ambry Genetics, a leader in genetic testing that aims to improve health by understanding the relationship between genetics and disease.</w:t>
      </w:r>
    </w:p>
    <w:p>
      <w:pPr>
        <w:spacing w:after="0" w:line="180" w:lineRule="exact"/>
        <w:rPr>
          <w:sz w:val="20"/>
          <w:szCs w:val="20"/>
          <w:color w:val="auto"/>
        </w:rPr>
      </w:pPr>
    </w:p>
    <w:p>
      <w:pPr>
        <w:ind w:left="1140" w:hanging="368"/>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33.0% year-over-year to $180.9 million in the third quarter of 2024</w:t>
      </w:r>
    </w:p>
    <w:p>
      <w:pPr>
        <w:spacing w:after="0" w:line="117" w:lineRule="exact"/>
        <w:rPr>
          <w:rFonts w:ascii="Times New Roman" w:cs="Times New Roman" w:eastAsia="Times New Roman" w:hAnsi="Times New Roman"/>
          <w:sz w:val="18"/>
          <w:szCs w:val="18"/>
          <w:color w:val="auto"/>
        </w:rPr>
      </w:pPr>
    </w:p>
    <w:p>
      <w:pPr>
        <w:ind w:left="1140" w:hanging="368"/>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and services revenue growth accelerated to 64.4% year-over-year</w:t>
      </w:r>
    </w:p>
    <w:p>
      <w:pPr>
        <w:spacing w:after="0" w:line="117" w:lineRule="exact"/>
        <w:rPr>
          <w:rFonts w:ascii="Times New Roman" w:cs="Times New Roman" w:eastAsia="Times New Roman" w:hAnsi="Times New Roman"/>
          <w:sz w:val="18"/>
          <w:szCs w:val="18"/>
          <w:color w:val="auto"/>
        </w:rPr>
      </w:pPr>
    </w:p>
    <w:p>
      <w:pPr>
        <w:ind w:left="1140" w:hanging="368"/>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Genomics unit growth accelerated to 23.9% annually with rising average revenue per clinical test</w:t>
      </w:r>
    </w:p>
    <w:p>
      <w:pPr>
        <w:spacing w:after="0" w:line="117" w:lineRule="exact"/>
        <w:rPr>
          <w:rFonts w:ascii="Times New Roman" w:cs="Times New Roman" w:eastAsia="Times New Roman" w:hAnsi="Times New Roman"/>
          <w:sz w:val="18"/>
          <w:szCs w:val="18"/>
          <w:color w:val="auto"/>
        </w:rPr>
      </w:pPr>
    </w:p>
    <w:p>
      <w:pPr>
        <w:ind w:left="1140" w:hanging="368"/>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$(75.8 million), which included $22.2 million of stock compensation expense and related employer payroll taxes</w:t>
      </w:r>
    </w:p>
    <w:p>
      <w:pPr>
        <w:spacing w:after="0" w:line="117" w:lineRule="exact"/>
        <w:rPr>
          <w:rFonts w:ascii="Times New Roman" w:cs="Times New Roman" w:eastAsia="Times New Roman" w:hAnsi="Times New Roman"/>
          <w:sz w:val="18"/>
          <w:szCs w:val="18"/>
          <w:color w:val="auto"/>
        </w:rPr>
      </w:pPr>
    </w:p>
    <w:p>
      <w:pPr>
        <w:ind w:left="1140" w:hanging="368"/>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improved $14.4 million year over year to $(21.8 million)</w:t>
      </w:r>
    </w:p>
    <w:p>
      <w:pPr>
        <w:spacing w:after="0" w:line="117" w:lineRule="exact"/>
        <w:rPr>
          <w:rFonts w:ascii="Times New Roman" w:cs="Times New Roman" w:eastAsia="Times New Roman" w:hAnsi="Times New Roman"/>
          <w:sz w:val="18"/>
          <w:szCs w:val="18"/>
          <w:color w:val="auto"/>
        </w:rPr>
      </w:pPr>
    </w:p>
    <w:p>
      <w:pPr>
        <w:ind w:left="1140" w:hanging="368"/>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 full year 2024 revenue of ~$700 million, which represents ~32% annual growth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on the quarter, including a letter from our CEO and CFO, please visit our investors relations site at investors.tempus.com.</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overall business performed well in the quarter, as demonstrated by accelerating volume growth in our genomics business and accelerating revenue growth in our data and services business, specifically within Insights,” said Eric Lefkofsky, Founder and CEO of Tempus. “We’re also excited to announce the pending acquisition of Ambry Genetics, which broadens our testing portfolio, expands our disease coverage, and enhances the types of products we can offer to our biotech and pharmaceutical partners. In addition, Ambry is uniquely positioned given that its revenues are currently growing at north of 25% a year and it generates meaningful EBITDA and cash flow.”</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2024 Financial Results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0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540" w:type="dxa"/>
            <w:vAlign w:val="bottom"/>
            <w:gridSpan w:val="3"/>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66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6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73"/>
              </w:rPr>
              <w:t>except</w:t>
            </w:r>
          </w:p>
        </w:tc>
        <w:tc>
          <w:tcPr>
            <w:tcW w:w="1320" w:type="dxa"/>
            <w:vAlign w:val="bottom"/>
            <w:tcBorders>
              <w:top w:val="single" w:sz="8" w:color="auto"/>
            </w:tcBorders>
            <w:gridSpan w:val="2"/>
          </w:tcPr>
          <w:p>
            <w:pPr>
              <w:jc w:val="right"/>
              <w:ind w:right="332"/>
              <w:spacing w:after="0" w:line="158" w:lineRule="exact"/>
              <w:rPr>
                <w:sz w:val="20"/>
                <w:szCs w:val="20"/>
                <w:color w:val="auto"/>
              </w:rPr>
            </w:pPr>
            <w:r>
              <w:rPr>
                <w:rFonts w:ascii="Times New Roman" w:cs="Times New Roman" w:eastAsia="Times New Roman" w:hAnsi="Times New Roman"/>
                <w:sz w:val="14"/>
                <w:szCs w:val="14"/>
                <w:b w:val="1"/>
                <w:bCs w:val="1"/>
                <w:color w:val="auto"/>
              </w:rPr>
              <w:t>percentages)</w:t>
            </w:r>
          </w:p>
        </w:tc>
        <w:tc>
          <w:tcPr>
            <w:tcW w:w="200" w:type="dxa"/>
            <w:vAlign w:val="bottom"/>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6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gridSpan w:val="3"/>
          </w:tcPr>
          <w:p>
            <w:pPr>
              <w:jc w:val="center"/>
              <w:ind w:left="65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GAAP Results</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180,929</w:t>
            </w:r>
          </w:p>
        </w:tc>
        <w:tc>
          <w:tcPr>
            <w:tcW w:w="260" w:type="dxa"/>
            <w:vAlign w:val="bottom"/>
          </w:tcPr>
          <w:p>
            <w:pPr>
              <w:spacing w:after="0"/>
              <w:rPr>
                <w:sz w:val="20"/>
                <w:szCs w:val="20"/>
                <w:color w:val="auto"/>
              </w:rPr>
            </w:pP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136,057</w:t>
            </w:r>
          </w:p>
        </w:tc>
        <w:tc>
          <w:tcPr>
            <w:tcW w:w="20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33.0 %</w:t>
            </w:r>
          </w:p>
        </w:tc>
        <w:tc>
          <w:tcPr>
            <w:tcW w:w="0" w:type="dxa"/>
            <w:vAlign w:val="bottom"/>
          </w:tcPr>
          <w:p>
            <w:pPr>
              <w:spacing w:after="0"/>
              <w:rPr>
                <w:sz w:val="1"/>
                <w:szCs w:val="1"/>
                <w:color w:val="auto"/>
              </w:rPr>
            </w:pPr>
          </w:p>
        </w:tc>
      </w:tr>
      <w:tr>
        <w:trPr>
          <w:trHeight w:val="252"/>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Genomics gross margin</w:t>
            </w:r>
          </w:p>
        </w:tc>
        <w:tc>
          <w:tcPr>
            <w:tcW w:w="2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48.4 %</w:t>
            </w:r>
          </w:p>
        </w:tc>
        <w:tc>
          <w:tcPr>
            <w:tcW w:w="3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51.9 %</w:t>
            </w:r>
          </w:p>
        </w:tc>
        <w:tc>
          <w:tcPr>
            <w:tcW w:w="1480" w:type="dxa"/>
            <w:vAlign w:val="bottom"/>
            <w:gridSpan w:val="2"/>
            <w:shd w:val="clear" w:color="auto" w:fill="CFF0FC"/>
          </w:tcPr>
          <w:p>
            <w:pPr>
              <w:jc w:val="right"/>
              <w:ind w:right="120"/>
              <w:spacing w:after="0" w:line="252" w:lineRule="exact"/>
              <w:rPr>
                <w:sz w:val="20"/>
                <w:szCs w:val="20"/>
                <w:color w:val="auto"/>
              </w:rPr>
            </w:pPr>
            <w:r>
              <w:rPr>
                <w:rFonts w:ascii="Times New Roman" w:cs="Times New Roman" w:eastAsia="Times New Roman" w:hAnsi="Times New Roman"/>
                <w:sz w:val="29"/>
                <w:szCs w:val="29"/>
                <w:color w:val="auto"/>
                <w:vertAlign w:val="subscript"/>
              </w:rPr>
              <w:t>NM</w:t>
            </w:r>
            <w:r>
              <w:rPr>
                <w:rFonts w:ascii="Times New Roman" w:cs="Times New Roman" w:eastAsia="Times New Roman" w:hAnsi="Times New Roman"/>
                <w:sz w:val="11"/>
                <w:szCs w:val="11"/>
                <w:color w:val="auto"/>
              </w:rPr>
              <w:t>(1)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Data and services gross margin</w:t>
            </w:r>
          </w:p>
        </w:tc>
        <w:tc>
          <w:tcPr>
            <w:tcW w:w="220" w:type="dxa"/>
            <w:vAlign w:val="bottom"/>
          </w:tcPr>
          <w:p>
            <w:pPr>
              <w:spacing w:after="0"/>
              <w:rPr>
                <w:sz w:val="21"/>
                <w:szCs w:val="21"/>
                <w:color w:val="auto"/>
              </w:rPr>
            </w:pPr>
          </w:p>
        </w:tc>
        <w:tc>
          <w:tcPr>
            <w:tcW w:w="138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76.8 %</w:t>
            </w:r>
          </w:p>
        </w:tc>
        <w:tc>
          <w:tcPr>
            <w:tcW w:w="36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60.5 %</w:t>
            </w:r>
          </w:p>
        </w:tc>
        <w:tc>
          <w:tcPr>
            <w:tcW w:w="1480" w:type="dxa"/>
            <w:vAlign w:val="bottom"/>
            <w:gridSpan w:val="2"/>
          </w:tcPr>
          <w:p>
            <w:pPr>
              <w:jc w:val="right"/>
              <w:ind w:right="120"/>
              <w:spacing w:after="0" w:line="243" w:lineRule="exact"/>
              <w:rPr>
                <w:sz w:val="20"/>
                <w:szCs w:val="20"/>
                <w:color w:val="auto"/>
              </w:rPr>
            </w:pPr>
            <w:r>
              <w:rPr>
                <w:rFonts w:ascii="Times New Roman" w:cs="Times New Roman" w:eastAsia="Times New Roman" w:hAnsi="Times New Roman"/>
                <w:sz w:val="28"/>
                <w:szCs w:val="28"/>
                <w:color w:val="auto"/>
                <w:vertAlign w:val="subscript"/>
              </w:rPr>
              <w:t>NM</w:t>
            </w:r>
            <w:r>
              <w:rPr>
                <w:rFonts w:ascii="Times New Roman" w:cs="Times New Roman" w:eastAsia="Times New Roman" w:hAnsi="Times New Roman"/>
                <w:sz w:val="11"/>
                <w:szCs w:val="11"/>
                <w:color w:val="auto"/>
              </w:rPr>
              <w:t>(1)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159,455</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118,816</w:t>
            </w:r>
          </w:p>
        </w:tc>
        <w:tc>
          <w:tcPr>
            <w:tcW w:w="2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20"/>
              <w:spacing w:after="0" w:line="243" w:lineRule="exact"/>
              <w:rPr>
                <w:sz w:val="20"/>
                <w:szCs w:val="20"/>
                <w:color w:val="auto"/>
              </w:rPr>
            </w:pPr>
            <w:r>
              <w:rPr>
                <w:rFonts w:ascii="Times New Roman" w:cs="Times New Roman" w:eastAsia="Times New Roman" w:hAnsi="Times New Roman"/>
                <w:sz w:val="28"/>
                <w:szCs w:val="28"/>
                <w:color w:val="auto"/>
                <w:vertAlign w:val="subscript"/>
              </w:rPr>
              <w:t>NM</w:t>
            </w:r>
            <w:r>
              <w:rPr>
                <w:rFonts w:ascii="Times New Roman" w:cs="Times New Roman" w:eastAsia="Times New Roman" w:hAnsi="Times New Roman"/>
                <w:sz w:val="11"/>
                <w:szCs w:val="11"/>
                <w:color w:val="auto"/>
              </w:rPr>
              <w:t>(1)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33"/>
              <w:spacing w:after="0"/>
              <w:rPr>
                <w:sz w:val="20"/>
                <w:szCs w:val="20"/>
                <w:color w:val="auto"/>
              </w:rPr>
            </w:pPr>
            <w:r>
              <w:rPr>
                <w:rFonts w:ascii="Times New Roman" w:cs="Times New Roman" w:eastAsia="Times New Roman" w:hAnsi="Times New Roman"/>
                <w:sz w:val="18"/>
                <w:szCs w:val="18"/>
                <w:color w:val="auto"/>
              </w:rPr>
              <w:t>(75,840 )</w:t>
            </w: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(53,426 )</w:t>
            </w:r>
          </w:p>
        </w:tc>
        <w:tc>
          <w:tcPr>
            <w:tcW w:w="1480" w:type="dxa"/>
            <w:vAlign w:val="bottom"/>
            <w:gridSpan w:val="2"/>
          </w:tcPr>
          <w:p>
            <w:pPr>
              <w:jc w:val="right"/>
              <w:ind w:right="120"/>
              <w:spacing w:after="0" w:line="243" w:lineRule="exact"/>
              <w:rPr>
                <w:sz w:val="20"/>
                <w:szCs w:val="20"/>
                <w:color w:val="auto"/>
              </w:rPr>
            </w:pPr>
            <w:r>
              <w:rPr>
                <w:rFonts w:ascii="Times New Roman" w:cs="Times New Roman" w:eastAsia="Times New Roman" w:hAnsi="Times New Roman"/>
                <w:sz w:val="28"/>
                <w:szCs w:val="28"/>
                <w:color w:val="auto"/>
                <w:vertAlign w:val="subscript"/>
              </w:rPr>
              <w:t>NM</w:t>
            </w:r>
            <w:r>
              <w:rPr>
                <w:rFonts w:ascii="Times New Roman" w:cs="Times New Roman" w:eastAsia="Times New Roman" w:hAnsi="Times New Roman"/>
                <w:sz w:val="11"/>
                <w:szCs w:val="11"/>
                <w:color w:val="auto"/>
              </w:rPr>
              <w:t>(1)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Non-GAAP Results</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Genomics gross margin</w:t>
            </w:r>
          </w:p>
        </w:tc>
        <w:tc>
          <w:tcPr>
            <w:tcW w:w="220" w:type="dxa"/>
            <w:vAlign w:val="bottom"/>
          </w:tcPr>
          <w:p>
            <w:pPr>
              <w:spacing w:after="0"/>
              <w:rPr>
                <w:sz w:val="20"/>
                <w:szCs w:val="20"/>
                <w:color w:val="auto"/>
              </w:rPr>
            </w:pPr>
          </w:p>
        </w:tc>
        <w:tc>
          <w:tcPr>
            <w:tcW w:w="138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49.3 %</w:t>
            </w:r>
          </w:p>
        </w:tc>
        <w:tc>
          <w:tcPr>
            <w:tcW w:w="3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51.9 %</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(260 bps)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Non-GAAP Data and services gross margin</w:t>
            </w:r>
          </w:p>
        </w:tc>
        <w:tc>
          <w:tcPr>
            <w:tcW w:w="2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78.3 %</w:t>
            </w:r>
          </w:p>
        </w:tc>
        <w:tc>
          <w:tcPr>
            <w:tcW w:w="3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60.5 %</w:t>
            </w: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1780 bps</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139,284</w:t>
            </w:r>
          </w:p>
        </w:tc>
        <w:tc>
          <w:tcPr>
            <w:tcW w:w="260" w:type="dxa"/>
            <w:vAlign w:val="bottom"/>
          </w:tcPr>
          <w:p>
            <w:pPr>
              <w:spacing w:after="0"/>
              <w:rPr>
                <w:sz w:val="20"/>
                <w:szCs w:val="20"/>
                <w:color w:val="auto"/>
              </w:rPr>
            </w:pP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118,816</w:t>
            </w:r>
          </w:p>
        </w:tc>
        <w:tc>
          <w:tcPr>
            <w:tcW w:w="20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0" w:type="dxa"/>
            <w:vAlign w:val="bottom"/>
          </w:tcPr>
          <w:p>
            <w:pPr>
              <w:spacing w:after="0"/>
              <w:rPr>
                <w:sz w:val="1"/>
                <w:szCs w:val="1"/>
                <w:color w:val="auto"/>
              </w:rPr>
            </w:pP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33"/>
              <w:spacing w:after="0"/>
              <w:rPr>
                <w:sz w:val="20"/>
                <w:szCs w:val="20"/>
                <w:color w:val="auto"/>
              </w:rPr>
            </w:pPr>
            <w:r>
              <w:rPr>
                <w:rFonts w:ascii="Times New Roman" w:cs="Times New Roman" w:eastAsia="Times New Roman" w:hAnsi="Times New Roman"/>
                <w:sz w:val="18"/>
                <w:szCs w:val="18"/>
                <w:color w:val="auto"/>
              </w:rPr>
              <w:t>(21,843 )</w:t>
            </w: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(36,206 )</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9512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78" w:lineRule="exact"/>
        <w:rPr>
          <w:sz w:val="20"/>
          <w:szCs w:val="20"/>
          <w:color w:val="auto"/>
        </w:rPr>
      </w:pPr>
    </w:p>
    <w:p>
      <w:pPr>
        <w:ind w:left="360" w:hanging="352"/>
        <w:spacing w:after="0"/>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meaningful due to the impact of including stock compensation expense and related employer payroll taxes</w:t>
      </w:r>
    </w:p>
    <w:p>
      <w:pPr>
        <w:spacing w:after="0" w:line="117" w:lineRule="exact"/>
        <w:rPr>
          <w:rFonts w:ascii="Times New Roman" w:cs="Times New Roman" w:eastAsia="Times New Roman" w:hAnsi="Times New Roman"/>
          <w:sz w:val="18"/>
          <w:szCs w:val="18"/>
          <w:color w:val="auto"/>
        </w:rPr>
      </w:pPr>
    </w:p>
    <w:p>
      <w:pPr>
        <w:ind w:left="1160" w:right="160" w:hanging="388"/>
        <w:spacing w:after="0" w:line="282" w:lineRule="auto"/>
        <w:tabs>
          <w:tab w:leader="none" w:pos="113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Genomics revenue of $116.4 million in the third quarter of 2024, an increase of $19.6 million or 20.3% over the third quarter of 2023, with 23.9% unit growth.</w:t>
      </w:r>
    </w:p>
    <w:p>
      <w:pPr>
        <w:spacing w:after="0" w:line="53" w:lineRule="exact"/>
        <w:rPr>
          <w:rFonts w:ascii="Times New Roman" w:cs="Times New Roman" w:eastAsia="Times New Roman" w:hAnsi="Times New Roman"/>
          <w:sz w:val="18"/>
          <w:szCs w:val="18"/>
          <w:color w:val="auto"/>
        </w:rPr>
      </w:pPr>
    </w:p>
    <w:p>
      <w:pPr>
        <w:ind w:left="1140" w:hanging="368"/>
        <w:spacing w:after="0"/>
        <w:tabs>
          <w:tab w:leader="none" w:pos="11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and services revenue of $64.5 million in the third quarter of 2024, an increase of $25.3 million or 64.4% over the third quarter of 2023.</w:t>
      </w:r>
    </w:p>
    <w:p>
      <w:pPr>
        <w:spacing w:after="0" w:line="117" w:lineRule="exact"/>
        <w:rPr>
          <w:rFonts w:ascii="Times New Roman" w:cs="Times New Roman" w:eastAsia="Times New Roman" w:hAnsi="Times New Roman"/>
          <w:sz w:val="18"/>
          <w:szCs w:val="18"/>
          <w:color w:val="auto"/>
        </w:rPr>
      </w:pPr>
    </w:p>
    <w:p>
      <w:pPr>
        <w:ind w:left="1160" w:right="140" w:hanging="388"/>
        <w:spacing w:after="0" w:line="282" w:lineRule="auto"/>
        <w:tabs>
          <w:tab w:leader="none" w:pos="113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Genomics gross margin was 49.3% in the third quarter of 2024, compared to 51.9% in the third quarter of 2023, largely related to one-time cash payments in 2023.</w:t>
      </w:r>
    </w:p>
    <w:p>
      <w:pPr>
        <w:spacing w:after="0" w:line="53" w:lineRule="exact"/>
        <w:rPr>
          <w:rFonts w:ascii="Times New Roman" w:cs="Times New Roman" w:eastAsia="Times New Roman" w:hAnsi="Times New Roman"/>
          <w:sz w:val="18"/>
          <w:szCs w:val="18"/>
          <w:color w:val="auto"/>
        </w:rPr>
      </w:pPr>
    </w:p>
    <w:p>
      <w:pPr>
        <w:ind w:left="1160" w:right="180" w:hanging="388"/>
        <w:spacing w:after="0" w:line="282" w:lineRule="auto"/>
        <w:tabs>
          <w:tab w:leader="none" w:pos="113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Data and services gross margin was 78.3% in the third quarter of 2024, compared to 60.5% in the third quarter of 2023, led by Insights, or data licensing revenue, which grew 86.6% year over year.</w:t>
      </w:r>
    </w:p>
    <w:p>
      <w:pPr>
        <w:spacing w:after="0" w:line="53" w:lineRule="exact"/>
        <w:rPr>
          <w:rFonts w:ascii="Times New Roman" w:cs="Times New Roman" w:eastAsia="Times New Roman" w:hAnsi="Times New Roman"/>
          <w:sz w:val="18"/>
          <w:szCs w:val="18"/>
          <w:color w:val="auto"/>
        </w:rPr>
      </w:pPr>
    </w:p>
    <w:p>
      <w:pPr>
        <w:ind w:left="1160" w:right="60" w:hanging="388"/>
        <w:spacing w:after="0" w:line="266" w:lineRule="auto"/>
        <w:tabs>
          <w:tab w:leader="none" w:pos="113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$(75.8 million), which included $22.2 million of stock compensation and related employer payroll taxes compared to net loss of ($552.2 million) in the second quarter of 2024, including $493.1 million of stock compensation and related employer taxes and net loss of ($53.4 million) in the third quarter of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453390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5" w:right="279" w:bottom="1440" w:gutter="0" w:footer="0" w:header="0"/>
        </w:sectPr>
      </w:pPr>
    </w:p>
    <w:bookmarkStart w:id="4" w:name="page5"/>
    <w:bookmarkEnd w:id="4"/>
    <w:p>
      <w:pPr>
        <w:ind w:left="1160" w:right="500" w:hanging="388"/>
        <w:spacing w:after="0" w:line="282" w:lineRule="auto"/>
        <w:tabs>
          <w:tab w:leader="none" w:pos="113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$(21.8 million) in the third quarter of 2024, compared to $(31.2 million) in the second quarter of 2024, and $(36.2 million) in the third quarter of 2023.</w:t>
      </w:r>
    </w:p>
    <w:p>
      <w:pPr>
        <w:spacing w:after="0" w:line="53" w:lineRule="exact"/>
        <w:rPr>
          <w:rFonts w:ascii="Times New Roman" w:cs="Times New Roman" w:eastAsia="Times New Roman" w:hAnsi="Times New Roman"/>
          <w:sz w:val="18"/>
          <w:szCs w:val="18"/>
          <w:color w:val="auto"/>
        </w:rPr>
      </w:pPr>
    </w:p>
    <w:p>
      <w:pPr>
        <w:ind w:left="1140" w:hanging="368"/>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Ending cash and marketable securities were $466.3 million.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Operating Highlights</w:t>
      </w:r>
    </w:p>
    <w:p>
      <w:pPr>
        <w:spacing w:after="0" w:line="121" w:lineRule="exact"/>
        <w:rPr>
          <w:sz w:val="20"/>
          <w:szCs w:val="20"/>
          <w:color w:val="auto"/>
        </w:rPr>
      </w:pPr>
    </w:p>
    <w:p>
      <w:pPr>
        <w:ind w:left="1160" w:right="380" w:hanging="388"/>
        <w:spacing w:after="0" w:line="282" w:lineRule="auto"/>
        <w:tabs>
          <w:tab w:leader="none" w:pos="113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a multi-year first of its kind collaboration with BioNTech to leverage Tempus’ TCR dataset in support of BioNTech’s next-generation oncology pipeline.</w:t>
      </w:r>
    </w:p>
    <w:p>
      <w:pPr>
        <w:spacing w:after="0" w:line="80" w:lineRule="exact"/>
        <w:rPr>
          <w:rFonts w:ascii="Times New Roman" w:cs="Times New Roman" w:eastAsia="Times New Roman" w:hAnsi="Times New Roman"/>
          <w:sz w:val="18"/>
          <w:szCs w:val="18"/>
          <w:color w:val="auto"/>
        </w:rPr>
      </w:pPr>
    </w:p>
    <w:p>
      <w:pPr>
        <w:ind w:left="1140" w:hanging="368"/>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a 3 year extension with Merck EMD at the culmination of our last 3 year strategic agreement.</w:t>
      </w:r>
    </w:p>
    <w:p>
      <w:pPr>
        <w:spacing w:after="0" w:line="117" w:lineRule="exact"/>
        <w:rPr>
          <w:rFonts w:ascii="Times New Roman" w:cs="Times New Roman" w:eastAsia="Times New Roman" w:hAnsi="Times New Roman"/>
          <w:sz w:val="18"/>
          <w:szCs w:val="18"/>
          <w:color w:val="auto"/>
        </w:rPr>
      </w:pPr>
    </w:p>
    <w:p>
      <w:pPr>
        <w:ind w:left="1140" w:hanging="368"/>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a collaboration with OneOncology to bring more biomarker-driven trials to patients in the community setting at scale.</w:t>
      </w:r>
    </w:p>
    <w:p>
      <w:pPr>
        <w:spacing w:after="0" w:line="117" w:lineRule="exact"/>
        <w:rPr>
          <w:rFonts w:ascii="Times New Roman" w:cs="Times New Roman" w:eastAsia="Times New Roman" w:hAnsi="Times New Roman"/>
          <w:sz w:val="18"/>
          <w:szCs w:val="18"/>
          <w:color w:val="auto"/>
        </w:rPr>
      </w:pPr>
    </w:p>
    <w:p>
      <w:pPr>
        <w:ind w:left="1160" w:right="280" w:hanging="388"/>
        <w:spacing w:after="0" w:line="282" w:lineRule="auto"/>
        <w:tabs>
          <w:tab w:leader="none" w:pos="113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the beta launch of our patient-facing app, Olivia, an AI-enabled personal health locker that empowers individuals to holistically organize, store, and manage their own health data through our generative AI healthcare concierge.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Ambry Genetics Acquisition</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Tempus today announced that it has entered into an agreement to acquire Ambry Genetics, a leader in genetic testing. Under the terms of the agreement, Tempus will pay $375 million in cash and $225 million in shares at closing, of which $100 million will be subject to a lock-up agreement until one year post-transaction close. The deal is expected to be financed in part through a $300 million increase in short and long term debt provided by Ares, Tempus’ current lender. Ambry expects to generate &gt;$300 million in revenue in calendar year 2024 and EBITDA of &gt;$40 million. For more information on Ambry and its impact, see Tempus’ latest investor deck.</w:t>
      </w:r>
    </w:p>
    <w:p>
      <w:pPr>
        <w:spacing w:after="0" w:line="183"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Ambry is a leader in hereditary cancer screening and currently serves as Tempus’ main reference lab in this category. The acquisition will provide Tempus with expanded testing capabilities for inherited cancer risk. These services are becoming more and more important for healthcare professionals navigating critical medical decisions with cancer patients and their relatives.</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addition to expanding and enhancing the company's hereditary screening portfolio, the acquisition of Ambry will complement Tempus' strategy of using data to advance clinical and scientific innovation. Ambry's extensive product offerings will also allow Tempus to expand into new disease categories, including pediatrics, rare disease, immunology, women's reproductive health, and cardiology.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Outlook and Guidance</w:t>
      </w:r>
    </w:p>
    <w:p>
      <w:pPr>
        <w:spacing w:after="0" w:line="12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Tempus continues to expect full year 2024 revenue of approximately $700 million, which represents approximately 32% year-over-year growth and approximately ($105 million) in adjusted EBITDA, an improvement of approximately $50 million over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Webcast and Conference Call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conference call and webcast will begin today, November 4, 2024 after market close at 4:30 p.m. Eastern Time. Interested parties may access details at:</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Conference ID: 7177136</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Domestic Dial-in Number: (800) 715-9871</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International Dial-in Number: (646) 307-1963</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Live Webcast: https://edge.media-server.com/mmc/p/btq3mpjc</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The webcast may be accessed on the company’s investor relations website at </w:t>
      </w:r>
      <w:r>
        <w:rPr>
          <w:rFonts w:ascii="Times New Roman" w:cs="Times New Roman" w:eastAsia="Times New Roman" w:hAnsi="Times New Roman"/>
          <w:sz w:val="18"/>
          <w:szCs w:val="18"/>
          <w:u w:val="single" w:color="auto"/>
          <w:color w:val="auto"/>
        </w:rPr>
        <w:t>investors.tempus.com</w:t>
      </w:r>
      <w:r>
        <w:rPr>
          <w:rFonts w:ascii="Times New Roman" w:cs="Times New Roman" w:eastAsia="Times New Roman" w:hAnsi="Times New Roman"/>
          <w:sz w:val="18"/>
          <w:szCs w:val="18"/>
          <w:color w:val="auto"/>
        </w:rPr>
        <w:t>. For those unable to listen to the live webcast, a recording will be made available on the company’s website after the event and will be accessible for one year. Visit the investor relations website to find the company’s latest deck, and commentary on the quarter by Eric Lefkofsky, Founder and CEO and Jim Rogers, CFO, which will be discussed on the conference call and webcast.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Tempus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Tempus is a technology company advancing precision medicine through the practical application of artificial intelligence in healthcare. With one of the world’s largest libraries of multimodal data, and an operating system to make that data accessible and useful, Tempus provides AI-enabled precision medicine solutions to physicians to deliver personalized patient care and in parallel facilitates discovery, development and delivery of optimal therapeutics. The goal is for each patient to benefit from the treatment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455930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others who came before by providing physicians with tools that learn as the company gathers more data. For more information, visit tempus.com.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In addition to the financial information presented in this release in accordance with accounting principles generally accepted in the United States of America (GAAP), Tempus also presents adjusted non-GAAP financial measures.</w:t>
      </w:r>
    </w:p>
    <w:p>
      <w:pPr>
        <w:spacing w:after="0" w:line="15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Non-GAAP gross profit </w:t>
      </w:r>
      <w:r>
        <w:rPr>
          <w:rFonts w:ascii="Times New Roman" w:cs="Times New Roman" w:eastAsia="Times New Roman" w:hAnsi="Times New Roman"/>
          <w:sz w:val="18"/>
          <w:szCs w:val="18"/>
          <w:color w:val="auto"/>
        </w:rPr>
        <w:t>is defined as GAAP gross profit, excluding stock-based compensation expense and employer payroll tax related to stock-based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compensation (collectively, the “stock-based compensation adjustments”). </w:t>
      </w:r>
      <w:r>
        <w:rPr>
          <w:rFonts w:ascii="Times New Roman" w:cs="Times New Roman" w:eastAsia="Times New Roman" w:hAnsi="Times New Roman"/>
          <w:sz w:val="18"/>
          <w:szCs w:val="18"/>
          <w:b w:val="1"/>
          <w:bCs w:val="1"/>
          <w:color w:val="auto"/>
        </w:rPr>
        <w:t>Non-GAAP gross margin</w:t>
      </w:r>
      <w:r>
        <w:rPr>
          <w:rFonts w:ascii="Times New Roman" w:cs="Times New Roman" w:eastAsia="Times New Roman" w:hAnsi="Times New Roman"/>
          <w:sz w:val="18"/>
          <w:szCs w:val="18"/>
          <w:color w:val="auto"/>
        </w:rPr>
        <w:t xml:space="preserve"> is defined as gross profit, excluding the stock-based compensation adjustments, as a percentage of revenue. </w:t>
      </w:r>
      <w:r>
        <w:rPr>
          <w:rFonts w:ascii="Times New Roman" w:cs="Times New Roman" w:eastAsia="Times New Roman" w:hAnsi="Times New Roman"/>
          <w:sz w:val="18"/>
          <w:szCs w:val="18"/>
          <w:b w:val="1"/>
          <w:bCs w:val="1"/>
          <w:color w:val="auto"/>
        </w:rPr>
        <w:t>Non-GAAP operating expenses</w:t>
      </w:r>
      <w:r>
        <w:rPr>
          <w:rFonts w:ascii="Times New Roman" w:cs="Times New Roman" w:eastAsia="Times New Roman" w:hAnsi="Times New Roman"/>
          <w:sz w:val="18"/>
          <w:szCs w:val="18"/>
          <w:color w:val="auto"/>
        </w:rPr>
        <w:t xml:space="preserve"> are calculated as the sum of technology research and development expense, research and development expense, and selling, general and administrative expense, excluding the stock-based compensation adjustments. </w:t>
      </w:r>
      <w:r>
        <w:rPr>
          <w:rFonts w:ascii="Times New Roman" w:cs="Times New Roman" w:eastAsia="Times New Roman" w:hAnsi="Times New Roman"/>
          <w:sz w:val="18"/>
          <w:szCs w:val="18"/>
          <w:b w:val="1"/>
          <w:bCs w:val="1"/>
          <w:color w:val="auto"/>
        </w:rPr>
        <w:t xml:space="preserve">Non-GAAP net income (loss) </w:t>
      </w:r>
      <w:r>
        <w:rPr>
          <w:rFonts w:ascii="Times New Roman" w:cs="Times New Roman" w:eastAsia="Times New Roman" w:hAnsi="Times New Roman"/>
          <w:sz w:val="18"/>
          <w:szCs w:val="18"/>
          <w:color w:val="auto"/>
        </w:rPr>
        <w:t>is defined as net income (loss), adjusted to exclude (i) losses on equity method investments, (ii) changes in fair value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warrant liability, warrant asset, marketable equity securities, contingent consideration liabilities and indemnity-related holdback liabilities, (iii) the payment of $2.3 million of our Series G-4 convertible preferred stock in connection with the initial public offering (the “G-4 Special Payment”), and (iv) amortization of deferred other income from our IP License Agreement with SB Tempus. </w:t>
      </w:r>
      <w:r>
        <w:rPr>
          <w:rFonts w:ascii="Times New Roman" w:cs="Times New Roman" w:eastAsia="Times New Roman" w:hAnsi="Times New Roman"/>
          <w:sz w:val="18"/>
          <w:szCs w:val="18"/>
          <w:b w:val="1"/>
          <w:bCs w:val="1"/>
          <w:color w:val="auto"/>
        </w:rPr>
        <w:t>Non-GAAP net income (loss) per share</w:t>
      </w:r>
      <w:r>
        <w:rPr>
          <w:rFonts w:ascii="Times New Roman" w:cs="Times New Roman" w:eastAsia="Times New Roman" w:hAnsi="Times New Roman"/>
          <w:sz w:val="18"/>
          <w:szCs w:val="18"/>
          <w:color w:val="auto"/>
        </w:rPr>
        <w:t xml:space="preserve"> is defined as adjusted net income (loss) divided by weighted average common shares outstanding, basic and diluted.</w:t>
      </w:r>
    </w:p>
    <w:p>
      <w:pPr>
        <w:spacing w:after="0" w:line="18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EBITDA </w:t>
      </w:r>
      <w:r>
        <w:rPr>
          <w:rFonts w:ascii="Times New Roman" w:cs="Times New Roman" w:eastAsia="Times New Roman" w:hAnsi="Times New Roman"/>
          <w:sz w:val="18"/>
          <w:szCs w:val="18"/>
          <w:color w:val="auto"/>
        </w:rPr>
        <w:t>is defined as net income (loss), adjusted to exclude (i) interest income, (ii) interest expense, (iii) depreciation and amortization, and (iv) provision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 (benefit from) income taxes. </w:t>
      </w: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18"/>
          <w:szCs w:val="18"/>
          <w:color w:val="auto"/>
        </w:rPr>
        <w:t xml:space="preserve"> is defined as net income (loss), adjusted to exclude (i) interest income, (ii) interest expense, (iii) depreciation and amortization, (iv) provision for (benefit from) income taxes, (v) losses on equity method investments, (vi) changes in fair value of our warrant liability, warrant asset, marketable equity securities, contingent consideration liabilities and indemnity-related holdback liabilities, (vii) stock-based compensation expense, (viii) employer payroll tax related to stock-based compensation expense, (ix) the G-4 Special Payment, and (x) amortization of deferred other income from our IP License Agreement with SB Tempus. </w:t>
      </w:r>
      <w:r>
        <w:rPr>
          <w:rFonts w:ascii="Times New Roman" w:cs="Times New Roman" w:eastAsia="Times New Roman" w:hAnsi="Times New Roman"/>
          <w:sz w:val="18"/>
          <w:szCs w:val="18"/>
          <w:b w:val="1"/>
          <w:bCs w:val="1"/>
          <w:color w:val="auto"/>
        </w:rPr>
        <w:t>Adjusted EBITDA margin</w:t>
      </w:r>
      <w:r>
        <w:rPr>
          <w:rFonts w:ascii="Times New Roman" w:cs="Times New Roman" w:eastAsia="Times New Roman" w:hAnsi="Times New Roman"/>
          <w:sz w:val="18"/>
          <w:szCs w:val="18"/>
          <w:color w:val="auto"/>
        </w:rPr>
        <w:t xml:space="preserve"> is calculated as adjusted EBITDA as a percentage of revenue.</w:t>
      </w:r>
    </w:p>
    <w:p>
      <w:pPr>
        <w:spacing w:after="0" w:line="11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Tempus believes these non-GAAP financial measures are useful to investors and others because they allow for additional information with respect to financial measures used by management in its financial and operational decision-making and they may be used by institutional investors and the analyst community to help them analyze the health of Tempus’ business. In particular, Adjusted EBITDA is a key measurement used by Tempus management to make operating decisions, including those related to analyzing operating expenses, evaluating performance, and performing strategic planning and annual budgeting. However, there are a number of limitations related to the use of non-GAAP financial measures, and these non-GAAP measures should be considered in addition to, not as a substitute for or in isolation from, our financial results prepared in accordance with GAAP. Other companies, including companies in our industry, may calculate these non-GAAP financial measures differently or not at all, which reduces their usefulness as comparative measures.</w:t>
      </w:r>
    </w:p>
    <w:p>
      <w:pPr>
        <w:spacing w:after="0" w:line="111" w:lineRule="exact"/>
        <w:rPr>
          <w:sz w:val="20"/>
          <w:szCs w:val="20"/>
          <w:color w:val="auto"/>
        </w:rPr>
      </w:pPr>
    </w:p>
    <w:p>
      <w:pPr>
        <w:jc w:val="both"/>
        <w:ind w:right="200"/>
        <w:spacing w:after="0" w:line="258" w:lineRule="auto"/>
        <w:rPr>
          <w:sz w:val="20"/>
          <w:szCs w:val="20"/>
          <w:color w:val="auto"/>
        </w:rPr>
      </w:pPr>
      <w:r>
        <w:rPr>
          <w:rFonts w:ascii="Times New Roman" w:cs="Times New Roman" w:eastAsia="Times New Roman" w:hAnsi="Times New Roman"/>
          <w:sz w:val="18"/>
          <w:szCs w:val="18"/>
          <w:color w:val="auto"/>
        </w:rPr>
        <w:t>Tempus does not provide guidance for net loss, the most directly comparable GAAP measure to EBITDA and Adjusted EBITDA, and similarly cannot provide a reconciliation between Ambry's forecasted EBITDA and its net income (loss) or between Tempus' forecasted Adjusted EBITDA and net loss without unreasonable effort due to the unavailability of reliable estimates for certain components of net income (loss) and the respective reconciliations. These forecasted items are not within Tempus’ or Ambry's control, as applicable, may vary greatly between periods and could significantly impact future financial results.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of 1933, as amended (the “Securities Act”), and Section 21E of the Securities Exchange Act of 1934, as amended, about Tempus, Ambry and their respective industries that involve substantial risks and uncertainties. All statements other than statements of historical facts contained in this press release are forward-looking statements, including, but not limited to, Tempus’ expected financial results for full year 2024 and Ambry's expected financial results for calendar year 2024; the contributions of Tempus’ research and findings to the larger scientific community, the use of Tempus’ products and services to advance clinical care for patients, and the pending acquisition of Ambry. In some cases, you can identify forward-looking statements because they contain words such as “anticipate,” “believe,” “contemplate,” “continue,” “could,” “estimate,” “expect,” “going to,” “intend,” “may,” “plan,” “potential,” “predict,” “project,” “should,” “target,” “will,” or “would” or the negative of these words or other similar terms or expressions. Tempus cautions you that the foregoing may not include all of the forward-looking statements made in this press release.</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Tempus has based the forward-looking statements contained in this press release primarily on its current expectations and projections about future events and trends that it believes may affect Tempus’ business, financial condition, results of operations and prospects. These forward-looking statements are subject to risks and uncertainties related to: the intended use of Tempus’ products and services; Tempus’ financial performance; the ability to attract and retain customers and partners; managing Tempus’ growth and future expenses; competition and new market entrants; compliance with new laws, regulations and executive actions, including any evolving regulations in the artificial intelligence space; the ability to maintain, protect and enhance Tempus’ intellectual property; the ability to attract and retain qualified team members and 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461645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 w:name="page7"/>
    <w:bookmarkEnd w:id="6"/>
    <w:p>
      <w:pPr>
        <w:spacing w:after="0" w:line="254" w:lineRule="auto"/>
        <w:rPr>
          <w:sz w:val="20"/>
          <w:szCs w:val="20"/>
          <w:color w:val="auto"/>
        </w:rPr>
      </w:pPr>
      <w:r>
        <w:rPr>
          <w:rFonts w:ascii="Times New Roman" w:cs="Times New Roman" w:eastAsia="Times New Roman" w:hAnsi="Times New Roman"/>
          <w:sz w:val="18"/>
          <w:szCs w:val="18"/>
          <w:color w:val="auto"/>
        </w:rPr>
        <w:t>personnel; the ability to repay or refinance outstanding debt, or to access additional financing; future acquisitions, divestitures or investments, including our ability to consummate the acquisition of Ambry Genetics and the related financing on the terms described herein or at all and, if consummated, to realize the expected benefits of such acquisition; the potential adverse impact of climate change, natural disasters, health epidemics, macroeconomic conditions, and war or other armed conflict, as well as risks, uncertainties, and other factors described in the section titled “Risk Factors” in Tempus’ Form 10-Q for the quarter ended June 30, 2024 filed with the Securities and Exchange Commission (“SEC”) on August 6, 2024, pursuant to Rule 424(b)(4) under the Securities Act, as well as in other filings Tempus may make with the SEC in the future, including its Quarterly Report on Form 10-Q for the quarter ended September 30, 2024. In addition, any forward-looking statements contained in this press release are based on assumptions that Tempus believes to be reasonable as of this date. Tempus undertakes no obligation to update any forward-looking statements to reflect events or circumstances after the date of this press release or to reflect new information or the occurrence of unanticipated events, except as required by law.</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12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TD Cowen served as the sole financial advisor representing Tempus in the purchase of Ambry Genetics. Morgan Stanley, J.P. Morgan, and Allen &amp; Company LLC represented the company in security financing.</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Tempus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Erin Carron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media@tempus.com</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Tempus 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Elizabeth Krutoholow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Elizabeth.krutoholow@tempus.com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Tempus AI,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8" w:right="35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0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248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57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Genomics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116,422</w:t>
            </w:r>
          </w:p>
        </w:tc>
        <w:tc>
          <w:tcPr>
            <w:tcW w:w="2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96,815</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331,315</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Data and services</w:t>
            </w: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64,507</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39,242</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161,403</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113,301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5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net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180,929</w:t>
            </w:r>
          </w:p>
        </w:tc>
        <w:tc>
          <w:tcPr>
            <w:tcW w:w="2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136,057</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492,718</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Cost and operating expenses</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revenues, genomics</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60,126</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46,540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181,285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revenues, data and services</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14,964</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15,490</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52,384</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40,690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Technology research and development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30,680</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135,655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27,348</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23,234</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119,713</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66,268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101,427</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71,426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644,063</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8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234,545</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180,846</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1,133,100</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527,886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(53,616 )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(44,789 )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(640,382 )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(143,788 )</w:t>
            </w:r>
          </w:p>
        </w:tc>
        <w:tc>
          <w:tcPr>
            <w:tcW w:w="0" w:type="dxa"/>
            <w:vAlign w:val="bottom"/>
          </w:tcPr>
          <w:p>
            <w:pPr>
              <w:spacing w:after="0"/>
              <w:rPr>
                <w:sz w:val="1"/>
                <w:szCs w:val="1"/>
                <w:color w:val="auto"/>
              </w:rPr>
            </w:pPr>
          </w:p>
        </w:tc>
      </w:tr>
      <w:tr>
        <w:trPr>
          <w:trHeight w:val="237"/>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4,789</w:t>
            </w:r>
          </w:p>
        </w:tc>
        <w:tc>
          <w:tcPr>
            <w:tcW w:w="28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7,538</w:t>
            </w:r>
          </w:p>
        </w:tc>
        <w:tc>
          <w:tcPr>
            <w:tcW w:w="2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(13,761 )</w:t>
            </w:r>
          </w:p>
        </w:tc>
        <w:tc>
          <w:tcPr>
            <w:tcW w:w="2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(12,342 )</w:t>
            </w:r>
          </w:p>
        </w:tc>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(40,294 )</w:t>
            </w:r>
          </w:p>
        </w:tc>
        <w:tc>
          <w:tcPr>
            <w:tcW w:w="2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(33,245 )</w:t>
            </w:r>
          </w:p>
        </w:tc>
        <w:tc>
          <w:tcPr>
            <w:tcW w:w="0" w:type="dxa"/>
            <w:vAlign w:val="bottom"/>
          </w:tcPr>
          <w:p>
            <w:pPr>
              <w:spacing w:after="0"/>
              <w:rPr>
                <w:sz w:val="1"/>
                <w:szCs w:val="1"/>
                <w:color w:val="auto"/>
              </w:rPr>
            </w:pPr>
          </w:p>
        </w:tc>
      </w:tr>
      <w:tr>
        <w:trPr>
          <w:trHeight w:val="247"/>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(11,522 )</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(17,821 )</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(74,110 )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(53,361 )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(690,959 )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(163,260 )</w:t>
            </w:r>
          </w:p>
        </w:tc>
        <w:tc>
          <w:tcPr>
            <w:tcW w:w="0" w:type="dxa"/>
            <w:vAlign w:val="bottom"/>
          </w:tcPr>
          <w:p>
            <w:pPr>
              <w:spacing w:after="0"/>
              <w:rPr>
                <w:sz w:val="1"/>
                <w:szCs w:val="1"/>
                <w:color w:val="auto"/>
              </w:rPr>
            </w:pPr>
          </w:p>
        </w:tc>
      </w:tr>
      <w:tr>
        <w:trPr>
          <w:trHeight w:val="247"/>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(38 )</w:t>
            </w: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(65 )</w:t>
            </w:r>
          </w:p>
        </w:tc>
        <w:tc>
          <w:tcPr>
            <w:tcW w:w="1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(144 )</w:t>
            </w: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r>
        <w:trPr>
          <w:trHeight w:val="243"/>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Losses from equity method investments</w:t>
            </w:r>
          </w:p>
        </w:tc>
        <w:tc>
          <w:tcPr>
            <w:tcW w:w="14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(1,692 )</w:t>
            </w:r>
          </w:p>
        </w:tc>
        <w:tc>
          <w:tcPr>
            <w:tcW w:w="26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(1,692 )</w:t>
            </w:r>
          </w:p>
        </w:tc>
        <w:tc>
          <w:tcPr>
            <w:tcW w:w="26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(301 )</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(75,840 )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(53,426 )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(692,795 )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(163,635 )</w:t>
            </w:r>
          </w:p>
        </w:tc>
        <w:tc>
          <w:tcPr>
            <w:tcW w:w="0" w:type="dxa"/>
            <w:vAlign w:val="bottom"/>
          </w:tcPr>
          <w:p>
            <w:pPr>
              <w:spacing w:after="0"/>
              <w:rPr>
                <w:sz w:val="1"/>
                <w:szCs w:val="1"/>
                <w:color w:val="auto"/>
              </w:rPr>
            </w:pPr>
          </w:p>
        </w:tc>
      </w:tr>
      <w:tr>
        <w:trPr>
          <w:trHeight w:val="192"/>
        </w:trPr>
        <w:tc>
          <w:tcPr>
            <w:tcW w:w="5780" w:type="dxa"/>
            <w:vAlign w:val="bottom"/>
            <w:tcBorders>
              <w:top w:val="single" w:sz="8" w:color="CFF0FC"/>
            </w:tcBorders>
          </w:tcPr>
          <w:p>
            <w:pPr>
              <w:ind w:left="220"/>
              <w:spacing w:after="0" w:line="192" w:lineRule="exact"/>
              <w:rPr>
                <w:sz w:val="20"/>
                <w:szCs w:val="20"/>
                <w:color w:val="auto"/>
              </w:rPr>
            </w:pPr>
            <w:r>
              <w:rPr>
                <w:rFonts w:ascii="Times New Roman" w:cs="Times New Roman" w:eastAsia="Times New Roman" w:hAnsi="Times New Roman"/>
                <w:sz w:val="18"/>
                <w:szCs w:val="18"/>
                <w:color w:val="auto"/>
              </w:rPr>
              <w:t>Dividends on Series A, B, B-1, B-2, C, D, E, F, G, G-3, and</w:t>
            </w: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80" w:type="dxa"/>
            <w:vAlign w:val="bottom"/>
            <w:tcBorders>
              <w:top w:val="single" w:sz="8" w:color="CFF0FC"/>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G-4 preferred shares</w:t>
            </w:r>
          </w:p>
        </w:tc>
        <w:tc>
          <w:tcPr>
            <w:tcW w:w="14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(11,143 )</w:t>
            </w:r>
          </w:p>
        </w:tc>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(39,347 )</w:t>
            </w:r>
          </w:p>
        </w:tc>
        <w:tc>
          <w:tcPr>
            <w:tcW w:w="2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(32,709 )</w:t>
            </w:r>
          </w:p>
        </w:tc>
        <w:tc>
          <w:tcPr>
            <w:tcW w:w="0" w:type="dxa"/>
            <w:vAlign w:val="bottom"/>
          </w:tcPr>
          <w:p>
            <w:pPr>
              <w:spacing w:after="0"/>
              <w:rPr>
                <w:sz w:val="1"/>
                <w:szCs w:val="1"/>
                <w:color w:val="auto"/>
              </w:rPr>
            </w:pPr>
          </w:p>
        </w:tc>
      </w:tr>
      <w:tr>
        <w:trPr>
          <w:trHeight w:val="218"/>
        </w:trPr>
        <w:tc>
          <w:tcPr>
            <w:tcW w:w="5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Cumulative undeclared dividends on Series C preferred</w:t>
            </w:r>
          </w:p>
        </w:tc>
        <w:tc>
          <w:tcPr>
            <w:tcW w:w="140" w:type="dxa"/>
            <w:vAlign w:val="bottom"/>
            <w:shd w:val="clear" w:color="auto" w:fill="CFF0FC"/>
          </w:tcPr>
          <w:p>
            <w:pPr>
              <w:spacing w:after="0"/>
              <w:rPr>
                <w:sz w:val="18"/>
                <w:szCs w:val="18"/>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vMerge w:val="restart"/>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(764 )</w:t>
            </w:r>
          </w:p>
        </w:tc>
        <w:tc>
          <w:tcPr>
            <w:tcW w:w="140" w:type="dxa"/>
            <w:vAlign w:val="bottom"/>
            <w:shd w:val="clear" w:color="auto" w:fill="CFF0FC"/>
          </w:tcPr>
          <w:p>
            <w:pPr>
              <w:spacing w:after="0"/>
              <w:rPr>
                <w:sz w:val="18"/>
                <w:szCs w:val="18"/>
                <w:color w:val="auto"/>
              </w:rPr>
            </w:pPr>
          </w:p>
        </w:tc>
        <w:tc>
          <w:tcPr>
            <w:tcW w:w="12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(1,174 )</w:t>
            </w:r>
          </w:p>
        </w:tc>
        <w:tc>
          <w:tcPr>
            <w:tcW w:w="260" w:type="dxa"/>
            <w:vAlign w:val="bottom"/>
            <w:shd w:val="clear" w:color="auto" w:fill="CFF0FC"/>
          </w:tcPr>
          <w:p>
            <w:pPr>
              <w:spacing w:after="0"/>
              <w:rPr>
                <w:sz w:val="18"/>
                <w:szCs w:val="18"/>
                <w:color w:val="auto"/>
              </w:rPr>
            </w:pPr>
          </w:p>
        </w:tc>
        <w:tc>
          <w:tcPr>
            <w:tcW w:w="9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(2,230 )</w:t>
            </w:r>
          </w:p>
        </w:tc>
        <w:tc>
          <w:tcPr>
            <w:tcW w:w="0" w:type="dxa"/>
            <w:vAlign w:val="bottom"/>
          </w:tcPr>
          <w:p>
            <w:pPr>
              <w:spacing w:after="0"/>
              <w:rPr>
                <w:sz w:val="1"/>
                <w:szCs w:val="1"/>
                <w:color w:val="auto"/>
              </w:rPr>
            </w:pPr>
          </w:p>
        </w:tc>
      </w:tr>
      <w:tr>
        <w:trPr>
          <w:trHeight w:val="234"/>
        </w:trPr>
        <w:tc>
          <w:tcPr>
            <w:tcW w:w="57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shd w:val="clear" w:color="auto" w:fill="CFF0FC"/>
          </w:tcPr>
          <w:p>
            <w:pPr>
              <w:spacing w:after="0"/>
              <w:rPr>
                <w:sz w:val="20"/>
                <w:szCs w:val="20"/>
                <w:color w:val="auto"/>
              </w:rPr>
            </w:pPr>
          </w:p>
        </w:tc>
        <w:tc>
          <w:tcPr>
            <w:tcW w:w="1020" w:type="dxa"/>
            <w:vAlign w:val="bottom"/>
            <w:vMerge w:val="continue"/>
            <w:shd w:val="clear" w:color="auto" w:fill="CFF0FC"/>
          </w:tcPr>
          <w:p>
            <w:pPr>
              <w:spacing w:after="0"/>
              <w:rPr>
                <w:sz w:val="20"/>
                <w:szCs w:val="20"/>
                <w:color w:val="auto"/>
              </w:rPr>
            </w:pPr>
          </w:p>
        </w:tc>
        <w:tc>
          <w:tcPr>
            <w:tcW w:w="280" w:type="dxa"/>
            <w:vAlign w:val="bottom"/>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40" w:type="dxa"/>
            <w:vAlign w:val="bottom"/>
            <w:gridSpan w:val="2"/>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40" w:type="dxa"/>
            <w:vAlign w:val="bottom"/>
            <w:gridSpan w:val="2"/>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attributable to common shareholders, basic and diluted</w:t>
            </w: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(75,840 )</w:t>
            </w:r>
          </w:p>
        </w:tc>
        <w:tc>
          <w:tcPr>
            <w:tcW w:w="2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(65,333 )</w:t>
            </w:r>
          </w:p>
        </w:tc>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(733,316 )</w:t>
            </w:r>
          </w:p>
        </w:tc>
        <w:tc>
          <w:tcPr>
            <w:tcW w:w="2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(198,574 )</w:t>
            </w:r>
          </w:p>
        </w:tc>
        <w:tc>
          <w:tcPr>
            <w:tcW w:w="0" w:type="dxa"/>
            <w:vAlign w:val="bottom"/>
          </w:tcPr>
          <w:p>
            <w:pPr>
              <w:spacing w:after="0"/>
              <w:rPr>
                <w:sz w:val="1"/>
                <w:szCs w:val="1"/>
                <w:color w:val="auto"/>
              </w:rPr>
            </w:pPr>
          </w:p>
        </w:tc>
      </w:tr>
      <w:tr>
        <w:trPr>
          <w:trHeight w:val="215"/>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loss per share attributable to common shareholders, basic</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and diluted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(0.46 )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(1.03 )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(7.04 )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(3.14 )</w:t>
            </w:r>
          </w:p>
        </w:tc>
        <w:tc>
          <w:tcPr>
            <w:tcW w:w="0" w:type="dxa"/>
            <w:vAlign w:val="bottom"/>
          </w:tcPr>
          <w:p>
            <w:pPr>
              <w:spacing w:after="0"/>
              <w:rPr>
                <w:sz w:val="1"/>
                <w:szCs w:val="1"/>
                <w:color w:val="auto"/>
              </w:rPr>
            </w:pPr>
          </w:p>
        </w:tc>
      </w:tr>
      <w:tr>
        <w:trPr>
          <w:trHeight w:val="211"/>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Weighted-average shares outstanding used to compute net loss</w:t>
            </w:r>
          </w:p>
        </w:tc>
        <w:tc>
          <w:tcPr>
            <w:tcW w:w="14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165,612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63,286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104,164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63,267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per share, basic and diluted</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 net of tax</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(75,840 )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(53,426 )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(692,795 )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(163,635 )</w:t>
            </w:r>
          </w:p>
        </w:tc>
        <w:tc>
          <w:tcPr>
            <w:tcW w:w="0" w:type="dxa"/>
            <w:vAlign w:val="bottom"/>
          </w:tcPr>
          <w:p>
            <w:pPr>
              <w:spacing w:after="0"/>
              <w:rPr>
                <w:sz w:val="1"/>
                <w:szCs w:val="1"/>
                <w:color w:val="auto"/>
              </w:rPr>
            </w:pPr>
          </w:p>
        </w:tc>
      </w:tr>
      <w:tr>
        <w:trPr>
          <w:trHeight w:val="247"/>
        </w:trPr>
        <w:tc>
          <w:tcPr>
            <w:tcW w:w="5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10,302</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(54 )</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10,203</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0"/>
        </w:trPr>
        <w:tc>
          <w:tcPr>
            <w:tcW w:w="57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Comprehensive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(65,538 )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(53,480 )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(682,592 )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(163,664 )</w:t>
            </w:r>
          </w:p>
        </w:tc>
        <w:tc>
          <w:tcPr>
            <w:tcW w:w="0" w:type="dxa"/>
            <w:vAlign w:val="bottom"/>
          </w:tcPr>
          <w:p>
            <w:pPr>
              <w:spacing w:after="0"/>
              <w:rPr>
                <w:sz w:val="1"/>
                <w:szCs w:val="1"/>
                <w:color w:val="auto"/>
              </w:rPr>
            </w:pPr>
          </w:p>
        </w:tc>
      </w:tr>
      <w:tr>
        <w:trPr>
          <w:trHeight w:val="973"/>
        </w:trPr>
        <w:tc>
          <w:tcPr>
            <w:tcW w:w="5780" w:type="dxa"/>
            <w:vAlign w:val="bottom"/>
            <w:tcBorders>
              <w:bottom w:val="single" w:sz="8" w:color="9A9A9A"/>
            </w:tcBorders>
          </w:tcPr>
          <w:p>
            <w:pPr>
              <w:spacing w:after="0"/>
              <w:rPr>
                <w:sz w:val="24"/>
                <w:szCs w:val="24"/>
                <w:color w:val="auto"/>
              </w:rPr>
            </w:pPr>
          </w:p>
        </w:tc>
        <w:tc>
          <w:tcPr>
            <w:tcW w:w="140" w:type="dxa"/>
            <w:vAlign w:val="bottom"/>
            <w:tcBorders>
              <w:top w:val="single" w:sz="8" w:color="auto"/>
              <w:bottom w:val="single" w:sz="8" w:color="9A9A9A"/>
            </w:tcBorders>
          </w:tcPr>
          <w:p>
            <w:pPr>
              <w:spacing w:after="0"/>
              <w:rPr>
                <w:sz w:val="24"/>
                <w:szCs w:val="24"/>
                <w:color w:val="auto"/>
              </w:rPr>
            </w:pPr>
          </w:p>
        </w:tc>
        <w:tc>
          <w:tcPr>
            <w:tcW w:w="1020" w:type="dxa"/>
            <w:vAlign w:val="bottom"/>
            <w:tcBorders>
              <w:top w:val="single" w:sz="8" w:color="auto"/>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top w:val="single" w:sz="8" w:color="auto"/>
              <w:bottom w:val="single" w:sz="8" w:color="9A9A9A"/>
            </w:tcBorders>
          </w:tcPr>
          <w:p>
            <w:pPr>
              <w:spacing w:after="0"/>
              <w:rPr>
                <w:sz w:val="24"/>
                <w:szCs w:val="24"/>
                <w:color w:val="auto"/>
              </w:rPr>
            </w:pPr>
          </w:p>
        </w:tc>
        <w:tc>
          <w:tcPr>
            <w:tcW w:w="900" w:type="dxa"/>
            <w:vAlign w:val="bottom"/>
            <w:tcBorders>
              <w:top w:val="single" w:sz="8" w:color="auto"/>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top w:val="single" w:sz="8" w:color="auto"/>
              <w:bottom w:val="single" w:sz="8" w:color="9A9A9A"/>
            </w:tcBorders>
          </w:tcPr>
          <w:p>
            <w:pPr>
              <w:spacing w:after="0"/>
              <w:rPr>
                <w:sz w:val="24"/>
                <w:szCs w:val="24"/>
                <w:color w:val="auto"/>
              </w:rPr>
            </w:pPr>
          </w:p>
        </w:tc>
        <w:tc>
          <w:tcPr>
            <w:tcW w:w="1000" w:type="dxa"/>
            <w:vAlign w:val="bottom"/>
            <w:tcBorders>
              <w:top w:val="single" w:sz="8" w:color="auto"/>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top w:val="single" w:sz="8" w:color="auto"/>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-5125720</wp:posOffset>
            </wp:positionV>
            <wp:extent cx="77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-5125720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-5125720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-5125720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-3882390</wp:posOffset>
            </wp:positionV>
            <wp:extent cx="774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-3882390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-3882390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-3882390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-3248025</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-3248025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-3248025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-3248025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-2613660</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-2596515</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-2613660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-2596515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-2613660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-2596515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-2613660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-2596515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-2013585</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-2013585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-2013585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-2013585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-805180</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-805180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-805180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-805180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8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388,006</w:t>
            </w:r>
          </w:p>
        </w:tc>
        <w:tc>
          <w:tcPr>
            <w:tcW w:w="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165,767</w:t>
            </w:r>
          </w:p>
        </w:tc>
        <w:tc>
          <w:tcPr>
            <w:tcW w:w="100" w:type="dxa"/>
            <w:vAlign w:val="bottom"/>
            <w:shd w:val="clear" w:color="auto" w:fill="CFF0FC"/>
          </w:tcPr>
          <w:p>
            <w:pPr>
              <w:spacing w:after="0"/>
              <w:rPr>
                <w:sz w:val="21"/>
                <w:szCs w:val="21"/>
                <w:color w:val="auto"/>
              </w:rPr>
            </w:pPr>
          </w:p>
        </w:tc>
      </w:tr>
      <w:tr>
        <w:trPr>
          <w:trHeight w:val="211"/>
        </w:trPr>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 net of allowances of $1,154 and $1,115 at September 30, 2024 and December 31,</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2023, respectively</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145,616</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94,462</w:t>
            </w:r>
          </w:p>
        </w:tc>
        <w:tc>
          <w:tcPr>
            <w:tcW w:w="100" w:type="dxa"/>
            <w:vAlign w:val="bottom"/>
          </w:tcPr>
          <w:p>
            <w:pPr>
              <w:spacing w:after="0"/>
              <w:rPr>
                <w:sz w:val="20"/>
                <w:szCs w:val="20"/>
                <w:color w:val="auto"/>
              </w:rPr>
            </w:pPr>
          </w:p>
        </w:tc>
      </w:tr>
      <w:tr>
        <w:trPr>
          <w:trHeight w:val="250"/>
        </w:trPr>
        <w:tc>
          <w:tcPr>
            <w:tcW w:w="81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36,138</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28,845</w:t>
            </w:r>
          </w:p>
        </w:tc>
        <w:tc>
          <w:tcPr>
            <w:tcW w:w="100" w:type="dxa"/>
            <w:vAlign w:val="bottom"/>
            <w:shd w:val="clear" w:color="auto" w:fill="CFF0FC"/>
          </w:tcPr>
          <w:p>
            <w:pPr>
              <w:spacing w:after="0"/>
              <w:rPr>
                <w:sz w:val="21"/>
                <w:szCs w:val="21"/>
                <w:color w:val="auto"/>
              </w:rPr>
            </w:pPr>
          </w:p>
        </w:tc>
      </w:tr>
      <w:tr>
        <w:trPr>
          <w:trHeight w:val="239"/>
        </w:trPr>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Warrant asset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5,070</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31,335</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17,295</w:t>
            </w:r>
          </w:p>
        </w:tc>
        <w:tc>
          <w:tcPr>
            <w:tcW w:w="100" w:type="dxa"/>
            <w:vAlign w:val="bottom"/>
            <w:shd w:val="clear" w:color="auto" w:fill="CFF0FC"/>
          </w:tcPr>
          <w:p>
            <w:pPr>
              <w:spacing w:after="0"/>
              <w:rPr>
                <w:sz w:val="21"/>
                <w:szCs w:val="21"/>
                <w:color w:val="auto"/>
              </w:rPr>
            </w:pPr>
          </w:p>
        </w:tc>
      </w:tr>
      <w:tr>
        <w:trPr>
          <w:trHeight w:val="239"/>
        </w:trPr>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78,317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31,807</w:t>
            </w:r>
          </w:p>
        </w:tc>
        <w:tc>
          <w:tcPr>
            <w:tcW w:w="100" w:type="dxa"/>
            <w:vAlign w:val="bottom"/>
          </w:tcPr>
          <w:p>
            <w:pPr>
              <w:spacing w:after="0"/>
              <w:rPr>
                <w:sz w:val="20"/>
                <w:szCs w:val="20"/>
                <w:color w:val="auto"/>
              </w:rPr>
            </w:pPr>
          </w:p>
        </w:tc>
      </w:tr>
      <w:tr>
        <w:trPr>
          <w:trHeight w:val="247"/>
        </w:trPr>
        <w:tc>
          <w:tcPr>
            <w:tcW w:w="81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Deferred offering costs</w:t>
            </w:r>
          </w:p>
        </w:tc>
        <w:tc>
          <w:tcPr>
            <w:tcW w:w="1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8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679,412</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350,331</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59,392</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61,681</w:t>
            </w:r>
          </w:p>
        </w:tc>
        <w:tc>
          <w:tcPr>
            <w:tcW w:w="100" w:type="dxa"/>
            <w:vAlign w:val="bottom"/>
            <w:shd w:val="clear" w:color="auto" w:fill="CFF0FC"/>
          </w:tcPr>
          <w:p>
            <w:pPr>
              <w:spacing w:after="0"/>
              <w:rPr>
                <w:sz w:val="21"/>
                <w:szCs w:val="21"/>
                <w:color w:val="auto"/>
              </w:rPr>
            </w:pPr>
          </w:p>
        </w:tc>
      </w:tr>
      <w:tr>
        <w:trPr>
          <w:trHeight w:val="239"/>
        </w:trPr>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73,365</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73,354</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Warrant asset, less current portion</w:t>
            </w: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4,930</w:t>
            </w:r>
          </w:p>
        </w:tc>
        <w:tc>
          <w:tcPr>
            <w:tcW w:w="100" w:type="dxa"/>
            <w:vAlign w:val="bottom"/>
            <w:shd w:val="clear" w:color="auto" w:fill="CFF0FC"/>
          </w:tcPr>
          <w:p>
            <w:pPr>
              <w:spacing w:after="0"/>
              <w:rPr>
                <w:sz w:val="21"/>
                <w:szCs w:val="21"/>
                <w:color w:val="auto"/>
              </w:rPr>
            </w:pPr>
          </w:p>
        </w:tc>
      </w:tr>
      <w:tr>
        <w:trPr>
          <w:trHeight w:val="239"/>
        </w:trPr>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14,289</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21,916</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Investments and other assets</w:t>
            </w: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8,692</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8,971</w:t>
            </w:r>
          </w:p>
        </w:tc>
        <w:tc>
          <w:tcPr>
            <w:tcW w:w="100" w:type="dxa"/>
            <w:vAlign w:val="bottom"/>
            <w:shd w:val="clear" w:color="auto" w:fill="CFF0FC"/>
          </w:tcPr>
          <w:p>
            <w:pPr>
              <w:spacing w:after="0"/>
              <w:rPr>
                <w:sz w:val="21"/>
                <w:szCs w:val="21"/>
                <w:color w:val="auto"/>
              </w:rPr>
            </w:pPr>
          </w:p>
        </w:tc>
      </w:tr>
      <w:tr>
        <w:trPr>
          <w:trHeight w:val="239"/>
        </w:trPr>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103,699</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81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Warrant contract asset, less current portion</w:t>
            </w: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17,866</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21,499</w:t>
            </w:r>
          </w:p>
        </w:tc>
        <w:tc>
          <w:tcPr>
            <w:tcW w:w="100" w:type="dxa"/>
            <w:vAlign w:val="bottom"/>
            <w:shd w:val="clear" w:color="auto" w:fill="CFF0FC"/>
          </w:tcPr>
          <w:p>
            <w:pPr>
              <w:spacing w:after="0"/>
              <w:rPr>
                <w:sz w:val="21"/>
                <w:szCs w:val="21"/>
                <w:color w:val="auto"/>
              </w:rPr>
            </w:pPr>
          </w:p>
        </w:tc>
      </w:tr>
      <w:tr>
        <w:trPr>
          <w:trHeight w:val="239"/>
        </w:trPr>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14,141</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20,530</w:t>
            </w:r>
          </w:p>
        </w:tc>
        <w:tc>
          <w:tcPr>
            <w:tcW w:w="100" w:type="dxa"/>
            <w:vAlign w:val="bottom"/>
          </w:tcPr>
          <w:p>
            <w:pPr>
              <w:spacing w:after="0"/>
              <w:rPr>
                <w:sz w:val="20"/>
                <w:szCs w:val="20"/>
                <w:color w:val="auto"/>
              </w:rPr>
            </w:pPr>
          </w:p>
        </w:tc>
      </w:tr>
      <w:tr>
        <w:trPr>
          <w:trHeight w:val="247"/>
        </w:trPr>
        <w:tc>
          <w:tcPr>
            <w:tcW w:w="81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971,728</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564,052</w:t>
            </w:r>
          </w:p>
        </w:tc>
        <w:tc>
          <w:tcPr>
            <w:tcW w:w="100" w:type="dxa"/>
            <w:vAlign w:val="bottom"/>
          </w:tcPr>
          <w:p>
            <w:pPr>
              <w:spacing w:after="0"/>
              <w:rPr>
                <w:sz w:val="20"/>
                <w:szCs w:val="20"/>
                <w:color w:val="auto"/>
              </w:rPr>
            </w:pPr>
          </w:p>
        </w:tc>
      </w:tr>
      <w:tr>
        <w:trPr>
          <w:trHeight w:val="20"/>
        </w:trPr>
        <w:tc>
          <w:tcPr>
            <w:tcW w:w="8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8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Convertible redeemable preferred stock, and Stockholders' equity (deficit)</w:t>
            </w: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49,027</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54,421</w:t>
            </w:r>
          </w:p>
        </w:tc>
        <w:tc>
          <w:tcPr>
            <w:tcW w:w="100" w:type="dxa"/>
            <w:vAlign w:val="bottom"/>
            <w:shd w:val="clear" w:color="auto" w:fill="CFF0FC"/>
          </w:tcPr>
          <w:p>
            <w:pPr>
              <w:spacing w:after="0"/>
              <w:rPr>
                <w:sz w:val="21"/>
                <w:szCs w:val="21"/>
                <w:color w:val="auto"/>
              </w:rPr>
            </w:pPr>
          </w:p>
        </w:tc>
      </w:tr>
      <w:tr>
        <w:trPr>
          <w:trHeight w:val="239"/>
        </w:trPr>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101,985</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82,517</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67,604</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64,860</w:t>
            </w:r>
          </w:p>
        </w:tc>
        <w:tc>
          <w:tcPr>
            <w:tcW w:w="100" w:type="dxa"/>
            <w:vAlign w:val="bottom"/>
            <w:shd w:val="clear" w:color="auto" w:fill="CFF0FC"/>
          </w:tcPr>
          <w:p>
            <w:pPr>
              <w:spacing w:after="0"/>
              <w:rPr>
                <w:sz w:val="21"/>
                <w:szCs w:val="21"/>
                <w:color w:val="auto"/>
              </w:rPr>
            </w:pPr>
          </w:p>
        </w:tc>
      </w:tr>
      <w:tr>
        <w:trPr>
          <w:trHeight w:val="239"/>
        </w:trPr>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other income</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15,955</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81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9,913</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8,213</w:t>
            </w:r>
          </w:p>
        </w:tc>
        <w:tc>
          <w:tcPr>
            <w:tcW w:w="100" w:type="dxa"/>
            <w:vAlign w:val="bottom"/>
            <w:shd w:val="clear" w:color="auto" w:fill="CFF0FC"/>
          </w:tcPr>
          <w:p>
            <w:pPr>
              <w:spacing w:after="0"/>
              <w:rPr>
                <w:sz w:val="21"/>
                <w:szCs w:val="21"/>
                <w:color w:val="auto"/>
              </w:rPr>
            </w:pPr>
          </w:p>
        </w:tc>
      </w:tr>
      <w:tr>
        <w:trPr>
          <w:trHeight w:val="239"/>
        </w:trPr>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5,894</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6,437</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Accrued data licensing fees</w:t>
            </w: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6,382</w:t>
            </w:r>
          </w:p>
        </w:tc>
        <w:tc>
          <w:tcPr>
            <w:tcW w:w="100" w:type="dxa"/>
            <w:vAlign w:val="bottom"/>
            <w:shd w:val="clear" w:color="auto" w:fill="CFF0FC"/>
          </w:tcPr>
          <w:p>
            <w:pPr>
              <w:spacing w:after="0"/>
              <w:rPr>
                <w:sz w:val="21"/>
                <w:szCs w:val="21"/>
                <w:color w:val="auto"/>
              </w:rPr>
            </w:pPr>
          </w:p>
        </w:tc>
      </w:tr>
      <w:tr>
        <w:trPr>
          <w:trHeight w:val="243"/>
        </w:trPr>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dividends</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9,797</w:t>
            </w:r>
          </w:p>
        </w:tc>
        <w:tc>
          <w:tcPr>
            <w:tcW w:w="100" w:type="dxa"/>
            <w:vAlign w:val="bottom"/>
          </w:tcPr>
          <w:p>
            <w:pPr>
              <w:spacing w:after="0"/>
              <w:rPr>
                <w:sz w:val="21"/>
                <w:szCs w:val="21"/>
                <w:color w:val="auto"/>
              </w:rPr>
            </w:pPr>
          </w:p>
        </w:tc>
      </w:tr>
      <w:tr>
        <w:trPr>
          <w:trHeight w:val="237"/>
        </w:trPr>
        <w:tc>
          <w:tcPr>
            <w:tcW w:w="81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252,620</w:t>
            </w:r>
          </w:p>
        </w:tc>
        <w:tc>
          <w:tcPr>
            <w:tcW w:w="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232,627</w:t>
            </w:r>
          </w:p>
        </w:tc>
        <w:tc>
          <w:tcPr>
            <w:tcW w:w="100" w:type="dxa"/>
            <w:vAlign w:val="bottom"/>
            <w:shd w:val="clear" w:color="auto" w:fill="CFF0FC"/>
          </w:tcPr>
          <w:p>
            <w:pPr>
              <w:spacing w:after="0"/>
              <w:rPr>
                <w:sz w:val="20"/>
                <w:szCs w:val="20"/>
                <w:color w:val="auto"/>
              </w:rPr>
            </w:pPr>
          </w:p>
        </w:tc>
      </w:tr>
      <w:tr>
        <w:trPr>
          <w:trHeight w:val="239"/>
        </w:trPr>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26,664</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32,040</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Convertible promissory note</w:t>
            </w: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174,460</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193,124</w:t>
            </w:r>
          </w:p>
        </w:tc>
        <w:tc>
          <w:tcPr>
            <w:tcW w:w="100" w:type="dxa"/>
            <w:vAlign w:val="bottom"/>
            <w:shd w:val="clear" w:color="auto" w:fill="CFF0FC"/>
          </w:tcPr>
          <w:p>
            <w:pPr>
              <w:spacing w:after="0"/>
              <w:rPr>
                <w:sz w:val="21"/>
                <w:szCs w:val="21"/>
                <w:color w:val="auto"/>
              </w:rPr>
            </w:pPr>
          </w:p>
        </w:tc>
      </w:tr>
      <w:tr>
        <w:trPr>
          <w:trHeight w:val="239"/>
        </w:trPr>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Warrant liability</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76,900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34,500</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15,403</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19,751</w:t>
            </w:r>
          </w:p>
        </w:tc>
        <w:tc>
          <w:tcPr>
            <w:tcW w:w="100" w:type="dxa"/>
            <w:vAlign w:val="bottom"/>
            <w:shd w:val="clear" w:color="auto" w:fill="CFF0FC"/>
          </w:tcPr>
          <w:p>
            <w:pPr>
              <w:spacing w:after="0"/>
              <w:rPr>
                <w:sz w:val="21"/>
                <w:szCs w:val="21"/>
                <w:color w:val="auto"/>
              </w:rPr>
            </w:pPr>
          </w:p>
        </w:tc>
      </w:tr>
      <w:tr>
        <w:trPr>
          <w:trHeight w:val="239"/>
        </w:trPr>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payable</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66,529</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55,321</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Long-term debt, net</w:t>
            </w: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264,527</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256,541</w:t>
            </w:r>
          </w:p>
        </w:tc>
        <w:tc>
          <w:tcPr>
            <w:tcW w:w="100" w:type="dxa"/>
            <w:vAlign w:val="bottom"/>
            <w:shd w:val="clear" w:color="auto" w:fill="CFF0FC"/>
          </w:tcPr>
          <w:p>
            <w:pPr>
              <w:spacing w:after="0"/>
              <w:rPr>
                <w:sz w:val="21"/>
                <w:szCs w:val="21"/>
                <w:color w:val="auto"/>
              </w:rPr>
            </w:pPr>
          </w:p>
        </w:tc>
      </w:tr>
      <w:tr>
        <w:trPr>
          <w:trHeight w:val="239"/>
        </w:trPr>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other income, less current portion</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27,921</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81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Deferred revenue, less current portion</w:t>
            </w:r>
          </w:p>
        </w:tc>
        <w:tc>
          <w:tcPr>
            <w:tcW w:w="1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12,976</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16,768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918,000</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840,672</w:t>
            </w:r>
          </w:p>
        </w:tc>
        <w:tc>
          <w:tcPr>
            <w:tcW w:w="100" w:type="dxa"/>
            <w:vAlign w:val="bottom"/>
          </w:tcPr>
          <w:p>
            <w:pPr>
              <w:spacing w:after="0"/>
              <w:rPr>
                <w:sz w:val="20"/>
                <w:szCs w:val="20"/>
                <w:color w:val="auto"/>
              </w:rPr>
            </w:pPr>
          </w:p>
        </w:tc>
      </w:tr>
      <w:tr>
        <w:trPr>
          <w:trHeight w:val="20"/>
        </w:trPr>
        <w:tc>
          <w:tcPr>
            <w:tcW w:w="8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8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Convertible redeemable preferred stock, $0.0001 par value, no and 69,803,765 shares authorized at</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September 30, 2024 and December 31, 2023, respectively; no and 63,525,953 shares issued and</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outstanding at September 30, 2024 and December 31, 2023, respectively; aggregate liquidation preference</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 $0 and $1,130,429 at September 30, 2024 and December 31, 2023, respectively</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1,105,543</w:t>
            </w:r>
          </w:p>
        </w:tc>
        <w:tc>
          <w:tcPr>
            <w:tcW w:w="100" w:type="dxa"/>
            <w:vAlign w:val="bottom"/>
          </w:tcPr>
          <w:p>
            <w:pPr>
              <w:spacing w:after="0"/>
              <w:rPr>
                <w:sz w:val="20"/>
                <w:szCs w:val="20"/>
                <w:color w:val="auto"/>
              </w:rPr>
            </w:pPr>
          </w:p>
        </w:tc>
      </w:tr>
      <w:tr>
        <w:trPr>
          <w:trHeight w:val="993"/>
        </w:trPr>
        <w:tc>
          <w:tcPr>
            <w:tcW w:w="8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-6531610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-6531610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-4979670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-4979670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-1696720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4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3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Class A Voting Common Stock, $0.0001 par value, 1,000,000,000 and 200,228,024 shares authorized at</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September 30, 2024 and December 31, 2023, respectively; 150,280,363 and 58,367,961 shares issued and</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outstanding at September 30, 2024 and December 31, 2023, respectively</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81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Class B Voting Common Stock, $0.0001 par value, 5,500,000 and 5,374,899 shares authorized at</w:t>
            </w:r>
          </w:p>
        </w:tc>
        <w:tc>
          <w:tcPr>
            <w:tcW w:w="3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September 30, 2024 and December 31, 2023, respectively; 5,043,789 and no shares issued and outstanding</w:t>
            </w:r>
          </w:p>
        </w:tc>
        <w:tc>
          <w:tcPr>
            <w:tcW w:w="3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81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at September 30, 2024 and December 31, 2023, respectively</w:t>
            </w:r>
          </w:p>
        </w:tc>
        <w:tc>
          <w:tcPr>
            <w:tcW w:w="3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Non-voting Common Stock, $0.0001 par value, no and 66,946,627 shares authorized at September 30, 2024</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December 31, 2023, respectively; no shares issued and outstanding at September 30, 2024, and</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5,205,802 shares issued and 5,060,336 shares outstanding at December 31, 2023</w:t>
            </w:r>
          </w:p>
        </w:tc>
        <w:tc>
          <w:tcPr>
            <w:tcW w:w="340" w:type="dxa"/>
            <w:vAlign w:val="bottom"/>
          </w:tcPr>
          <w:p>
            <w:pPr>
              <w:spacing w:after="0"/>
              <w:rPr>
                <w:sz w:val="20"/>
                <w:szCs w:val="20"/>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1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Treasury Stock, 145,466 shares at September 30, 2024 and December 31, 2023, at cost</w:t>
            </w:r>
          </w:p>
        </w:tc>
        <w:tc>
          <w:tcPr>
            <w:tcW w:w="3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(3,602 )</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(3,602 )</w:t>
            </w:r>
          </w:p>
        </w:tc>
        <w:tc>
          <w:tcPr>
            <w:tcW w:w="0" w:type="dxa"/>
            <w:vAlign w:val="bottom"/>
          </w:tcPr>
          <w:p>
            <w:pPr>
              <w:spacing w:after="0"/>
              <w:rPr>
                <w:sz w:val="1"/>
                <w:szCs w:val="1"/>
                <w:color w:val="auto"/>
              </w:rPr>
            </w:pPr>
          </w:p>
        </w:tc>
      </w:tr>
      <w:tr>
        <w:trPr>
          <w:trHeight w:val="239"/>
        </w:trPr>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2,184,926</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1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10,208</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(2,137,820 )</w:t>
            </w:r>
          </w:p>
        </w:tc>
        <w:tc>
          <w:tcPr>
            <w:tcW w:w="32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(1,396,917 )</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 (deficit)</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53,728</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(1,382,163 )</w:t>
            </w:r>
          </w:p>
        </w:tc>
        <w:tc>
          <w:tcPr>
            <w:tcW w:w="0" w:type="dxa"/>
            <w:vAlign w:val="bottom"/>
          </w:tcPr>
          <w:p>
            <w:pPr>
              <w:spacing w:after="0"/>
              <w:rPr>
                <w:sz w:val="1"/>
                <w:szCs w:val="1"/>
                <w:color w:val="auto"/>
              </w:rPr>
            </w:pPr>
          </w:p>
        </w:tc>
      </w:tr>
      <w:tr>
        <w:trPr>
          <w:trHeight w:val="201"/>
        </w:trPr>
        <w:tc>
          <w:tcPr>
            <w:tcW w:w="8160" w:type="dxa"/>
            <w:vAlign w:val="bottom"/>
            <w:tcBorders>
              <w:top w:val="single" w:sz="8" w:color="CFF0FC"/>
            </w:tcBorders>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Total Liabilities, Convertible redeemable preferred stock,</w:t>
            </w:r>
          </w:p>
        </w:tc>
        <w:tc>
          <w:tcPr>
            <w:tcW w:w="340" w:type="dxa"/>
            <w:vAlign w:val="bottom"/>
            <w:tcBorders>
              <w:top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971,728</w:t>
            </w:r>
          </w:p>
        </w:tc>
        <w:tc>
          <w:tcPr>
            <w:tcW w:w="28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564,052</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and Stockholders' equity (deficit)</w:t>
            </w:r>
          </w:p>
        </w:tc>
        <w:tc>
          <w:tcPr>
            <w:tcW w:w="34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9"/>
        </w:trPr>
        <w:tc>
          <w:tcPr>
            <w:tcW w:w="81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-933450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10" w:name="page11"/>
    <w:bookmarkEnd w:id="1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4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81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8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(692,795 )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(163,635 )</w:t>
            </w:r>
          </w:p>
        </w:tc>
      </w:tr>
      <w:tr>
        <w:trPr>
          <w:trHeight w:val="247"/>
        </w:trPr>
        <w:tc>
          <w:tcPr>
            <w:tcW w:w="8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42,400</w:t>
            </w:r>
          </w:p>
        </w:tc>
        <w:tc>
          <w:tcPr>
            <w:tcW w:w="2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(8,000 )</w:t>
            </w:r>
          </w:p>
        </w:tc>
      </w:tr>
      <w:tr>
        <w:trPr>
          <w:trHeight w:val="247"/>
        </w:trPr>
        <w:tc>
          <w:tcPr>
            <w:tcW w:w="8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509,351</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warrant exercise</w:t>
            </w:r>
          </w:p>
        </w:tc>
        <w:tc>
          <w:tcPr>
            <w:tcW w:w="26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(173 )</w:t>
            </w:r>
          </w:p>
        </w:tc>
        <w:tc>
          <w:tcPr>
            <w:tcW w:w="3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8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Gain on marketable equity securities</w:t>
            </w:r>
          </w:p>
        </w:tc>
        <w:tc>
          <w:tcPr>
            <w:tcW w:w="2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(5,119 )</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Losses from equity method investments</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20"/>
                <w:szCs w:val="20"/>
                <w:color w:val="auto"/>
              </w:rPr>
            </w:pPr>
          </w:p>
        </w:tc>
      </w:tr>
      <w:tr>
        <w:trPr>
          <w:trHeight w:val="247"/>
        </w:trPr>
        <w:tc>
          <w:tcPr>
            <w:tcW w:w="8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Amortization of original issue discount</w:t>
            </w: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shd w:val="clear" w:color="auto" w:fill="CFF0FC"/>
          </w:tcPr>
          <w:p>
            <w:pPr>
              <w:spacing w:after="0"/>
              <w:rPr>
                <w:sz w:val="21"/>
                <w:szCs w:val="21"/>
                <w:color w:val="auto"/>
              </w:rPr>
            </w:pPr>
          </w:p>
        </w:tc>
      </w:tr>
      <w:tr>
        <w:trPr>
          <w:trHeight w:val="239"/>
        </w:trPr>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deferred financing fees</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20"/>
                <w:szCs w:val="20"/>
                <w:color w:val="auto"/>
              </w:rPr>
            </w:pPr>
          </w:p>
        </w:tc>
      </w:tr>
      <w:tr>
        <w:trPr>
          <w:trHeight w:val="247"/>
        </w:trPr>
        <w:tc>
          <w:tcPr>
            <w:tcW w:w="8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(400 )</w:t>
            </w:r>
          </w:p>
        </w:tc>
      </w:tr>
      <w:tr>
        <w:trPr>
          <w:trHeight w:val="239"/>
        </w:trPr>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warrant contract asset</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100" w:type="dxa"/>
            <w:vAlign w:val="bottom"/>
          </w:tcPr>
          <w:p>
            <w:pPr>
              <w:spacing w:after="0"/>
              <w:rPr>
                <w:sz w:val="20"/>
                <w:szCs w:val="20"/>
                <w:color w:val="auto"/>
              </w:rPr>
            </w:pPr>
          </w:p>
        </w:tc>
      </w:tr>
      <w:tr>
        <w:trPr>
          <w:trHeight w:val="247"/>
        </w:trPr>
        <w:tc>
          <w:tcPr>
            <w:tcW w:w="8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27,788</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24,509</w:t>
            </w:r>
          </w:p>
        </w:tc>
        <w:tc>
          <w:tcPr>
            <w:tcW w:w="100" w:type="dxa"/>
            <w:vAlign w:val="bottom"/>
            <w:shd w:val="clear" w:color="auto" w:fill="CFF0FC"/>
          </w:tcPr>
          <w:p>
            <w:pPr>
              <w:spacing w:after="0"/>
              <w:rPr>
                <w:sz w:val="21"/>
                <w:szCs w:val="21"/>
                <w:color w:val="auto"/>
              </w:rPr>
            </w:pPr>
          </w:p>
        </w:tc>
      </w:tr>
      <w:tr>
        <w:trPr>
          <w:trHeight w:val="239"/>
        </w:trPr>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bad debt expense</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tcPr>
          <w:p>
            <w:pPr>
              <w:spacing w:after="0"/>
              <w:rPr>
                <w:sz w:val="20"/>
                <w:szCs w:val="20"/>
                <w:color w:val="auto"/>
              </w:rPr>
            </w:pPr>
          </w:p>
        </w:tc>
      </w:tr>
      <w:tr>
        <w:trPr>
          <w:trHeight w:val="247"/>
        </w:trPr>
        <w:tc>
          <w:tcPr>
            <w:tcW w:w="8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asset</w:t>
            </w:r>
          </w:p>
        </w:tc>
        <w:tc>
          <w:tcPr>
            <w:tcW w:w="2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(18,302 )</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finance right-of-use lease assets</w:t>
            </w:r>
          </w:p>
        </w:tc>
        <w:tc>
          <w:tcPr>
            <w:tcW w:w="2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20"/>
                <w:szCs w:val="20"/>
                <w:color w:val="auto"/>
              </w:rPr>
            </w:pPr>
          </w:p>
        </w:tc>
      </w:tr>
      <w:tr>
        <w:trPr>
          <w:trHeight w:val="247"/>
        </w:trPr>
        <w:tc>
          <w:tcPr>
            <w:tcW w:w="8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Non-cash operating lease costs</w:t>
            </w: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5,077</w:t>
            </w:r>
          </w:p>
        </w:tc>
        <w:tc>
          <w:tcPr>
            <w:tcW w:w="100" w:type="dxa"/>
            <w:vAlign w:val="bottom"/>
            <w:shd w:val="clear" w:color="auto" w:fill="CFF0FC"/>
          </w:tcPr>
          <w:p>
            <w:pPr>
              <w:spacing w:after="0"/>
              <w:rPr>
                <w:sz w:val="21"/>
                <w:szCs w:val="21"/>
                <w:color w:val="auto"/>
              </w:rPr>
            </w:pPr>
          </w:p>
        </w:tc>
      </w:tr>
      <w:tr>
        <w:trPr>
          <w:trHeight w:val="239"/>
        </w:trPr>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Minimum accretion expense</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20"/>
                <w:szCs w:val="20"/>
                <w:color w:val="auto"/>
              </w:rPr>
            </w:pPr>
          </w:p>
        </w:tc>
      </w:tr>
      <w:tr>
        <w:trPr>
          <w:trHeight w:val="247"/>
        </w:trPr>
        <w:tc>
          <w:tcPr>
            <w:tcW w:w="8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2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7,359</w:t>
            </w:r>
          </w:p>
        </w:tc>
        <w:tc>
          <w:tcPr>
            <w:tcW w:w="100" w:type="dxa"/>
            <w:vAlign w:val="bottom"/>
            <w:shd w:val="clear" w:color="auto" w:fill="CFF0FC"/>
          </w:tcPr>
          <w:p>
            <w:pPr>
              <w:spacing w:after="0"/>
              <w:rPr>
                <w:sz w:val="21"/>
                <w:szCs w:val="21"/>
                <w:color w:val="auto"/>
              </w:rPr>
            </w:pPr>
          </w:p>
        </w:tc>
      </w:tr>
      <w:tr>
        <w:trPr>
          <w:trHeight w:val="239"/>
        </w:trPr>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PIK interest added to principal</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6,567</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100" w:type="dxa"/>
            <w:vAlign w:val="bottom"/>
          </w:tcPr>
          <w:p>
            <w:pPr>
              <w:spacing w:after="0"/>
              <w:rPr>
                <w:sz w:val="20"/>
                <w:szCs w:val="20"/>
                <w:color w:val="auto"/>
              </w:rPr>
            </w:pPr>
          </w:p>
        </w:tc>
      </w:tr>
      <w:tr>
        <w:trPr>
          <w:trHeight w:val="247"/>
        </w:trPr>
        <w:tc>
          <w:tcPr>
            <w:tcW w:w="8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8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(51,699 )</w:t>
            </w:r>
          </w:p>
        </w:tc>
        <w:tc>
          <w:tcPr>
            <w:tcW w:w="32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(25,365 )</w:t>
            </w:r>
          </w:p>
        </w:tc>
      </w:tr>
      <w:tr>
        <w:trPr>
          <w:trHeight w:val="247"/>
        </w:trPr>
        <w:tc>
          <w:tcPr>
            <w:tcW w:w="81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(7,293 )</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(4,875 )</w:t>
            </w:r>
          </w:p>
        </w:tc>
      </w:tr>
      <w:tr>
        <w:trPr>
          <w:trHeight w:val="239"/>
        </w:trPr>
        <w:tc>
          <w:tcPr>
            <w:tcW w:w="8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(14,040 )</w:t>
            </w:r>
          </w:p>
        </w:tc>
        <w:tc>
          <w:tcPr>
            <w:tcW w:w="32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(3,665 )</w:t>
            </w:r>
          </w:p>
        </w:tc>
      </w:tr>
      <w:tr>
        <w:trPr>
          <w:trHeight w:val="247"/>
        </w:trPr>
        <w:tc>
          <w:tcPr>
            <w:tcW w:w="81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Investments and other assets</w:t>
            </w:r>
          </w:p>
        </w:tc>
        <w:tc>
          <w:tcPr>
            <w:tcW w:w="2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(410 )</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(4,378 )</w:t>
            </w:r>
          </w:p>
        </w:tc>
      </w:tr>
      <w:tr>
        <w:trPr>
          <w:trHeight w:val="239"/>
        </w:trPr>
        <w:tc>
          <w:tcPr>
            <w:tcW w:w="8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(24,776 )</w:t>
            </w:r>
          </w:p>
        </w:tc>
        <w:tc>
          <w:tcPr>
            <w:tcW w:w="32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(12,253 )</w:t>
            </w:r>
          </w:p>
        </w:tc>
      </w:tr>
      <w:tr>
        <w:trPr>
          <w:trHeight w:val="247"/>
        </w:trPr>
        <w:tc>
          <w:tcPr>
            <w:tcW w:w="81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(1,052 )</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(16,644 )</w:t>
            </w:r>
          </w:p>
        </w:tc>
      </w:tr>
      <w:tr>
        <w:trPr>
          <w:trHeight w:val="239"/>
        </w:trPr>
        <w:tc>
          <w:tcPr>
            <w:tcW w:w="8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Deferred other income</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43,876</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81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Accrued data licensing fees</w:t>
            </w:r>
          </w:p>
        </w:tc>
        <w:tc>
          <w:tcPr>
            <w:tcW w:w="2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(4,250 )</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(8,374 )</w:t>
            </w:r>
          </w:p>
        </w:tc>
      </w:tr>
      <w:tr>
        <w:trPr>
          <w:trHeight w:val="239"/>
        </w:trPr>
        <w:tc>
          <w:tcPr>
            <w:tcW w:w="8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expenses &amp; other</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23,371</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20,749</w:t>
            </w:r>
          </w:p>
        </w:tc>
        <w:tc>
          <w:tcPr>
            <w:tcW w:w="100" w:type="dxa"/>
            <w:vAlign w:val="bottom"/>
          </w:tcPr>
          <w:p>
            <w:pPr>
              <w:spacing w:after="0"/>
              <w:rPr>
                <w:sz w:val="20"/>
                <w:szCs w:val="20"/>
                <w:color w:val="auto"/>
              </w:rPr>
            </w:pPr>
          </w:p>
        </w:tc>
      </w:tr>
      <w:tr>
        <w:trPr>
          <w:trHeight w:val="247"/>
        </w:trPr>
        <w:tc>
          <w:tcPr>
            <w:tcW w:w="81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Interest payable</w:t>
            </w: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11,208</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11,724</w:t>
            </w:r>
          </w:p>
        </w:tc>
        <w:tc>
          <w:tcPr>
            <w:tcW w:w="100" w:type="dxa"/>
            <w:vAlign w:val="bottom"/>
            <w:shd w:val="clear" w:color="auto" w:fill="CFF0FC"/>
          </w:tcPr>
          <w:p>
            <w:pPr>
              <w:spacing w:after="0"/>
              <w:rPr>
                <w:sz w:val="21"/>
                <w:szCs w:val="21"/>
                <w:color w:val="auto"/>
              </w:rPr>
            </w:pPr>
          </w:p>
        </w:tc>
      </w:tr>
      <w:tr>
        <w:trPr>
          <w:trHeight w:val="243"/>
        </w:trPr>
        <w:tc>
          <w:tcPr>
            <w:tcW w:w="8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(6,655 )</w:t>
            </w:r>
          </w:p>
        </w:tc>
        <w:tc>
          <w:tcPr>
            <w:tcW w:w="32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(6,559 )</w:t>
            </w:r>
          </w:p>
        </w:tc>
      </w:tr>
      <w:tr>
        <w:trPr>
          <w:trHeight w:val="20"/>
        </w:trPr>
        <w:tc>
          <w:tcPr>
            <w:tcW w:w="8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8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(149,794 )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(174,072 )</w:t>
            </w:r>
          </w:p>
        </w:tc>
      </w:tr>
      <w:tr>
        <w:trPr>
          <w:trHeight w:val="473"/>
        </w:trPr>
        <w:tc>
          <w:tcPr>
            <w:tcW w:w="81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50"/>
        </w:trPr>
        <w:tc>
          <w:tcPr>
            <w:tcW w:w="8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(14,159 )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(31,899 )</w:t>
            </w:r>
          </w:p>
        </w:tc>
      </w:tr>
      <w:tr>
        <w:trPr>
          <w:trHeight w:val="23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 of marketable equity securities</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23,098</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8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Business combinations, net of cash acquired (Note 4)</w:t>
            </w:r>
          </w:p>
        </w:tc>
        <w:tc>
          <w:tcPr>
            <w:tcW w:w="2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(2,869 )</w:t>
            </w:r>
          </w:p>
        </w:tc>
      </w:tr>
      <w:tr>
        <w:trPr>
          <w:trHeight w:val="23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26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(95,186 )</w:t>
            </w:r>
          </w:p>
        </w:tc>
        <w:tc>
          <w:tcPr>
            <w:tcW w:w="3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8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Purchases of marketable equity securities</w:t>
            </w:r>
          </w:p>
        </w:tc>
        <w:tc>
          <w:tcPr>
            <w:tcW w:w="2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(36,183 )</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(122,430 )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(34,768 )</w:t>
            </w:r>
          </w:p>
        </w:tc>
      </w:tr>
      <w:tr>
        <w:trPr>
          <w:trHeight w:val="973"/>
        </w:trPr>
        <w:tc>
          <w:tcPr>
            <w:tcW w:w="8140" w:type="dxa"/>
            <w:vAlign w:val="bottom"/>
            <w:tcBorders>
              <w:bottom w:val="single" w:sz="8" w:color="9A9A9A"/>
            </w:tcBorders>
          </w:tcPr>
          <w:p>
            <w:pPr>
              <w:spacing w:after="0"/>
              <w:rPr>
                <w:sz w:val="24"/>
                <w:szCs w:val="24"/>
                <w:color w:val="auto"/>
              </w:rPr>
            </w:pPr>
          </w:p>
        </w:tc>
        <w:tc>
          <w:tcPr>
            <w:tcW w:w="260" w:type="dxa"/>
            <w:vAlign w:val="bottom"/>
            <w:tcBorders>
              <w:top w:val="single" w:sz="8" w:color="auto"/>
              <w:bottom w:val="single" w:sz="8" w:color="9A9A9A"/>
            </w:tcBorders>
          </w:tcPr>
          <w:p>
            <w:pPr>
              <w:spacing w:after="0"/>
              <w:rPr>
                <w:sz w:val="24"/>
                <w:szCs w:val="24"/>
                <w:color w:val="auto"/>
              </w:rPr>
            </w:pPr>
          </w:p>
        </w:tc>
        <w:tc>
          <w:tcPr>
            <w:tcW w:w="1140" w:type="dxa"/>
            <w:vAlign w:val="bottom"/>
            <w:tcBorders>
              <w:top w:val="single" w:sz="8" w:color="auto"/>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20" w:type="dxa"/>
            <w:vAlign w:val="bottom"/>
            <w:tcBorders>
              <w:top w:val="single" w:sz="8" w:color="auto"/>
              <w:bottom w:val="single" w:sz="8" w:color="9A9A9A"/>
            </w:tcBorders>
          </w:tcPr>
          <w:p>
            <w:pPr>
              <w:spacing w:after="0"/>
              <w:rPr>
                <w:sz w:val="24"/>
                <w:szCs w:val="24"/>
                <w:color w:val="auto"/>
              </w:rPr>
            </w:pPr>
          </w:p>
        </w:tc>
        <w:tc>
          <w:tcPr>
            <w:tcW w:w="1060" w:type="dxa"/>
            <w:vAlign w:val="bottom"/>
            <w:tcBorders>
              <w:top w:val="single" w:sz="8" w:color="auto"/>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-1893570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-1893570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-805180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-805180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43"/>
        </w:trPr>
        <w:tc>
          <w:tcPr>
            <w:tcW w:w="8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in connection with initial public offering, net of underwriting</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discounts and commissions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381,951</w:t>
            </w:r>
          </w:p>
        </w:tc>
        <w:tc>
          <w:tcPr>
            <w:tcW w:w="2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withholding related to net share settlement of restricted stock units</w:t>
            </w:r>
          </w:p>
        </w:tc>
        <w:tc>
          <w:tcPr>
            <w:tcW w:w="3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(69,918 )</w:t>
            </w:r>
          </w:p>
        </w:tc>
        <w:tc>
          <w:tcPr>
            <w:tcW w:w="4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Series G-5 Preferred Stock</w:t>
            </w: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199,750</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8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Principal payments on finance lease liabilities</w:t>
            </w:r>
          </w:p>
        </w:tc>
        <w:tc>
          <w:tcPr>
            <w:tcW w:w="3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(288 )</w:t>
            </w:r>
          </w:p>
        </w:tc>
        <w:tc>
          <w:tcPr>
            <w:tcW w:w="0" w:type="dxa"/>
            <w:vAlign w:val="bottom"/>
          </w:tcPr>
          <w:p>
            <w:pPr>
              <w:spacing w:after="0"/>
              <w:rPr>
                <w:sz w:val="1"/>
                <w:szCs w:val="1"/>
                <w:color w:val="auto"/>
              </w:rPr>
            </w:pPr>
          </w:p>
        </w:tc>
      </w:tr>
      <w:tr>
        <w:trPr>
          <w:trHeight w:val="23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3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(3,602 )</w:t>
            </w:r>
          </w:p>
        </w:tc>
        <w:tc>
          <w:tcPr>
            <w:tcW w:w="0" w:type="dxa"/>
            <w:vAlign w:val="bottom"/>
          </w:tcPr>
          <w:p>
            <w:pPr>
              <w:spacing w:after="0"/>
              <w:rPr>
                <w:sz w:val="1"/>
                <w:szCs w:val="1"/>
                <w:color w:val="auto"/>
              </w:rPr>
            </w:pPr>
          </w:p>
        </w:tc>
      </w:tr>
      <w:tr>
        <w:trPr>
          <w:trHeight w:val="247"/>
        </w:trPr>
        <w:tc>
          <w:tcPr>
            <w:tcW w:w="8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3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(8,587 )</w:t>
            </w:r>
          </w:p>
        </w:tc>
        <w:tc>
          <w:tcPr>
            <w:tcW w:w="4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(574 )</w:t>
            </w:r>
          </w:p>
        </w:tc>
        <w:tc>
          <w:tcPr>
            <w:tcW w:w="0" w:type="dxa"/>
            <w:vAlign w:val="bottom"/>
          </w:tcPr>
          <w:p>
            <w:pPr>
              <w:spacing w:after="0"/>
              <w:rPr>
                <w:sz w:val="1"/>
                <w:szCs w:val="1"/>
                <w:color w:val="auto"/>
              </w:rPr>
            </w:pPr>
          </w:p>
        </w:tc>
      </w:tr>
      <w:tr>
        <w:trPr>
          <w:trHeight w:val="23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w:t>
            </w:r>
          </w:p>
        </w:tc>
        <w:tc>
          <w:tcPr>
            <w:tcW w:w="38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(5,625 )</w:t>
            </w:r>
          </w:p>
        </w:tc>
        <w:tc>
          <w:tcPr>
            <w:tcW w:w="40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(5,625 )</w:t>
            </w:r>
          </w:p>
        </w:tc>
        <w:tc>
          <w:tcPr>
            <w:tcW w:w="0" w:type="dxa"/>
            <w:vAlign w:val="bottom"/>
          </w:tcPr>
          <w:p>
            <w:pPr>
              <w:spacing w:after="0"/>
              <w:rPr>
                <w:sz w:val="1"/>
                <w:szCs w:val="1"/>
                <w:color w:val="auto"/>
              </w:rPr>
            </w:pPr>
          </w:p>
        </w:tc>
      </w:tr>
      <w:tr>
        <w:trPr>
          <w:trHeight w:val="247"/>
        </w:trPr>
        <w:tc>
          <w:tcPr>
            <w:tcW w:w="8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long-term debt, net of original issue discount</w:t>
            </w:r>
          </w:p>
        </w:tc>
        <w:tc>
          <w:tcPr>
            <w:tcW w:w="3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48,750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indemnity holdback related to acquisition</w:t>
            </w:r>
          </w:p>
        </w:tc>
        <w:tc>
          <w:tcPr>
            <w:tcW w:w="38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(813 )</w:t>
            </w:r>
          </w:p>
        </w:tc>
        <w:tc>
          <w:tcPr>
            <w:tcW w:w="4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8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G-4 Special Payment</w:t>
            </w:r>
          </w:p>
        </w:tc>
        <w:tc>
          <w:tcPr>
            <w:tcW w:w="3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(2,250 )</w:t>
            </w:r>
          </w:p>
        </w:tc>
        <w:tc>
          <w:tcPr>
            <w:tcW w:w="4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14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494,508</w:t>
            </w:r>
          </w:p>
        </w:tc>
        <w:tc>
          <w:tcPr>
            <w:tcW w:w="220" w:type="dxa"/>
            <w:vAlign w:val="bottom"/>
            <w:tcBorders>
              <w:top w:val="single" w:sz="8" w:color="CFF0FC"/>
            </w:tcBorders>
          </w:tcPr>
          <w:p>
            <w:pPr>
              <w:spacing w:after="0"/>
              <w:rPr>
                <w:sz w:val="20"/>
                <w:szCs w:val="20"/>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38,661</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Effect of foreign exchange rates on cash</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(13 )</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0"/>
        </w:trPr>
        <w:tc>
          <w:tcPr>
            <w:tcW w:w="81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(decrease) in Cash, Cash Equivalents and Restricted Cash</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222,271</w:t>
            </w:r>
          </w:p>
        </w:tc>
        <w:tc>
          <w:tcPr>
            <w:tcW w:w="220" w:type="dxa"/>
            <w:vAlign w:val="bottom"/>
          </w:tcPr>
          <w:p>
            <w:pPr>
              <w:spacing w:after="0"/>
              <w:rPr>
                <w:sz w:val="24"/>
                <w:szCs w:val="24"/>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(170,203 )</w:t>
            </w:r>
          </w:p>
        </w:tc>
        <w:tc>
          <w:tcPr>
            <w:tcW w:w="0" w:type="dxa"/>
            <w:vAlign w:val="bottom"/>
          </w:tcPr>
          <w:p>
            <w:pPr>
              <w:spacing w:after="0"/>
              <w:rPr>
                <w:sz w:val="1"/>
                <w:szCs w:val="1"/>
                <w:color w:val="auto"/>
              </w:rPr>
            </w:pPr>
          </w:p>
        </w:tc>
      </w:tr>
      <w:tr>
        <w:trPr>
          <w:trHeight w:val="250"/>
        </w:trPr>
        <w:tc>
          <w:tcPr>
            <w:tcW w:w="8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166,607</w:t>
            </w:r>
          </w:p>
        </w:tc>
        <w:tc>
          <w:tcPr>
            <w:tcW w:w="2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303,731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388,878</w:t>
            </w:r>
          </w:p>
        </w:tc>
        <w:tc>
          <w:tcPr>
            <w:tcW w:w="220" w:type="dxa"/>
            <w:vAlign w:val="bottom"/>
          </w:tcPr>
          <w:p>
            <w:pPr>
              <w:spacing w:after="0"/>
              <w:rPr>
                <w:sz w:val="20"/>
                <w:szCs w:val="20"/>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are Comprised of:</w:t>
            </w:r>
          </w:p>
        </w:tc>
        <w:tc>
          <w:tcPr>
            <w:tcW w:w="3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388,006</w:t>
            </w:r>
          </w:p>
        </w:tc>
        <w:tc>
          <w:tcPr>
            <w:tcW w:w="2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1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3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2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388,878</w:t>
            </w:r>
          </w:p>
        </w:tc>
        <w:tc>
          <w:tcPr>
            <w:tcW w:w="220" w:type="dxa"/>
            <w:vAlign w:val="bottom"/>
          </w:tcPr>
          <w:p>
            <w:pPr>
              <w:spacing w:after="0"/>
              <w:rPr>
                <w:sz w:val="20"/>
                <w:szCs w:val="20"/>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during the year for interest</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20,899</w:t>
            </w:r>
          </w:p>
        </w:tc>
        <w:tc>
          <w:tcPr>
            <w:tcW w:w="220" w:type="dxa"/>
            <w:vAlign w:val="bottom"/>
          </w:tcPr>
          <w:p>
            <w:pPr>
              <w:spacing w:after="0"/>
              <w:rPr>
                <w:sz w:val="21"/>
                <w:szCs w:val="21"/>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1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46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81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Dividends payable</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22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 accrued but not paid</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6,706</w:t>
            </w:r>
          </w:p>
        </w:tc>
        <w:tc>
          <w:tcPr>
            <w:tcW w:w="2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1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 offering costs, accrued but not yet paid</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2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 of convertible promissory note</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18,664</w:t>
            </w:r>
          </w:p>
        </w:tc>
        <w:tc>
          <w:tcPr>
            <w:tcW w:w="2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1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Non-voting common stock issued in connection with business combinations</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2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4,305</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arising from obtaining right-of-use assets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140" w:type="dxa"/>
            <w:vAlign w:val="bottom"/>
            <w:shd w:val="clear" w:color="auto" w:fill="CFF0FC"/>
          </w:tcPr>
          <w:p>
            <w:pPr>
              <w:ind w:left="180"/>
              <w:spacing w:after="0" w:line="192" w:lineRule="exact"/>
              <w:rPr>
                <w:sz w:val="20"/>
                <w:szCs w:val="20"/>
                <w:color w:val="auto"/>
              </w:rPr>
            </w:pPr>
            <w:r>
              <w:rPr>
                <w:rFonts w:ascii="Times New Roman" w:cs="Times New Roman" w:eastAsia="Times New Roman" w:hAnsi="Times New Roman"/>
                <w:sz w:val="18"/>
                <w:szCs w:val="18"/>
                <w:color w:val="auto"/>
              </w:rPr>
              <w:t>Conversion of redeemable convertible preferred stock to common stock in connection with initial public</w:t>
            </w:r>
          </w:p>
        </w:tc>
        <w:tc>
          <w:tcPr>
            <w:tcW w:w="380" w:type="dxa"/>
            <w:vAlign w:val="bottom"/>
            <w:vMerge w:val="restart"/>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1,348,809</w:t>
            </w:r>
          </w:p>
        </w:tc>
        <w:tc>
          <w:tcPr>
            <w:tcW w:w="220" w:type="dxa"/>
            <w:vAlign w:val="bottom"/>
            <w:shd w:val="clear" w:color="auto" w:fill="CFF0FC"/>
          </w:tcPr>
          <w:p>
            <w:pPr>
              <w:spacing w:after="0"/>
              <w:rPr>
                <w:sz w:val="16"/>
                <w:szCs w:val="16"/>
                <w:color w:val="auto"/>
              </w:rPr>
            </w:pPr>
          </w:p>
        </w:tc>
        <w:tc>
          <w:tcPr>
            <w:tcW w:w="400" w:type="dxa"/>
            <w:vAlign w:val="bottom"/>
            <w:vMerge w:val="restart"/>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81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offering</w:t>
            </w:r>
          </w:p>
        </w:tc>
        <w:tc>
          <w:tcPr>
            <w:tcW w:w="380" w:type="dxa"/>
            <w:vAlign w:val="bottom"/>
            <w:tcBorders>
              <w:bottom w:val="single" w:sz="8" w:color="auto"/>
            </w:tcBorders>
            <w:vMerge w:val="continue"/>
            <w:shd w:val="clear" w:color="auto" w:fill="CFF0FC"/>
          </w:tcPr>
          <w:p>
            <w:pPr>
              <w:spacing w:after="0"/>
              <w:rPr>
                <w:sz w:val="21"/>
                <w:szCs w:val="21"/>
                <w:color w:val="auto"/>
              </w:rPr>
            </w:pPr>
          </w:p>
        </w:tc>
        <w:tc>
          <w:tcPr>
            <w:tcW w:w="1020" w:type="dxa"/>
            <w:vAlign w:val="bottom"/>
            <w:tcBorders>
              <w:bottom w:val="single" w:sz="8" w:color="auto"/>
            </w:tcBorders>
            <w:vMerge w:val="continue"/>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vMerge w:val="continue"/>
            <w:shd w:val="clear" w:color="auto" w:fill="CFF0FC"/>
          </w:tcPr>
          <w:p>
            <w:pPr>
              <w:spacing w:after="0"/>
              <w:rPr>
                <w:sz w:val="21"/>
                <w:szCs w:val="21"/>
                <w:color w:val="auto"/>
              </w:rPr>
            </w:pPr>
          </w:p>
        </w:tc>
        <w:tc>
          <w:tcPr>
            <w:tcW w:w="98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 related to net share settlement of restricted stock units not yet paid</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Reclassificiation of deferred offering costs to additional paid-in capital upon initial public offering</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12,347</w:t>
            </w:r>
          </w:p>
        </w:tc>
        <w:tc>
          <w:tcPr>
            <w:tcW w:w="220" w:type="dxa"/>
            <w:vAlign w:val="bottom"/>
            <w:shd w:val="clear" w:color="auto" w:fill="CFF0FC"/>
          </w:tcPr>
          <w:p>
            <w:pPr>
              <w:spacing w:after="0"/>
              <w:rPr>
                <w:sz w:val="22"/>
                <w:szCs w:val="22"/>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814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Issuance of Series G-3 Preferred Stock</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3,809</w:t>
            </w:r>
          </w:p>
        </w:tc>
        <w:tc>
          <w:tcPr>
            <w:tcW w:w="220" w:type="dxa"/>
            <w:vAlign w:val="bottom"/>
            <w:tcBorders>
              <w:top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Issuance of Series G-4 Preferred Stock</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220" w:type="dxa"/>
            <w:vAlign w:val="bottom"/>
            <w:shd w:val="clear" w:color="auto" w:fill="CFF0FC"/>
          </w:tcPr>
          <w:p>
            <w:pPr>
              <w:spacing w:after="0"/>
              <w:rPr>
                <w:sz w:val="22"/>
                <w:szCs w:val="22"/>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59"/>
        </w:trPr>
        <w:tc>
          <w:tcPr>
            <w:tcW w:w="8140" w:type="dxa"/>
            <w:vAlign w:val="bottom"/>
            <w:tcBorders>
              <w:top w:val="single" w:sz="8" w:color="CFF0FC"/>
              <w:bottom w:val="single" w:sz="8" w:color="9A9A9A"/>
            </w:tcBorders>
          </w:tcPr>
          <w:p>
            <w:pPr>
              <w:spacing w:after="0"/>
              <w:rPr>
                <w:sz w:val="24"/>
                <w:szCs w:val="24"/>
                <w:color w:val="auto"/>
              </w:rPr>
            </w:pPr>
          </w:p>
        </w:tc>
        <w:tc>
          <w:tcPr>
            <w:tcW w:w="380" w:type="dxa"/>
            <w:vAlign w:val="bottom"/>
            <w:tcBorders>
              <w:top w:val="single" w:sz="8" w:color="auto"/>
              <w:bottom w:val="single" w:sz="8" w:color="9A9A9A"/>
            </w:tcBorders>
          </w:tcPr>
          <w:p>
            <w:pPr>
              <w:spacing w:after="0"/>
              <w:rPr>
                <w:sz w:val="24"/>
                <w:szCs w:val="24"/>
                <w:color w:val="auto"/>
              </w:rPr>
            </w:pPr>
          </w:p>
        </w:tc>
        <w:tc>
          <w:tcPr>
            <w:tcW w:w="1020" w:type="dxa"/>
            <w:vAlign w:val="bottom"/>
            <w:tcBorders>
              <w:top w:val="single" w:sz="8" w:color="auto"/>
              <w:bottom w:val="single" w:sz="8" w:color="9A9A9A"/>
            </w:tcBorders>
          </w:tcPr>
          <w:p>
            <w:pPr>
              <w:spacing w:after="0"/>
              <w:rPr>
                <w:sz w:val="24"/>
                <w:szCs w:val="24"/>
                <w:color w:val="auto"/>
              </w:rPr>
            </w:pPr>
          </w:p>
        </w:tc>
        <w:tc>
          <w:tcPr>
            <w:tcW w:w="220" w:type="dxa"/>
            <w:vAlign w:val="bottom"/>
            <w:tcBorders>
              <w:top w:val="single" w:sz="8" w:color="CFF0FC"/>
              <w:bottom w:val="single" w:sz="8" w:color="9A9A9A"/>
            </w:tcBorders>
          </w:tcPr>
          <w:p>
            <w:pPr>
              <w:spacing w:after="0"/>
              <w:rPr>
                <w:sz w:val="24"/>
                <w:szCs w:val="24"/>
                <w:color w:val="auto"/>
              </w:rPr>
            </w:pPr>
          </w:p>
        </w:tc>
        <w:tc>
          <w:tcPr>
            <w:tcW w:w="400" w:type="dxa"/>
            <w:vAlign w:val="bottom"/>
            <w:tcBorders>
              <w:top w:val="single" w:sz="8" w:color="auto"/>
              <w:bottom w:val="single" w:sz="8" w:color="9A9A9A"/>
            </w:tcBorders>
          </w:tcPr>
          <w:p>
            <w:pPr>
              <w:spacing w:after="0"/>
              <w:rPr>
                <w:sz w:val="24"/>
                <w:szCs w:val="24"/>
                <w:color w:val="auto"/>
              </w:rPr>
            </w:pPr>
          </w:p>
        </w:tc>
        <w:tc>
          <w:tcPr>
            <w:tcW w:w="98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-5494020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-5494020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-5168265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-5168265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-4697095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-4697095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-3891280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-3891280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-3059430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-3042285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-3059430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-3042285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-2571115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-2553970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-2571115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-2553970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-2211070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-2193925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-2211070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-2193925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-1851025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-1833880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-1379220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-1362075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-1379220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-1362075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-1019175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-1002030</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-1019175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-1002030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-659130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-641985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-641985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12" w:name="page13"/>
    <w:bookmarkEnd w:id="12"/>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MEASURES</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 thousands, except percentages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Genomics Gross Profit &amp; Gross Margin</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0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254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57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Genomics revenue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116,422</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96,815</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331,315</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270,797</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revenues, genomics</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60,126</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46,540</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181,285</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138,781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 genomics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56,296</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50,275</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150,030</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132,016</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Employer payroll tax related to stock-based compensation</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7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Non-GAAP gross profit, genomics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57,405</w:t>
            </w:r>
          </w:p>
        </w:tc>
        <w:tc>
          <w:tcPr>
            <w:tcW w:w="28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50,275</w:t>
            </w:r>
          </w:p>
        </w:tc>
        <w:tc>
          <w:tcPr>
            <w:tcW w:w="24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162,602</w:t>
            </w: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132,016</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Genomics gross margin</w:t>
            </w: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48.4 %</w:t>
            </w:r>
          </w:p>
        </w:tc>
        <w:tc>
          <w:tcPr>
            <w:tcW w:w="26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51.9 %</w:t>
            </w:r>
          </w:p>
        </w:tc>
        <w:tc>
          <w:tcPr>
            <w:tcW w:w="14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45.3 %</w:t>
            </w:r>
          </w:p>
        </w:tc>
        <w:tc>
          <w:tcPr>
            <w:tcW w:w="26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48.8 %</w:t>
            </w:r>
          </w:p>
        </w:tc>
        <w:tc>
          <w:tcPr>
            <w:tcW w:w="0" w:type="dxa"/>
            <w:vAlign w:val="bottom"/>
          </w:tcPr>
          <w:p>
            <w:pPr>
              <w:spacing w:after="0"/>
              <w:rPr>
                <w:sz w:val="1"/>
                <w:szCs w:val="1"/>
                <w:color w:val="auto"/>
              </w:rPr>
            </w:pPr>
          </w:p>
        </w:tc>
      </w:tr>
      <w:tr>
        <w:trPr>
          <w:trHeight w:val="238"/>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0.9 %</w:t>
            </w:r>
          </w:p>
        </w:tc>
        <w:tc>
          <w:tcPr>
            <w:tcW w:w="26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0.0 %</w:t>
            </w:r>
          </w:p>
        </w:tc>
        <w:tc>
          <w:tcPr>
            <w:tcW w:w="14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3.7 %</w:t>
            </w:r>
          </w:p>
        </w:tc>
        <w:tc>
          <w:tcPr>
            <w:tcW w:w="26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43"/>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Employer payroll tax related to stock-based compensation</w:t>
            </w:r>
          </w:p>
        </w:tc>
        <w:tc>
          <w:tcPr>
            <w:tcW w:w="14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0.0 %</w:t>
            </w:r>
          </w:p>
        </w:tc>
        <w:tc>
          <w:tcPr>
            <w:tcW w:w="26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0.0 %</w:t>
            </w:r>
          </w:p>
        </w:tc>
        <w:tc>
          <w:tcPr>
            <w:tcW w:w="14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0.0 %</w:t>
            </w:r>
          </w:p>
        </w:tc>
        <w:tc>
          <w:tcPr>
            <w:tcW w:w="26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7"/>
        </w:trPr>
        <w:tc>
          <w:tcPr>
            <w:tcW w:w="5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Non-GAAP gross margin, genomics</w:t>
            </w: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7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49.3 %</w:t>
            </w:r>
          </w:p>
        </w:tc>
        <w:tc>
          <w:tcPr>
            <w:tcW w:w="26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51.9 %</w:t>
            </w:r>
          </w:p>
        </w:tc>
        <w:tc>
          <w:tcPr>
            <w:tcW w:w="14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49.1 %</w:t>
            </w:r>
          </w:p>
        </w:tc>
        <w:tc>
          <w:tcPr>
            <w:tcW w:w="26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48.8 %</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Data and Services Gross Profit &amp; Gross Margin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7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24"/>
                <w:szCs w:val="24"/>
                <w:color w:val="auto"/>
              </w:rPr>
            </w:pPr>
          </w:p>
        </w:tc>
        <w:tc>
          <w:tcPr>
            <w:tcW w:w="254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57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Data and services revenue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64,507</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39,242</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161,403</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113,301</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revenues, data and services</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14,964</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15,490</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52,384</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40,690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 data and services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49,543</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23,752</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109,019</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72,611</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Employer payroll tax related to stock-based compensation</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7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Non-GAAP gross profit, data and services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50,502</w:t>
            </w:r>
          </w:p>
        </w:tc>
        <w:tc>
          <w:tcPr>
            <w:tcW w:w="28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23,752</w:t>
            </w:r>
          </w:p>
        </w:tc>
        <w:tc>
          <w:tcPr>
            <w:tcW w:w="24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117,326</w:t>
            </w: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72,611</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Gross margin, data and services</w:t>
            </w: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76.8 %</w:t>
            </w:r>
          </w:p>
        </w:tc>
        <w:tc>
          <w:tcPr>
            <w:tcW w:w="26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60.5 %</w:t>
            </w:r>
          </w:p>
        </w:tc>
        <w:tc>
          <w:tcPr>
            <w:tcW w:w="14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67.5 %</w:t>
            </w:r>
          </w:p>
        </w:tc>
        <w:tc>
          <w:tcPr>
            <w:tcW w:w="26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64.1 %</w:t>
            </w:r>
          </w:p>
        </w:tc>
        <w:tc>
          <w:tcPr>
            <w:tcW w:w="0" w:type="dxa"/>
            <w:vAlign w:val="bottom"/>
          </w:tcPr>
          <w:p>
            <w:pPr>
              <w:spacing w:after="0"/>
              <w:rPr>
                <w:sz w:val="1"/>
                <w:szCs w:val="1"/>
                <w:color w:val="auto"/>
              </w:rPr>
            </w:pPr>
          </w:p>
        </w:tc>
      </w:tr>
      <w:tr>
        <w:trPr>
          <w:trHeight w:val="238"/>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1.4 %</w:t>
            </w:r>
          </w:p>
        </w:tc>
        <w:tc>
          <w:tcPr>
            <w:tcW w:w="26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0.0 %</w:t>
            </w:r>
          </w:p>
        </w:tc>
        <w:tc>
          <w:tcPr>
            <w:tcW w:w="14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5.0 %</w:t>
            </w:r>
          </w:p>
        </w:tc>
        <w:tc>
          <w:tcPr>
            <w:tcW w:w="26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43"/>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Employer payroll tax related to stock-based compensation</w:t>
            </w:r>
          </w:p>
        </w:tc>
        <w:tc>
          <w:tcPr>
            <w:tcW w:w="14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0.1 %</w:t>
            </w:r>
          </w:p>
        </w:tc>
        <w:tc>
          <w:tcPr>
            <w:tcW w:w="26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0.0 %</w:t>
            </w:r>
          </w:p>
        </w:tc>
        <w:tc>
          <w:tcPr>
            <w:tcW w:w="14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0.1 %</w:t>
            </w:r>
          </w:p>
        </w:tc>
        <w:tc>
          <w:tcPr>
            <w:tcW w:w="26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7"/>
        </w:trPr>
        <w:tc>
          <w:tcPr>
            <w:tcW w:w="5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Non-GAAP gross margin, data and services</w:t>
            </w: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7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78.3 %</w:t>
            </w:r>
          </w:p>
        </w:tc>
        <w:tc>
          <w:tcPr>
            <w:tcW w:w="26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60.5 %</w:t>
            </w:r>
          </w:p>
        </w:tc>
        <w:tc>
          <w:tcPr>
            <w:tcW w:w="14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72.7 %</w:t>
            </w:r>
          </w:p>
        </w:tc>
        <w:tc>
          <w:tcPr>
            <w:tcW w:w="26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64.1 %</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 Gross Profit &amp; Gross Margin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7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24"/>
                <w:szCs w:val="24"/>
                <w:color w:val="auto"/>
              </w:rPr>
            </w:pPr>
          </w:p>
        </w:tc>
        <w:tc>
          <w:tcPr>
            <w:tcW w:w="254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57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revenue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180,929</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136,057</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492,718</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384,098</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revenues</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75,090</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62,030</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233,669</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179,471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105,839</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74,027</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259,049</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204,627</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Employer payroll tax related to stock-based compensation</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7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Non-GAAP gross profit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107,907</w:t>
            </w:r>
          </w:p>
        </w:tc>
        <w:tc>
          <w:tcPr>
            <w:tcW w:w="28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74,027</w:t>
            </w:r>
          </w:p>
        </w:tc>
        <w:tc>
          <w:tcPr>
            <w:tcW w:w="24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279,928</w:t>
            </w: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204,627</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58.5 %</w:t>
            </w:r>
          </w:p>
        </w:tc>
        <w:tc>
          <w:tcPr>
            <w:tcW w:w="26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54.4 %</w:t>
            </w:r>
          </w:p>
        </w:tc>
        <w:tc>
          <w:tcPr>
            <w:tcW w:w="14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52.6 %</w:t>
            </w:r>
          </w:p>
        </w:tc>
        <w:tc>
          <w:tcPr>
            <w:tcW w:w="26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53.3 %</w:t>
            </w:r>
          </w:p>
        </w:tc>
        <w:tc>
          <w:tcPr>
            <w:tcW w:w="0" w:type="dxa"/>
            <w:vAlign w:val="bottom"/>
          </w:tcPr>
          <w:p>
            <w:pPr>
              <w:spacing w:after="0"/>
              <w:rPr>
                <w:sz w:val="1"/>
                <w:szCs w:val="1"/>
                <w:color w:val="auto"/>
              </w:rPr>
            </w:pPr>
          </w:p>
        </w:tc>
      </w:tr>
      <w:tr>
        <w:trPr>
          <w:trHeight w:val="238"/>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1.1 %</w:t>
            </w:r>
          </w:p>
        </w:tc>
        <w:tc>
          <w:tcPr>
            <w:tcW w:w="26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0.0 %</w:t>
            </w:r>
          </w:p>
        </w:tc>
        <w:tc>
          <w:tcPr>
            <w:tcW w:w="14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4.2 %</w:t>
            </w:r>
          </w:p>
        </w:tc>
        <w:tc>
          <w:tcPr>
            <w:tcW w:w="26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43"/>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Employer payroll tax related to stock-based compensation</w:t>
            </w:r>
          </w:p>
        </w:tc>
        <w:tc>
          <w:tcPr>
            <w:tcW w:w="14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0.0 %</w:t>
            </w:r>
          </w:p>
        </w:tc>
        <w:tc>
          <w:tcPr>
            <w:tcW w:w="26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0.0 %</w:t>
            </w:r>
          </w:p>
        </w:tc>
        <w:tc>
          <w:tcPr>
            <w:tcW w:w="14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0.1 %</w:t>
            </w:r>
          </w:p>
        </w:tc>
        <w:tc>
          <w:tcPr>
            <w:tcW w:w="26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7"/>
        </w:trPr>
        <w:tc>
          <w:tcPr>
            <w:tcW w:w="5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Non-GAAP gross margin</w:t>
            </w: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57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59.6 %</w:t>
            </w:r>
          </w:p>
        </w:tc>
        <w:tc>
          <w:tcPr>
            <w:tcW w:w="26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54.4 %</w:t>
            </w:r>
          </w:p>
        </w:tc>
        <w:tc>
          <w:tcPr>
            <w:tcW w:w="14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56.8 %</w:t>
            </w:r>
          </w:p>
        </w:tc>
        <w:tc>
          <w:tcPr>
            <w:tcW w:w="26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53.3 %</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4"/>
        </w:trPr>
        <w:tc>
          <w:tcPr>
            <w:tcW w:w="57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-5897245</wp:posOffset>
            </wp:positionV>
            <wp:extent cx="7132320"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-6085840</wp:posOffset>
            </wp:positionV>
            <wp:extent cx="7747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-6085840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-6085840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-6085840</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-5588635</wp:posOffset>
            </wp:positionV>
            <wp:extent cx="7132320" cy="1631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-3590925</wp:posOffset>
            </wp:positionV>
            <wp:extent cx="7132320" cy="1543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-3779520</wp:posOffset>
            </wp:positionV>
            <wp:extent cx="774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-3779520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-3779520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-3779520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-3282315</wp:posOffset>
            </wp:positionV>
            <wp:extent cx="7132320" cy="1625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-1285240</wp:posOffset>
            </wp:positionV>
            <wp:extent cx="7132320" cy="1543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-1473835</wp:posOffset>
            </wp:positionV>
            <wp:extent cx="774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-1473835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-1473835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-1473835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-976630</wp:posOffset>
            </wp:positionV>
            <wp:extent cx="7132320" cy="1625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981" w:right="2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60" w:type="dxa"/>
            <w:vAlign w:val="bottom"/>
            <w:gridSpan w:val="4"/>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gridSpan w:val="8"/>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57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Technology research and development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30,680</w:t>
            </w:r>
          </w:p>
        </w:tc>
        <w:tc>
          <w:tcPr>
            <w:tcW w:w="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24,156</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135,655</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70,485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54,363</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7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Employer payroll tax related to stock-based compensation</w:t>
            </w: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1,441</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technology research and development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26,559</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24,156</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79,851</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27,348</w:t>
            </w:r>
          </w:p>
        </w:tc>
        <w:tc>
          <w:tcPr>
            <w:tcW w:w="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23,234</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119,713</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44,787</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7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Employer payroll tax related to stock-based compensation</w:t>
            </w: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810</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research and development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24,660</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23,234</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74,116</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101,427</w:t>
            </w:r>
          </w:p>
        </w:tc>
        <w:tc>
          <w:tcPr>
            <w:tcW w:w="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71,426</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644,063</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211,662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12,556</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389,646</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7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Employer payroll tax related to stock-based compensation</w:t>
            </w: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3,388</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selling, general and administrative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88,065</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71,426</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251,029</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159,455</w:t>
            </w:r>
          </w:p>
        </w:tc>
        <w:tc>
          <w:tcPr>
            <w:tcW w:w="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118,816</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899,431</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348,415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19,039</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488,796</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7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Employer payroll tax related to stock-based compensation</w:t>
            </w: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5,639</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139,284</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118,816</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404,996</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348,415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7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5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6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7"/>
        </w:trPr>
        <w:tc>
          <w:tcPr>
            <w:tcW w:w="5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tcBorders>
              <w:bottom w:val="single" w:sz="8" w:color="auto"/>
            </w:tcBorders>
            <w:gridSpan w:val="4"/>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9"/>
              </w:rPr>
              <w:t>(75,840 )</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(692,795 )</w:t>
            </w:r>
          </w:p>
        </w:tc>
        <w:tc>
          <w:tcPr>
            <w:tcW w:w="0" w:type="dxa"/>
            <w:vAlign w:val="bottom"/>
          </w:tcPr>
          <w:p>
            <w:pPr>
              <w:spacing w:after="0"/>
              <w:rPr>
                <w:sz w:val="1"/>
                <w:szCs w:val="1"/>
                <w:color w:val="auto"/>
              </w:rPr>
            </w:pPr>
          </w:p>
        </w:tc>
      </w:tr>
      <w:tr>
        <w:trPr>
          <w:trHeight w:val="243"/>
        </w:trPr>
        <w:tc>
          <w:tcPr>
            <w:tcW w:w="578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Fair value changes</w:t>
            </w:r>
            <w:r>
              <w:rPr>
                <w:rFonts w:ascii="Times New Roman" w:cs="Times New Roman" w:eastAsia="Times New Roman" w:hAnsi="Times New Roman"/>
                <w:sz w:val="24"/>
                <w:szCs w:val="24"/>
                <w:color w:val="auto"/>
                <w:vertAlign w:val="superscript"/>
              </w:rPr>
              <w:t>(1)</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21,038</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509,351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Employer payroll tax related to stock-based compensation</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G-4 Special Payment</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technology license</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(3,989 )</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(3,989 )</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Non-GAAP net loss</w:t>
            </w: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9"/>
              </w:rPr>
              <w:t>(41,985 )</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(159,335 )</w:t>
            </w:r>
          </w:p>
        </w:tc>
        <w:tc>
          <w:tcPr>
            <w:tcW w:w="0" w:type="dxa"/>
            <w:vAlign w:val="bottom"/>
          </w:tcPr>
          <w:p>
            <w:pPr>
              <w:spacing w:after="0"/>
              <w:rPr>
                <w:sz w:val="1"/>
                <w:szCs w:val="1"/>
                <w:color w:val="auto"/>
              </w:rPr>
            </w:pPr>
          </w:p>
        </w:tc>
      </w:tr>
      <w:tr>
        <w:trPr>
          <w:trHeight w:val="23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net loss per share</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(0.25 )</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(1.53 )</w:t>
            </w:r>
          </w:p>
        </w:tc>
        <w:tc>
          <w:tcPr>
            <w:tcW w:w="0" w:type="dxa"/>
            <w:vAlign w:val="bottom"/>
          </w:tcPr>
          <w:p>
            <w:pPr>
              <w:spacing w:after="0"/>
              <w:rPr>
                <w:sz w:val="1"/>
                <w:szCs w:val="1"/>
                <w:color w:val="auto"/>
              </w:rPr>
            </w:pPr>
          </w:p>
        </w:tc>
      </w:tr>
      <w:tr>
        <w:trPr>
          <w:trHeight w:val="283"/>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14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auto"/>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4"/>
                <w:szCs w:val="2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165,612</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104,164</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-4225290</wp:posOffset>
            </wp:positionV>
            <wp:extent cx="774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-4225290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-4225290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-4225290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-3573780</wp:posOffset>
            </wp:positionV>
            <wp:extent cx="774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-3573780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-3573780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-3573780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-2922270</wp:posOffset>
            </wp:positionV>
            <wp:extent cx="774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-2922270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-2922270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-2922270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-2271395</wp:posOffset>
            </wp:positionV>
            <wp:extent cx="7747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-2271395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-2271395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-2271395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left="520" w:right="620" w:hanging="512"/>
        <w:spacing w:after="0" w:line="282" w:lineRule="auto"/>
        <w:tabs>
          <w:tab w:leader="none" w:pos="371"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Fair value changes include gains and losses related to quarterly fair value adjustments of our warrant liability, warrant asset, marketable equity securities, contingent consideration liabilities, and indemnity-related holdback liabilities. 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0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248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57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(75,840 )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(53,426 )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(692,795 )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(163,635 )</w:t>
            </w:r>
          </w:p>
        </w:tc>
      </w:tr>
      <w:tr>
        <w:trPr>
          <w:trHeight w:val="239"/>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(4,789 )</w:t>
            </w:r>
          </w:p>
        </w:tc>
        <w:tc>
          <w:tcPr>
            <w:tcW w:w="2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(1,483 )</w:t>
            </w:r>
          </w:p>
        </w:tc>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(7,538 )</w:t>
            </w:r>
          </w:p>
        </w:tc>
        <w:tc>
          <w:tcPr>
            <w:tcW w:w="2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(5,864 )</w:t>
            </w:r>
          </w:p>
        </w:tc>
      </w:tr>
      <w:tr>
        <w:trPr>
          <w:trHeight w:val="247"/>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13,761</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12,342</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40,294</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33,245</w:t>
            </w:r>
          </w:p>
        </w:tc>
        <w:tc>
          <w:tcPr>
            <w:tcW w:w="100" w:type="dxa"/>
            <w:vAlign w:val="bottom"/>
            <w:shd w:val="clear" w:color="auto" w:fill="CFF0FC"/>
          </w:tcPr>
          <w:p>
            <w:pPr>
              <w:spacing w:after="0"/>
              <w:rPr>
                <w:sz w:val="21"/>
                <w:szCs w:val="21"/>
                <w:color w:val="auto"/>
              </w:rPr>
            </w:pPr>
          </w:p>
        </w:tc>
      </w:tr>
      <w:tr>
        <w:trPr>
          <w:trHeight w:val="239"/>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6,788</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15,658</w:t>
            </w:r>
          </w:p>
        </w:tc>
        <w:tc>
          <w:tcPr>
            <w:tcW w:w="100" w:type="dxa"/>
            <w:vAlign w:val="bottom"/>
          </w:tcPr>
          <w:p>
            <w:pPr>
              <w:spacing w:after="0"/>
              <w:rPr>
                <w:sz w:val="20"/>
                <w:szCs w:val="20"/>
                <w:color w:val="auto"/>
              </w:rPr>
            </w:pPr>
          </w:p>
        </w:tc>
      </w:tr>
      <w:tr>
        <w:trPr>
          <w:trHeight w:val="247"/>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8,316</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8,851</w:t>
            </w:r>
          </w:p>
        </w:tc>
        <w:tc>
          <w:tcPr>
            <w:tcW w:w="100" w:type="dxa"/>
            <w:vAlign w:val="bottom"/>
            <w:shd w:val="clear" w:color="auto" w:fill="CFF0FC"/>
          </w:tcPr>
          <w:p>
            <w:pPr>
              <w:spacing w:after="0"/>
              <w:rPr>
                <w:sz w:val="21"/>
                <w:szCs w:val="21"/>
                <w:color w:val="auto"/>
              </w:rPr>
            </w:pPr>
          </w:p>
        </w:tc>
      </w:tr>
      <w:tr>
        <w:trPr>
          <w:trHeight w:val="239"/>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0"/>
                <w:szCs w:val="20"/>
                <w:color w:val="auto"/>
              </w:rPr>
            </w:pPr>
          </w:p>
        </w:tc>
      </w:tr>
      <w:tr>
        <w:trPr>
          <w:trHeight w:val="241"/>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(57,390 )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(34,178 )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(632,107 )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(111,671 )</w:t>
            </w:r>
          </w:p>
        </w:tc>
      </w:tr>
      <w:tr>
        <w:trPr>
          <w:trHeight w:val="239"/>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Losses on equity method investments</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20"/>
                <w:szCs w:val="20"/>
                <w:color w:val="auto"/>
              </w:rPr>
            </w:pPr>
          </w:p>
        </w:tc>
      </w:tr>
      <w:tr>
        <w:trPr>
          <w:trHeight w:val="247"/>
        </w:trPr>
        <w:tc>
          <w:tcPr>
            <w:tcW w:w="5780" w:type="dxa"/>
            <w:vAlign w:val="bottom"/>
            <w:shd w:val="clear" w:color="auto" w:fill="CFF0FC"/>
          </w:tcPr>
          <w:p>
            <w:pPr>
              <w:ind w:left="120"/>
              <w:spacing w:after="0" w:line="248" w:lineRule="exact"/>
              <w:rPr>
                <w:sz w:val="20"/>
                <w:szCs w:val="20"/>
                <w:color w:val="auto"/>
              </w:rPr>
            </w:pPr>
            <w:r>
              <w:rPr>
                <w:rFonts w:ascii="Times New Roman" w:cs="Times New Roman" w:eastAsia="Times New Roman" w:hAnsi="Times New Roman"/>
                <w:sz w:val="18"/>
                <w:szCs w:val="18"/>
                <w:color w:val="auto"/>
              </w:rPr>
              <w:t>Fair value changes</w:t>
            </w:r>
            <w:r>
              <w:rPr>
                <w:rFonts w:ascii="Times New Roman" w:cs="Times New Roman" w:eastAsia="Times New Roman" w:hAnsi="Times New Roman"/>
                <w:sz w:val="24"/>
                <w:szCs w:val="24"/>
                <w:color w:val="auto"/>
                <w:vertAlign w:val="superscript"/>
              </w:rPr>
              <w:t>(1)</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15,605</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(2,028 )</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19,885</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(7,728 )</w:t>
            </w:r>
          </w:p>
        </w:tc>
      </w:tr>
      <w:tr>
        <w:trPr>
          <w:trHeight w:val="239"/>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21,038</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509,351</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Employer payroll tax related to stock-based compensation</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5,963</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G-4 Special Payment</w:t>
            </w:r>
          </w:p>
        </w:tc>
        <w:tc>
          <w:tcPr>
            <w:tcW w:w="14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Amortization of technology license</w:t>
            </w:r>
          </w:p>
        </w:tc>
        <w:tc>
          <w:tcPr>
            <w:tcW w:w="1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(3,989 )</w:t>
            </w: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(3,989 )</w:t>
            </w: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7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(21,843 )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(36,206 )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(96,955 )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(119,098 )</w:t>
            </w:r>
          </w:p>
        </w:tc>
      </w:tr>
      <w:tr>
        <w:trPr>
          <w:trHeight w:val="20"/>
        </w:trPr>
        <w:tc>
          <w:tcPr>
            <w:tcW w:w="5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-187960</wp:posOffset>
            </wp:positionV>
            <wp:extent cx="7747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225" w:lineRule="exact"/>
        <w:rPr>
          <w:sz w:val="20"/>
          <w:szCs w:val="20"/>
          <w:color w:val="auto"/>
        </w:rPr>
      </w:pPr>
    </w:p>
    <w:p>
      <w:pPr>
        <w:ind w:left="520" w:right="620" w:hanging="512"/>
        <w:spacing w:after="0" w:line="282" w:lineRule="auto"/>
        <w:tabs>
          <w:tab w:leader="none" w:pos="371"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Fair value changes include gains and losses related to quarterly fair value adjustments of our warrant liability, warrant asset, marketable equity securities, contingent consideration liabilities, and indemnity-related holdback liabilities. 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lvl w:ilvl="1">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2024-11-04T15:06:42Z</dcterms:created>
  <dcterms:modified xsi:type="dcterms:W3CDTF">2024-11-04T15:06:42Z</dcterms:modified>
</cp:coreProperties>
</file>