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141605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182245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5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21,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159385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0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Tempus AI,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150495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0" w:lineRule="exact"/>
        <w:rPr>
          <w:sz w:val="24"/>
          <w:szCs w:val="24"/>
          <w:color w:val="auto"/>
        </w:rPr>
      </w:pPr>
    </w:p>
    <w:tbl>
      <w:tblPr>
        <w:tblLayout w:type="fixed"/>
        <w:tblInd w:w="1024" w:type="dxa"/>
        <w:tblCellMar>
          <w:top w:w="0" w:type="dxa"/>
          <w:left w:w="0" w:type="dxa"/>
          <w:bottom w:w="0" w:type="dxa"/>
          <w:right w:w="0" w:type="dxa"/>
        </w:tblCellMar>
      </w:tblPr>
      <w:tr>
        <w:trPr>
          <w:trHeight w:val="214"/>
        </w:trPr>
        <w:tc>
          <w:tcPr>
            <w:tcW w:w="3660" w:type="dxa"/>
            <w:vAlign w:val="bottom"/>
          </w:tcPr>
          <w:p>
            <w:pPr>
              <w:jc w:val="center"/>
              <w:ind w:right="1879"/>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234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001-42130</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8"/>
                <w:szCs w:val="18"/>
                <w:b w:val="1"/>
                <w:bCs w:val="1"/>
                <w:color w:val="auto"/>
                <w:w w:val="98"/>
              </w:rPr>
              <w:t>47-4903308</w:t>
            </w:r>
          </w:p>
        </w:tc>
      </w:tr>
      <w:tr>
        <w:trPr>
          <w:trHeight w:val="148"/>
        </w:trPr>
        <w:tc>
          <w:tcPr>
            <w:tcW w:w="3660" w:type="dxa"/>
            <w:vAlign w:val="bottom"/>
          </w:tcPr>
          <w:p>
            <w:pPr>
              <w:jc w:val="center"/>
              <w:ind w:right="187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340" w:type="dxa"/>
            <w:vAlign w:val="bottom"/>
          </w:tcPr>
          <w:p>
            <w:pPr>
              <w:ind w:left="54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660" w:type="dxa"/>
            <w:vAlign w:val="bottom"/>
          </w:tcPr>
          <w:p>
            <w:pPr>
              <w:jc w:val="center"/>
              <w:ind w:right="187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340" w:type="dxa"/>
            <w:vAlign w:val="bottom"/>
          </w:tcPr>
          <w:p>
            <w:pPr>
              <w:ind w:left="52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33"/>
        </w:trPr>
        <w:tc>
          <w:tcPr>
            <w:tcW w:w="3660" w:type="dxa"/>
            <w:vAlign w:val="bottom"/>
          </w:tcPr>
          <w:p>
            <w:pPr>
              <w:jc w:val="center"/>
              <w:ind w:right="79"/>
              <w:spacing w:after="0"/>
              <w:rPr>
                <w:sz w:val="20"/>
                <w:szCs w:val="20"/>
                <w:color w:val="auto"/>
              </w:rPr>
            </w:pPr>
            <w:r>
              <w:rPr>
                <w:rFonts w:ascii="Times New Roman" w:cs="Times New Roman" w:eastAsia="Times New Roman" w:hAnsi="Times New Roman"/>
                <w:sz w:val="18"/>
                <w:szCs w:val="18"/>
                <w:b w:val="1"/>
                <w:bCs w:val="1"/>
                <w:color w:val="auto"/>
                <w:w w:val="99"/>
              </w:rPr>
              <w:t>600 West Chicago Avenue, Suite 510</w:t>
            </w:r>
          </w:p>
        </w:tc>
        <w:tc>
          <w:tcPr>
            <w:tcW w:w="234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7"/>
        </w:trPr>
        <w:tc>
          <w:tcPr>
            <w:tcW w:w="3660" w:type="dxa"/>
            <w:vAlign w:val="bottom"/>
          </w:tcPr>
          <w:p>
            <w:pPr>
              <w:jc w:val="center"/>
              <w:ind w:right="59"/>
              <w:spacing w:after="0"/>
              <w:rPr>
                <w:sz w:val="20"/>
                <w:szCs w:val="20"/>
                <w:color w:val="auto"/>
              </w:rPr>
            </w:pPr>
            <w:r>
              <w:rPr>
                <w:rFonts w:ascii="Times New Roman" w:cs="Times New Roman" w:eastAsia="Times New Roman" w:hAnsi="Times New Roman"/>
                <w:sz w:val="18"/>
                <w:szCs w:val="18"/>
                <w:b w:val="1"/>
                <w:bCs w:val="1"/>
                <w:color w:val="auto"/>
                <w:w w:val="99"/>
              </w:rPr>
              <w:t>Chicago, Illinois</w:t>
            </w:r>
          </w:p>
        </w:tc>
        <w:tc>
          <w:tcPr>
            <w:tcW w:w="234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Times New Roman" w:cs="Times New Roman" w:eastAsia="Times New Roman" w:hAnsi="Times New Roman"/>
                <w:sz w:val="18"/>
                <w:szCs w:val="18"/>
                <w:b w:val="1"/>
                <w:bCs w:val="1"/>
                <w:color w:val="auto"/>
              </w:rPr>
              <w:t>60654</w:t>
            </w:r>
          </w:p>
        </w:tc>
      </w:tr>
      <w:tr>
        <w:trPr>
          <w:trHeight w:val="190"/>
        </w:trPr>
        <w:tc>
          <w:tcPr>
            <w:tcW w:w="3660" w:type="dxa"/>
            <w:vAlign w:val="bottom"/>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34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(800) 976-5448</w:t>
      </w:r>
    </w:p>
    <w:p>
      <w:pPr>
        <w:spacing w:after="0" w:line="2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142240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07"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Class A common stock, $0.0001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TEM</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179" w:lineRule="exact"/>
        <w:rPr>
          <w:sz w:val="24"/>
          <w:szCs w:val="24"/>
          <w:color w:val="auto"/>
        </w:rPr>
      </w:pPr>
    </w:p>
    <w:p>
      <w:pPr>
        <w:ind w:left="4" w:right="160" w:firstLine="4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44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left="4" w:right="160" w:firstLine="4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137160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179705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5.07</w:t>
      </w:r>
      <w:r>
        <w:rPr>
          <w:sz w:val="20"/>
          <w:szCs w:val="20"/>
          <w:color w:val="auto"/>
        </w:rPr>
        <w:tab/>
      </w:r>
      <w:r>
        <w:rPr>
          <w:rFonts w:ascii="Times New Roman" w:cs="Times New Roman" w:eastAsia="Times New Roman" w:hAnsi="Times New Roman"/>
          <w:sz w:val="18"/>
          <w:szCs w:val="18"/>
          <w:b w:val="1"/>
          <w:bCs w:val="1"/>
          <w:color w:val="auto"/>
        </w:rPr>
        <w:t>Submission of Matters to a Vote of Security Holders.</w:t>
      </w:r>
    </w:p>
    <w:p>
      <w:pPr>
        <w:spacing w:after="0" w:line="121"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Tempus AI, Inc. (the “Company”) held its 2026 Annual Meeting of Stockholders (the “Annual Meeting”) on May 21, 2026. In accordance with the Company’s amended and restated certificate of incorporation, stockholders of the Company’s Class A common stock (“Class A stockholders”) have one vote per share and stockholders of the Company’s Class B common stock (“Class B stockholders”) have 30 votes per share. The final results for each of the proposals submitted to a vote of the Company’s stockholders at the Annual Meeting are set forth below. These proposals are described in the Company’s definitive proxy statement filed with the Securities and Exchange Commission on April 7, 2026.</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Proposal 1. Election of Directors.</w:t>
      </w:r>
    </w:p>
    <w:p>
      <w:pPr>
        <w:spacing w:after="0" w:line="121" w:lineRule="exact"/>
        <w:rPr>
          <w:sz w:val="20"/>
          <w:szCs w:val="20"/>
          <w:color w:val="auto"/>
        </w:rPr>
      </w:pPr>
    </w:p>
    <w:p>
      <w:pPr>
        <w:ind w:right="200" w:firstLine="440"/>
        <w:spacing w:after="0" w:line="266" w:lineRule="auto"/>
        <w:rPr>
          <w:sz w:val="20"/>
          <w:szCs w:val="20"/>
          <w:color w:val="auto"/>
        </w:rPr>
      </w:pPr>
      <w:r>
        <w:rPr>
          <w:rFonts w:ascii="Times New Roman" w:cs="Times New Roman" w:eastAsia="Times New Roman" w:hAnsi="Times New Roman"/>
          <w:sz w:val="18"/>
          <w:szCs w:val="18"/>
          <w:color w:val="auto"/>
        </w:rPr>
        <w:t>The Company’s Class A stockholders and Class B stockholders, voting together as a single class, elected the nine directors listed below, each to serve until the Company’s 2027 Annual Meeting of Stockholders and until their successors are duly elected and qualified or until their earlier death, resignation or removal. The final voting results are as follows:</w:t>
      </w:r>
    </w:p>
    <w:p>
      <w:pPr>
        <w:spacing w:after="0" w:line="196" w:lineRule="exact"/>
        <w:rPr>
          <w:sz w:val="20"/>
          <w:szCs w:val="20"/>
          <w:color w:val="auto"/>
        </w:rPr>
      </w:pPr>
    </w:p>
    <w:tbl>
      <w:tblPr>
        <w:tblLayout w:type="fixed"/>
        <w:tblInd w:w="880" w:type="dxa"/>
        <w:tblCellMar>
          <w:top w:w="0" w:type="dxa"/>
          <w:left w:w="0" w:type="dxa"/>
          <w:bottom w:w="0" w:type="dxa"/>
          <w:right w:w="0" w:type="dxa"/>
        </w:tblCellMar>
      </w:tblPr>
      <w:tr>
        <w:trPr>
          <w:trHeight w:val="193"/>
        </w:trPr>
        <w:tc>
          <w:tcPr>
            <w:tcW w:w="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5000" w:type="dxa"/>
            <w:vAlign w:val="bottom"/>
          </w:tcPr>
          <w:p>
            <w:pPr>
              <w:spacing w:after="0"/>
              <w:rPr>
                <w:sz w:val="16"/>
                <w:szCs w:val="16"/>
                <w:color w:val="auto"/>
              </w:rPr>
            </w:pPr>
          </w:p>
        </w:tc>
        <w:tc>
          <w:tcPr>
            <w:tcW w:w="96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Votes For</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Votes Withheld</w:t>
            </w:r>
          </w:p>
        </w:tc>
        <w:tc>
          <w:tcPr>
            <w:tcW w:w="158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203"/>
        </w:trPr>
        <w:tc>
          <w:tcPr>
            <w:tcW w:w="53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Eric Lefkofsky</w:t>
            </w: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226,135,852</w:t>
            </w:r>
          </w:p>
        </w:tc>
        <w:tc>
          <w:tcPr>
            <w:tcW w:w="4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8,975,172</w:t>
            </w:r>
          </w:p>
        </w:tc>
        <w:tc>
          <w:tcPr>
            <w:tcW w:w="42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27,440,890</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Peter J. Barris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222,831,790</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12,279,234</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27,440,890</w:t>
            </w:r>
          </w:p>
        </w:tc>
        <w:tc>
          <w:tcPr>
            <w:tcW w:w="60" w:type="dxa"/>
            <w:vAlign w:val="bottom"/>
          </w:tcPr>
          <w:p>
            <w:pPr>
              <w:spacing w:after="0"/>
              <w:rPr>
                <w:sz w:val="18"/>
                <w:szCs w:val="18"/>
                <w:color w:val="auto"/>
              </w:rPr>
            </w:pPr>
          </w:p>
        </w:tc>
      </w:tr>
      <w:tr>
        <w:trPr>
          <w:trHeight w:val="216"/>
        </w:trPr>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Eric D. Belcher</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234,038,276</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1,072,748</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27,440,890</w:t>
            </w:r>
          </w:p>
        </w:tc>
        <w:tc>
          <w:tcPr>
            <w:tcW w:w="60" w:type="dxa"/>
            <w:vAlign w:val="bottom"/>
            <w:shd w:val="clear" w:color="auto" w:fill="CCEEFF"/>
          </w:tcPr>
          <w:p>
            <w:pPr>
              <w:spacing w:after="0"/>
              <w:rPr>
                <w:sz w:val="18"/>
                <w:szCs w:val="18"/>
                <w:color w:val="auto"/>
              </w:rPr>
            </w:pPr>
          </w:p>
        </w:tc>
      </w:tr>
      <w:tr>
        <w:trPr>
          <w:trHeight w:val="216"/>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Jennifer A. Doudna, Ph.D.</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224,783,110</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10,327,914</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27,440,890</w:t>
            </w:r>
          </w:p>
        </w:tc>
        <w:tc>
          <w:tcPr>
            <w:tcW w:w="60" w:type="dxa"/>
            <w:vAlign w:val="bottom"/>
          </w:tcPr>
          <w:p>
            <w:pPr>
              <w:spacing w:after="0"/>
              <w:rPr>
                <w:sz w:val="18"/>
                <w:szCs w:val="18"/>
                <w:color w:val="auto"/>
              </w:rPr>
            </w:pPr>
          </w:p>
        </w:tc>
      </w:tr>
      <w:tr>
        <w:trPr>
          <w:trHeight w:val="216"/>
        </w:trPr>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R. Epstein</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224,807,690</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10,303,334</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27,440,890</w:t>
            </w:r>
          </w:p>
        </w:tc>
        <w:tc>
          <w:tcPr>
            <w:tcW w:w="60" w:type="dxa"/>
            <w:vAlign w:val="bottom"/>
            <w:shd w:val="clear" w:color="auto" w:fill="CCEEFF"/>
          </w:tcPr>
          <w:p>
            <w:pPr>
              <w:spacing w:after="0"/>
              <w:rPr>
                <w:sz w:val="18"/>
                <w:szCs w:val="18"/>
                <w:color w:val="auto"/>
              </w:rPr>
            </w:pPr>
          </w:p>
        </w:tc>
      </w:tr>
      <w:tr>
        <w:trPr>
          <w:trHeight w:val="216"/>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Wayne A.I. Frederick, M.D.</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233,484,795</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1,626,229</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27,440,890</w:t>
            </w:r>
          </w:p>
        </w:tc>
        <w:tc>
          <w:tcPr>
            <w:tcW w:w="60" w:type="dxa"/>
            <w:vAlign w:val="bottom"/>
          </w:tcPr>
          <w:p>
            <w:pPr>
              <w:spacing w:after="0"/>
              <w:rPr>
                <w:sz w:val="18"/>
                <w:szCs w:val="18"/>
                <w:color w:val="auto"/>
              </w:rPr>
            </w:pPr>
          </w:p>
        </w:tc>
      </w:tr>
      <w:tr>
        <w:trPr>
          <w:trHeight w:val="216"/>
        </w:trPr>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Scott Gottlieb, M.D.</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224,764,082</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10,346,942</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27,440,890</w:t>
            </w:r>
          </w:p>
        </w:tc>
        <w:tc>
          <w:tcPr>
            <w:tcW w:w="60" w:type="dxa"/>
            <w:vAlign w:val="bottom"/>
            <w:shd w:val="clear" w:color="auto" w:fill="CCEEFF"/>
          </w:tcPr>
          <w:p>
            <w:pPr>
              <w:spacing w:after="0"/>
              <w:rPr>
                <w:sz w:val="18"/>
                <w:szCs w:val="18"/>
                <w:color w:val="auto"/>
              </w:rPr>
            </w:pPr>
          </w:p>
        </w:tc>
      </w:tr>
      <w:tr>
        <w:trPr>
          <w:trHeight w:val="216"/>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Theodore J. Leonsis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221,850,699</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13,260,325</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27,440,890</w:t>
            </w:r>
          </w:p>
        </w:tc>
        <w:tc>
          <w:tcPr>
            <w:tcW w:w="60" w:type="dxa"/>
            <w:vAlign w:val="bottom"/>
          </w:tcPr>
          <w:p>
            <w:pPr>
              <w:spacing w:after="0"/>
              <w:rPr>
                <w:sz w:val="18"/>
                <w:szCs w:val="18"/>
                <w:color w:val="auto"/>
              </w:rPr>
            </w:pPr>
          </w:p>
        </w:tc>
      </w:tr>
      <w:tr>
        <w:trPr>
          <w:trHeight w:val="216"/>
        </w:trPr>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Nadja West, M.D.</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224,795,291</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10,315,733</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27,440,890</w:t>
            </w:r>
          </w:p>
        </w:tc>
        <w:tc>
          <w:tcPr>
            <w:tcW w:w="60" w:type="dxa"/>
            <w:vAlign w:val="bottom"/>
            <w:shd w:val="clear" w:color="auto" w:fill="CCEEFF"/>
          </w:tcPr>
          <w:p>
            <w:pPr>
              <w:spacing w:after="0"/>
              <w:rPr>
                <w:sz w:val="18"/>
                <w:szCs w:val="18"/>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Proposal 2. Ratification of the Appointment of Independent Registered Public Accounting Firm.</w:t>
      </w:r>
    </w:p>
    <w:p>
      <w:pPr>
        <w:spacing w:after="0" w:line="121"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The Company’s Class A stockholders and Class B stockholders, voting together as a single class, ratified the appointment of PricewaterhouseCoopers LLP as the Company’s independent registered public accounting firm for the fiscal year ending December 31, 2026. The final voting results are as follows:</w:t>
      </w:r>
    </w:p>
    <w:p>
      <w:pPr>
        <w:spacing w:after="0" w:line="196" w:lineRule="exact"/>
        <w:rPr>
          <w:sz w:val="20"/>
          <w:szCs w:val="20"/>
          <w:color w:val="auto"/>
        </w:rPr>
      </w:pPr>
    </w:p>
    <w:tbl>
      <w:tblPr>
        <w:tblLayout w:type="fixed"/>
        <w:tblInd w:w="1320" w:type="dxa"/>
        <w:tblCellMar>
          <w:top w:w="0" w:type="dxa"/>
          <w:left w:w="0" w:type="dxa"/>
          <w:bottom w:w="0" w:type="dxa"/>
          <w:right w:w="0" w:type="dxa"/>
        </w:tblCellMar>
      </w:tblPr>
      <w:tr>
        <w:trPr>
          <w:trHeight w:val="187"/>
        </w:trPr>
        <w:tc>
          <w:tcPr>
            <w:tcW w:w="29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Votes For</w:t>
            </w:r>
          </w:p>
        </w:tc>
        <w:tc>
          <w:tcPr>
            <w:tcW w:w="27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Votes Against</w:t>
            </w:r>
          </w:p>
        </w:tc>
        <w:tc>
          <w:tcPr>
            <w:tcW w:w="2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Abstentions</w:t>
            </w:r>
          </w:p>
        </w:tc>
      </w:tr>
      <w:tr>
        <w:trPr>
          <w:trHeight w:val="210"/>
        </w:trPr>
        <w:tc>
          <w:tcPr>
            <w:tcW w:w="2840" w:type="dxa"/>
            <w:vAlign w:val="bottom"/>
            <w:tcBorders>
              <w:top w:val="single" w:sz="8" w:color="auto"/>
            </w:tcBorders>
            <w:shd w:val="clear" w:color="auto" w:fill="CCEEFF"/>
          </w:tcPr>
          <w:p>
            <w:pPr>
              <w:jc w:val="right"/>
              <w:ind w:right="899"/>
              <w:spacing w:after="0"/>
              <w:rPr>
                <w:sz w:val="20"/>
                <w:szCs w:val="20"/>
                <w:color w:val="auto"/>
              </w:rPr>
            </w:pPr>
            <w:r>
              <w:rPr>
                <w:rFonts w:ascii="Times New Roman" w:cs="Times New Roman" w:eastAsia="Times New Roman" w:hAnsi="Times New Roman"/>
                <w:sz w:val="18"/>
                <w:szCs w:val="18"/>
                <w:color w:val="auto"/>
              </w:rPr>
              <w:t>262,396,207</w:t>
            </w:r>
          </w:p>
        </w:tc>
        <w:tc>
          <w:tcPr>
            <w:tcW w:w="10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jc w:val="right"/>
              <w:ind w:right="1019"/>
              <w:spacing w:after="0"/>
              <w:rPr>
                <w:sz w:val="20"/>
                <w:szCs w:val="20"/>
                <w:color w:val="auto"/>
              </w:rPr>
            </w:pPr>
            <w:r>
              <w:rPr>
                <w:rFonts w:ascii="Times New Roman" w:cs="Times New Roman" w:eastAsia="Times New Roman" w:hAnsi="Times New Roman"/>
                <w:sz w:val="18"/>
                <w:szCs w:val="18"/>
                <w:color w:val="auto"/>
              </w:rPr>
              <w:t>90,662</w:t>
            </w:r>
          </w:p>
        </w:tc>
        <w:tc>
          <w:tcPr>
            <w:tcW w:w="80" w:type="dxa"/>
            <w:vAlign w:val="bottom"/>
            <w:tcBorders>
              <w:top w:val="single" w:sz="8" w:color="CCEEFF"/>
            </w:tcBorders>
            <w:shd w:val="clear" w:color="auto" w:fill="CCEEFF"/>
          </w:tcPr>
          <w:p>
            <w:pPr>
              <w:spacing w:after="0"/>
              <w:rPr>
                <w:sz w:val="18"/>
                <w:szCs w:val="18"/>
                <w:color w:val="auto"/>
              </w:rPr>
            </w:pPr>
          </w:p>
        </w:tc>
        <w:tc>
          <w:tcPr>
            <w:tcW w:w="2660" w:type="dxa"/>
            <w:vAlign w:val="bottom"/>
            <w:tcBorders>
              <w:top w:val="single" w:sz="8" w:color="auto"/>
            </w:tcBorders>
            <w:shd w:val="clear" w:color="auto" w:fill="CCEEFF"/>
          </w:tcPr>
          <w:p>
            <w:pPr>
              <w:jc w:val="right"/>
              <w:ind w:right="999"/>
              <w:spacing w:after="0"/>
              <w:rPr>
                <w:sz w:val="20"/>
                <w:szCs w:val="20"/>
                <w:color w:val="auto"/>
              </w:rPr>
            </w:pPr>
            <w:r>
              <w:rPr>
                <w:rFonts w:ascii="Times New Roman" w:cs="Times New Roman" w:eastAsia="Times New Roman" w:hAnsi="Times New Roman"/>
                <w:sz w:val="18"/>
                <w:szCs w:val="18"/>
                <w:color w:val="auto"/>
              </w:rPr>
              <w:t>65,045</w:t>
            </w:r>
          </w:p>
        </w:tc>
      </w:tr>
    </w:tbl>
    <w:p>
      <w:pPr>
        <w:spacing w:after="0" w:line="302"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Proposal 3. Non-Binding Advisory Vote on the Frequency of Stockholder Advisory Votes on the Compensation of the Company’s Named Executive Officers.</w:t>
      </w:r>
    </w:p>
    <w:p>
      <w:pPr>
        <w:spacing w:after="0" w:line="51" w:lineRule="exact"/>
        <w:rPr>
          <w:sz w:val="20"/>
          <w:szCs w:val="20"/>
          <w:color w:val="auto"/>
        </w:rPr>
      </w:pPr>
    </w:p>
    <w:p>
      <w:pPr>
        <w:ind w:right="560" w:firstLine="440"/>
        <w:spacing w:after="0" w:line="282" w:lineRule="auto"/>
        <w:rPr>
          <w:sz w:val="20"/>
          <w:szCs w:val="20"/>
          <w:color w:val="auto"/>
        </w:rPr>
      </w:pPr>
      <w:r>
        <w:rPr>
          <w:rFonts w:ascii="Times New Roman" w:cs="Times New Roman" w:eastAsia="Times New Roman" w:hAnsi="Times New Roman"/>
          <w:sz w:val="18"/>
          <w:szCs w:val="18"/>
          <w:color w:val="auto"/>
        </w:rPr>
        <w:t>The Company’s Class A stockholders and Class B stockholders, voting together as a single class, cast an advisory vote on the frequency of stockholder advisory votes on the compensation of the Company’s named executive officers. The final voting results are as follows:</w:t>
      </w:r>
    </w:p>
    <w:p>
      <w:pPr>
        <w:spacing w:after="0" w:line="182" w:lineRule="exact"/>
        <w:rPr>
          <w:sz w:val="20"/>
          <w:szCs w:val="20"/>
          <w:color w:val="auto"/>
        </w:rPr>
      </w:pPr>
    </w:p>
    <w:tbl>
      <w:tblPr>
        <w:tblLayout w:type="fixed"/>
        <w:tblInd w:w="440" w:type="dxa"/>
        <w:tblCellMar>
          <w:top w:w="0" w:type="dxa"/>
          <w:left w:w="0" w:type="dxa"/>
          <w:bottom w:w="0" w:type="dxa"/>
          <w:right w:w="0" w:type="dxa"/>
        </w:tblCellMar>
      </w:tblPr>
      <w:tr>
        <w:trPr>
          <w:trHeight w:val="187"/>
        </w:trPr>
        <w:tc>
          <w:tcPr>
            <w:tcW w:w="19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One Year</w:t>
            </w:r>
          </w:p>
        </w:tc>
        <w:tc>
          <w:tcPr>
            <w:tcW w:w="20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Two Years</w:t>
            </w:r>
          </w:p>
        </w:tc>
        <w:tc>
          <w:tcPr>
            <w:tcW w:w="21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Three Years</w:t>
            </w:r>
          </w:p>
        </w:tc>
        <w:tc>
          <w:tcPr>
            <w:tcW w:w="21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Abstentions</w:t>
            </w:r>
          </w:p>
        </w:tc>
        <w:tc>
          <w:tcPr>
            <w:tcW w:w="1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210"/>
        </w:trPr>
        <w:tc>
          <w:tcPr>
            <w:tcW w:w="1820" w:type="dxa"/>
            <w:vAlign w:val="bottom"/>
            <w:tcBorders>
              <w:top w:val="single" w:sz="8" w:color="auto"/>
            </w:tcBorders>
            <w:shd w:val="clear" w:color="auto" w:fill="CCEEFF"/>
          </w:tcPr>
          <w:p>
            <w:pPr>
              <w:jc w:val="right"/>
              <w:ind w:right="419"/>
              <w:spacing w:after="0"/>
              <w:rPr>
                <w:sz w:val="20"/>
                <w:szCs w:val="20"/>
                <w:color w:val="auto"/>
              </w:rPr>
            </w:pPr>
            <w:r>
              <w:rPr>
                <w:rFonts w:ascii="Times New Roman" w:cs="Times New Roman" w:eastAsia="Times New Roman" w:hAnsi="Times New Roman"/>
                <w:sz w:val="18"/>
                <w:szCs w:val="18"/>
                <w:color w:val="auto"/>
              </w:rPr>
              <w:t>42,744,443</w:t>
            </w:r>
          </w:p>
        </w:tc>
        <w:tc>
          <w:tcPr>
            <w:tcW w:w="14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jc w:val="right"/>
              <w:ind w:right="599"/>
              <w:spacing w:after="0"/>
              <w:rPr>
                <w:sz w:val="20"/>
                <w:szCs w:val="20"/>
                <w:color w:val="auto"/>
              </w:rPr>
            </w:pPr>
            <w:r>
              <w:rPr>
                <w:rFonts w:ascii="Times New Roman" w:cs="Times New Roman" w:eastAsia="Times New Roman" w:hAnsi="Times New Roman"/>
                <w:sz w:val="18"/>
                <w:szCs w:val="18"/>
                <w:color w:val="auto"/>
              </w:rPr>
              <w:t>115,765</w:t>
            </w:r>
          </w:p>
        </w:tc>
        <w:tc>
          <w:tcPr>
            <w:tcW w:w="10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jc w:val="right"/>
              <w:ind w:right="479"/>
              <w:spacing w:after="0"/>
              <w:rPr>
                <w:sz w:val="20"/>
                <w:szCs w:val="20"/>
                <w:color w:val="auto"/>
              </w:rPr>
            </w:pPr>
            <w:r>
              <w:rPr>
                <w:rFonts w:ascii="Times New Roman" w:cs="Times New Roman" w:eastAsia="Times New Roman" w:hAnsi="Times New Roman"/>
                <w:sz w:val="18"/>
                <w:szCs w:val="18"/>
                <w:color w:val="auto"/>
              </w:rPr>
              <w:t>191,972,032</w:t>
            </w:r>
          </w:p>
        </w:tc>
        <w:tc>
          <w:tcPr>
            <w:tcW w:w="80" w:type="dxa"/>
            <w:vAlign w:val="bottom"/>
            <w:tcBorders>
              <w:top w:val="single" w:sz="8" w:color="CCEEFF"/>
            </w:tcBorders>
            <w:shd w:val="clear" w:color="auto" w:fill="CCEEFF"/>
          </w:tcPr>
          <w:p>
            <w:pPr>
              <w:spacing w:after="0"/>
              <w:rPr>
                <w:sz w:val="18"/>
                <w:szCs w:val="18"/>
                <w:color w:val="auto"/>
              </w:rPr>
            </w:pPr>
          </w:p>
        </w:tc>
        <w:tc>
          <w:tcPr>
            <w:tcW w:w="2040" w:type="dxa"/>
            <w:vAlign w:val="bottom"/>
            <w:tcBorders>
              <w:top w:val="single" w:sz="8" w:color="auto"/>
            </w:tcBorders>
            <w:shd w:val="clear" w:color="auto" w:fill="CCEEFF"/>
          </w:tcPr>
          <w:p>
            <w:pPr>
              <w:jc w:val="right"/>
              <w:ind w:right="639"/>
              <w:spacing w:after="0"/>
              <w:rPr>
                <w:sz w:val="20"/>
                <w:szCs w:val="20"/>
                <w:color w:val="auto"/>
              </w:rPr>
            </w:pPr>
            <w:r>
              <w:rPr>
                <w:rFonts w:ascii="Times New Roman" w:cs="Times New Roman" w:eastAsia="Times New Roman" w:hAnsi="Times New Roman"/>
                <w:sz w:val="18"/>
                <w:szCs w:val="18"/>
                <w:color w:val="auto"/>
              </w:rPr>
              <w:t>278,784</w:t>
            </w:r>
          </w:p>
        </w:tc>
        <w:tc>
          <w:tcPr>
            <w:tcW w:w="8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jc w:val="right"/>
              <w:ind w:right="459"/>
              <w:spacing w:after="0"/>
              <w:rPr>
                <w:sz w:val="20"/>
                <w:szCs w:val="20"/>
                <w:color w:val="auto"/>
              </w:rPr>
            </w:pPr>
            <w:r>
              <w:rPr>
                <w:rFonts w:ascii="Times New Roman" w:cs="Times New Roman" w:eastAsia="Times New Roman" w:hAnsi="Times New Roman"/>
                <w:sz w:val="18"/>
                <w:szCs w:val="18"/>
                <w:color w:val="auto"/>
              </w:rPr>
              <w:t>27,440,890</w:t>
            </w:r>
          </w:p>
        </w:tc>
      </w:tr>
    </w:tbl>
    <w:p>
      <w:pPr>
        <w:spacing w:after="0" w:line="198"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The Company’s stockholders voted three years for the frequency of stockholder advisory votes on the compensation of the Company’s named executive officers. Consistent with these results, the Company’s Board of Directors determined that future stockholder advisory votes on named executive officer compensation will be held every three years until the next required advisory vote on the frequency of stockholder advisory votes on the compensation of the Company’s named executive officers.</w:t>
      </w:r>
    </w:p>
    <w:p>
      <w:pPr>
        <w:sectPr>
          <w:pgSz w:w="11900" w:h="16838" w:orient="portrait"/>
          <w:cols w:equalWidth="0" w:num="1">
            <w:col w:w="10980"/>
          </w:cols>
          <w:pgMar w:left="440" w:top="293" w:right="479" w:bottom="1440" w:gutter="0" w:footer="0" w:header="0"/>
        </w:sectPr>
      </w:pPr>
    </w:p>
    <w:bookmarkStart w:id="2" w:name="page3"/>
    <w:bookmarkEnd w:id="2"/>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Tempus AI,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22, 2026</w:t>
      </w:r>
    </w:p>
    <w:p>
      <w:pPr>
        <w:spacing w:after="0" w:line="225" w:lineRule="exact"/>
        <w:rPr>
          <w:sz w:val="20"/>
          <w:szCs w:val="20"/>
          <w:color w:val="auto"/>
        </w:rPr>
      </w:pPr>
    </w:p>
    <w:p>
      <w:pPr>
        <w:ind w:left="5620"/>
        <w:spacing w:after="0"/>
        <w:tabs>
          <w:tab w:leader="none" w:pos="6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James Rogers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James Rogers</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Financial Officer</w:t>
      </w:r>
    </w:p>
    <w:sectPr>
      <w:pgSz w:w="11900" w:h="16838" w:orient="portrait"/>
      <w:cols w:equalWidth="0" w:num="1">
        <w:col w:w="10660"/>
      </w:cols>
      <w:pgMar w:left="440" w:top="293" w:right="7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2026-05-22T15:03:57Z</dcterms:created>
  <dcterms:modified xsi:type="dcterms:W3CDTF">2026-05-22T15:03:57Z</dcterms:modified>
</cp:coreProperties>
</file>