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9669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18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Rogers James William</w:t>
              </w:r>
            </w:hyperlink>
          </w:p>
        </w:tc>
        <w:tc>
          <w:tcPr>
            <w:tcW w:w="1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Tempus AI,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TEM</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180" w:type="dxa"/>
            <w:vAlign w:val="bottom"/>
            <w:gridSpan w:val="3"/>
            <w:vMerge w:val="continue"/>
          </w:tcPr>
          <w:p>
            <w:pPr>
              <w:spacing w:after="0"/>
              <w:rPr>
                <w:sz w:val="5"/>
                <w:szCs w:val="5"/>
                <w:color w:val="auto"/>
              </w:rPr>
            </w:pPr>
          </w:p>
        </w:tc>
        <w:tc>
          <w:tcPr>
            <w:tcW w:w="14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380" w:type="dxa"/>
            <w:vAlign w:val="bottom"/>
            <w:tcBorders>
              <w:top w:val="single" w:sz="8" w:color="0000EE"/>
            </w:tcBorders>
          </w:tcPr>
          <w:p>
            <w:pPr>
              <w:spacing w:after="0"/>
              <w:rPr>
                <w:sz w:val="5"/>
                <w:szCs w:val="5"/>
                <w:color w:val="auto"/>
              </w:rPr>
            </w:pPr>
          </w:p>
        </w:tc>
        <w:tc>
          <w:tcPr>
            <w:tcW w:w="23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780" w:type="dxa"/>
            <w:vAlign w:val="bottom"/>
            <w:tcBorders>
              <w:top w:val="single" w:sz="8" w:color="0000EE"/>
              <w:bottom w:val="single" w:sz="8" w:color="9A9A9A"/>
            </w:tcBorders>
          </w:tcPr>
          <w:p>
            <w:pPr>
              <w:spacing w:after="0"/>
              <w:rPr>
                <w:sz w:val="16"/>
                <w:szCs w:val="16"/>
                <w:color w:val="auto"/>
              </w:rPr>
            </w:pPr>
          </w:p>
        </w:tc>
        <w:tc>
          <w:tcPr>
            <w:tcW w:w="1140" w:type="dxa"/>
            <w:vAlign w:val="bottom"/>
            <w:tcBorders>
              <w:top w:val="single" w:sz="8" w:color="0000EE"/>
              <w:bottom w:val="single" w:sz="8" w:color="9A9A9A"/>
            </w:tcBorders>
          </w:tcPr>
          <w:p>
            <w:pPr>
              <w:spacing w:after="0"/>
              <w:rPr>
                <w:sz w:val="16"/>
                <w:szCs w:val="16"/>
                <w:color w:val="auto"/>
              </w:rPr>
            </w:pPr>
          </w:p>
        </w:tc>
        <w:tc>
          <w:tcPr>
            <w:tcW w:w="260" w:type="dxa"/>
            <w:vAlign w:val="bottom"/>
            <w:tcBorders>
              <w:bottom w:val="single" w:sz="8" w:color="9A9A9A"/>
            </w:tcBorders>
          </w:tcPr>
          <w:p>
            <w:pPr>
              <w:spacing w:after="0"/>
              <w:rPr>
                <w:sz w:val="16"/>
                <w:szCs w:val="16"/>
                <w:color w:val="auto"/>
              </w:rPr>
            </w:pPr>
          </w:p>
        </w:tc>
        <w:tc>
          <w:tcPr>
            <w:tcW w:w="146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7"/>
        </w:trPr>
        <w:tc>
          <w:tcPr>
            <w:tcW w:w="40" w:type="dxa"/>
            <w:vAlign w:val="bottom"/>
          </w:tcPr>
          <w:p>
            <w:pPr>
              <w:spacing w:after="0"/>
              <w:rPr>
                <w:sz w:val="4"/>
                <w:szCs w:val="4"/>
                <w:color w:val="auto"/>
              </w:rPr>
            </w:pPr>
          </w:p>
        </w:tc>
        <w:tc>
          <w:tcPr>
            <w:tcW w:w="780" w:type="dxa"/>
            <w:vAlign w:val="bottom"/>
            <w:tcBorders>
              <w:top w:val="single" w:sz="8" w:color="EEEEEE"/>
            </w:tcBorders>
          </w:tcPr>
          <w:p>
            <w:pPr>
              <w:spacing w:after="0"/>
              <w:rPr>
                <w:sz w:val="4"/>
                <w:szCs w:val="4"/>
                <w:color w:val="auto"/>
              </w:rPr>
            </w:pPr>
          </w:p>
        </w:tc>
        <w:tc>
          <w:tcPr>
            <w:tcW w:w="1140" w:type="dxa"/>
            <w:vAlign w:val="bottom"/>
            <w:tcBorders>
              <w:top w:val="single" w:sz="8" w:color="EEEEEE"/>
            </w:tcBorders>
          </w:tcPr>
          <w:p>
            <w:pPr>
              <w:spacing w:after="0"/>
              <w:rPr>
                <w:sz w:val="4"/>
                <w:szCs w:val="4"/>
                <w:color w:val="auto"/>
              </w:rPr>
            </w:pPr>
          </w:p>
        </w:tc>
        <w:tc>
          <w:tcPr>
            <w:tcW w:w="260" w:type="dxa"/>
            <w:vAlign w:val="bottom"/>
            <w:tcBorders>
              <w:top w:val="single" w:sz="8" w:color="EEEEEE"/>
            </w:tcBorders>
          </w:tcPr>
          <w:p>
            <w:pPr>
              <w:spacing w:after="0"/>
              <w:rPr>
                <w:sz w:val="4"/>
                <w:szCs w:val="4"/>
                <w:color w:val="auto"/>
              </w:rPr>
            </w:pPr>
          </w:p>
        </w:tc>
        <w:tc>
          <w:tcPr>
            <w:tcW w:w="1460" w:type="dxa"/>
            <w:vAlign w:val="bottom"/>
            <w:tcBorders>
              <w:top w:val="single" w:sz="8" w:color="EEEEEE"/>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tcPr>
          <w:p>
            <w:pPr>
              <w:spacing w:after="0"/>
              <w:rPr>
                <w:sz w:val="4"/>
                <w:szCs w:val="4"/>
                <w:color w:val="auto"/>
              </w:rPr>
            </w:pPr>
          </w:p>
        </w:tc>
        <w:tc>
          <w:tcPr>
            <w:tcW w:w="23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140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460" w:type="dxa"/>
            <w:vAlign w:val="bottom"/>
          </w:tcPr>
          <w:p>
            <w:pPr>
              <w:ind w:left="26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218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TEMPUS AI, INC.</w:t>
            </w:r>
          </w:p>
        </w:tc>
        <w:tc>
          <w:tcPr>
            <w:tcW w:w="1460" w:type="dxa"/>
            <w:vAlign w:val="bottom"/>
          </w:tcPr>
          <w:p>
            <w:pPr>
              <w:spacing w:after="0"/>
              <w:rPr>
                <w:sz w:val="19"/>
                <w:szCs w:val="19"/>
                <w:color w:val="auto"/>
              </w:rPr>
            </w:pPr>
          </w:p>
        </w:tc>
        <w:tc>
          <w:tcPr>
            <w:tcW w:w="154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11/18/2025</w:t>
            </w:r>
          </w:p>
        </w:tc>
        <w:tc>
          <w:tcPr>
            <w:tcW w:w="2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14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380" w:type="dxa"/>
            <w:vAlign w:val="bottom"/>
          </w:tcPr>
          <w:p>
            <w:pPr>
              <w:spacing w:after="0"/>
              <w:rPr>
                <w:sz w:val="8"/>
                <w:szCs w:val="8"/>
                <w:color w:val="auto"/>
              </w:rPr>
            </w:pPr>
          </w:p>
        </w:tc>
        <w:tc>
          <w:tcPr>
            <w:tcW w:w="23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600 WEST CHICAGO AVENUE, SUITE 510</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0"/>
          <w:szCs w:val="20"/>
          <w:color w:val="auto"/>
        </w:rPr>
      </w:pPr>
    </w:p>
    <w:p>
      <w:pPr>
        <w:ind w:left="765"/>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458" w:lineRule="exact"/>
        <w:rPr>
          <w:sz w:val="20"/>
          <w:szCs w:val="20"/>
          <w:color w:val="auto"/>
        </w:rPr>
      </w:pPr>
    </w:p>
    <w:p>
      <w:pPr>
        <w:sectPr>
          <w:pgSz w:w="11900" w:h="16838" w:orient="portrait"/>
          <w:cols w:equalWidth="0" w:num="2">
            <w:col w:w="7660" w:space="75"/>
            <w:col w:w="3345"/>
          </w:cols>
          <w:pgMar w:left="460" w:top="219" w:right="359" w:bottom="1440" w:gutter="0" w:footer="0" w:header="0"/>
          <w:type w:val="continuous"/>
        </w:sectPr>
      </w:pPr>
    </w:p>
    <w:p>
      <w:pPr>
        <w:spacing w:after="0" w:line="240"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7"/>
                <w:szCs w:val="17"/>
                <w:color w:val="0000FF"/>
              </w:rPr>
              <w:t>CHICAGO</w:t>
            </w:r>
          </w:p>
        </w:tc>
        <w:tc>
          <w:tcPr>
            <w:tcW w:w="104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IL</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60654</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0"/>
          <w:szCs w:val="20"/>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0"/>
          <w:szCs w:val="20"/>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220" w:type="dxa"/>
            <w:vAlign w:val="bottom"/>
            <w:gridSpan w:val="8"/>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3"/>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(A) or</w:t>
            </w:r>
          </w:p>
        </w:tc>
        <w:tc>
          <w:tcPr>
            <w:tcW w:w="64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tcBorders>
              <w:bottom w:val="single" w:sz="8" w:color="2C2C2C"/>
            </w:tcBorders>
            <w:gridSpan w:val="2"/>
          </w:tcPr>
          <w:p>
            <w:pPr>
              <w:ind w:left="560"/>
              <w:spacing w:after="0"/>
              <w:rPr>
                <w:sz w:val="20"/>
                <w:szCs w:val="20"/>
                <w:color w:val="auto"/>
              </w:rPr>
            </w:pPr>
            <w:r>
              <w:rPr>
                <w:rFonts w:ascii="Times New Roman" w:cs="Times New Roman" w:eastAsia="Times New Roman" w:hAnsi="Times New Roman"/>
                <w:sz w:val="17"/>
                <w:szCs w:val="17"/>
                <w:color w:val="0000FF"/>
              </w:rPr>
              <w:t>11/18/2025</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4,988</w:t>
            </w:r>
          </w:p>
        </w:tc>
        <w:tc>
          <w:tcPr>
            <w:tcW w:w="4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65.26</w:t>
            </w:r>
            <w:r>
              <w:rPr>
                <w:rFonts w:ascii="Times New Roman" w:cs="Times New Roman" w:eastAsia="Times New Roman" w:hAnsi="Times New Roman"/>
                <w:sz w:val="22"/>
                <w:szCs w:val="22"/>
                <w:color w:val="008000"/>
                <w:vertAlign w:val="superscript"/>
              </w:rPr>
              <w:t>(2)</w:t>
            </w:r>
          </w:p>
        </w:tc>
        <w:tc>
          <w:tcPr>
            <w:tcW w:w="2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right"/>
              <w:ind w:right="300"/>
              <w:spacing w:after="0"/>
              <w:rPr>
                <w:sz w:val="20"/>
                <w:szCs w:val="20"/>
                <w:color w:val="auto"/>
              </w:rPr>
            </w:pPr>
            <w:r>
              <w:rPr>
                <w:rFonts w:ascii="Times New Roman" w:cs="Times New Roman" w:eastAsia="Times New Roman" w:hAnsi="Times New Roman"/>
                <w:sz w:val="17"/>
                <w:szCs w:val="17"/>
                <w:color w:val="0000FF"/>
                <w:w w:val="97"/>
              </w:rPr>
              <w:t>133,485</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tcBorders>
              <w:bottom w:val="single" w:sz="8" w:color="2C2C2C"/>
            </w:tcBorders>
            <w:gridSpan w:val="2"/>
          </w:tcPr>
          <w:p>
            <w:pPr>
              <w:ind w:left="560"/>
              <w:spacing w:after="0"/>
              <w:rPr>
                <w:sz w:val="20"/>
                <w:szCs w:val="20"/>
                <w:color w:val="auto"/>
              </w:rPr>
            </w:pPr>
            <w:r>
              <w:rPr>
                <w:rFonts w:ascii="Times New Roman" w:cs="Times New Roman" w:eastAsia="Times New Roman" w:hAnsi="Times New Roman"/>
                <w:sz w:val="17"/>
                <w:szCs w:val="17"/>
                <w:color w:val="0000FF"/>
              </w:rPr>
              <w:t>11/18/2025</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2,269</w:t>
            </w:r>
          </w:p>
        </w:tc>
        <w:tc>
          <w:tcPr>
            <w:tcW w:w="4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66.15</w:t>
            </w:r>
            <w:r>
              <w:rPr>
                <w:rFonts w:ascii="Times New Roman" w:cs="Times New Roman" w:eastAsia="Times New Roman" w:hAnsi="Times New Roman"/>
                <w:sz w:val="22"/>
                <w:szCs w:val="22"/>
                <w:color w:val="008000"/>
                <w:vertAlign w:val="superscript"/>
              </w:rPr>
              <w:t>(3)</w:t>
            </w:r>
          </w:p>
        </w:tc>
        <w:tc>
          <w:tcPr>
            <w:tcW w:w="2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right"/>
              <w:ind w:right="300"/>
              <w:spacing w:after="0"/>
              <w:rPr>
                <w:sz w:val="20"/>
                <w:szCs w:val="20"/>
                <w:color w:val="auto"/>
              </w:rPr>
            </w:pPr>
            <w:r>
              <w:rPr>
                <w:rFonts w:ascii="Times New Roman" w:cs="Times New Roman" w:eastAsia="Times New Roman" w:hAnsi="Times New Roman"/>
                <w:sz w:val="17"/>
                <w:szCs w:val="17"/>
                <w:color w:val="0000FF"/>
                <w:w w:val="97"/>
              </w:rPr>
              <w:t>131,216</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3"/>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Security</w:t>
            </w: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(Instr. 5)</w:t>
            </w: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8"/>
              </w:rPr>
              <w:t>Expiration</w:t>
            </w: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1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number of shares required to be sold to cover the statutory tax withholding obligations in connection with the vesting of the restricted stock units. This sale is mandated by the Issuer's election under its equity incentive plans to require the satisfaction of minimum statutory tax withholding obligations to be funded by a "sell to cover" transaction and does not represent a discretionary sale by the Reporting Person.</w:t>
      </w:r>
    </w:p>
    <w:p>
      <w:pPr>
        <w:spacing w:after="0" w:line="20" w:lineRule="exact"/>
        <w:rPr>
          <w:rFonts w:ascii="Times New Roman" w:cs="Times New Roman" w:eastAsia="Times New Roman" w:hAnsi="Times New Roman"/>
          <w:sz w:val="13"/>
          <w:szCs w:val="13"/>
          <w:color w:val="008000"/>
        </w:rPr>
      </w:pPr>
    </w:p>
    <w:p>
      <w:pPr>
        <w:ind w:left="40" w:right="1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at prices ranging from $64.7216 to $65.685 inclusive. The Reporting Person undertakes to provide to the Issuer, any security holder of the Issuer, or the staff of the Securities and Exchange Commission, upon request, full information regarding the number of shares sold at each separate price within the ranges set forth in footnotes (2) and (3).</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at prices ranging from $65.78 to $66.62 inclusive.</w:t>
      </w:r>
    </w:p>
    <w:p>
      <w:pPr>
        <w:ind w:left="6580"/>
        <w:spacing w:after="0" w:line="189" w:lineRule="auto"/>
        <w:rPr>
          <w:sz w:val="20"/>
          <w:szCs w:val="20"/>
          <w:color w:val="auto"/>
        </w:rPr>
      </w:pPr>
      <w:r>
        <w:rPr>
          <w:rFonts w:ascii="Times New Roman" w:cs="Times New Roman" w:eastAsia="Times New Roman" w:hAnsi="Times New Roman"/>
          <w:sz w:val="17"/>
          <w:szCs w:val="17"/>
          <w:color w:val="0000FF"/>
        </w:rPr>
        <w:t xml:space="preserve">/s/ Andrew Polovin, Attorney- </w:t>
      </w:r>
      <w:r>
        <w:rPr>
          <w:rFonts w:ascii="Times New Roman" w:cs="Times New Roman" w:eastAsia="Times New Roman" w:hAnsi="Times New Roman"/>
          <w:sz w:val="34"/>
          <w:szCs w:val="34"/>
          <w:color w:val="0000FF"/>
          <w:vertAlign w:val="subscript"/>
        </w:rPr>
        <w:t>11/20/2025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3379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3117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1178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49720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3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2024630" TargetMode="External"/><Relationship Id="rId14" Type="http://schemas.openxmlformats.org/officeDocument/2006/relationships/hyperlink" Target="http://www.sec.gov/cgi-bin/browse-edgar?action=getcompany&amp;CIK=000171711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2025-11-20T18:08:19Z</dcterms:created>
  <dcterms:modified xsi:type="dcterms:W3CDTF">2025-11-20T18:08:19Z</dcterms:modified>
</cp:coreProperties>
</file>