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Tempus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88023B103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88023B103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12,261,011.00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12,290,959.00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12,290,959.00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Tempus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 WEST CHICAGO AVENUE, SUITE 510, CHICAGO, ILLINOIS, 60654.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860"/>
        <w:spacing w:after="0" w:line="256" w:lineRule="auto"/>
        <w:rPr>
          <w:sz w:val="20"/>
          <w:szCs w:val="20"/>
          <w:color w:val="auto"/>
        </w:rPr>
      </w:pPr>
      <w:r>
        <w:rPr>
          <w:rFonts w:ascii="Times New Roman" w:cs="Times New Roman" w:eastAsia="Times New Roman" w:hAnsi="Times New Roman"/>
          <w:sz w:val="22"/>
          <w:szCs w:val="22"/>
          <w:color w:val="auto"/>
        </w:rPr>
        <w:t>Calton Square 1 Greenside Row Edinburgh EH1 3AN Scotland UK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88023B103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right="5040" w:hanging="912"/>
        <w:spacing w:after="0" w:line="281"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Investment Adviser</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12,290,959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12,261,011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12,290,959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7"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w:t>
      </w:r>
    </w:p>
    <w:p>
      <w:pPr>
        <w:sectPr>
          <w:pgSz w:w="11900" w:h="16838" w:orient="portrait"/>
          <w:cols w:equalWidth="0" w:num="1">
            <w:col w:w="11140"/>
          </w:cols>
          <w:pgMar w:left="360" w:top="111"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5100"/>
        <w:spacing w:after="0"/>
        <w:tabs>
          <w:tab w:leader="none" w:pos="6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Name/Title: Threshold and Transaction Reporting Manager</w:t>
      </w:r>
    </w:p>
    <w:p>
      <w:pPr>
        <w:spacing w:after="0" w:line="44" w:lineRule="exact"/>
        <w:rPr>
          <w:sz w:val="20"/>
          <w:szCs w:val="20"/>
          <w:color w:val="auto"/>
        </w:rPr>
      </w:pPr>
    </w:p>
    <w:p>
      <w:pPr>
        <w:ind w:left="5100"/>
        <w:spacing w:after="0"/>
        <w:tabs>
          <w:tab w:leader="none" w:pos="6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03/31/2025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2025-04-30T06:22:20Z</dcterms:created>
  <dcterms:modified xsi:type="dcterms:W3CDTF">2025-04-30T06:22:20Z</dcterms:modified>
</cp:coreProperties>
</file>