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Tempus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88023B103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88023B103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13,700,803.00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13,752,053.00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13,752,053.00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Tempus AI,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600 WEST CHICAGO AVENUE, SUITE 510, CHICAGO, ILLINOIS, 60654.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3860"/>
        <w:spacing w:after="0" w:line="256" w:lineRule="auto"/>
        <w:rPr>
          <w:sz w:val="20"/>
          <w:szCs w:val="20"/>
          <w:color w:val="auto"/>
        </w:rPr>
      </w:pPr>
      <w:r>
        <w:rPr>
          <w:rFonts w:ascii="Times New Roman" w:cs="Times New Roman" w:eastAsia="Times New Roman" w:hAnsi="Times New Roman"/>
          <w:sz w:val="22"/>
          <w:szCs w:val="22"/>
          <w:color w:val="auto"/>
        </w:rPr>
        <w:t>Calton Square 1 Greenside Row Edinburgh EH1 3AN Scotland UK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Scotland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88023B103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right="5040" w:hanging="912"/>
        <w:spacing w:after="0" w:line="281"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Investment Adviser</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13,752,053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9.21 %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13,700,803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13,752,053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 Securities representing more than 5% of the class are held on behalf of the Scottish Mortgage Investment Trust, a UK registered investment Company managed by Baillie Gifford &amp; Co.</w:t>
      </w:r>
    </w:p>
    <w:p>
      <w:pPr>
        <w:spacing w:after="0" w:line="19"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9"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Investment Adviser is substantially comparable to the regulatory</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720" w:right="360"/>
        <w:spacing w:after="0" w:line="259" w:lineRule="auto"/>
        <w:rPr>
          <w:sz w:val="20"/>
          <w:szCs w:val="20"/>
          <w:color w:val="auto"/>
        </w:rPr>
      </w:pPr>
      <w:r>
        <w:rPr>
          <w:rFonts w:ascii="Times New Roman" w:cs="Times New Roman" w:eastAsia="Times New Roman" w:hAnsi="Times New Roman"/>
          <w:sz w:val="22"/>
          <w:szCs w:val="22"/>
          <w:color w:val="auto"/>
        </w:rPr>
        <w:t>scheme applicable to the functionally equivalent U.S. institution(s). I also undertake to furnish to the Commission staff, upon request, information that would otherwise be disclosed in a Schedule 13D.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152" w:lineRule="exact"/>
        <w:rPr>
          <w:sz w:val="20"/>
          <w:szCs w:val="20"/>
          <w:color w:val="auto"/>
        </w:rPr>
      </w:pPr>
    </w:p>
    <w:p>
      <w:pPr>
        <w:ind w:left="4980"/>
        <w:spacing w:after="0"/>
        <w:tabs>
          <w:tab w:leader="none" w:pos="6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Grant Meikle</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Threshold &amp; Transaction Reporting Manager</w:t>
      </w:r>
    </w:p>
    <w:p>
      <w:pPr>
        <w:spacing w:after="0" w:line="44" w:lineRule="exact"/>
        <w:rPr>
          <w:sz w:val="20"/>
          <w:szCs w:val="20"/>
          <w:color w:val="auto"/>
        </w:rPr>
      </w:pPr>
    </w:p>
    <w:p>
      <w:pPr>
        <w:ind w:left="4980"/>
        <w:spacing w:after="0"/>
        <w:tabs>
          <w:tab w:leader="none" w:pos="6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09/30/2024</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2024-11-05T09:40:05Z</dcterms:created>
  <dcterms:modified xsi:type="dcterms:W3CDTF">2024-11-05T09:40:05Z</dcterms:modified>
</cp:coreProperties>
</file>