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001-42130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47-4903308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600 West Chicago Avenue</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510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Chicago, Illinois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60654</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Tempus AI, Inc. (the “Company”) held its 2025 Annual Meeting of Stockholders (the “Annual Meeting”) on May 20, 2025. In accordance with the Company’s amended and restated certificate of incorporation, stockholders of the Company’s Class A common stock (“Class A stockholders”) have one vote per share and stockholders of the Company’s Class B common stock (“Class B stockholders”) have 30 votes per share. The final results for each of the proposals submitted to a vote of the Company’s stockholders at the Annual Meeting are set forth below. These proposals are described in the Company’s definitive proxy statement filed with the Securities and Exchange Commission on April 7,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Company’s Class A stockholders and Class B stockholders, voting together as a single class, elected the nine directors listed below, each to serve until the Company’s 2026 Annual Meeting of Stockholders and until their successors are duly elected and qualified or until their earlier death, resignation or removal. The final voting results are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0" w:type="dxa"/>
            <w:vAlign w:val="bottom"/>
          </w:tcPr>
          <w:p>
            <w:pPr>
              <w:spacing w:after="0"/>
              <w:rPr>
                <w:sz w:val="16"/>
                <w:szCs w:val="16"/>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232,428,831</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10,652,429</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16,157,514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231,351,586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11,729,674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240,323,799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2,757,461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231,800,837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11,280,423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231,738,670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11,342,590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240,255,211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2,826,049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231,702,607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11,378,653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231,044,224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12,037,036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231,670,196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11,411,064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16,157,514</w:t>
            </w:r>
          </w:p>
        </w:tc>
        <w:tc>
          <w:tcPr>
            <w:tcW w:w="6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the Appointment of Independent Registered Public Accounting Firm.</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Company’s Class A stockholders and Class B stockholders, voting together as a single class, ratified the appointment of PricewaterhouseCoopers LLP as the Company’s independent registered public accounting firm for the fiscal year ending December 31, 2025. The final voting results are as follows: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284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258,785,082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257,488</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196,204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of Reincorporation.</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Company’s Class A stockholders and Class B stockholders, voting together as a single class, approved the reincorporation of the Company from the State of Delaware to the State of Nevada by conversion (the “Reincorporation”). The Company’s Board of Directors retains the discretion to abandon the Reincorporation. If completed, upon the completion of the Reincorporation, the Company will become a Nevada corporation and will continue to operate its business under its current name, “Tempus AI, Inc.” The final voting results are as follows:</w:t>
      </w:r>
    </w:p>
    <w:p>
      <w:pPr>
        <w:spacing w:after="0" w:line="200"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229,810,726</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13,226,368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44,166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16,157,514</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23, 2025</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2025-05-23T05:35:43Z</dcterms:created>
  <dcterms:modified xsi:type="dcterms:W3CDTF">2025-05-23T05:35:43Z</dcterms:modified>
</cp:coreProperties>
</file>