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1174115" cy="386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174115" cy="386080"/>
                    </a:xfrm>
                    <a:prstGeom prst="rect">
                      <a:avLst/>
                    </a:prstGeom>
                    <a:noFill/>
                  </pic:spPr>
                </pic:pic>
              </a:graphicData>
            </a:graphic>
          </wp:anchor>
        </w:drawing>
        <w:t>Nicole C. Brookshire</w:t>
      </w:r>
    </w:p>
    <w:p>
      <w:pPr>
        <w:spacing w:after="0" w:line="2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+1 212 479 6157</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7"/>
          <w:szCs w:val="17"/>
          <w:color w:val="auto"/>
        </w:rPr>
        <w:t>nbrookshire@cooley.com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Via EDGAR</w:t>
      </w:r>
    </w:p>
    <w:p>
      <w:pPr>
        <w:spacing w:after="0" w:line="650" w:lineRule="exact"/>
        <w:rPr>
          <w:sz w:val="24"/>
          <w:szCs w:val="24"/>
          <w:color w:val="auto"/>
        </w:rPr>
      </w:pPr>
    </w:p>
    <w:p>
      <w:pPr>
        <w:sectPr>
          <w:pgSz w:w="11900" w:h="16838" w:orient="portrait"/>
          <w:cols w:equalWidth="0" w:num="2">
            <w:col w:w="9384" w:space="720"/>
            <w:col w:w="920"/>
          </w:cols>
          <w:pgMar w:left="436" w:top="1080" w:right="439" w:bottom="1440" w:gutter="0" w:footer="0" w:header="0"/>
        </w:sectPr>
      </w:pPr>
    </w:p>
    <w:p>
      <w:pPr>
        <w:spacing w:after="0" w:line="24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February 14, 2022</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7"/>
          <w:szCs w:val="17"/>
          <w:color w:val="auto"/>
        </w:rPr>
        <w:t>U.S. Securities and Exchange Commission</w:t>
      </w:r>
    </w:p>
    <w:p>
      <w:pPr>
        <w:spacing w:after="0" w:line="3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Office of Technology</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Washington, D.C. 20549</w:t>
      </w:r>
    </w:p>
    <w:p>
      <w:pPr>
        <w:sectPr>
          <w:pgSz w:w="11900" w:h="16838" w:orient="portrait"/>
          <w:cols w:equalWidth="0" w:num="1">
            <w:col w:w="11024"/>
          </w:cols>
          <w:pgMar w:left="436" w:top="1080" w:right="439" w:bottom="1440" w:gutter="0" w:footer="0" w:header="0"/>
          <w:type w:val="continuous"/>
        </w:sectPr>
      </w:pPr>
    </w:p>
    <w:p>
      <w:pPr>
        <w:spacing w:after="0" w:line="20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7"/>
          <w:szCs w:val="17"/>
          <w:color w:val="auto"/>
        </w:rPr>
        <w:t>Attention: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Jan Woo, Legal Branch Chief</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Kyle Wiley, Staff Attorney</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Robert Littlepage, Accounting Branch Chief</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Lisa Etheredge, Senior Staff Accountant</w:t>
      </w:r>
    </w:p>
    <w:p>
      <w:pPr>
        <w:spacing w:after="0" w:line="200" w:lineRule="exact"/>
        <w:rPr>
          <w:sz w:val="24"/>
          <w:szCs w:val="24"/>
          <w:color w:val="auto"/>
        </w:rPr>
      </w:pPr>
    </w:p>
    <w:p>
      <w:pPr>
        <w:sectPr>
          <w:pgSz w:w="11900" w:h="16838" w:orient="portrait"/>
          <w:cols w:equalWidth="0" w:num="2">
            <w:col w:w="724" w:space="160"/>
            <w:col w:w="10140"/>
          </w:cols>
          <w:pgMar w:left="436" w:top="1080" w:right="439" w:bottom="1440" w:gutter="0" w:footer="0" w:header="0"/>
          <w:type w:val="continuous"/>
        </w:sectPr>
      </w:pPr>
    </w:p>
    <w:p>
      <w:pPr>
        <w:spacing w:after="0" w:line="151" w:lineRule="exact"/>
        <w:rPr>
          <w:sz w:val="24"/>
          <w:szCs w:val="24"/>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7"/>
          <w:szCs w:val="17"/>
          <w:b w:val="1"/>
          <w:bCs w:val="1"/>
          <w:color w:val="auto"/>
        </w:rPr>
        <w:t>Tempus Labs, Inc.</w:t>
      </w:r>
    </w:p>
    <w:p>
      <w:pPr>
        <w:spacing w:after="0" w:line="31" w:lineRule="exact"/>
        <w:rPr>
          <w:sz w:val="24"/>
          <w:szCs w:val="24"/>
          <w:color w:val="auto"/>
        </w:rPr>
      </w:pPr>
    </w:p>
    <w:p>
      <w:pPr>
        <w:ind w:left="424"/>
        <w:spacing w:after="0"/>
        <w:rPr>
          <w:sz w:val="20"/>
          <w:szCs w:val="20"/>
          <w:color w:val="auto"/>
        </w:rPr>
      </w:pPr>
      <w:r>
        <w:rPr>
          <w:rFonts w:ascii="Times New Roman" w:cs="Times New Roman" w:eastAsia="Times New Roman" w:hAnsi="Times New Roman"/>
          <w:sz w:val="18"/>
          <w:szCs w:val="18"/>
          <w:b w:val="1"/>
          <w:bCs w:val="1"/>
          <w:color w:val="auto"/>
        </w:rPr>
        <w:t>Draft Registration Statement on Form S-1</w:t>
      </w:r>
    </w:p>
    <w:p>
      <w:pPr>
        <w:spacing w:after="0" w:line="9" w:lineRule="exact"/>
        <w:rPr>
          <w:sz w:val="24"/>
          <w:szCs w:val="24"/>
          <w:color w:val="auto"/>
        </w:rPr>
      </w:pPr>
    </w:p>
    <w:p>
      <w:pPr>
        <w:ind w:left="424"/>
        <w:spacing w:after="0"/>
        <w:rPr>
          <w:sz w:val="20"/>
          <w:szCs w:val="20"/>
          <w:color w:val="auto"/>
        </w:rPr>
      </w:pPr>
      <w:r>
        <w:rPr>
          <w:rFonts w:ascii="Times New Roman" w:cs="Times New Roman" w:eastAsia="Times New Roman" w:hAnsi="Times New Roman"/>
          <w:sz w:val="18"/>
          <w:szCs w:val="18"/>
          <w:b w:val="1"/>
          <w:bCs w:val="1"/>
          <w:color w:val="auto"/>
        </w:rPr>
        <w:t>Submitted December 3, 2021</w:t>
      </w:r>
    </w:p>
    <w:p>
      <w:pPr>
        <w:spacing w:after="0" w:line="9" w:lineRule="exact"/>
        <w:rPr>
          <w:sz w:val="24"/>
          <w:szCs w:val="24"/>
          <w:color w:val="auto"/>
        </w:rPr>
      </w:pPr>
    </w:p>
    <w:p>
      <w:pPr>
        <w:ind w:left="424"/>
        <w:spacing w:after="0"/>
        <w:rPr>
          <w:sz w:val="20"/>
          <w:szCs w:val="20"/>
          <w:color w:val="auto"/>
        </w:rPr>
      </w:pPr>
      <w:r>
        <w:rPr>
          <w:rFonts w:ascii="Times New Roman" w:cs="Times New Roman" w:eastAsia="Times New Roman" w:hAnsi="Times New Roman"/>
          <w:sz w:val="18"/>
          <w:szCs w:val="18"/>
          <w:b w:val="1"/>
          <w:bCs w:val="1"/>
          <w:color w:val="auto"/>
        </w:rPr>
        <w:t>CIK: 0001717115</w:t>
      </w:r>
    </w:p>
    <w:p>
      <w:pPr>
        <w:spacing w:after="0" w:line="9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4"/>
          <w:szCs w:val="24"/>
          <w:color w:val="auto"/>
        </w:rPr>
      </w:pPr>
    </w:p>
    <w:p>
      <w:pPr>
        <w:ind w:left="4" w:right="80"/>
        <w:spacing w:after="0" w:line="262" w:lineRule="auto"/>
        <w:rPr>
          <w:sz w:val="20"/>
          <w:szCs w:val="20"/>
          <w:color w:val="auto"/>
        </w:rPr>
      </w:pPr>
      <w:r>
        <w:rPr>
          <w:rFonts w:ascii="Times New Roman" w:cs="Times New Roman" w:eastAsia="Times New Roman" w:hAnsi="Times New Roman"/>
          <w:sz w:val="18"/>
          <w:szCs w:val="18"/>
          <w:color w:val="auto"/>
        </w:rPr>
        <w:t>On behalf of Tempus Labs,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we are providing this letter in response to comments (the “</w:t>
      </w:r>
      <w:r>
        <w:rPr>
          <w:rFonts w:ascii="Times New Roman" w:cs="Times New Roman" w:eastAsia="Times New Roman" w:hAnsi="Times New Roman"/>
          <w:sz w:val="18"/>
          <w:szCs w:val="18"/>
          <w:b w:val="1"/>
          <w:bCs w:val="1"/>
          <w:i w:val="1"/>
          <w:iCs w:val="1"/>
          <w:color w:val="auto"/>
        </w:rPr>
        <w:t>Comments</w:t>
      </w:r>
      <w:r>
        <w:rPr>
          <w:rFonts w:ascii="Times New Roman" w:cs="Times New Roman" w:eastAsia="Times New Roman" w:hAnsi="Times New Roman"/>
          <w:sz w:val="18"/>
          <w:szCs w:val="18"/>
          <w:color w:val="auto"/>
        </w:rPr>
        <w:t>”) received from the staff of the U.S. Securities and Exchange Commission’s Division of Corporation Finance (the “</w:t>
      </w:r>
      <w:r>
        <w:rPr>
          <w:rFonts w:ascii="Times New Roman" w:cs="Times New Roman" w:eastAsia="Times New Roman" w:hAnsi="Times New Roman"/>
          <w:sz w:val="18"/>
          <w:szCs w:val="18"/>
          <w:b w:val="1"/>
          <w:bCs w:val="1"/>
          <w:i w:val="1"/>
          <w:iCs w:val="1"/>
          <w:color w:val="auto"/>
        </w:rPr>
        <w:t>Staff</w:t>
      </w:r>
      <w:r>
        <w:rPr>
          <w:rFonts w:ascii="Times New Roman" w:cs="Times New Roman" w:eastAsia="Times New Roman" w:hAnsi="Times New Roman"/>
          <w:sz w:val="18"/>
          <w:szCs w:val="18"/>
          <w:color w:val="auto"/>
        </w:rPr>
        <w:t>”) by letter dated December 17, 2021 with respect to the Company’s Amendment No. 2 to the Draft Registration Statement on Form S-1, as confidentially submitted to the Staff on December 3, 2021 (the “</w:t>
      </w:r>
      <w:r>
        <w:rPr>
          <w:rFonts w:ascii="Times New Roman" w:cs="Times New Roman" w:eastAsia="Times New Roman" w:hAnsi="Times New Roman"/>
          <w:sz w:val="18"/>
          <w:szCs w:val="18"/>
          <w:b w:val="1"/>
          <w:bCs w:val="1"/>
          <w:i w:val="1"/>
          <w:iCs w:val="1"/>
          <w:color w:val="auto"/>
        </w:rPr>
        <w:t>Draft Registration Statement</w:t>
      </w:r>
      <w:r>
        <w:rPr>
          <w:rFonts w:ascii="Times New Roman" w:cs="Times New Roman" w:eastAsia="Times New Roman" w:hAnsi="Times New Roman"/>
          <w:sz w:val="18"/>
          <w:szCs w:val="18"/>
          <w:color w:val="auto"/>
        </w:rPr>
        <w:t>”).</w:t>
      </w:r>
    </w:p>
    <w:p>
      <w:pPr>
        <w:spacing w:after="0" w:line="180" w:lineRule="exact"/>
        <w:rPr>
          <w:sz w:val="24"/>
          <w:szCs w:val="24"/>
          <w:color w:val="auto"/>
        </w:rPr>
      </w:pPr>
    </w:p>
    <w:p>
      <w:pPr>
        <w:jc w:val="both"/>
        <w:ind w:left="4" w:right="20"/>
        <w:spacing w:after="0" w:line="266" w:lineRule="auto"/>
        <w:rPr>
          <w:sz w:val="20"/>
          <w:szCs w:val="20"/>
          <w:color w:val="auto"/>
        </w:rPr>
      </w:pPr>
      <w:r>
        <w:rPr>
          <w:rFonts w:ascii="Times New Roman" w:cs="Times New Roman" w:eastAsia="Times New Roman" w:hAnsi="Times New Roman"/>
          <w:sz w:val="18"/>
          <w:szCs w:val="18"/>
          <w:color w:val="auto"/>
        </w:rPr>
        <w:t>Set forth below are the Company’s responses to the Comments. The numbering of the paragraphs below corresponds to the numbering of the Comments, which for your convenience we have incorporated into this response letter in italics. Capitalized terms used in this letter but not otherwise defined in this letter have the meanings assigned to them in the Draft Registration Statement.</w:t>
      </w:r>
    </w:p>
    <w:p>
      <w:pPr>
        <w:spacing w:after="0" w:line="284"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Management’s Discussion and Analysis</w:t>
      </w:r>
    </w:p>
    <w:p>
      <w:pPr>
        <w:spacing w:after="0" w:line="2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Comparison of the Nine Months Ended September 30, 2020 and 2021, page 114</w:t>
      </w:r>
    </w:p>
    <w:p>
      <w:pPr>
        <w:spacing w:after="0" w:line="110" w:lineRule="exact"/>
        <w:rPr>
          <w:sz w:val="24"/>
          <w:szCs w:val="24"/>
          <w:color w:val="auto"/>
        </w:rPr>
      </w:pPr>
    </w:p>
    <w:p>
      <w:pPr>
        <w:jc w:val="both"/>
        <w:ind w:left="544" w:right="360" w:hanging="544"/>
        <w:spacing w:after="0" w:line="267" w:lineRule="auto"/>
        <w:tabs>
          <w:tab w:leader="none" w:pos="544"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 the discussion of changes in cost of revenues, you indicate that a portion of the increase was due to $11.3 million in service fees related to COVID-19 PCR testing arrangements. In the discussion of cost of revenues, genomics, you refer to an increase of $11.3 million in marketing expenses. If these increases refer to the same issue, please revise your MD&amp;A to describe them consistently.</w:t>
      </w:r>
    </w:p>
    <w:p>
      <w:pPr>
        <w:spacing w:after="0" w:line="67"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8"/>
          <w:szCs w:val="18"/>
          <w:color w:val="auto"/>
        </w:rPr>
        <w:t>In response to the Staff’s Comment, the Company will revise the applicable disclosure as follows:</w:t>
      </w:r>
    </w:p>
    <w:p>
      <w:pPr>
        <w:spacing w:after="0" w:line="117" w:lineRule="exact"/>
        <w:rPr>
          <w:sz w:val="24"/>
          <w:szCs w:val="24"/>
          <w:color w:val="auto"/>
        </w:rPr>
      </w:pPr>
    </w:p>
    <w:p>
      <w:pPr>
        <w:ind w:left="1424" w:right="60"/>
        <w:spacing w:after="0" w:line="282" w:lineRule="auto"/>
        <w:rPr>
          <w:sz w:val="20"/>
          <w:szCs w:val="20"/>
          <w:color w:val="auto"/>
        </w:rPr>
      </w:pPr>
      <w:r>
        <w:rPr>
          <w:rFonts w:ascii="Times New Roman" w:cs="Times New Roman" w:eastAsia="Times New Roman" w:hAnsi="Times New Roman"/>
          <w:sz w:val="18"/>
          <w:szCs w:val="18"/>
          <w:color w:val="auto"/>
        </w:rPr>
        <w:t xml:space="preserve">“This increase was primarily due to an increase of $27.0 million in material and service costs, an increase of $11.3 million </w:t>
      </w:r>
      <w:r>
        <w:rPr>
          <w:rFonts w:ascii="Times New Roman" w:cs="Times New Roman" w:eastAsia="Times New Roman" w:hAnsi="Times New Roman"/>
          <w:sz w:val="18"/>
          <w:szCs w:val="18"/>
          <w:u w:val="single" w:color="auto"/>
          <w:color w:val="auto"/>
        </w:rPr>
        <w:t>in service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fees related to COVID-19 PCR testing arrangements</w:t>
      </w:r>
      <w:r>
        <w:rPr>
          <w:rFonts w:ascii="Times New Roman" w:cs="Times New Roman" w:eastAsia="Times New Roman" w:hAnsi="Times New Roman"/>
          <w:sz w:val="18"/>
          <w:szCs w:val="18"/>
          <w:color w:val="auto"/>
        </w:rPr>
        <w:t>, and a $3.1 million increase in personnel, labor and overhead costs.”</w:t>
      </w:r>
    </w:p>
    <w:p>
      <w:pPr>
        <w:spacing w:after="0" w:line="90" w:lineRule="exact"/>
        <w:rPr>
          <w:sz w:val="24"/>
          <w:szCs w:val="24"/>
          <w:color w:val="auto"/>
        </w:rPr>
      </w:pPr>
    </w:p>
    <w:p>
      <w:pPr>
        <w:jc w:val="center"/>
        <w:ind w:right="16"/>
        <w:spacing w:after="0"/>
        <w:tabs>
          <w:tab w:leader="none" w:pos="120" w:val="left"/>
          <w:tab w:leader="none" w:pos="120" w:val="left"/>
          <w:tab w:leader="none" w:pos="100" w:val="left"/>
        </w:tabs>
        <w:rPr>
          <w:sz w:val="20"/>
          <w:szCs w:val="20"/>
          <w:color w:val="auto"/>
        </w:rPr>
      </w:pPr>
      <w:r>
        <w:rPr>
          <w:rFonts w:ascii="Times New Roman" w:cs="Times New Roman" w:eastAsia="Times New Roman" w:hAnsi="Times New Roman"/>
          <w:sz w:val="14"/>
          <w:szCs w:val="14"/>
          <w:color w:val="auto"/>
        </w:rPr>
        <w:t>Cooley LLP</w:t>
        <w:tab/>
        <w:t>500 Boylston Street</w:t>
        <w:tab/>
        <w:t>Boston, MA</w:t>
        <w:tab/>
        <w:t>02116-3736</w:t>
      </w:r>
    </w:p>
    <w:p>
      <w:pPr>
        <w:spacing w:after="0" w:line="4"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color w:val="auto"/>
        </w:rPr>
        <w:t>t: (617) 937-2300 f: (617) 937-2400 cooley.com</w:t>
      </w:r>
    </w:p>
    <w:p>
      <w:pPr>
        <w:sectPr>
          <w:pgSz w:w="11900" w:h="16838" w:orient="portrait"/>
          <w:cols w:equalWidth="0" w:num="1">
            <w:col w:w="11024"/>
          </w:cols>
          <w:pgMar w:left="436" w:top="1080" w:right="439" w:bottom="1440" w:gutter="0" w:footer="0" w:header="0"/>
          <w:type w:val="continuous"/>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United States 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February 14, 2022</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Two</w:t>
      </w:r>
    </w:p>
    <w:p>
      <w:pPr>
        <w:spacing w:after="0" w:line="137" w:lineRule="exact"/>
        <w:rPr>
          <w:sz w:val="20"/>
          <w:szCs w:val="20"/>
          <w:color w:val="auto"/>
        </w:rPr>
      </w:pPr>
    </w:p>
    <w:p>
      <w:pPr>
        <w:ind w:left="544" w:hanging="544"/>
        <w:spacing w:after="0" w:line="261" w:lineRule="auto"/>
        <w:tabs>
          <w:tab w:leader="none" w:pos="544"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You disclose on page F-33 that you have RSUs and PSUs subject to both a time based vesting condition and the occurrence of a liquidity event. If the successful completion of this IPO would be considered a liquidity event, please revise your MD&amp;A to quantify the amount of stock based compensation that you expect to recognize in the next 12 months related to the vesting of any RSUs and PSUs that would meet both conditions upon completion of an IPO.</w:t>
      </w:r>
    </w:p>
    <w:p>
      <w:pPr>
        <w:spacing w:after="0" w:line="182"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In response to the Staff’s Comment, the Company will revise the disclosure to include the following:</w:t>
      </w:r>
    </w:p>
    <w:p>
      <w:pPr>
        <w:spacing w:after="0" w:line="117" w:lineRule="exact"/>
        <w:rPr>
          <w:sz w:val="20"/>
          <w:szCs w:val="20"/>
          <w:color w:val="auto"/>
        </w:rPr>
      </w:pPr>
    </w:p>
    <w:p>
      <w:pPr>
        <w:ind w:left="1424" w:right="980"/>
        <w:spacing w:after="0" w:line="282" w:lineRule="auto"/>
        <w:rPr>
          <w:sz w:val="20"/>
          <w:szCs w:val="20"/>
          <w:color w:val="auto"/>
        </w:rPr>
      </w:pPr>
      <w:r>
        <w:rPr>
          <w:rFonts w:ascii="Times New Roman" w:cs="Times New Roman" w:eastAsia="Times New Roman" w:hAnsi="Times New Roman"/>
          <w:sz w:val="18"/>
          <w:szCs w:val="18"/>
          <w:color w:val="auto"/>
        </w:rPr>
        <w:t>“In addition, based on RSUs and PSUs outstanding as of , 2022, we expect to recognize approximately $ million of additional stock-based compensation expense related to these awards over the next twelve months.”</w:t>
      </w:r>
    </w:p>
    <w:p>
      <w:pPr>
        <w:spacing w:after="0" w:line="27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Liquidity and Capital Resources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Operating Activities, page 119</w:t>
      </w:r>
    </w:p>
    <w:p>
      <w:pPr>
        <w:spacing w:after="0" w:line="110" w:lineRule="exact"/>
        <w:rPr>
          <w:sz w:val="20"/>
          <w:szCs w:val="20"/>
          <w:color w:val="auto"/>
        </w:rPr>
      </w:pPr>
    </w:p>
    <w:p>
      <w:pPr>
        <w:ind w:left="544" w:right="280" w:hanging="544"/>
        <w:spacing w:after="0" w:line="261" w:lineRule="auto"/>
        <w:tabs>
          <w:tab w:leader="none" w:pos="544"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You disclose that one of the reasons for the net change in operating assets and liabilities for the nine months ended September 30, 2020 was a $4.2 million increase in accrued data licensing fees. You also indicate that $13.1 million of that increase is the result of extending the term of licensed data intangible. It’s unclear if this discussion of the $13.1 million increase contains a typo or if there are other offsetting factors affecting the increase in accrued data licensing fees. Please revise accordingly.</w:t>
      </w:r>
    </w:p>
    <w:p>
      <w:pPr>
        <w:spacing w:after="0" w:line="73" w:lineRule="exact"/>
        <w:rPr>
          <w:rFonts w:ascii="Times New Roman" w:cs="Times New Roman" w:eastAsia="Times New Roman" w:hAnsi="Times New Roman"/>
          <w:sz w:val="18"/>
          <w:szCs w:val="18"/>
          <w:i w:val="1"/>
          <w:iCs w:val="1"/>
          <w:color w:val="auto"/>
        </w:rPr>
      </w:pPr>
    </w:p>
    <w:p>
      <w:pPr>
        <w:ind w:left="544"/>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 response to the Staff’s Comment, the Company will revise the applicable disclosure as follows:</w:t>
      </w:r>
    </w:p>
    <w:p>
      <w:pPr>
        <w:spacing w:after="0" w:line="117" w:lineRule="exact"/>
        <w:rPr>
          <w:sz w:val="20"/>
          <w:szCs w:val="20"/>
          <w:color w:val="auto"/>
        </w:rPr>
      </w:pPr>
    </w:p>
    <w:p>
      <w:pPr>
        <w:ind w:left="1424" w:right="40"/>
        <w:spacing w:after="0" w:line="258" w:lineRule="auto"/>
        <w:rPr>
          <w:sz w:val="20"/>
          <w:szCs w:val="20"/>
          <w:color w:val="auto"/>
        </w:rPr>
      </w:pPr>
      <w:r>
        <w:rPr>
          <w:rFonts w:ascii="Times New Roman" w:cs="Times New Roman" w:eastAsia="Times New Roman" w:hAnsi="Times New Roman"/>
          <w:sz w:val="18"/>
          <w:szCs w:val="18"/>
          <w:color w:val="auto"/>
        </w:rPr>
        <w:t xml:space="preserve">“The net change in our operating assets and liabilities was primarily the result of a $20.4 million increase in accounts receivable due to increased volume of clinical oncology tests performed in Genomics and increased data deliveries in our Data product line, a $24.3 million increase in inventory as a result of building supplies for COVID kit tests, a $14.5 million increase in investments and other assets, and a $4.2 million increase in accrued data licensing fees, $13.1 million of which is the result of extending the term of licensed data intangible, </w:t>
      </w:r>
      <w:r>
        <w:rPr>
          <w:rFonts w:ascii="Times New Roman" w:cs="Times New Roman" w:eastAsia="Times New Roman" w:hAnsi="Times New Roman"/>
          <w:sz w:val="18"/>
          <w:szCs w:val="18"/>
          <w:u w:val="single" w:color="auto"/>
          <w:color w:val="auto"/>
        </w:rPr>
        <w:t>partially offset by $9.0 million in associated minimum payments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5004"/>
        <w:spacing w:after="0"/>
        <w:tabs>
          <w:tab w:leader="none" w:pos="5444" w:val="left"/>
          <w:tab w:leader="none" w:pos="5884"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Please contact me at (212) 479-6157 with any questions or further comments regarding our responses to the Staff’s Comments.</w:t>
      </w:r>
    </w:p>
    <w:p>
      <w:pPr>
        <w:spacing w:after="0" w:line="153" w:lineRule="exact"/>
        <w:rPr>
          <w:sz w:val="20"/>
          <w:szCs w:val="20"/>
          <w:color w:val="auto"/>
        </w:rPr>
      </w:pPr>
    </w:p>
    <w:p>
      <w:pPr>
        <w:jc w:val="center"/>
        <w:ind w:right="16"/>
        <w:spacing w:after="0"/>
        <w:tabs>
          <w:tab w:leader="none" w:pos="120" w:val="left"/>
          <w:tab w:leader="none" w:pos="120" w:val="left"/>
          <w:tab w:leader="none" w:pos="100" w:val="left"/>
        </w:tabs>
        <w:rPr>
          <w:sz w:val="20"/>
          <w:szCs w:val="20"/>
          <w:color w:val="auto"/>
        </w:rPr>
      </w:pPr>
      <w:r>
        <w:rPr>
          <w:rFonts w:ascii="Times New Roman" w:cs="Times New Roman" w:eastAsia="Times New Roman" w:hAnsi="Times New Roman"/>
          <w:sz w:val="14"/>
          <w:szCs w:val="14"/>
          <w:color w:val="auto"/>
        </w:rPr>
        <w:t>Cooley LLP</w:t>
        <w:tab/>
        <w:t>500 Boylston Street</w:t>
        <w:tab/>
        <w:t>Boston, MA</w:t>
        <w:tab/>
        <w:t>02116-3736</w:t>
      </w:r>
    </w:p>
    <w:p>
      <w:pPr>
        <w:spacing w:after="0" w:line="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4"/>
          <w:szCs w:val="14"/>
          <w:color w:val="auto"/>
        </w:rPr>
        <w:t>t: (617) 937-2300 f: (617) 937-2400 cooley.com</w:t>
      </w:r>
    </w:p>
    <w:p>
      <w:pPr>
        <w:sectPr>
          <w:pgSz w:w="11900" w:h="16838" w:orient="portrait"/>
          <w:cols w:equalWidth="0" w:num="1">
            <w:col w:w="11024"/>
          </w:cols>
          <w:pgMar w:left="436" w:top="270" w:right="439" w:bottom="1440" w:gutter="0" w:footer="0" w:header="0"/>
        </w:sectPr>
      </w:pPr>
    </w:p>
    <w:bookmarkStart w:id="2" w:name="page3"/>
    <w:bookmarkEnd w:id="2"/>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United States 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February 14, 2022</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Three</w:t>
      </w:r>
    </w:p>
    <w:p>
      <w:pPr>
        <w:spacing w:after="0" w:line="13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 Nicole C. Brookshire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27946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Nicole C. Brookshire</w:t>
      </w:r>
    </w:p>
    <w:p>
      <w:pPr>
        <w:spacing w:after="0" w:line="250" w:lineRule="exact"/>
        <w:rPr>
          <w:sz w:val="20"/>
          <w:szCs w:val="20"/>
          <w:color w:val="auto"/>
        </w:rPr>
      </w:pPr>
    </w:p>
    <w:p>
      <w:pPr>
        <w:ind w:left="344" w:right="7119" w:hanging="344"/>
        <w:spacing w:after="0" w:line="256" w:lineRule="auto"/>
        <w:tabs>
          <w:tab w:leader="none" w:pos="3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Eric Lefkofsky, </w:t>
      </w:r>
      <w:r>
        <w:rPr>
          <w:rFonts w:ascii="Times New Roman" w:cs="Times New Roman" w:eastAsia="Times New Roman" w:hAnsi="Times New Roman"/>
          <w:sz w:val="18"/>
          <w:szCs w:val="18"/>
          <w:i w:val="1"/>
          <w:iCs w:val="1"/>
          <w:color w:val="auto"/>
        </w:rPr>
        <w:t>Tempus Labs, Inc.</w:t>
      </w:r>
      <w:r>
        <w:rPr>
          <w:rFonts w:ascii="Times New Roman" w:cs="Times New Roman" w:eastAsia="Times New Roman" w:hAnsi="Times New Roman"/>
          <w:sz w:val="18"/>
          <w:szCs w:val="18"/>
          <w:color w:val="auto"/>
        </w:rPr>
        <w:t xml:space="preserve"> Jim Rogers, </w:t>
      </w:r>
      <w:r>
        <w:rPr>
          <w:rFonts w:ascii="Times New Roman" w:cs="Times New Roman" w:eastAsia="Times New Roman" w:hAnsi="Times New Roman"/>
          <w:sz w:val="18"/>
          <w:szCs w:val="18"/>
          <w:i w:val="1"/>
          <w:iCs w:val="1"/>
          <w:color w:val="auto"/>
        </w:rPr>
        <w:t>Tempus Labs, Inc.</w:t>
      </w:r>
      <w:r>
        <w:rPr>
          <w:rFonts w:ascii="Times New Roman" w:cs="Times New Roman" w:eastAsia="Times New Roman" w:hAnsi="Times New Roman"/>
          <w:sz w:val="18"/>
          <w:szCs w:val="18"/>
          <w:color w:val="auto"/>
        </w:rPr>
        <w:t xml:space="preserve"> Erik Phelps, </w:t>
      </w:r>
      <w:r>
        <w:rPr>
          <w:rFonts w:ascii="Times New Roman" w:cs="Times New Roman" w:eastAsia="Times New Roman" w:hAnsi="Times New Roman"/>
          <w:sz w:val="18"/>
          <w:szCs w:val="18"/>
          <w:i w:val="1"/>
          <w:iCs w:val="1"/>
          <w:color w:val="auto"/>
        </w:rPr>
        <w:t>Tempus Labs, Inc.</w:t>
      </w:r>
      <w:r>
        <w:rPr>
          <w:rFonts w:ascii="Times New Roman" w:cs="Times New Roman" w:eastAsia="Times New Roman" w:hAnsi="Times New Roman"/>
          <w:sz w:val="18"/>
          <w:szCs w:val="18"/>
          <w:color w:val="auto"/>
        </w:rPr>
        <w:t xml:space="preserve"> Ryan Bartolucci, </w:t>
      </w:r>
      <w:r>
        <w:rPr>
          <w:rFonts w:ascii="Times New Roman" w:cs="Times New Roman" w:eastAsia="Times New Roman" w:hAnsi="Times New Roman"/>
          <w:sz w:val="18"/>
          <w:szCs w:val="18"/>
          <w:i w:val="1"/>
          <w:iCs w:val="1"/>
          <w:color w:val="auto"/>
        </w:rPr>
        <w:t>Tempus Labs, Inc.</w:t>
      </w:r>
      <w:r>
        <w:rPr>
          <w:rFonts w:ascii="Times New Roman" w:cs="Times New Roman" w:eastAsia="Times New Roman" w:hAnsi="Times New Roman"/>
          <w:sz w:val="18"/>
          <w:szCs w:val="18"/>
          <w:color w:val="auto"/>
        </w:rPr>
        <w:t xml:space="preserve"> Courtney Tygesson, </w:t>
      </w:r>
      <w:r>
        <w:rPr>
          <w:rFonts w:ascii="Times New Roman" w:cs="Times New Roman" w:eastAsia="Times New Roman" w:hAnsi="Times New Roman"/>
          <w:sz w:val="18"/>
          <w:szCs w:val="18"/>
          <w:i w:val="1"/>
          <w:iCs w:val="1"/>
          <w:color w:val="auto"/>
        </w:rPr>
        <w:t>Cooley LLP</w:t>
      </w:r>
      <w:r>
        <w:rPr>
          <w:rFonts w:ascii="Times New Roman" w:cs="Times New Roman" w:eastAsia="Times New Roman" w:hAnsi="Times New Roman"/>
          <w:sz w:val="18"/>
          <w:szCs w:val="18"/>
          <w:color w:val="auto"/>
        </w:rPr>
        <w:t xml:space="preserve"> Christina Roupas, </w:t>
      </w:r>
      <w:r>
        <w:rPr>
          <w:rFonts w:ascii="Times New Roman" w:cs="Times New Roman" w:eastAsia="Times New Roman" w:hAnsi="Times New Roman"/>
          <w:sz w:val="18"/>
          <w:szCs w:val="18"/>
          <w:i w:val="1"/>
          <w:iCs w:val="1"/>
          <w:color w:val="auto"/>
        </w:rPr>
        <w:t>Cooley LLP</w:t>
      </w:r>
      <w:r>
        <w:rPr>
          <w:rFonts w:ascii="Times New Roman" w:cs="Times New Roman" w:eastAsia="Times New Roman" w:hAnsi="Times New Roman"/>
          <w:sz w:val="18"/>
          <w:szCs w:val="18"/>
          <w:color w:val="auto"/>
        </w:rPr>
        <w:t xml:space="preserve"> Richard Segal</w:t>
      </w:r>
      <w:r>
        <w:rPr>
          <w:rFonts w:ascii="Times New Roman" w:cs="Times New Roman" w:eastAsia="Times New Roman" w:hAnsi="Times New Roman"/>
          <w:sz w:val="18"/>
          <w:szCs w:val="18"/>
          <w:i w:val="1"/>
          <w:iCs w:val="1"/>
          <w:color w:val="auto"/>
        </w:rPr>
        <w:t>, Cooley LLP</w:t>
      </w:r>
    </w:p>
    <w:p>
      <w:pPr>
        <w:spacing w:after="0" w:line="113" w:lineRule="exact"/>
        <w:rPr>
          <w:sz w:val="20"/>
          <w:szCs w:val="20"/>
          <w:color w:val="auto"/>
        </w:rPr>
      </w:pPr>
    </w:p>
    <w:p>
      <w:pPr>
        <w:jc w:val="center"/>
        <w:ind w:right="-984"/>
        <w:spacing w:after="0"/>
        <w:tabs>
          <w:tab w:leader="none" w:pos="120" w:val="left"/>
          <w:tab w:leader="none" w:pos="120" w:val="left"/>
          <w:tab w:leader="none" w:pos="100" w:val="left"/>
        </w:tabs>
        <w:rPr>
          <w:sz w:val="20"/>
          <w:szCs w:val="20"/>
          <w:color w:val="auto"/>
        </w:rPr>
      </w:pPr>
      <w:r>
        <w:rPr>
          <w:rFonts w:ascii="Times New Roman" w:cs="Times New Roman" w:eastAsia="Times New Roman" w:hAnsi="Times New Roman"/>
          <w:sz w:val="14"/>
          <w:szCs w:val="14"/>
          <w:color w:val="auto"/>
        </w:rPr>
        <w:t>Cooley LLP</w:t>
        <w:tab/>
        <w:t>500 Boylston Street</w:t>
        <w:tab/>
        <w:t>Boston, MA</w:t>
        <w:tab/>
        <w:t>02116-3736</w:t>
      </w:r>
    </w:p>
    <w:p>
      <w:pPr>
        <w:spacing w:after="0" w:line="4" w:lineRule="exact"/>
        <w:rPr>
          <w:sz w:val="20"/>
          <w:szCs w:val="20"/>
          <w:color w:val="auto"/>
        </w:rPr>
      </w:pPr>
    </w:p>
    <w:p>
      <w:pPr>
        <w:jc w:val="center"/>
        <w:ind w:right="-984"/>
        <w:spacing w:after="0"/>
        <w:rPr>
          <w:sz w:val="20"/>
          <w:szCs w:val="20"/>
          <w:color w:val="auto"/>
        </w:rPr>
      </w:pPr>
      <w:r>
        <w:rPr>
          <w:rFonts w:ascii="Times New Roman" w:cs="Times New Roman" w:eastAsia="Times New Roman" w:hAnsi="Times New Roman"/>
          <w:sz w:val="14"/>
          <w:szCs w:val="14"/>
          <w:color w:val="auto"/>
        </w:rPr>
        <w:t>t: (617) 937-2300 f: (617) 937-2400 cooley.com</w:t>
      </w:r>
    </w:p>
    <w:sectPr>
      <w:pgSz w:w="11900" w:h="16838" w:orient="portrait"/>
      <w:cols w:equalWidth="0" w:num="1">
        <w:col w:w="10023"/>
      </w:cols>
      <w:pgMar w:left="436"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2"/>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2024-07-22T23:11:26Z</dcterms:created>
  <dcterms:modified xsi:type="dcterms:W3CDTF">2024-07-22T23:11:26Z</dcterms:modified>
</cp:coreProperties>
</file>